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E9C08">
      <w:pPr>
        <w:jc w:val="center"/>
        <w:rPr>
          <w:color w:val="auto"/>
          <w:sz w:val="72"/>
          <w:szCs w:val="72"/>
        </w:rPr>
      </w:pPr>
      <w:bookmarkStart w:id="0" w:name="_Toc10516"/>
      <w:bookmarkStart w:id="1" w:name="_Toc27577"/>
      <w:bookmarkStart w:id="2" w:name="_Toc18270"/>
    </w:p>
    <w:p w14:paraId="74AEFC42">
      <w:pPr>
        <w:jc w:val="center"/>
        <w:rPr>
          <w:color w:val="auto"/>
          <w:sz w:val="72"/>
          <w:szCs w:val="72"/>
        </w:rPr>
      </w:pPr>
      <w:r>
        <w:rPr>
          <w:color w:val="auto"/>
          <w:sz w:val="72"/>
          <w:szCs w:val="72"/>
        </w:rPr>
        <w:t>建设项目</w:t>
      </w:r>
      <w:r>
        <w:rPr>
          <w:rFonts w:hint="eastAsia"/>
          <w:color w:val="auto"/>
          <w:sz w:val="72"/>
          <w:szCs w:val="72"/>
          <w:lang w:eastAsia="zh-CN"/>
        </w:rPr>
        <w:t>生态</w:t>
      </w:r>
      <w:r>
        <w:rPr>
          <w:color w:val="auto"/>
          <w:sz w:val="72"/>
          <w:szCs w:val="72"/>
        </w:rPr>
        <w:t>环境影响</w:t>
      </w:r>
    </w:p>
    <w:p w14:paraId="1B843696">
      <w:pPr>
        <w:tabs>
          <w:tab w:val="center" w:pos="4482"/>
          <w:tab w:val="left" w:pos="6637"/>
        </w:tabs>
        <w:jc w:val="left"/>
        <w:rPr>
          <w:rFonts w:hint="eastAsia" w:eastAsia="宋体"/>
          <w:color w:val="auto"/>
          <w:sz w:val="72"/>
          <w:szCs w:val="72"/>
          <w:lang w:eastAsia="zh-CN"/>
        </w:rPr>
      </w:pPr>
      <w:r>
        <w:rPr>
          <w:rFonts w:hint="eastAsia"/>
          <w:color w:val="auto"/>
          <w:sz w:val="72"/>
          <w:szCs w:val="72"/>
          <w:lang w:eastAsia="zh-CN"/>
        </w:rPr>
        <w:tab/>
      </w:r>
      <w:r>
        <w:rPr>
          <w:color w:val="auto"/>
          <w:sz w:val="72"/>
          <w:szCs w:val="72"/>
        </w:rPr>
        <w:t>报告表</w:t>
      </w:r>
      <w:bookmarkEnd w:id="0"/>
      <w:bookmarkEnd w:id="1"/>
      <w:r>
        <w:rPr>
          <w:rFonts w:hint="eastAsia"/>
          <w:color w:val="auto"/>
          <w:sz w:val="72"/>
          <w:szCs w:val="72"/>
          <w:lang w:eastAsia="zh-CN"/>
        </w:rPr>
        <w:tab/>
      </w:r>
      <w:bookmarkStart w:id="35" w:name="_GoBack"/>
      <w:bookmarkEnd w:id="35"/>
    </w:p>
    <w:p w14:paraId="50C50276">
      <w:pPr>
        <w:adjustRightInd w:val="0"/>
        <w:snapToGrid w:val="0"/>
        <w:spacing w:before="192" w:beforeLines="80"/>
        <w:jc w:val="center"/>
        <w:rPr>
          <w:bCs/>
          <w:color w:val="auto"/>
          <w:sz w:val="48"/>
          <w:szCs w:val="48"/>
        </w:rPr>
      </w:pPr>
      <w:r>
        <w:rPr>
          <w:bCs/>
          <w:color w:val="auto"/>
          <w:sz w:val="48"/>
          <w:szCs w:val="48"/>
        </w:rPr>
        <w:t>（污染影响类）</w:t>
      </w:r>
    </w:p>
    <w:p w14:paraId="13B2A32E">
      <w:pPr>
        <w:adjustRightInd w:val="0"/>
        <w:snapToGrid w:val="0"/>
        <w:spacing w:line="288" w:lineRule="auto"/>
        <w:ind w:firstLine="1040"/>
        <w:rPr>
          <w:color w:val="auto"/>
          <w:sz w:val="36"/>
          <w:szCs w:val="36"/>
        </w:rPr>
      </w:pPr>
    </w:p>
    <w:p w14:paraId="645B2959">
      <w:pPr>
        <w:adjustRightInd w:val="0"/>
        <w:snapToGrid w:val="0"/>
        <w:spacing w:line="288" w:lineRule="auto"/>
        <w:ind w:firstLine="1040"/>
        <w:rPr>
          <w:color w:val="auto"/>
          <w:sz w:val="36"/>
          <w:szCs w:val="36"/>
        </w:rPr>
      </w:pPr>
    </w:p>
    <w:p w14:paraId="46CB85AB">
      <w:pPr>
        <w:adjustRightInd w:val="0"/>
        <w:snapToGrid w:val="0"/>
        <w:spacing w:line="288" w:lineRule="auto"/>
        <w:ind w:firstLine="1040"/>
        <w:rPr>
          <w:color w:val="auto"/>
          <w:sz w:val="36"/>
          <w:szCs w:val="36"/>
        </w:rPr>
      </w:pPr>
    </w:p>
    <w:p w14:paraId="72EB0E91">
      <w:pPr>
        <w:adjustRightInd w:val="0"/>
        <w:snapToGrid w:val="0"/>
        <w:spacing w:line="288" w:lineRule="auto"/>
        <w:ind w:firstLine="1040"/>
        <w:rPr>
          <w:color w:val="auto"/>
          <w:sz w:val="36"/>
          <w:szCs w:val="36"/>
        </w:rPr>
      </w:pPr>
    </w:p>
    <w:p w14:paraId="1EAF9393">
      <w:pPr>
        <w:adjustRightInd w:val="0"/>
        <w:snapToGrid w:val="0"/>
        <w:spacing w:line="288" w:lineRule="auto"/>
        <w:ind w:firstLine="1040"/>
        <w:rPr>
          <w:color w:val="auto"/>
          <w:sz w:val="36"/>
          <w:szCs w:val="36"/>
        </w:rPr>
      </w:pPr>
    </w:p>
    <w:p w14:paraId="4DF1EE18">
      <w:pPr>
        <w:ind w:firstLine="1040"/>
        <w:rPr>
          <w:color w:val="auto"/>
          <w:sz w:val="44"/>
          <w:szCs w:val="44"/>
        </w:rPr>
      </w:pPr>
    </w:p>
    <w:p w14:paraId="0277230B">
      <w:pPr>
        <w:adjustRightInd w:val="0"/>
        <w:snapToGrid w:val="0"/>
        <w:spacing w:line="360" w:lineRule="auto"/>
        <w:jc w:val="center"/>
        <w:rPr>
          <w:color w:val="auto"/>
          <w:sz w:val="36"/>
          <w:szCs w:val="36"/>
          <w:u w:val="single"/>
        </w:rPr>
      </w:pPr>
      <w:r>
        <w:rPr>
          <w:color w:val="auto"/>
          <w:sz w:val="36"/>
          <w:szCs w:val="36"/>
        </w:rPr>
        <w:t>项目名称：</w:t>
      </w:r>
      <w:bookmarkStart w:id="3" w:name="OLE_LINK1"/>
      <w:r>
        <w:rPr>
          <w:rFonts w:hint="eastAsia"/>
          <w:color w:val="auto"/>
          <w:sz w:val="36"/>
          <w:szCs w:val="36"/>
          <w:u w:val="single"/>
        </w:rPr>
        <w:t>塑料制品深加工新建项</w:t>
      </w:r>
      <w:r>
        <w:rPr>
          <w:color w:val="auto"/>
          <w:sz w:val="36"/>
          <w:szCs w:val="36"/>
          <w:u w:val="single"/>
        </w:rPr>
        <w:t>目</w:t>
      </w:r>
      <w:bookmarkEnd w:id="3"/>
    </w:p>
    <w:p w14:paraId="309BB174">
      <w:pPr>
        <w:adjustRightInd w:val="0"/>
        <w:snapToGrid w:val="0"/>
        <w:spacing w:line="360" w:lineRule="auto"/>
        <w:jc w:val="center"/>
        <w:rPr>
          <w:color w:val="auto"/>
          <w:sz w:val="36"/>
          <w:szCs w:val="36"/>
          <w:u w:val="single"/>
        </w:rPr>
      </w:pPr>
      <w:r>
        <w:rPr>
          <w:color w:val="auto"/>
          <w:sz w:val="36"/>
          <w:szCs w:val="36"/>
        </w:rPr>
        <w:t>建设单位（盖章）：</w:t>
      </w:r>
      <w:r>
        <w:rPr>
          <w:rFonts w:hint="eastAsia"/>
          <w:color w:val="auto"/>
          <w:sz w:val="36"/>
          <w:szCs w:val="36"/>
          <w:u w:val="single"/>
          <w:lang w:eastAsia="zh-CN"/>
        </w:rPr>
        <w:t>云南合罡盛塑业科技</w:t>
      </w:r>
      <w:r>
        <w:rPr>
          <w:rFonts w:hint="eastAsia"/>
          <w:color w:val="auto"/>
          <w:sz w:val="36"/>
          <w:szCs w:val="36"/>
          <w:u w:val="single"/>
        </w:rPr>
        <w:t>有限公司</w:t>
      </w:r>
    </w:p>
    <w:p w14:paraId="667627D6">
      <w:pPr>
        <w:adjustRightInd w:val="0"/>
        <w:snapToGrid w:val="0"/>
        <w:spacing w:line="360" w:lineRule="auto"/>
        <w:jc w:val="center"/>
        <w:rPr>
          <w:color w:val="auto"/>
          <w:sz w:val="36"/>
          <w:szCs w:val="36"/>
          <w:u w:val="single"/>
        </w:rPr>
      </w:pPr>
      <w:r>
        <w:rPr>
          <w:color w:val="auto"/>
          <w:sz w:val="36"/>
          <w:szCs w:val="36"/>
        </w:rPr>
        <w:t>编制日期：</w:t>
      </w:r>
      <w:r>
        <w:rPr>
          <w:rFonts w:hint="eastAsia"/>
          <w:color w:val="auto"/>
          <w:sz w:val="36"/>
          <w:szCs w:val="36"/>
          <w:u w:val="single"/>
        </w:rPr>
        <w:t>2026</w:t>
      </w:r>
      <w:r>
        <w:rPr>
          <w:color w:val="auto"/>
          <w:sz w:val="36"/>
          <w:szCs w:val="36"/>
          <w:u w:val="single"/>
        </w:rPr>
        <w:t>年</w:t>
      </w:r>
      <w:r>
        <w:rPr>
          <w:rFonts w:hint="eastAsia"/>
          <w:color w:val="auto"/>
          <w:sz w:val="36"/>
          <w:szCs w:val="36"/>
          <w:u w:val="single"/>
          <w:lang w:val="en-US" w:eastAsia="zh-CN"/>
        </w:rPr>
        <w:t>09</w:t>
      </w:r>
      <w:r>
        <w:rPr>
          <w:color w:val="auto"/>
          <w:sz w:val="36"/>
          <w:szCs w:val="36"/>
          <w:u w:val="single"/>
        </w:rPr>
        <w:t>月</w:t>
      </w:r>
    </w:p>
    <w:p w14:paraId="003153A6">
      <w:pPr>
        <w:adjustRightInd w:val="0"/>
        <w:snapToGrid w:val="0"/>
        <w:spacing w:line="288" w:lineRule="auto"/>
        <w:ind w:firstLine="1040"/>
        <w:rPr>
          <w:color w:val="auto"/>
          <w:sz w:val="36"/>
          <w:szCs w:val="36"/>
          <w:u w:val="single"/>
        </w:rPr>
      </w:pPr>
      <w:bookmarkStart w:id="4" w:name="_Hlk57884087"/>
    </w:p>
    <w:p w14:paraId="01F97B56">
      <w:pPr>
        <w:adjustRightInd w:val="0"/>
        <w:snapToGrid w:val="0"/>
        <w:spacing w:line="288" w:lineRule="auto"/>
        <w:ind w:firstLine="1040"/>
        <w:rPr>
          <w:color w:val="auto"/>
          <w:sz w:val="36"/>
          <w:szCs w:val="36"/>
        </w:rPr>
      </w:pPr>
    </w:p>
    <w:p w14:paraId="60519540">
      <w:pPr>
        <w:adjustRightInd w:val="0"/>
        <w:snapToGrid w:val="0"/>
        <w:spacing w:line="288" w:lineRule="auto"/>
        <w:ind w:firstLine="1040"/>
        <w:rPr>
          <w:color w:val="auto"/>
          <w:sz w:val="36"/>
          <w:szCs w:val="36"/>
        </w:rPr>
      </w:pPr>
    </w:p>
    <w:p w14:paraId="52014746">
      <w:pPr>
        <w:adjustRightInd w:val="0"/>
        <w:snapToGrid w:val="0"/>
        <w:spacing w:line="288" w:lineRule="auto"/>
        <w:ind w:firstLine="1040"/>
        <w:rPr>
          <w:color w:val="auto"/>
          <w:sz w:val="36"/>
          <w:szCs w:val="36"/>
          <w:u w:val="single"/>
        </w:rPr>
      </w:pPr>
    </w:p>
    <w:p w14:paraId="21B08919">
      <w:pPr>
        <w:adjustRightInd w:val="0"/>
        <w:snapToGrid w:val="0"/>
        <w:spacing w:line="288" w:lineRule="auto"/>
        <w:ind w:firstLine="1040"/>
        <w:rPr>
          <w:color w:val="auto"/>
          <w:sz w:val="36"/>
          <w:szCs w:val="36"/>
          <w:u w:val="single"/>
        </w:rPr>
      </w:pPr>
    </w:p>
    <w:p w14:paraId="47147AB0">
      <w:pPr>
        <w:adjustRightInd w:val="0"/>
        <w:snapToGrid w:val="0"/>
        <w:spacing w:line="288" w:lineRule="auto"/>
        <w:ind w:firstLine="1040"/>
        <w:rPr>
          <w:color w:val="auto"/>
          <w:sz w:val="36"/>
          <w:szCs w:val="36"/>
          <w:u w:val="single"/>
        </w:rPr>
      </w:pPr>
    </w:p>
    <w:p w14:paraId="33C57721">
      <w:pPr>
        <w:adjustRightInd w:val="0"/>
        <w:snapToGrid w:val="0"/>
        <w:spacing w:line="288" w:lineRule="auto"/>
        <w:ind w:firstLine="1040"/>
        <w:rPr>
          <w:color w:val="auto"/>
          <w:sz w:val="36"/>
          <w:szCs w:val="36"/>
        </w:rPr>
      </w:pPr>
    </w:p>
    <w:bookmarkEnd w:id="4"/>
    <w:p w14:paraId="6A08E991">
      <w:pPr>
        <w:adjustRightInd w:val="0"/>
        <w:snapToGrid w:val="0"/>
        <w:spacing w:line="288" w:lineRule="auto"/>
        <w:jc w:val="center"/>
        <w:rPr>
          <w:color w:val="auto"/>
          <w:sz w:val="36"/>
          <w:szCs w:val="36"/>
        </w:rPr>
      </w:pPr>
      <w:r>
        <w:rPr>
          <w:color w:val="auto"/>
          <w:sz w:val="36"/>
          <w:szCs w:val="36"/>
        </w:rPr>
        <w:t>中华人民共和国生态环境部制</w:t>
      </w:r>
    </w:p>
    <w:p w14:paraId="0EFAD6D9">
      <w:pPr>
        <w:adjustRightInd w:val="0"/>
        <w:snapToGrid w:val="0"/>
        <w:spacing w:line="288" w:lineRule="auto"/>
        <w:ind w:firstLine="1040"/>
        <w:rPr>
          <w:color w:val="auto"/>
          <w:sz w:val="36"/>
          <w:szCs w:val="36"/>
        </w:rPr>
        <w:sectPr>
          <w:headerReference r:id="rId3" w:type="default"/>
          <w:footerReference r:id="rId4" w:type="default"/>
          <w:footerReference r:id="rId5" w:type="even"/>
          <w:pgSz w:w="11906" w:h="16838"/>
          <w:pgMar w:top="1701" w:right="1531" w:bottom="1701" w:left="1531" w:header="851" w:footer="1077" w:gutter="0"/>
          <w:pgNumType w:start="3"/>
          <w:cols w:space="720" w:num="1"/>
          <w:docGrid w:linePitch="312" w:charSpace="0"/>
        </w:sectPr>
      </w:pPr>
    </w:p>
    <w:p w14:paraId="1BE36EA4">
      <w:pPr>
        <w:adjustRightInd w:val="0"/>
        <w:snapToGrid w:val="0"/>
        <w:spacing w:line="360" w:lineRule="auto"/>
        <w:jc w:val="center"/>
        <w:rPr>
          <w:b/>
          <w:bCs/>
          <w:color w:val="auto"/>
          <w:sz w:val="28"/>
          <w:szCs w:val="28"/>
        </w:rPr>
      </w:pPr>
      <w:r>
        <w:rPr>
          <w:b/>
          <w:bCs/>
          <w:color w:val="auto"/>
          <w:sz w:val="28"/>
          <w:szCs w:val="28"/>
        </w:rPr>
        <w:t>目录</w:t>
      </w:r>
    </w:p>
    <w:p w14:paraId="096C833C">
      <w:pPr>
        <w:pStyle w:val="23"/>
        <w:tabs>
          <w:tab w:val="right" w:leader="dot" w:pos="8844"/>
        </w:tabs>
        <w:spacing w:line="360" w:lineRule="auto"/>
        <w:rPr>
          <w:color w:val="auto"/>
          <w:sz w:val="28"/>
          <w:szCs w:val="28"/>
        </w:rPr>
      </w:pPr>
      <w:r>
        <w:rPr>
          <w:b/>
          <w:bCs/>
          <w:color w:val="auto"/>
          <w:sz w:val="28"/>
          <w:szCs w:val="28"/>
        </w:rPr>
        <w:fldChar w:fldCharType="begin"/>
      </w:r>
      <w:r>
        <w:rPr>
          <w:b/>
          <w:bCs/>
          <w:color w:val="auto"/>
          <w:sz w:val="28"/>
          <w:szCs w:val="28"/>
        </w:rPr>
        <w:instrText xml:space="preserve">TOC \o "1-1" \h \u </w:instrText>
      </w:r>
      <w:r>
        <w:rPr>
          <w:b/>
          <w:bCs/>
          <w:color w:val="auto"/>
          <w:sz w:val="28"/>
          <w:szCs w:val="28"/>
        </w:rPr>
        <w:fldChar w:fldCharType="separate"/>
      </w:r>
      <w:r>
        <w:rPr>
          <w:color w:val="auto"/>
        </w:rPr>
        <w:fldChar w:fldCharType="begin"/>
      </w:r>
      <w:r>
        <w:rPr>
          <w:color w:val="auto"/>
        </w:rPr>
        <w:instrText xml:space="preserve"> HYPERLINK \l "_Toc20961" </w:instrText>
      </w:r>
      <w:r>
        <w:rPr>
          <w:color w:val="auto"/>
        </w:rPr>
        <w:fldChar w:fldCharType="separate"/>
      </w:r>
      <w:r>
        <w:rPr>
          <w:bCs/>
          <w:snapToGrid w:val="0"/>
          <w:color w:val="auto"/>
          <w:sz w:val="28"/>
          <w:szCs w:val="28"/>
        </w:rPr>
        <w:t>一、建设项目基本情况</w:t>
      </w:r>
      <w:r>
        <w:rPr>
          <w:color w:val="auto"/>
          <w:sz w:val="28"/>
          <w:szCs w:val="28"/>
        </w:rPr>
        <w:tab/>
      </w:r>
      <w:r>
        <w:rPr>
          <w:rFonts w:hint="eastAsia"/>
          <w:color w:val="auto"/>
          <w:sz w:val="28"/>
          <w:szCs w:val="28"/>
          <w:lang w:val="en-US" w:eastAsia="zh-CN"/>
        </w:rPr>
        <w:t>1</w:t>
      </w:r>
      <w:r>
        <w:rPr>
          <w:color w:val="auto"/>
          <w:sz w:val="28"/>
          <w:szCs w:val="28"/>
        </w:rPr>
        <w:fldChar w:fldCharType="end"/>
      </w:r>
    </w:p>
    <w:p w14:paraId="3A51B1A4">
      <w:pPr>
        <w:pStyle w:val="23"/>
        <w:tabs>
          <w:tab w:val="right" w:leader="dot" w:pos="8844"/>
        </w:tabs>
        <w:spacing w:line="360" w:lineRule="auto"/>
        <w:rPr>
          <w:color w:val="auto"/>
          <w:sz w:val="28"/>
          <w:szCs w:val="28"/>
        </w:rPr>
      </w:pPr>
      <w:r>
        <w:rPr>
          <w:color w:val="auto"/>
        </w:rPr>
        <w:fldChar w:fldCharType="begin"/>
      </w:r>
      <w:r>
        <w:rPr>
          <w:color w:val="auto"/>
        </w:rPr>
        <w:instrText xml:space="preserve"> HYPERLINK \l "_Toc1587" </w:instrText>
      </w:r>
      <w:r>
        <w:rPr>
          <w:color w:val="auto"/>
        </w:rPr>
        <w:fldChar w:fldCharType="separate"/>
      </w:r>
      <w:r>
        <w:rPr>
          <w:bCs/>
          <w:snapToGrid w:val="0"/>
          <w:color w:val="auto"/>
          <w:sz w:val="28"/>
          <w:szCs w:val="28"/>
        </w:rPr>
        <w:t>二、建设项目工程分析</w:t>
      </w:r>
      <w:r>
        <w:rPr>
          <w:color w:val="auto"/>
          <w:sz w:val="28"/>
          <w:szCs w:val="28"/>
        </w:rPr>
        <w:tab/>
      </w:r>
      <w:r>
        <w:rPr>
          <w:color w:val="auto"/>
          <w:sz w:val="28"/>
          <w:szCs w:val="28"/>
        </w:rPr>
        <w:fldChar w:fldCharType="begin"/>
      </w:r>
      <w:r>
        <w:rPr>
          <w:color w:val="auto"/>
          <w:sz w:val="28"/>
          <w:szCs w:val="28"/>
        </w:rPr>
        <w:instrText xml:space="preserve"> PAGEREF _Toc1587 \h </w:instrText>
      </w:r>
      <w:r>
        <w:rPr>
          <w:color w:val="auto"/>
          <w:sz w:val="28"/>
          <w:szCs w:val="28"/>
        </w:rPr>
        <w:fldChar w:fldCharType="separate"/>
      </w:r>
      <w:r>
        <w:rPr>
          <w:color w:val="auto"/>
          <w:sz w:val="28"/>
          <w:szCs w:val="28"/>
        </w:rPr>
        <w:t>49</w:t>
      </w:r>
      <w:r>
        <w:rPr>
          <w:color w:val="auto"/>
          <w:sz w:val="28"/>
          <w:szCs w:val="28"/>
        </w:rPr>
        <w:fldChar w:fldCharType="end"/>
      </w:r>
      <w:r>
        <w:rPr>
          <w:color w:val="auto"/>
          <w:sz w:val="28"/>
          <w:szCs w:val="28"/>
        </w:rPr>
        <w:fldChar w:fldCharType="end"/>
      </w:r>
    </w:p>
    <w:p w14:paraId="2EF01105">
      <w:pPr>
        <w:pStyle w:val="23"/>
        <w:tabs>
          <w:tab w:val="right" w:leader="dot" w:pos="8844"/>
        </w:tabs>
        <w:spacing w:line="360" w:lineRule="auto"/>
        <w:rPr>
          <w:color w:val="auto"/>
          <w:sz w:val="28"/>
          <w:szCs w:val="28"/>
        </w:rPr>
      </w:pPr>
      <w:r>
        <w:rPr>
          <w:color w:val="auto"/>
        </w:rPr>
        <w:fldChar w:fldCharType="begin"/>
      </w:r>
      <w:r>
        <w:rPr>
          <w:color w:val="auto"/>
        </w:rPr>
        <w:instrText xml:space="preserve"> HYPERLINK \l "_Toc7404" </w:instrText>
      </w:r>
      <w:r>
        <w:rPr>
          <w:color w:val="auto"/>
        </w:rPr>
        <w:fldChar w:fldCharType="separate"/>
      </w:r>
      <w:r>
        <w:rPr>
          <w:bCs/>
          <w:snapToGrid w:val="0"/>
          <w:color w:val="auto"/>
          <w:sz w:val="28"/>
          <w:szCs w:val="28"/>
        </w:rPr>
        <w:t>三、区域环境质量现状、环境保护目标及评价标准</w:t>
      </w:r>
      <w:r>
        <w:rPr>
          <w:color w:val="auto"/>
          <w:sz w:val="28"/>
          <w:szCs w:val="28"/>
        </w:rPr>
        <w:tab/>
      </w:r>
      <w:r>
        <w:rPr>
          <w:color w:val="auto"/>
          <w:sz w:val="28"/>
          <w:szCs w:val="28"/>
        </w:rPr>
        <w:fldChar w:fldCharType="begin"/>
      </w:r>
      <w:r>
        <w:rPr>
          <w:color w:val="auto"/>
          <w:sz w:val="28"/>
          <w:szCs w:val="28"/>
        </w:rPr>
        <w:instrText xml:space="preserve"> PAGEREF _Toc7404 \h </w:instrText>
      </w:r>
      <w:r>
        <w:rPr>
          <w:color w:val="auto"/>
          <w:sz w:val="28"/>
          <w:szCs w:val="28"/>
        </w:rPr>
        <w:fldChar w:fldCharType="separate"/>
      </w:r>
      <w:r>
        <w:rPr>
          <w:color w:val="auto"/>
          <w:sz w:val="28"/>
          <w:szCs w:val="28"/>
        </w:rPr>
        <w:t>70</w:t>
      </w:r>
      <w:r>
        <w:rPr>
          <w:color w:val="auto"/>
          <w:sz w:val="28"/>
          <w:szCs w:val="28"/>
        </w:rPr>
        <w:fldChar w:fldCharType="end"/>
      </w:r>
      <w:r>
        <w:rPr>
          <w:color w:val="auto"/>
          <w:sz w:val="28"/>
          <w:szCs w:val="28"/>
        </w:rPr>
        <w:fldChar w:fldCharType="end"/>
      </w:r>
    </w:p>
    <w:p w14:paraId="48A9AAB9">
      <w:pPr>
        <w:pStyle w:val="23"/>
        <w:tabs>
          <w:tab w:val="right" w:leader="dot" w:pos="8844"/>
        </w:tabs>
        <w:spacing w:line="360" w:lineRule="auto"/>
        <w:rPr>
          <w:color w:val="auto"/>
          <w:sz w:val="28"/>
          <w:szCs w:val="28"/>
        </w:rPr>
      </w:pPr>
      <w:r>
        <w:rPr>
          <w:color w:val="auto"/>
        </w:rPr>
        <w:fldChar w:fldCharType="begin"/>
      </w:r>
      <w:r>
        <w:rPr>
          <w:color w:val="auto"/>
        </w:rPr>
        <w:instrText xml:space="preserve"> HYPERLINK \l "_Toc6112" </w:instrText>
      </w:r>
      <w:r>
        <w:rPr>
          <w:color w:val="auto"/>
        </w:rPr>
        <w:fldChar w:fldCharType="separate"/>
      </w:r>
      <w:r>
        <w:rPr>
          <w:bCs/>
          <w:snapToGrid w:val="0"/>
          <w:color w:val="auto"/>
          <w:sz w:val="28"/>
          <w:szCs w:val="28"/>
        </w:rPr>
        <w:t>四、主要环境影响和保护措施</w:t>
      </w:r>
      <w:r>
        <w:rPr>
          <w:color w:val="auto"/>
          <w:sz w:val="28"/>
          <w:szCs w:val="28"/>
        </w:rPr>
        <w:tab/>
      </w:r>
      <w:r>
        <w:rPr>
          <w:color w:val="auto"/>
          <w:sz w:val="28"/>
          <w:szCs w:val="28"/>
        </w:rPr>
        <w:fldChar w:fldCharType="begin"/>
      </w:r>
      <w:r>
        <w:rPr>
          <w:color w:val="auto"/>
          <w:sz w:val="28"/>
          <w:szCs w:val="28"/>
        </w:rPr>
        <w:instrText xml:space="preserve"> PAGEREF _Toc6112 \h </w:instrText>
      </w:r>
      <w:r>
        <w:rPr>
          <w:color w:val="auto"/>
          <w:sz w:val="28"/>
          <w:szCs w:val="28"/>
        </w:rPr>
        <w:fldChar w:fldCharType="separate"/>
      </w:r>
      <w:r>
        <w:rPr>
          <w:color w:val="auto"/>
          <w:sz w:val="28"/>
          <w:szCs w:val="28"/>
        </w:rPr>
        <w:t>78</w:t>
      </w:r>
      <w:r>
        <w:rPr>
          <w:color w:val="auto"/>
          <w:sz w:val="28"/>
          <w:szCs w:val="28"/>
        </w:rPr>
        <w:fldChar w:fldCharType="end"/>
      </w:r>
      <w:r>
        <w:rPr>
          <w:color w:val="auto"/>
          <w:sz w:val="28"/>
          <w:szCs w:val="28"/>
        </w:rPr>
        <w:fldChar w:fldCharType="end"/>
      </w:r>
    </w:p>
    <w:p w14:paraId="38FF4C08">
      <w:pPr>
        <w:pStyle w:val="23"/>
        <w:tabs>
          <w:tab w:val="right" w:leader="dot" w:pos="8844"/>
        </w:tabs>
        <w:spacing w:line="360" w:lineRule="auto"/>
        <w:rPr>
          <w:color w:val="auto"/>
          <w:sz w:val="28"/>
          <w:szCs w:val="28"/>
        </w:rPr>
      </w:pPr>
      <w:r>
        <w:rPr>
          <w:color w:val="auto"/>
        </w:rPr>
        <w:fldChar w:fldCharType="begin"/>
      </w:r>
      <w:r>
        <w:rPr>
          <w:color w:val="auto"/>
        </w:rPr>
        <w:instrText xml:space="preserve"> HYPERLINK \l "_Toc6939" </w:instrText>
      </w:r>
      <w:r>
        <w:rPr>
          <w:color w:val="auto"/>
        </w:rPr>
        <w:fldChar w:fldCharType="separate"/>
      </w:r>
      <w:r>
        <w:rPr>
          <w:bCs/>
          <w:snapToGrid w:val="0"/>
          <w:color w:val="auto"/>
          <w:sz w:val="28"/>
          <w:szCs w:val="28"/>
        </w:rPr>
        <w:t>五、环境保护措施监督检查清单</w:t>
      </w:r>
      <w:r>
        <w:rPr>
          <w:color w:val="auto"/>
          <w:sz w:val="28"/>
          <w:szCs w:val="28"/>
        </w:rPr>
        <w:tab/>
      </w:r>
      <w:r>
        <w:rPr>
          <w:color w:val="auto"/>
          <w:sz w:val="28"/>
          <w:szCs w:val="28"/>
        </w:rPr>
        <w:fldChar w:fldCharType="begin"/>
      </w:r>
      <w:r>
        <w:rPr>
          <w:color w:val="auto"/>
          <w:sz w:val="28"/>
          <w:szCs w:val="28"/>
        </w:rPr>
        <w:instrText xml:space="preserve"> PAGEREF _Toc6939 \h </w:instrText>
      </w:r>
      <w:r>
        <w:rPr>
          <w:color w:val="auto"/>
          <w:sz w:val="28"/>
          <w:szCs w:val="28"/>
        </w:rPr>
        <w:fldChar w:fldCharType="separate"/>
      </w:r>
      <w:r>
        <w:rPr>
          <w:color w:val="auto"/>
          <w:sz w:val="28"/>
          <w:szCs w:val="28"/>
        </w:rPr>
        <w:t>133</w:t>
      </w:r>
      <w:r>
        <w:rPr>
          <w:color w:val="auto"/>
          <w:sz w:val="28"/>
          <w:szCs w:val="28"/>
        </w:rPr>
        <w:fldChar w:fldCharType="end"/>
      </w:r>
      <w:r>
        <w:rPr>
          <w:color w:val="auto"/>
          <w:sz w:val="28"/>
          <w:szCs w:val="28"/>
        </w:rPr>
        <w:fldChar w:fldCharType="end"/>
      </w:r>
    </w:p>
    <w:p w14:paraId="2F4E73D6">
      <w:pPr>
        <w:pStyle w:val="23"/>
        <w:tabs>
          <w:tab w:val="right" w:leader="dot" w:pos="8844"/>
        </w:tabs>
        <w:spacing w:line="360" w:lineRule="auto"/>
        <w:rPr>
          <w:color w:val="auto"/>
          <w:sz w:val="28"/>
          <w:szCs w:val="28"/>
        </w:rPr>
      </w:pPr>
      <w:r>
        <w:rPr>
          <w:color w:val="auto"/>
        </w:rPr>
        <w:fldChar w:fldCharType="begin"/>
      </w:r>
      <w:r>
        <w:rPr>
          <w:color w:val="auto"/>
        </w:rPr>
        <w:instrText xml:space="preserve"> HYPERLINK \l "_Toc24787" </w:instrText>
      </w:r>
      <w:r>
        <w:rPr>
          <w:color w:val="auto"/>
        </w:rPr>
        <w:fldChar w:fldCharType="separate"/>
      </w:r>
      <w:r>
        <w:rPr>
          <w:bCs/>
          <w:snapToGrid w:val="0"/>
          <w:color w:val="auto"/>
          <w:sz w:val="28"/>
          <w:szCs w:val="28"/>
        </w:rPr>
        <w:t>六、结论</w:t>
      </w:r>
      <w:r>
        <w:rPr>
          <w:color w:val="auto"/>
          <w:sz w:val="28"/>
          <w:szCs w:val="28"/>
        </w:rPr>
        <w:tab/>
      </w:r>
      <w:r>
        <w:rPr>
          <w:color w:val="auto"/>
          <w:sz w:val="28"/>
          <w:szCs w:val="28"/>
        </w:rPr>
        <w:fldChar w:fldCharType="begin"/>
      </w:r>
      <w:r>
        <w:rPr>
          <w:color w:val="auto"/>
          <w:sz w:val="28"/>
          <w:szCs w:val="28"/>
        </w:rPr>
        <w:instrText xml:space="preserve"> PAGEREF _Toc24787 \h </w:instrText>
      </w:r>
      <w:r>
        <w:rPr>
          <w:color w:val="auto"/>
          <w:sz w:val="28"/>
          <w:szCs w:val="28"/>
        </w:rPr>
        <w:fldChar w:fldCharType="separate"/>
      </w:r>
      <w:r>
        <w:rPr>
          <w:color w:val="auto"/>
          <w:sz w:val="28"/>
          <w:szCs w:val="28"/>
        </w:rPr>
        <w:t>142</w:t>
      </w:r>
      <w:r>
        <w:rPr>
          <w:color w:val="auto"/>
          <w:sz w:val="28"/>
          <w:szCs w:val="28"/>
        </w:rPr>
        <w:fldChar w:fldCharType="end"/>
      </w:r>
      <w:r>
        <w:rPr>
          <w:color w:val="auto"/>
          <w:sz w:val="28"/>
          <w:szCs w:val="28"/>
        </w:rPr>
        <w:fldChar w:fldCharType="end"/>
      </w:r>
    </w:p>
    <w:p w14:paraId="7E19A5BD">
      <w:pPr>
        <w:pStyle w:val="23"/>
        <w:tabs>
          <w:tab w:val="right" w:leader="dot" w:pos="8844"/>
        </w:tabs>
        <w:spacing w:line="360" w:lineRule="auto"/>
        <w:rPr>
          <w:color w:val="auto"/>
          <w:sz w:val="28"/>
          <w:szCs w:val="28"/>
        </w:rPr>
      </w:pPr>
      <w:r>
        <w:rPr>
          <w:color w:val="auto"/>
        </w:rPr>
        <w:fldChar w:fldCharType="begin"/>
      </w:r>
      <w:r>
        <w:rPr>
          <w:color w:val="auto"/>
        </w:rPr>
        <w:instrText xml:space="preserve"> HYPERLINK \l "_Toc24156" </w:instrText>
      </w:r>
      <w:r>
        <w:rPr>
          <w:color w:val="auto"/>
        </w:rPr>
        <w:fldChar w:fldCharType="separate"/>
      </w:r>
      <w:r>
        <w:rPr>
          <w:bCs/>
          <w:snapToGrid w:val="0"/>
          <w:color w:val="auto"/>
          <w:sz w:val="28"/>
          <w:szCs w:val="28"/>
        </w:rPr>
        <w:t>附表</w:t>
      </w:r>
      <w:r>
        <w:rPr>
          <w:color w:val="auto"/>
          <w:sz w:val="28"/>
          <w:szCs w:val="28"/>
        </w:rPr>
        <w:tab/>
      </w:r>
      <w:r>
        <w:rPr>
          <w:color w:val="auto"/>
          <w:sz w:val="28"/>
          <w:szCs w:val="28"/>
        </w:rPr>
        <w:fldChar w:fldCharType="begin"/>
      </w:r>
      <w:r>
        <w:rPr>
          <w:color w:val="auto"/>
          <w:sz w:val="28"/>
          <w:szCs w:val="28"/>
        </w:rPr>
        <w:instrText xml:space="preserve"> PAGEREF _Toc24156 \h </w:instrText>
      </w:r>
      <w:r>
        <w:rPr>
          <w:color w:val="auto"/>
          <w:sz w:val="28"/>
          <w:szCs w:val="28"/>
        </w:rPr>
        <w:fldChar w:fldCharType="separate"/>
      </w:r>
      <w:r>
        <w:rPr>
          <w:color w:val="auto"/>
          <w:sz w:val="28"/>
          <w:szCs w:val="28"/>
        </w:rPr>
        <w:t>143</w:t>
      </w:r>
      <w:r>
        <w:rPr>
          <w:color w:val="auto"/>
          <w:sz w:val="28"/>
          <w:szCs w:val="28"/>
        </w:rPr>
        <w:fldChar w:fldCharType="end"/>
      </w:r>
      <w:r>
        <w:rPr>
          <w:color w:val="auto"/>
          <w:sz w:val="28"/>
          <w:szCs w:val="28"/>
        </w:rPr>
        <w:fldChar w:fldCharType="end"/>
      </w:r>
    </w:p>
    <w:p w14:paraId="56D4EE5B">
      <w:pPr>
        <w:pStyle w:val="27"/>
        <w:adjustRightInd w:val="0"/>
        <w:snapToGrid w:val="0"/>
        <w:spacing w:before="0" w:beforeAutospacing="0" w:after="0" w:afterAutospacing="0" w:line="360" w:lineRule="auto"/>
        <w:jc w:val="both"/>
        <w:rPr>
          <w:rFonts w:ascii="Times New Roman" w:hAnsi="Times New Roman"/>
          <w:bCs/>
          <w:color w:val="auto"/>
          <w:sz w:val="28"/>
          <w:szCs w:val="28"/>
        </w:rPr>
      </w:pPr>
      <w:r>
        <w:rPr>
          <w:rFonts w:ascii="Times New Roman" w:hAnsi="Times New Roman"/>
          <w:bCs/>
          <w:color w:val="auto"/>
          <w:sz w:val="28"/>
          <w:szCs w:val="28"/>
        </w:rPr>
        <w:fldChar w:fldCharType="end"/>
      </w:r>
    </w:p>
    <w:p w14:paraId="7292CE03">
      <w:pPr>
        <w:pStyle w:val="27"/>
        <w:adjustRightInd w:val="0"/>
        <w:snapToGrid w:val="0"/>
        <w:spacing w:before="0" w:beforeAutospacing="0" w:after="0" w:afterAutospacing="0" w:line="360" w:lineRule="auto"/>
        <w:jc w:val="both"/>
        <w:rPr>
          <w:rFonts w:ascii="Times New Roman" w:hAnsi="Times New Roman"/>
          <w:b/>
          <w:color w:val="auto"/>
          <w:szCs w:val="24"/>
        </w:rPr>
      </w:pPr>
      <w:r>
        <w:rPr>
          <w:rFonts w:ascii="Times New Roman" w:hAnsi="Times New Roman"/>
          <w:b/>
          <w:color w:val="auto"/>
          <w:szCs w:val="24"/>
        </w:rPr>
        <w:t>附件：</w:t>
      </w:r>
    </w:p>
    <w:p w14:paraId="4BCF4DC7">
      <w:pPr>
        <w:pStyle w:val="27"/>
        <w:adjustRightInd w:val="0"/>
        <w:snapToGrid w:val="0"/>
        <w:spacing w:before="0" w:beforeAutospacing="0" w:after="0" w:afterAutospacing="0" w:line="360" w:lineRule="auto"/>
        <w:ind w:firstLine="480" w:firstLineChars="200"/>
        <w:jc w:val="both"/>
        <w:rPr>
          <w:rFonts w:ascii="Times New Roman" w:hAnsi="Times New Roman"/>
          <w:bCs/>
          <w:color w:val="auto"/>
          <w:szCs w:val="24"/>
        </w:rPr>
      </w:pPr>
      <w:r>
        <w:rPr>
          <w:rFonts w:ascii="Times New Roman" w:hAnsi="Times New Roman"/>
          <w:bCs/>
          <w:color w:val="auto"/>
          <w:szCs w:val="24"/>
        </w:rPr>
        <w:t>附件1 委托书；</w:t>
      </w:r>
    </w:p>
    <w:p w14:paraId="23692699">
      <w:pPr>
        <w:widowControl/>
        <w:adjustRightInd w:val="0"/>
        <w:snapToGrid w:val="0"/>
        <w:spacing w:line="360" w:lineRule="auto"/>
        <w:ind w:firstLine="480" w:firstLineChars="200"/>
        <w:jc w:val="left"/>
        <w:rPr>
          <w:bCs/>
          <w:color w:val="auto"/>
          <w:kern w:val="0"/>
          <w:sz w:val="24"/>
        </w:rPr>
      </w:pPr>
      <w:r>
        <w:rPr>
          <w:bCs/>
          <w:color w:val="auto"/>
          <w:kern w:val="0"/>
          <w:sz w:val="24"/>
        </w:rPr>
        <w:t xml:space="preserve">附件2 </w:t>
      </w:r>
      <w:r>
        <w:rPr>
          <w:rFonts w:hint="eastAsia"/>
          <w:bCs/>
          <w:color w:val="auto"/>
          <w:kern w:val="0"/>
          <w:sz w:val="24"/>
          <w:lang w:val="en-US" w:eastAsia="zh-CN"/>
        </w:rPr>
        <w:t>营业执照</w:t>
      </w:r>
      <w:r>
        <w:rPr>
          <w:rFonts w:hint="eastAsia"/>
          <w:bCs/>
          <w:color w:val="auto"/>
          <w:kern w:val="0"/>
          <w:sz w:val="24"/>
        </w:rPr>
        <w:t>；</w:t>
      </w:r>
    </w:p>
    <w:p w14:paraId="70A030E9">
      <w:pPr>
        <w:pStyle w:val="27"/>
        <w:adjustRightInd w:val="0"/>
        <w:snapToGrid w:val="0"/>
        <w:spacing w:before="0" w:beforeAutospacing="0" w:after="0" w:afterAutospacing="0" w:line="360" w:lineRule="auto"/>
        <w:ind w:firstLine="480" w:firstLineChars="200"/>
        <w:jc w:val="both"/>
        <w:rPr>
          <w:rFonts w:ascii="Times New Roman" w:hAnsi="Times New Roman"/>
          <w:bCs/>
          <w:color w:val="auto"/>
          <w:szCs w:val="24"/>
        </w:rPr>
      </w:pPr>
      <w:r>
        <w:rPr>
          <w:rFonts w:ascii="Times New Roman" w:hAnsi="Times New Roman"/>
          <w:bCs/>
          <w:color w:val="auto"/>
          <w:szCs w:val="24"/>
        </w:rPr>
        <w:t xml:space="preserve">附件3 </w:t>
      </w:r>
      <w:r>
        <w:rPr>
          <w:rFonts w:hint="eastAsia" w:ascii="Times New Roman" w:hAnsi="Times New Roman"/>
          <w:bCs/>
          <w:color w:val="auto"/>
          <w:szCs w:val="24"/>
          <w:lang w:val="en-US" w:eastAsia="zh-CN"/>
        </w:rPr>
        <w:t>法人身份证复印件</w:t>
      </w:r>
      <w:r>
        <w:rPr>
          <w:rFonts w:hint="eastAsia" w:ascii="Times New Roman" w:hAnsi="Times New Roman"/>
          <w:bCs/>
          <w:color w:val="auto"/>
          <w:szCs w:val="24"/>
        </w:rPr>
        <w:t>；</w:t>
      </w:r>
    </w:p>
    <w:p w14:paraId="763EED07">
      <w:pPr>
        <w:pStyle w:val="27"/>
        <w:adjustRightInd w:val="0"/>
        <w:snapToGrid w:val="0"/>
        <w:spacing w:before="0" w:beforeAutospacing="0" w:after="0" w:afterAutospacing="0" w:line="360" w:lineRule="auto"/>
        <w:ind w:firstLine="480" w:firstLineChars="200"/>
        <w:jc w:val="both"/>
        <w:rPr>
          <w:rFonts w:ascii="Times New Roman" w:hAnsi="Times New Roman"/>
          <w:bCs/>
          <w:color w:val="auto"/>
          <w:szCs w:val="24"/>
        </w:rPr>
      </w:pPr>
      <w:r>
        <w:rPr>
          <w:rFonts w:ascii="Times New Roman" w:hAnsi="Times New Roman"/>
          <w:bCs/>
          <w:color w:val="auto"/>
          <w:szCs w:val="24"/>
        </w:rPr>
        <w:t xml:space="preserve">附件4 </w:t>
      </w:r>
      <w:r>
        <w:rPr>
          <w:rFonts w:hint="eastAsia" w:ascii="Times New Roman" w:hAnsi="Times New Roman"/>
          <w:bCs/>
          <w:color w:val="auto"/>
          <w:szCs w:val="24"/>
          <w:lang w:val="en-US" w:eastAsia="zh-CN"/>
        </w:rPr>
        <w:t>土地使用证</w:t>
      </w:r>
      <w:r>
        <w:rPr>
          <w:rFonts w:hint="eastAsia" w:ascii="Times New Roman" w:hAnsi="Times New Roman"/>
          <w:bCs/>
          <w:color w:val="auto"/>
          <w:szCs w:val="24"/>
        </w:rPr>
        <w:t>；</w:t>
      </w:r>
    </w:p>
    <w:p w14:paraId="6B8AC943">
      <w:pPr>
        <w:pStyle w:val="27"/>
        <w:adjustRightInd w:val="0"/>
        <w:snapToGrid w:val="0"/>
        <w:spacing w:before="0" w:beforeAutospacing="0" w:after="0" w:afterAutospacing="0" w:line="360" w:lineRule="auto"/>
        <w:ind w:firstLine="480" w:firstLineChars="200"/>
        <w:jc w:val="both"/>
        <w:rPr>
          <w:rFonts w:ascii="Times New Roman" w:hAnsi="Times New Roman"/>
          <w:bCs/>
          <w:color w:val="auto"/>
          <w:szCs w:val="24"/>
        </w:rPr>
      </w:pPr>
      <w:r>
        <w:rPr>
          <w:rFonts w:ascii="Times New Roman" w:hAnsi="Times New Roman"/>
          <w:bCs/>
          <w:color w:val="auto"/>
          <w:szCs w:val="24"/>
        </w:rPr>
        <w:t xml:space="preserve">附件5 </w:t>
      </w:r>
      <w:r>
        <w:rPr>
          <w:rFonts w:hint="eastAsia" w:ascii="Times New Roman" w:hAnsi="Times New Roman"/>
          <w:bCs/>
          <w:color w:val="auto"/>
          <w:szCs w:val="24"/>
          <w:lang w:val="en-US" w:eastAsia="zh-CN"/>
        </w:rPr>
        <w:t>租赁合</w:t>
      </w:r>
      <w:r>
        <w:rPr>
          <w:rFonts w:ascii="Times New Roman" w:hAnsi="Times New Roman"/>
          <w:bCs/>
          <w:color w:val="auto"/>
          <w:szCs w:val="24"/>
        </w:rPr>
        <w:t>同</w:t>
      </w:r>
      <w:r>
        <w:rPr>
          <w:rFonts w:hint="eastAsia" w:ascii="Times New Roman" w:hAnsi="Times New Roman"/>
          <w:bCs/>
          <w:color w:val="auto"/>
          <w:szCs w:val="24"/>
        </w:rPr>
        <w:t>；</w:t>
      </w:r>
    </w:p>
    <w:p w14:paraId="2C645BA1">
      <w:pPr>
        <w:pStyle w:val="27"/>
        <w:adjustRightInd w:val="0"/>
        <w:snapToGrid w:val="0"/>
        <w:spacing w:before="0" w:beforeAutospacing="0" w:after="0" w:afterAutospacing="0" w:line="360" w:lineRule="auto"/>
        <w:ind w:firstLine="480" w:firstLineChars="200"/>
        <w:jc w:val="both"/>
        <w:rPr>
          <w:rFonts w:ascii="Times New Roman" w:hAnsi="Times New Roman"/>
          <w:bCs/>
          <w:color w:val="auto"/>
          <w:szCs w:val="24"/>
          <w:highlight w:val="none"/>
        </w:rPr>
      </w:pPr>
      <w:r>
        <w:rPr>
          <w:rFonts w:ascii="Times New Roman" w:hAnsi="Times New Roman"/>
          <w:bCs/>
          <w:color w:val="auto"/>
          <w:szCs w:val="24"/>
          <w:highlight w:val="none"/>
        </w:rPr>
        <w:t xml:space="preserve">附件6 </w:t>
      </w:r>
      <w:r>
        <w:rPr>
          <w:rFonts w:hint="eastAsia" w:ascii="Times New Roman" w:hAnsi="Times New Roman"/>
          <w:bCs/>
          <w:color w:val="auto"/>
          <w:szCs w:val="24"/>
          <w:highlight w:val="none"/>
        </w:rPr>
        <w:t>云南省固定资产投资项目备案证；</w:t>
      </w:r>
    </w:p>
    <w:p w14:paraId="691412AB">
      <w:pPr>
        <w:pStyle w:val="27"/>
        <w:adjustRightInd w:val="0"/>
        <w:snapToGrid w:val="0"/>
        <w:spacing w:before="0" w:beforeAutospacing="0" w:after="0" w:afterAutospacing="0" w:line="360" w:lineRule="auto"/>
        <w:ind w:firstLine="480" w:firstLineChars="200"/>
        <w:jc w:val="both"/>
        <w:rPr>
          <w:rFonts w:ascii="Times New Roman" w:hAnsi="Times New Roman"/>
          <w:bCs/>
          <w:color w:val="auto"/>
          <w:szCs w:val="24"/>
          <w:highlight w:val="none"/>
        </w:rPr>
      </w:pPr>
      <w:r>
        <w:rPr>
          <w:rFonts w:ascii="Times New Roman" w:hAnsi="Times New Roman"/>
          <w:bCs/>
          <w:color w:val="auto"/>
          <w:szCs w:val="24"/>
          <w:highlight w:val="none"/>
        </w:rPr>
        <w:t xml:space="preserve">附件7 </w:t>
      </w:r>
      <w:r>
        <w:rPr>
          <w:rFonts w:hint="eastAsia" w:ascii="Times New Roman" w:hAnsi="Times New Roman"/>
          <w:bCs/>
          <w:color w:val="auto"/>
          <w:szCs w:val="24"/>
          <w:highlight w:val="none"/>
          <w:lang w:val="en-US" w:eastAsia="zh-CN"/>
        </w:rPr>
        <w:t>入园证明</w:t>
      </w:r>
      <w:r>
        <w:rPr>
          <w:rFonts w:hint="eastAsia" w:ascii="Times New Roman" w:hAnsi="Times New Roman"/>
          <w:bCs/>
          <w:color w:val="auto"/>
          <w:szCs w:val="24"/>
          <w:highlight w:val="none"/>
        </w:rPr>
        <w:t>；</w:t>
      </w:r>
    </w:p>
    <w:p w14:paraId="21B552BA">
      <w:pPr>
        <w:pStyle w:val="27"/>
        <w:adjustRightInd w:val="0"/>
        <w:snapToGrid w:val="0"/>
        <w:spacing w:before="0" w:beforeAutospacing="0" w:after="0" w:afterAutospacing="0" w:line="360" w:lineRule="auto"/>
        <w:ind w:firstLine="480" w:firstLineChars="200"/>
        <w:jc w:val="both"/>
        <w:rPr>
          <w:rFonts w:ascii="Times New Roman" w:hAnsi="Times New Roman"/>
          <w:bCs/>
          <w:color w:val="auto"/>
          <w:szCs w:val="24"/>
        </w:rPr>
      </w:pPr>
      <w:r>
        <w:rPr>
          <w:rFonts w:ascii="Times New Roman" w:hAnsi="Times New Roman"/>
          <w:bCs/>
          <w:color w:val="auto"/>
          <w:szCs w:val="24"/>
        </w:rPr>
        <w:t xml:space="preserve">附件8 </w:t>
      </w:r>
      <w:r>
        <w:rPr>
          <w:rFonts w:hint="eastAsia" w:ascii="Times New Roman" w:hAnsi="Times New Roman"/>
          <w:bCs/>
          <w:color w:val="auto"/>
          <w:szCs w:val="24"/>
          <w:lang w:val="en-US" w:eastAsia="zh-CN"/>
        </w:rPr>
        <w:t>项目查询“三区三线”的情况说明</w:t>
      </w:r>
      <w:r>
        <w:rPr>
          <w:rFonts w:hint="eastAsia" w:ascii="Times New Roman" w:hAnsi="Times New Roman"/>
          <w:bCs/>
          <w:color w:val="auto"/>
          <w:szCs w:val="24"/>
        </w:rPr>
        <w:t>；</w:t>
      </w:r>
    </w:p>
    <w:p w14:paraId="5EDBAD3F">
      <w:pPr>
        <w:pStyle w:val="27"/>
        <w:adjustRightInd w:val="0"/>
        <w:snapToGrid w:val="0"/>
        <w:spacing w:before="0" w:beforeAutospacing="0" w:after="0" w:afterAutospacing="0" w:line="360" w:lineRule="auto"/>
        <w:ind w:firstLine="480" w:firstLineChars="200"/>
        <w:jc w:val="both"/>
        <w:rPr>
          <w:rFonts w:ascii="Times New Roman" w:hAnsi="Times New Roman"/>
          <w:bCs/>
          <w:color w:val="auto"/>
          <w:szCs w:val="24"/>
        </w:rPr>
      </w:pPr>
      <w:r>
        <w:rPr>
          <w:rFonts w:hint="eastAsia" w:ascii="Times New Roman" w:hAnsi="Times New Roman"/>
          <w:bCs/>
          <w:color w:val="auto"/>
          <w:szCs w:val="24"/>
        </w:rPr>
        <w:t>附件</w:t>
      </w:r>
      <w:r>
        <w:rPr>
          <w:rFonts w:hint="eastAsia" w:ascii="Times New Roman" w:hAnsi="Times New Roman"/>
          <w:bCs/>
          <w:color w:val="auto"/>
          <w:szCs w:val="24"/>
          <w:lang w:val="en-US" w:eastAsia="zh-CN"/>
        </w:rPr>
        <w:t>9</w:t>
      </w:r>
      <w:r>
        <w:rPr>
          <w:rFonts w:hint="eastAsia" w:ascii="Times New Roman" w:hAnsi="Times New Roman"/>
          <w:bCs/>
          <w:color w:val="auto"/>
          <w:szCs w:val="24"/>
        </w:rPr>
        <w:t xml:space="preserve"> 玉溪市生态环境局关于云南澄江产业园区总体规划【修编】（2021-2035）环境影响报告书审查意见的函；</w:t>
      </w:r>
    </w:p>
    <w:p w14:paraId="37B0EA60">
      <w:pPr>
        <w:pStyle w:val="27"/>
        <w:adjustRightInd w:val="0"/>
        <w:snapToGrid w:val="0"/>
        <w:spacing w:before="0" w:beforeAutospacing="0" w:after="0" w:afterAutospacing="0" w:line="360" w:lineRule="auto"/>
        <w:ind w:firstLine="480" w:firstLineChars="200"/>
        <w:jc w:val="both"/>
        <w:rPr>
          <w:rFonts w:hint="eastAsia" w:ascii="Times New Roman" w:hAnsi="Times New Roman"/>
          <w:bCs/>
          <w:color w:val="auto"/>
          <w:szCs w:val="24"/>
        </w:rPr>
      </w:pPr>
      <w:r>
        <w:rPr>
          <w:rFonts w:ascii="Times New Roman" w:hAnsi="Times New Roman"/>
          <w:bCs/>
          <w:color w:val="auto"/>
          <w:szCs w:val="24"/>
        </w:rPr>
        <w:t>附件</w:t>
      </w:r>
      <w:r>
        <w:rPr>
          <w:rFonts w:hint="eastAsia" w:ascii="Times New Roman" w:hAnsi="Times New Roman"/>
          <w:bCs/>
          <w:color w:val="auto"/>
          <w:szCs w:val="24"/>
          <w:lang w:val="en-US" w:eastAsia="zh-CN"/>
        </w:rPr>
        <w:t>10</w:t>
      </w:r>
      <w:r>
        <w:rPr>
          <w:rFonts w:ascii="Times New Roman" w:hAnsi="Times New Roman"/>
          <w:bCs/>
          <w:color w:val="auto"/>
          <w:szCs w:val="24"/>
        </w:rPr>
        <w:t xml:space="preserve"> 项目涉及生态环境管控单元与环境管控详情</w:t>
      </w:r>
      <w:r>
        <w:rPr>
          <w:rFonts w:hint="eastAsia" w:ascii="Times New Roman" w:hAnsi="Times New Roman"/>
          <w:bCs/>
          <w:color w:val="auto"/>
          <w:szCs w:val="24"/>
        </w:rPr>
        <w:t>；</w:t>
      </w:r>
    </w:p>
    <w:p w14:paraId="2A2CCCD9">
      <w:pPr>
        <w:pStyle w:val="27"/>
        <w:adjustRightInd w:val="0"/>
        <w:snapToGrid w:val="0"/>
        <w:spacing w:before="0" w:beforeAutospacing="0" w:after="0" w:afterAutospacing="0" w:line="360" w:lineRule="auto"/>
        <w:ind w:firstLine="480" w:firstLineChars="200"/>
        <w:jc w:val="both"/>
        <w:rPr>
          <w:rFonts w:ascii="Times New Roman" w:hAnsi="Times New Roman"/>
          <w:bCs/>
          <w:color w:val="auto"/>
          <w:szCs w:val="24"/>
        </w:rPr>
      </w:pPr>
      <w:r>
        <w:rPr>
          <w:rFonts w:hint="eastAsia" w:ascii="Times New Roman" w:hAnsi="Times New Roman"/>
          <w:bCs/>
          <w:color w:val="auto"/>
          <w:szCs w:val="24"/>
        </w:rPr>
        <w:t>附件1</w:t>
      </w:r>
      <w:r>
        <w:rPr>
          <w:rFonts w:hint="eastAsia" w:ascii="Times New Roman" w:hAnsi="Times New Roman"/>
          <w:bCs/>
          <w:color w:val="auto"/>
          <w:szCs w:val="24"/>
          <w:lang w:val="en-US" w:eastAsia="zh-CN"/>
        </w:rPr>
        <w:t>1</w:t>
      </w:r>
      <w:r>
        <w:rPr>
          <w:rFonts w:hint="eastAsia" w:ascii="Times New Roman" w:hAnsi="Times New Roman"/>
          <w:bCs/>
          <w:color w:val="auto"/>
          <w:szCs w:val="24"/>
        </w:rPr>
        <w:t xml:space="preserve"> 环评技术服务合同；</w:t>
      </w:r>
    </w:p>
    <w:p w14:paraId="1029D7A8">
      <w:pPr>
        <w:pStyle w:val="27"/>
        <w:adjustRightInd w:val="0"/>
        <w:snapToGrid w:val="0"/>
        <w:spacing w:before="0" w:beforeAutospacing="0" w:after="0" w:afterAutospacing="0" w:line="360" w:lineRule="auto"/>
        <w:ind w:firstLine="480" w:firstLineChars="200"/>
        <w:jc w:val="both"/>
        <w:rPr>
          <w:rFonts w:ascii="Times New Roman" w:hAnsi="Times New Roman"/>
          <w:bCs/>
          <w:color w:val="auto"/>
          <w:szCs w:val="24"/>
        </w:rPr>
      </w:pPr>
      <w:r>
        <w:rPr>
          <w:rFonts w:hint="eastAsia" w:ascii="Times New Roman" w:hAnsi="Times New Roman"/>
          <w:bCs/>
          <w:color w:val="auto"/>
          <w:szCs w:val="24"/>
        </w:rPr>
        <w:t>附件1</w:t>
      </w:r>
      <w:r>
        <w:rPr>
          <w:rFonts w:hint="eastAsia" w:ascii="Times New Roman" w:hAnsi="Times New Roman"/>
          <w:bCs/>
          <w:color w:val="auto"/>
          <w:szCs w:val="24"/>
          <w:lang w:val="en-US" w:eastAsia="zh-CN"/>
        </w:rPr>
        <w:t>2</w:t>
      </w:r>
      <w:r>
        <w:rPr>
          <w:rFonts w:hint="eastAsia" w:ascii="Times New Roman" w:hAnsi="Times New Roman"/>
          <w:bCs/>
          <w:color w:val="auto"/>
          <w:szCs w:val="24"/>
        </w:rPr>
        <w:t xml:space="preserve"> 环评内审表；</w:t>
      </w:r>
    </w:p>
    <w:p w14:paraId="1EC007FA">
      <w:pPr>
        <w:pStyle w:val="27"/>
        <w:adjustRightInd w:val="0"/>
        <w:snapToGrid w:val="0"/>
        <w:spacing w:before="0" w:beforeAutospacing="0" w:after="0" w:afterAutospacing="0" w:line="360" w:lineRule="auto"/>
        <w:ind w:firstLine="480" w:firstLineChars="200"/>
        <w:jc w:val="both"/>
        <w:rPr>
          <w:rFonts w:hint="eastAsia" w:ascii="Times New Roman" w:hAnsi="Times New Roman"/>
          <w:bCs/>
          <w:color w:val="auto"/>
          <w:szCs w:val="24"/>
        </w:rPr>
      </w:pPr>
      <w:r>
        <w:rPr>
          <w:rFonts w:hint="eastAsia" w:ascii="Times New Roman" w:hAnsi="Times New Roman"/>
          <w:bCs/>
          <w:color w:val="auto"/>
          <w:szCs w:val="24"/>
        </w:rPr>
        <w:t>附件1</w:t>
      </w:r>
      <w:r>
        <w:rPr>
          <w:rFonts w:hint="eastAsia" w:ascii="Times New Roman" w:hAnsi="Times New Roman"/>
          <w:bCs/>
          <w:color w:val="auto"/>
          <w:szCs w:val="24"/>
          <w:lang w:val="en-US" w:eastAsia="zh-CN"/>
        </w:rPr>
        <w:t>3</w:t>
      </w:r>
      <w:r>
        <w:rPr>
          <w:rFonts w:hint="eastAsia" w:ascii="Times New Roman" w:hAnsi="Times New Roman"/>
          <w:bCs/>
          <w:color w:val="auto"/>
          <w:szCs w:val="24"/>
        </w:rPr>
        <w:t xml:space="preserve"> 环评进度管理表；</w:t>
      </w:r>
    </w:p>
    <w:p w14:paraId="34F4C9C3">
      <w:pPr>
        <w:pStyle w:val="27"/>
        <w:adjustRightInd w:val="0"/>
        <w:snapToGrid w:val="0"/>
        <w:spacing w:before="0" w:beforeAutospacing="0" w:after="0" w:afterAutospacing="0" w:line="360" w:lineRule="auto"/>
        <w:ind w:firstLine="480" w:firstLineChars="200"/>
        <w:jc w:val="both"/>
        <w:rPr>
          <w:rFonts w:hint="eastAsia" w:ascii="Times New Roman" w:hAnsi="Times New Roman"/>
          <w:bCs/>
          <w:color w:val="auto"/>
          <w:szCs w:val="24"/>
          <w:lang w:eastAsia="zh-CN"/>
        </w:rPr>
      </w:pPr>
      <w:r>
        <w:rPr>
          <w:rFonts w:hint="eastAsia" w:ascii="Times New Roman" w:hAnsi="Times New Roman"/>
          <w:bCs/>
          <w:color w:val="auto"/>
          <w:szCs w:val="24"/>
        </w:rPr>
        <w:t>附件14 引用的环境空气现状监测报告</w:t>
      </w:r>
      <w:r>
        <w:rPr>
          <w:rFonts w:hint="eastAsia" w:ascii="Times New Roman" w:hAnsi="Times New Roman"/>
          <w:bCs/>
          <w:color w:val="auto"/>
          <w:szCs w:val="24"/>
          <w:lang w:eastAsia="zh-CN"/>
        </w:rPr>
        <w:t>；</w:t>
      </w:r>
    </w:p>
    <w:p w14:paraId="5105A88D">
      <w:pPr>
        <w:pStyle w:val="27"/>
        <w:adjustRightInd w:val="0"/>
        <w:snapToGrid w:val="0"/>
        <w:spacing w:before="0" w:beforeAutospacing="0" w:after="0" w:afterAutospacing="0" w:line="360" w:lineRule="auto"/>
        <w:ind w:firstLine="480" w:firstLineChars="200"/>
        <w:jc w:val="both"/>
        <w:rPr>
          <w:rFonts w:hint="eastAsia" w:ascii="Times New Roman" w:hAnsi="Times New Roman"/>
          <w:bCs/>
          <w:color w:val="auto"/>
          <w:szCs w:val="24"/>
          <w:lang w:eastAsia="zh-CN"/>
        </w:rPr>
      </w:pPr>
      <w:r>
        <w:rPr>
          <w:rFonts w:hint="eastAsia" w:ascii="Times New Roman" w:hAnsi="Times New Roman"/>
          <w:bCs/>
          <w:color w:val="auto"/>
          <w:szCs w:val="24"/>
          <w:lang w:val="en-US" w:eastAsia="zh-CN"/>
        </w:rPr>
        <w:t xml:space="preserve">附件15 </w:t>
      </w:r>
      <w:r>
        <w:rPr>
          <w:rFonts w:hint="eastAsia" w:ascii="Times New Roman" w:hAnsi="Times New Roman"/>
          <w:bCs/>
          <w:color w:val="auto"/>
          <w:szCs w:val="24"/>
          <w:lang w:eastAsia="zh-CN"/>
        </w:rPr>
        <w:t>玉溪市人民政府关于云南澄江产业园区总体规划修编（2021—2035年）的批复；</w:t>
      </w:r>
    </w:p>
    <w:p w14:paraId="1B5150FD">
      <w:pPr>
        <w:pStyle w:val="27"/>
        <w:adjustRightInd w:val="0"/>
        <w:snapToGrid w:val="0"/>
        <w:spacing w:before="0" w:beforeAutospacing="0" w:after="0" w:afterAutospacing="0" w:line="360" w:lineRule="auto"/>
        <w:ind w:firstLine="480" w:firstLineChars="200"/>
        <w:jc w:val="both"/>
        <w:rPr>
          <w:rFonts w:hint="eastAsia" w:ascii="Times New Roman" w:hAnsi="Times New Roman"/>
          <w:bCs/>
          <w:color w:val="auto"/>
          <w:szCs w:val="24"/>
          <w:lang w:val="en-US" w:eastAsia="zh-CN"/>
        </w:rPr>
      </w:pPr>
      <w:r>
        <w:rPr>
          <w:rFonts w:hint="eastAsia" w:ascii="Times New Roman" w:hAnsi="Times New Roman"/>
          <w:bCs/>
          <w:color w:val="auto"/>
          <w:szCs w:val="24"/>
          <w:lang w:val="en-US" w:eastAsia="zh-CN"/>
        </w:rPr>
        <w:t>附件16 依托的污水处理站废水水质检测报告；</w:t>
      </w:r>
    </w:p>
    <w:p w14:paraId="0BE5D599">
      <w:pPr>
        <w:pStyle w:val="27"/>
        <w:adjustRightInd w:val="0"/>
        <w:snapToGrid w:val="0"/>
        <w:spacing w:before="0" w:beforeAutospacing="0" w:after="0" w:afterAutospacing="0" w:line="360" w:lineRule="auto"/>
        <w:ind w:firstLine="480" w:firstLineChars="200"/>
        <w:jc w:val="both"/>
        <w:rPr>
          <w:rFonts w:hint="default" w:ascii="Times New Roman" w:hAnsi="Times New Roman"/>
          <w:bCs/>
          <w:color w:val="auto"/>
          <w:szCs w:val="24"/>
          <w:lang w:val="en-US" w:eastAsia="zh-CN"/>
        </w:rPr>
      </w:pPr>
      <w:r>
        <w:rPr>
          <w:rFonts w:hint="eastAsia" w:ascii="Times New Roman" w:hAnsi="Times New Roman"/>
          <w:bCs/>
          <w:color w:val="auto"/>
          <w:szCs w:val="24"/>
          <w:lang w:val="en-US" w:eastAsia="zh-CN"/>
        </w:rPr>
        <w:t>附件17 租赁厂房环保手续；</w:t>
      </w:r>
    </w:p>
    <w:p w14:paraId="5FE50444">
      <w:pPr>
        <w:pStyle w:val="27"/>
        <w:adjustRightInd w:val="0"/>
        <w:snapToGrid w:val="0"/>
        <w:spacing w:before="0" w:beforeAutospacing="0" w:after="0" w:afterAutospacing="0" w:line="360" w:lineRule="auto"/>
        <w:ind w:firstLine="480" w:firstLineChars="200"/>
        <w:jc w:val="both"/>
        <w:rPr>
          <w:rFonts w:hint="eastAsia" w:ascii="Times New Roman" w:hAnsi="Times New Roman"/>
          <w:bCs/>
          <w:color w:val="auto"/>
          <w:szCs w:val="24"/>
          <w:lang w:val="en-US" w:eastAsia="zh-CN"/>
        </w:rPr>
      </w:pPr>
      <w:r>
        <w:rPr>
          <w:rFonts w:hint="eastAsia" w:ascii="Times New Roman" w:hAnsi="Times New Roman"/>
          <w:bCs/>
          <w:color w:val="auto"/>
          <w:szCs w:val="24"/>
          <w:lang w:val="en-US" w:eastAsia="zh-CN"/>
        </w:rPr>
        <w:t>附件18承诺书；</w:t>
      </w:r>
    </w:p>
    <w:p w14:paraId="42884AED">
      <w:pPr>
        <w:pStyle w:val="27"/>
        <w:adjustRightInd w:val="0"/>
        <w:snapToGrid w:val="0"/>
        <w:spacing w:before="0" w:beforeAutospacing="0" w:after="0" w:afterAutospacing="0" w:line="360" w:lineRule="auto"/>
        <w:ind w:firstLine="480" w:firstLineChars="200"/>
        <w:jc w:val="both"/>
        <w:rPr>
          <w:rFonts w:hint="eastAsia" w:ascii="Times New Roman" w:hAnsi="Times New Roman"/>
          <w:bCs/>
          <w:color w:val="auto"/>
          <w:szCs w:val="24"/>
          <w:lang w:val="en-US" w:eastAsia="zh-CN"/>
        </w:rPr>
      </w:pPr>
      <w:r>
        <w:rPr>
          <w:rFonts w:hint="eastAsia" w:ascii="Times New Roman" w:hAnsi="Times New Roman"/>
          <w:bCs/>
          <w:color w:val="auto"/>
          <w:szCs w:val="24"/>
          <w:lang w:val="en-US" w:eastAsia="zh-CN"/>
        </w:rPr>
        <w:t>附件19专家评审意见及签到表；</w:t>
      </w:r>
    </w:p>
    <w:p w14:paraId="7B545114">
      <w:pPr>
        <w:pStyle w:val="27"/>
        <w:adjustRightInd w:val="0"/>
        <w:snapToGrid w:val="0"/>
        <w:spacing w:before="0" w:beforeAutospacing="0" w:after="0" w:afterAutospacing="0" w:line="360" w:lineRule="auto"/>
        <w:ind w:firstLine="480" w:firstLineChars="200"/>
        <w:jc w:val="both"/>
        <w:rPr>
          <w:rFonts w:hint="default" w:ascii="Times New Roman" w:hAnsi="Times New Roman"/>
          <w:bCs/>
          <w:color w:val="auto"/>
          <w:szCs w:val="24"/>
          <w:lang w:val="en-US" w:eastAsia="zh-CN"/>
        </w:rPr>
      </w:pPr>
      <w:r>
        <w:rPr>
          <w:rFonts w:hint="eastAsia" w:ascii="Times New Roman" w:hAnsi="Times New Roman"/>
          <w:bCs/>
          <w:color w:val="auto"/>
          <w:szCs w:val="24"/>
          <w:lang w:val="en-US" w:eastAsia="zh-CN"/>
        </w:rPr>
        <w:t>附件20专家意见修改说明。</w:t>
      </w:r>
    </w:p>
    <w:p w14:paraId="2F9E139D">
      <w:pPr>
        <w:spacing w:line="360" w:lineRule="auto"/>
        <w:jc w:val="left"/>
        <w:rPr>
          <w:b/>
          <w:color w:val="auto"/>
          <w:sz w:val="24"/>
        </w:rPr>
      </w:pPr>
    </w:p>
    <w:p w14:paraId="23730A1F">
      <w:pPr>
        <w:spacing w:line="360" w:lineRule="auto"/>
        <w:jc w:val="left"/>
        <w:rPr>
          <w:b/>
          <w:color w:val="auto"/>
          <w:sz w:val="24"/>
        </w:rPr>
      </w:pPr>
      <w:r>
        <w:rPr>
          <w:b/>
          <w:color w:val="auto"/>
          <w:sz w:val="24"/>
        </w:rPr>
        <w:t>附图：</w:t>
      </w:r>
    </w:p>
    <w:p w14:paraId="647323C5">
      <w:pPr>
        <w:spacing w:line="360" w:lineRule="auto"/>
        <w:ind w:firstLine="480" w:firstLineChars="200"/>
        <w:jc w:val="left"/>
        <w:rPr>
          <w:color w:val="auto"/>
          <w:sz w:val="24"/>
        </w:rPr>
      </w:pPr>
      <w:r>
        <w:rPr>
          <w:color w:val="auto"/>
          <w:sz w:val="24"/>
        </w:rPr>
        <w:t>附图1 项目地理位置图</w:t>
      </w:r>
      <w:r>
        <w:rPr>
          <w:rFonts w:hint="eastAsia"/>
          <w:color w:val="auto"/>
          <w:sz w:val="24"/>
        </w:rPr>
        <w:t>；</w:t>
      </w:r>
    </w:p>
    <w:p w14:paraId="5BFAAD5F">
      <w:pPr>
        <w:spacing w:line="360" w:lineRule="auto"/>
        <w:ind w:firstLine="480" w:firstLineChars="200"/>
        <w:jc w:val="left"/>
        <w:rPr>
          <w:color w:val="auto"/>
          <w:sz w:val="24"/>
        </w:rPr>
      </w:pPr>
      <w:r>
        <w:rPr>
          <w:color w:val="auto"/>
          <w:sz w:val="24"/>
        </w:rPr>
        <w:t>附图2 项目区域水系图</w:t>
      </w:r>
      <w:r>
        <w:rPr>
          <w:rFonts w:hint="eastAsia"/>
          <w:color w:val="auto"/>
          <w:sz w:val="24"/>
        </w:rPr>
        <w:t>；</w:t>
      </w:r>
    </w:p>
    <w:p w14:paraId="1AF3B7CA">
      <w:pPr>
        <w:spacing w:line="360" w:lineRule="auto"/>
        <w:ind w:firstLine="480" w:firstLineChars="200"/>
        <w:jc w:val="left"/>
        <w:rPr>
          <w:color w:val="auto"/>
          <w:sz w:val="24"/>
        </w:rPr>
      </w:pPr>
      <w:r>
        <w:rPr>
          <w:color w:val="auto"/>
          <w:sz w:val="24"/>
        </w:rPr>
        <w:t>附图3 项目周边关系图</w:t>
      </w:r>
      <w:r>
        <w:rPr>
          <w:rFonts w:hint="eastAsia"/>
          <w:color w:val="auto"/>
          <w:sz w:val="24"/>
        </w:rPr>
        <w:t>；</w:t>
      </w:r>
    </w:p>
    <w:p w14:paraId="6F4060B4">
      <w:pPr>
        <w:spacing w:line="360" w:lineRule="auto"/>
        <w:ind w:firstLine="480" w:firstLineChars="200"/>
        <w:jc w:val="left"/>
        <w:rPr>
          <w:color w:val="auto"/>
          <w:sz w:val="24"/>
          <w:highlight w:val="none"/>
        </w:rPr>
      </w:pPr>
      <w:r>
        <w:rPr>
          <w:color w:val="auto"/>
          <w:sz w:val="24"/>
          <w:highlight w:val="none"/>
        </w:rPr>
        <w:t xml:space="preserve">附图4 </w:t>
      </w:r>
      <w:r>
        <w:rPr>
          <w:rFonts w:hint="eastAsia"/>
          <w:color w:val="auto"/>
          <w:sz w:val="24"/>
          <w:highlight w:val="none"/>
          <w:lang w:val="en-US" w:eastAsia="zh-CN"/>
        </w:rPr>
        <w:t>项目总平面布置图</w:t>
      </w:r>
      <w:r>
        <w:rPr>
          <w:rFonts w:hint="eastAsia"/>
          <w:color w:val="auto"/>
          <w:sz w:val="24"/>
          <w:highlight w:val="none"/>
        </w:rPr>
        <w:t>；</w:t>
      </w:r>
    </w:p>
    <w:p w14:paraId="79977BC0">
      <w:pPr>
        <w:spacing w:line="360" w:lineRule="auto"/>
        <w:ind w:firstLine="480" w:firstLineChars="200"/>
        <w:jc w:val="left"/>
        <w:rPr>
          <w:rFonts w:ascii="Times New Roman" w:hAnsi="Times New Roman" w:eastAsia="宋体" w:cs="Times New Roman"/>
          <w:color w:val="auto"/>
          <w:sz w:val="24"/>
        </w:rPr>
      </w:pPr>
      <w:r>
        <w:rPr>
          <w:rFonts w:hint="eastAsia"/>
          <w:color w:val="auto"/>
          <w:sz w:val="24"/>
        </w:rPr>
        <w:t>附图5</w:t>
      </w:r>
      <w:r>
        <w:rPr>
          <w:rFonts w:hint="eastAsia"/>
          <w:color w:val="auto"/>
          <w:sz w:val="24"/>
          <w:lang w:val="en-US" w:eastAsia="zh-CN"/>
        </w:rPr>
        <w:t xml:space="preserve"> 项</w:t>
      </w:r>
      <w:r>
        <w:rPr>
          <w:rFonts w:hint="eastAsia" w:ascii="Times New Roman" w:hAnsi="Times New Roman" w:eastAsia="宋体" w:cs="Times New Roman"/>
          <w:color w:val="auto"/>
          <w:sz w:val="24"/>
          <w:lang w:val="en-US" w:eastAsia="zh-CN"/>
        </w:rPr>
        <w:t>目与澄江产业园区提古片区用地规划位置关系图</w:t>
      </w:r>
      <w:r>
        <w:rPr>
          <w:rFonts w:hint="eastAsia" w:ascii="Times New Roman" w:hAnsi="Times New Roman" w:eastAsia="宋体" w:cs="Times New Roman"/>
          <w:color w:val="auto"/>
          <w:sz w:val="24"/>
        </w:rPr>
        <w:t>；</w:t>
      </w:r>
    </w:p>
    <w:p w14:paraId="12868193">
      <w:pPr>
        <w:spacing w:line="360" w:lineRule="auto"/>
        <w:ind w:firstLine="480" w:firstLineChars="200"/>
        <w:jc w:val="left"/>
        <w:rPr>
          <w:rFonts w:ascii="Times New Roman" w:hAnsi="Times New Roman" w:eastAsia="宋体" w:cs="Times New Roman"/>
          <w:color w:val="auto"/>
          <w:sz w:val="24"/>
        </w:rPr>
      </w:pPr>
      <w:r>
        <w:rPr>
          <w:rFonts w:ascii="Times New Roman" w:hAnsi="Times New Roman" w:eastAsia="宋体" w:cs="Times New Roman"/>
          <w:color w:val="auto"/>
          <w:sz w:val="24"/>
        </w:rPr>
        <w:t>附图6 项目涉及生态环境管控单元图示</w:t>
      </w:r>
      <w:r>
        <w:rPr>
          <w:rFonts w:hint="eastAsia" w:ascii="Times New Roman" w:hAnsi="Times New Roman" w:eastAsia="宋体" w:cs="Times New Roman"/>
          <w:color w:val="auto"/>
          <w:sz w:val="24"/>
        </w:rPr>
        <w:t>；</w:t>
      </w:r>
    </w:p>
    <w:p w14:paraId="6B5C24F5">
      <w:pPr>
        <w:spacing w:line="360" w:lineRule="auto"/>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附图7 项目分区防渗图；</w:t>
      </w:r>
    </w:p>
    <w:p w14:paraId="2D106F9C">
      <w:pPr>
        <w:spacing w:line="360" w:lineRule="auto"/>
        <w:ind w:firstLine="480" w:firstLineChars="200"/>
        <w:jc w:val="left"/>
        <w:rPr>
          <w:rFonts w:hint="eastAsia" w:ascii="Times New Roman" w:hAnsi="Times New Roman" w:eastAsia="宋体" w:cs="Times New Roman"/>
          <w:color w:val="auto"/>
          <w:sz w:val="24"/>
          <w:highlight w:val="none"/>
          <w:lang w:eastAsia="zh-CN"/>
        </w:rPr>
      </w:pPr>
      <w:bookmarkStart w:id="5" w:name="_Toc20961"/>
      <w:r>
        <w:rPr>
          <w:rFonts w:hint="eastAsia" w:ascii="Times New Roman" w:hAnsi="Times New Roman" w:eastAsia="宋体" w:cs="Times New Roman"/>
          <w:color w:val="auto"/>
          <w:sz w:val="24"/>
          <w:highlight w:val="none"/>
          <w:lang w:eastAsia="zh-CN"/>
        </w:rPr>
        <w:t>附图8  项目与云南省滇池湖滨生态红线及湖泊生态黄线位置关系图；</w:t>
      </w:r>
    </w:p>
    <w:p w14:paraId="6F24A665">
      <w:pPr>
        <w:spacing w:line="360" w:lineRule="auto"/>
        <w:ind w:firstLine="480" w:firstLineChars="200"/>
        <w:jc w:val="left"/>
        <w:rPr>
          <w:rFonts w:hint="eastAsia" w:ascii="Times New Roman" w:hAnsi="Times New Roman" w:eastAsia="宋体" w:cs="Times New Roman"/>
          <w:color w:val="auto"/>
          <w:sz w:val="24"/>
          <w:lang w:eastAsia="zh-CN"/>
        </w:rPr>
      </w:pPr>
      <w:r>
        <w:rPr>
          <w:rFonts w:hint="eastAsia" w:ascii="Times New Roman" w:hAnsi="Times New Roman" w:eastAsia="宋体" w:cs="Times New Roman"/>
          <w:color w:val="auto"/>
          <w:sz w:val="24"/>
          <w:lang w:eastAsia="zh-CN"/>
        </w:rPr>
        <w:t>附图9 本项目与抚仙湖生态保护核心区生态保护缓冲区绿色发展区划定范围位置关系图；</w:t>
      </w:r>
    </w:p>
    <w:p w14:paraId="7194F5A4">
      <w:pPr>
        <w:spacing w:line="360" w:lineRule="auto"/>
        <w:ind w:firstLine="480" w:firstLineChars="200"/>
        <w:jc w:val="left"/>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附图</w:t>
      </w:r>
      <w:r>
        <w:rPr>
          <w:rFonts w:hint="eastAsia" w:ascii="Times New Roman" w:hAnsi="Times New Roman" w:eastAsia="宋体" w:cs="Times New Roman"/>
          <w:color w:val="auto"/>
          <w:sz w:val="24"/>
          <w:highlight w:val="none"/>
          <w:lang w:val="en-US" w:eastAsia="zh-CN"/>
        </w:rPr>
        <w:t>10</w:t>
      </w:r>
      <w:r>
        <w:rPr>
          <w:rFonts w:hint="eastAsia" w:ascii="Times New Roman" w:hAnsi="Times New Roman" w:eastAsia="宋体" w:cs="Times New Roman"/>
          <w:color w:val="auto"/>
          <w:sz w:val="24"/>
          <w:highlight w:val="none"/>
          <w:lang w:eastAsia="zh-CN"/>
        </w:rPr>
        <w:t xml:space="preserve"> 引用项目大气环境质量现状监测点位图</w:t>
      </w:r>
      <w:r>
        <w:rPr>
          <w:rFonts w:hint="eastAsia" w:cs="Times New Roman"/>
          <w:color w:val="auto"/>
          <w:sz w:val="24"/>
          <w:highlight w:val="none"/>
          <w:lang w:eastAsia="zh-CN"/>
        </w:rPr>
        <w:t>；</w:t>
      </w:r>
    </w:p>
    <w:p w14:paraId="60B8EA79">
      <w:pPr>
        <w:spacing w:line="360" w:lineRule="auto"/>
        <w:ind w:firstLine="480" w:firstLineChars="200"/>
        <w:jc w:val="left"/>
        <w:rPr>
          <w:rFonts w:hint="eastAsia" w:ascii="Times New Roman" w:hAnsi="Times New Roman" w:eastAsia="宋体" w:cs="Times New Roman"/>
          <w:color w:val="auto"/>
          <w:sz w:val="24"/>
          <w:highlight w:val="none"/>
          <w:lang w:eastAsia="zh-CN"/>
        </w:rPr>
        <w:sectPr>
          <w:headerReference r:id="rId6" w:type="default"/>
          <w:footerReference r:id="rId7" w:type="default"/>
          <w:pgSz w:w="11906" w:h="16838"/>
          <w:pgMar w:top="1701" w:right="1531" w:bottom="1701" w:left="1531" w:header="851" w:footer="1077" w:gutter="0"/>
          <w:pgNumType w:start="1"/>
          <w:cols w:space="720" w:num="1"/>
          <w:docGrid w:linePitch="312" w:charSpace="0"/>
        </w:sectPr>
      </w:pPr>
      <w:r>
        <w:rPr>
          <w:rFonts w:hint="eastAsia" w:cs="Times New Roman"/>
          <w:color w:val="auto"/>
          <w:sz w:val="24"/>
          <w:highlight w:val="none"/>
          <w:lang w:eastAsia="zh-CN"/>
        </w:rPr>
        <w:t>附图</w:t>
      </w:r>
      <w:r>
        <w:rPr>
          <w:rFonts w:hint="eastAsia" w:cs="Times New Roman"/>
          <w:color w:val="auto"/>
          <w:sz w:val="24"/>
          <w:highlight w:val="none"/>
          <w:lang w:val="en-US" w:eastAsia="zh-CN"/>
        </w:rPr>
        <w:t>11 项目</w:t>
      </w:r>
      <w:r>
        <w:rPr>
          <w:rFonts w:hint="default" w:ascii="Times New Roman" w:hAnsi="Times New Roman" w:eastAsia="宋体" w:cs="Times New Roman"/>
          <w:bCs/>
          <w:color w:val="auto"/>
          <w:kern w:val="2"/>
          <w:sz w:val="24"/>
          <w:szCs w:val="24"/>
          <w:highlight w:val="none"/>
          <w:lang w:val="en-US" w:eastAsia="zh-CN" w:bidi="ar-SA"/>
        </w:rPr>
        <w:t>声源分布图及等声级</w:t>
      </w:r>
      <w:r>
        <w:rPr>
          <w:rFonts w:hint="eastAsia" w:ascii="Times New Roman" w:hAnsi="Times New Roman" w:eastAsia="宋体" w:cs="Times New Roman"/>
          <w:bCs/>
          <w:color w:val="auto"/>
          <w:kern w:val="2"/>
          <w:sz w:val="24"/>
          <w:szCs w:val="24"/>
          <w:highlight w:val="none"/>
          <w:lang w:val="en-US" w:eastAsia="zh-CN" w:bidi="ar-SA"/>
        </w:rPr>
        <w:t>线</w:t>
      </w:r>
      <w:r>
        <w:rPr>
          <w:rFonts w:hint="default" w:ascii="Times New Roman" w:hAnsi="Times New Roman" w:eastAsia="宋体" w:cs="Times New Roman"/>
          <w:bCs/>
          <w:color w:val="auto"/>
          <w:kern w:val="2"/>
          <w:sz w:val="24"/>
          <w:szCs w:val="24"/>
          <w:highlight w:val="none"/>
          <w:lang w:val="en-US" w:eastAsia="zh-CN" w:bidi="ar-SA"/>
        </w:rPr>
        <w:t>图</w:t>
      </w:r>
      <w:r>
        <w:rPr>
          <w:rFonts w:hint="eastAsia" w:ascii="Times New Roman" w:hAnsi="Times New Roman" w:eastAsia="宋体" w:cs="Times New Roman"/>
          <w:color w:val="auto"/>
          <w:sz w:val="24"/>
          <w:highlight w:val="none"/>
          <w:lang w:eastAsia="zh-CN"/>
        </w:rPr>
        <w:t>。</w:t>
      </w:r>
    </w:p>
    <w:p w14:paraId="4F6748B8">
      <w:pPr>
        <w:pStyle w:val="27"/>
        <w:adjustRightInd w:val="0"/>
        <w:snapToGrid w:val="0"/>
        <w:spacing w:before="0" w:beforeAutospacing="0" w:after="0" w:afterAutospacing="0"/>
        <w:jc w:val="center"/>
        <w:outlineLvl w:val="0"/>
        <w:rPr>
          <w:rFonts w:ascii="Times New Roman" w:hAnsi="Times New Roman"/>
          <w:snapToGrid w:val="0"/>
          <w:color w:val="auto"/>
          <w:sz w:val="30"/>
          <w:szCs w:val="30"/>
        </w:rPr>
      </w:pPr>
      <w:r>
        <w:rPr>
          <w:rFonts w:ascii="Times New Roman" w:hAnsi="Times New Roman"/>
          <w:b/>
          <w:bCs/>
          <w:snapToGrid w:val="0"/>
          <w:color w:val="auto"/>
          <w:sz w:val="30"/>
          <w:szCs w:val="30"/>
        </w:rPr>
        <w:t>一、建设项目基本情况</w:t>
      </w:r>
      <w:bookmarkEnd w:id="2"/>
      <w:bookmarkEnd w:id="5"/>
    </w:p>
    <w:tbl>
      <w:tblPr>
        <w:tblStyle w:val="30"/>
        <w:tblW w:w="882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724"/>
        <w:gridCol w:w="1010"/>
        <w:gridCol w:w="1920"/>
        <w:gridCol w:w="1700"/>
        <w:gridCol w:w="3475"/>
      </w:tblGrid>
      <w:tr w14:paraId="493005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74" w:hRule="atLeast"/>
          <w:jc w:val="center"/>
        </w:trPr>
        <w:tc>
          <w:tcPr>
            <w:tcW w:w="1734" w:type="dxa"/>
            <w:gridSpan w:val="2"/>
            <w:tcMar>
              <w:top w:w="16" w:type="dxa"/>
              <w:left w:w="16" w:type="dxa"/>
              <w:right w:w="16" w:type="dxa"/>
            </w:tcMar>
            <w:vAlign w:val="center"/>
          </w:tcPr>
          <w:p w14:paraId="1389BA44">
            <w:pPr>
              <w:adjustRightInd w:val="0"/>
              <w:snapToGrid w:val="0"/>
              <w:jc w:val="center"/>
              <w:rPr>
                <w:color w:val="auto"/>
                <w:sz w:val="24"/>
              </w:rPr>
            </w:pPr>
            <w:r>
              <w:rPr>
                <w:color w:val="auto"/>
                <w:sz w:val="24"/>
              </w:rPr>
              <w:t>建设项目名称</w:t>
            </w:r>
          </w:p>
        </w:tc>
        <w:tc>
          <w:tcPr>
            <w:tcW w:w="7095" w:type="dxa"/>
            <w:gridSpan w:val="3"/>
            <w:vAlign w:val="center"/>
          </w:tcPr>
          <w:p w14:paraId="4DD2821A">
            <w:pPr>
              <w:adjustRightInd w:val="0"/>
              <w:snapToGrid w:val="0"/>
              <w:jc w:val="center"/>
              <w:rPr>
                <w:color w:val="auto"/>
                <w:sz w:val="24"/>
              </w:rPr>
            </w:pPr>
            <w:r>
              <w:rPr>
                <w:rFonts w:hint="eastAsia"/>
                <w:color w:val="auto"/>
                <w:sz w:val="24"/>
              </w:rPr>
              <w:t>塑料制品深加工新建项目</w:t>
            </w:r>
          </w:p>
        </w:tc>
      </w:tr>
      <w:tr w14:paraId="1A0FB7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734" w:type="dxa"/>
            <w:gridSpan w:val="2"/>
            <w:tcMar>
              <w:top w:w="16" w:type="dxa"/>
              <w:left w:w="16" w:type="dxa"/>
              <w:right w:w="16" w:type="dxa"/>
            </w:tcMar>
            <w:vAlign w:val="center"/>
          </w:tcPr>
          <w:p w14:paraId="1C2349ED">
            <w:pPr>
              <w:adjustRightInd w:val="0"/>
              <w:snapToGrid w:val="0"/>
              <w:jc w:val="center"/>
              <w:rPr>
                <w:color w:val="auto"/>
                <w:sz w:val="24"/>
              </w:rPr>
            </w:pPr>
            <w:r>
              <w:rPr>
                <w:color w:val="auto"/>
                <w:sz w:val="24"/>
              </w:rPr>
              <w:t>项目代码</w:t>
            </w:r>
          </w:p>
        </w:tc>
        <w:tc>
          <w:tcPr>
            <w:tcW w:w="7095" w:type="dxa"/>
            <w:gridSpan w:val="3"/>
            <w:vAlign w:val="center"/>
          </w:tcPr>
          <w:p w14:paraId="57F0EB33">
            <w:pPr>
              <w:adjustRightInd w:val="0"/>
              <w:snapToGrid w:val="0"/>
              <w:jc w:val="center"/>
              <w:rPr>
                <w:color w:val="auto"/>
                <w:sz w:val="24"/>
              </w:rPr>
            </w:pPr>
            <w:r>
              <w:rPr>
                <w:color w:val="auto"/>
                <w:sz w:val="24"/>
              </w:rPr>
              <w:t>2</w:t>
            </w:r>
            <w:r>
              <w:rPr>
                <w:rFonts w:hint="eastAsia"/>
                <w:color w:val="auto"/>
                <w:sz w:val="24"/>
                <w:lang w:val="en-US" w:eastAsia="zh-CN"/>
              </w:rPr>
              <w:t>606</w:t>
            </w:r>
            <w:r>
              <w:rPr>
                <w:color w:val="auto"/>
                <w:sz w:val="24"/>
              </w:rPr>
              <w:t>-53</w:t>
            </w:r>
            <w:r>
              <w:rPr>
                <w:rFonts w:hint="eastAsia"/>
                <w:color w:val="auto"/>
                <w:sz w:val="24"/>
                <w:lang w:val="en-US" w:eastAsia="zh-CN"/>
              </w:rPr>
              <w:t>0422</w:t>
            </w:r>
            <w:r>
              <w:rPr>
                <w:color w:val="auto"/>
                <w:sz w:val="24"/>
              </w:rPr>
              <w:t>-04-0</w:t>
            </w:r>
            <w:r>
              <w:rPr>
                <w:rFonts w:hint="eastAsia"/>
                <w:color w:val="auto"/>
                <w:sz w:val="24"/>
                <w:lang w:val="en-US" w:eastAsia="zh-CN"/>
              </w:rPr>
              <w:t>1</w:t>
            </w:r>
            <w:r>
              <w:rPr>
                <w:color w:val="auto"/>
                <w:sz w:val="24"/>
              </w:rPr>
              <w:t>-</w:t>
            </w:r>
            <w:r>
              <w:rPr>
                <w:rFonts w:hint="eastAsia"/>
                <w:color w:val="auto"/>
                <w:sz w:val="24"/>
                <w:lang w:val="en-US" w:eastAsia="zh-CN"/>
              </w:rPr>
              <w:t>186611</w:t>
            </w:r>
          </w:p>
        </w:tc>
      </w:tr>
      <w:tr w14:paraId="2E179F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8" w:hRule="atLeast"/>
          <w:jc w:val="center"/>
        </w:trPr>
        <w:tc>
          <w:tcPr>
            <w:tcW w:w="1734" w:type="dxa"/>
            <w:gridSpan w:val="2"/>
            <w:tcMar>
              <w:top w:w="16" w:type="dxa"/>
              <w:left w:w="16" w:type="dxa"/>
              <w:right w:w="16" w:type="dxa"/>
            </w:tcMar>
            <w:vAlign w:val="center"/>
          </w:tcPr>
          <w:p w14:paraId="102331B5">
            <w:pPr>
              <w:adjustRightInd w:val="0"/>
              <w:snapToGrid w:val="0"/>
              <w:jc w:val="center"/>
              <w:rPr>
                <w:color w:val="auto"/>
                <w:sz w:val="24"/>
              </w:rPr>
            </w:pPr>
            <w:r>
              <w:rPr>
                <w:color w:val="auto"/>
                <w:sz w:val="24"/>
              </w:rPr>
              <w:t>建设单位联系人</w:t>
            </w:r>
          </w:p>
        </w:tc>
        <w:tc>
          <w:tcPr>
            <w:tcW w:w="1920" w:type="dxa"/>
            <w:vAlign w:val="center"/>
          </w:tcPr>
          <w:p w14:paraId="2C9A9D6C">
            <w:pPr>
              <w:adjustRightInd w:val="0"/>
              <w:snapToGrid w:val="0"/>
              <w:jc w:val="center"/>
              <w:rPr>
                <w:color w:val="auto"/>
                <w:sz w:val="24"/>
              </w:rPr>
            </w:pPr>
            <w:r>
              <w:rPr>
                <w:rFonts w:hint="eastAsia" w:cs="Times New Roman"/>
                <w:color w:val="auto"/>
                <w:sz w:val="24"/>
                <w:lang w:val="en-US" w:eastAsia="zh-CN"/>
              </w:rPr>
              <w:t>强志罡</w:t>
            </w:r>
          </w:p>
        </w:tc>
        <w:tc>
          <w:tcPr>
            <w:tcW w:w="1700" w:type="dxa"/>
            <w:vAlign w:val="center"/>
          </w:tcPr>
          <w:p w14:paraId="26D7894F">
            <w:pPr>
              <w:adjustRightInd w:val="0"/>
              <w:snapToGrid w:val="0"/>
              <w:jc w:val="center"/>
              <w:rPr>
                <w:color w:val="auto"/>
                <w:sz w:val="24"/>
              </w:rPr>
            </w:pPr>
            <w:r>
              <w:rPr>
                <w:color w:val="auto"/>
                <w:sz w:val="24"/>
              </w:rPr>
              <w:t>联系方式</w:t>
            </w:r>
          </w:p>
        </w:tc>
        <w:tc>
          <w:tcPr>
            <w:tcW w:w="3475" w:type="dxa"/>
            <w:vAlign w:val="center"/>
          </w:tcPr>
          <w:p w14:paraId="01EDF8D4">
            <w:pPr>
              <w:adjustRightInd w:val="0"/>
              <w:snapToGrid w:val="0"/>
              <w:jc w:val="center"/>
              <w:rPr>
                <w:color w:val="auto"/>
                <w:sz w:val="24"/>
              </w:rPr>
            </w:pPr>
            <w:r>
              <w:rPr>
                <w:rFonts w:hint="eastAsia" w:ascii="Times New Roman" w:hAnsi="Times New Roman" w:eastAsia="宋体" w:cs="Times New Roman"/>
                <w:color w:val="auto"/>
                <w:sz w:val="24"/>
                <w:lang w:val="en-US" w:eastAsia="zh-CN"/>
              </w:rPr>
              <w:t>1</w:t>
            </w:r>
            <w:r>
              <w:rPr>
                <w:rFonts w:hint="eastAsia" w:cs="Times New Roman"/>
                <w:color w:val="auto"/>
                <w:sz w:val="24"/>
                <w:lang w:val="en-US" w:eastAsia="zh-CN"/>
              </w:rPr>
              <w:t>3988491477</w:t>
            </w:r>
          </w:p>
        </w:tc>
      </w:tr>
      <w:tr w14:paraId="70E669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8" w:hRule="atLeast"/>
          <w:jc w:val="center"/>
        </w:trPr>
        <w:tc>
          <w:tcPr>
            <w:tcW w:w="1734" w:type="dxa"/>
            <w:gridSpan w:val="2"/>
            <w:tcMar>
              <w:top w:w="16" w:type="dxa"/>
              <w:left w:w="16" w:type="dxa"/>
              <w:right w:w="16" w:type="dxa"/>
            </w:tcMar>
            <w:vAlign w:val="center"/>
          </w:tcPr>
          <w:p w14:paraId="43F04FDC">
            <w:pPr>
              <w:adjustRightInd w:val="0"/>
              <w:snapToGrid w:val="0"/>
              <w:jc w:val="center"/>
              <w:rPr>
                <w:color w:val="auto"/>
                <w:sz w:val="24"/>
              </w:rPr>
            </w:pPr>
            <w:r>
              <w:rPr>
                <w:color w:val="auto"/>
                <w:sz w:val="24"/>
              </w:rPr>
              <w:t>建设地点</w:t>
            </w:r>
          </w:p>
        </w:tc>
        <w:tc>
          <w:tcPr>
            <w:tcW w:w="7095" w:type="dxa"/>
            <w:gridSpan w:val="3"/>
            <w:vAlign w:val="center"/>
          </w:tcPr>
          <w:p w14:paraId="6A344E72">
            <w:pPr>
              <w:adjustRightInd w:val="0"/>
              <w:snapToGrid w:val="0"/>
              <w:jc w:val="center"/>
              <w:rPr>
                <w:color w:val="auto"/>
                <w:sz w:val="24"/>
              </w:rPr>
            </w:pPr>
            <w:r>
              <w:rPr>
                <w:rFonts w:hint="eastAsia" w:ascii="Times New Roman" w:hAnsi="Times New Roman" w:eastAsia="宋体" w:cs="Times New Roman"/>
                <w:color w:val="auto"/>
                <w:sz w:val="24"/>
                <w:szCs w:val="24"/>
                <w:highlight w:val="none"/>
                <w:lang w:val="en-US" w:eastAsia="zh-CN"/>
              </w:rPr>
              <w:t>云南省</w:t>
            </w:r>
            <w:r>
              <w:rPr>
                <w:rFonts w:hint="eastAsia" w:cs="Times New Roman"/>
                <w:color w:val="auto"/>
                <w:sz w:val="24"/>
                <w:szCs w:val="24"/>
                <w:highlight w:val="none"/>
                <w:lang w:val="en-US" w:eastAsia="zh-CN"/>
              </w:rPr>
              <w:t>玉溪市澄江市产业园区提古片区</w:t>
            </w:r>
          </w:p>
        </w:tc>
      </w:tr>
      <w:tr w14:paraId="189229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8" w:hRule="atLeast"/>
          <w:jc w:val="center"/>
        </w:trPr>
        <w:tc>
          <w:tcPr>
            <w:tcW w:w="1734" w:type="dxa"/>
            <w:gridSpan w:val="2"/>
            <w:tcMar>
              <w:top w:w="16" w:type="dxa"/>
              <w:left w:w="16" w:type="dxa"/>
              <w:right w:w="16" w:type="dxa"/>
            </w:tcMar>
            <w:vAlign w:val="center"/>
          </w:tcPr>
          <w:p w14:paraId="366A2C37">
            <w:pPr>
              <w:adjustRightInd w:val="0"/>
              <w:snapToGrid w:val="0"/>
              <w:jc w:val="center"/>
              <w:rPr>
                <w:color w:val="auto"/>
                <w:sz w:val="24"/>
              </w:rPr>
            </w:pPr>
            <w:r>
              <w:rPr>
                <w:color w:val="auto"/>
                <w:sz w:val="24"/>
              </w:rPr>
              <w:t>地理坐标</w:t>
            </w:r>
          </w:p>
        </w:tc>
        <w:tc>
          <w:tcPr>
            <w:tcW w:w="7095" w:type="dxa"/>
            <w:gridSpan w:val="3"/>
            <w:vAlign w:val="center"/>
          </w:tcPr>
          <w:p w14:paraId="1793B3DB">
            <w:pPr>
              <w:jc w:val="center"/>
              <w:rPr>
                <w:color w:val="auto"/>
                <w:sz w:val="24"/>
              </w:rPr>
            </w:pPr>
            <w:r>
              <w:rPr>
                <w:color w:val="auto"/>
                <w:sz w:val="24"/>
              </w:rPr>
              <w:t>（</w:t>
            </w:r>
            <w:r>
              <w:rPr>
                <w:color w:val="auto"/>
                <w:sz w:val="24"/>
                <w:u w:val="single"/>
              </w:rPr>
              <w:t>10</w:t>
            </w:r>
            <w:r>
              <w:rPr>
                <w:rFonts w:hint="eastAsia"/>
                <w:color w:val="auto"/>
                <w:sz w:val="24"/>
                <w:u w:val="single"/>
                <w:lang w:val="en-US" w:eastAsia="zh-CN"/>
              </w:rPr>
              <w:t>2</w:t>
            </w:r>
            <w:r>
              <w:rPr>
                <w:color w:val="auto"/>
                <w:sz w:val="24"/>
              </w:rPr>
              <w:t>度</w:t>
            </w:r>
            <w:r>
              <w:rPr>
                <w:rFonts w:hint="eastAsia"/>
                <w:color w:val="auto"/>
                <w:sz w:val="24"/>
                <w:u w:val="single"/>
                <w:lang w:val="en-US" w:eastAsia="zh-CN"/>
              </w:rPr>
              <w:t>51</w:t>
            </w:r>
            <w:r>
              <w:rPr>
                <w:color w:val="auto"/>
                <w:sz w:val="24"/>
              </w:rPr>
              <w:t>分</w:t>
            </w:r>
            <w:r>
              <w:rPr>
                <w:rFonts w:hint="eastAsia"/>
                <w:color w:val="auto"/>
                <w:sz w:val="24"/>
                <w:u w:val="single"/>
                <w:lang w:val="en-US" w:eastAsia="zh-CN"/>
              </w:rPr>
              <w:t>14.166</w:t>
            </w:r>
            <w:r>
              <w:rPr>
                <w:color w:val="auto"/>
                <w:sz w:val="24"/>
              </w:rPr>
              <w:t>秒，</w:t>
            </w:r>
            <w:r>
              <w:rPr>
                <w:color w:val="auto"/>
                <w:sz w:val="24"/>
                <w:u w:val="single"/>
              </w:rPr>
              <w:t>2</w:t>
            </w:r>
            <w:r>
              <w:rPr>
                <w:rFonts w:hint="eastAsia"/>
                <w:color w:val="auto"/>
                <w:sz w:val="24"/>
                <w:u w:val="single"/>
              </w:rPr>
              <w:t>4</w:t>
            </w:r>
            <w:r>
              <w:rPr>
                <w:color w:val="auto"/>
                <w:sz w:val="24"/>
              </w:rPr>
              <w:t>度</w:t>
            </w:r>
            <w:r>
              <w:rPr>
                <w:rFonts w:hint="eastAsia"/>
                <w:color w:val="auto"/>
                <w:sz w:val="24"/>
                <w:u w:val="single"/>
                <w:lang w:val="en-US" w:eastAsia="zh-CN"/>
              </w:rPr>
              <w:t>44</w:t>
            </w:r>
            <w:r>
              <w:rPr>
                <w:color w:val="auto"/>
                <w:sz w:val="24"/>
              </w:rPr>
              <w:t>分</w:t>
            </w:r>
            <w:r>
              <w:rPr>
                <w:rFonts w:hint="eastAsia"/>
                <w:color w:val="auto"/>
                <w:sz w:val="24"/>
                <w:u w:val="single"/>
                <w:lang w:val="en-US" w:eastAsia="zh-CN"/>
              </w:rPr>
              <w:t>27.610</w:t>
            </w:r>
            <w:r>
              <w:rPr>
                <w:color w:val="auto"/>
                <w:sz w:val="24"/>
              </w:rPr>
              <w:t>秒）</w:t>
            </w:r>
          </w:p>
        </w:tc>
      </w:tr>
      <w:tr w14:paraId="2341C8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734" w:type="dxa"/>
            <w:gridSpan w:val="2"/>
            <w:tcMar>
              <w:top w:w="16" w:type="dxa"/>
              <w:left w:w="16" w:type="dxa"/>
              <w:right w:w="16" w:type="dxa"/>
            </w:tcMar>
            <w:vAlign w:val="center"/>
          </w:tcPr>
          <w:p w14:paraId="59435F04">
            <w:pPr>
              <w:adjustRightInd w:val="0"/>
              <w:snapToGrid w:val="0"/>
              <w:jc w:val="center"/>
              <w:rPr>
                <w:color w:val="auto"/>
                <w:sz w:val="24"/>
              </w:rPr>
            </w:pPr>
            <w:r>
              <w:rPr>
                <w:color w:val="auto"/>
                <w:sz w:val="24"/>
              </w:rPr>
              <w:t>国民经济</w:t>
            </w:r>
          </w:p>
          <w:p w14:paraId="5A19C822">
            <w:pPr>
              <w:adjustRightInd w:val="0"/>
              <w:snapToGrid w:val="0"/>
              <w:jc w:val="center"/>
              <w:rPr>
                <w:color w:val="auto"/>
                <w:sz w:val="24"/>
              </w:rPr>
            </w:pPr>
            <w:r>
              <w:rPr>
                <w:color w:val="auto"/>
                <w:sz w:val="24"/>
              </w:rPr>
              <w:t>行业类别</w:t>
            </w:r>
          </w:p>
        </w:tc>
        <w:tc>
          <w:tcPr>
            <w:tcW w:w="1920" w:type="dxa"/>
            <w:vAlign w:val="center"/>
          </w:tcPr>
          <w:p w14:paraId="41D40337">
            <w:pPr>
              <w:adjustRightInd w:val="0"/>
              <w:snapToGrid w:val="0"/>
              <w:jc w:val="center"/>
              <w:rPr>
                <w:color w:val="auto"/>
                <w:sz w:val="24"/>
              </w:rPr>
            </w:pPr>
            <w:r>
              <w:rPr>
                <w:rFonts w:hint="default" w:ascii="Times New Roman" w:hAnsi="Times New Roman" w:eastAsia="宋体" w:cs="Times New Roman"/>
                <w:color w:val="auto"/>
                <w:sz w:val="24"/>
                <w:szCs w:val="24"/>
              </w:rPr>
              <w:t>塑料包装箱及容器制造</w:t>
            </w:r>
            <w:r>
              <w:rPr>
                <w:color w:val="auto"/>
                <w:sz w:val="24"/>
              </w:rPr>
              <w:t>（</w:t>
            </w:r>
            <w:r>
              <w:rPr>
                <w:rFonts w:hint="default" w:ascii="Times New Roman" w:hAnsi="Times New Roman" w:eastAsia="宋体" w:cs="Times New Roman"/>
                <w:color w:val="auto"/>
                <w:sz w:val="24"/>
                <w:szCs w:val="24"/>
              </w:rPr>
              <w:t>C2926</w:t>
            </w:r>
            <w:r>
              <w:rPr>
                <w:color w:val="auto"/>
                <w:sz w:val="24"/>
              </w:rPr>
              <w:t>）</w:t>
            </w:r>
          </w:p>
        </w:tc>
        <w:tc>
          <w:tcPr>
            <w:tcW w:w="1700" w:type="dxa"/>
            <w:vAlign w:val="center"/>
          </w:tcPr>
          <w:p w14:paraId="52E66D3E">
            <w:pPr>
              <w:adjustRightInd w:val="0"/>
              <w:snapToGrid w:val="0"/>
              <w:jc w:val="center"/>
              <w:rPr>
                <w:color w:val="auto"/>
                <w:sz w:val="24"/>
              </w:rPr>
            </w:pPr>
            <w:r>
              <w:rPr>
                <w:color w:val="auto"/>
                <w:sz w:val="24"/>
              </w:rPr>
              <w:t>建设项目</w:t>
            </w:r>
          </w:p>
          <w:p w14:paraId="71788B21">
            <w:pPr>
              <w:adjustRightInd w:val="0"/>
              <w:snapToGrid w:val="0"/>
              <w:jc w:val="center"/>
              <w:rPr>
                <w:color w:val="auto"/>
                <w:sz w:val="24"/>
              </w:rPr>
            </w:pPr>
            <w:r>
              <w:rPr>
                <w:color w:val="auto"/>
                <w:sz w:val="24"/>
              </w:rPr>
              <w:t>行业类别</w:t>
            </w:r>
          </w:p>
        </w:tc>
        <w:tc>
          <w:tcPr>
            <w:tcW w:w="3475" w:type="dxa"/>
            <w:vAlign w:val="center"/>
          </w:tcPr>
          <w:p w14:paraId="5BFCE82B">
            <w:pPr>
              <w:jc w:val="left"/>
              <w:rPr>
                <w:color w:val="auto"/>
                <w:sz w:val="24"/>
              </w:rPr>
            </w:pPr>
            <w:r>
              <w:rPr>
                <w:rFonts w:hint="default" w:ascii="Times New Roman" w:hAnsi="Times New Roman" w:cs="Times New Roman"/>
                <w:color w:val="auto"/>
                <w:sz w:val="24"/>
                <w:lang w:val="en-US" w:eastAsia="zh-CN"/>
              </w:rPr>
              <w:t>二十六、橡胶和塑料制品业</w:t>
            </w:r>
            <w:r>
              <w:rPr>
                <w:rFonts w:hint="eastAsia" w:ascii="Times New Roman" w:hAnsi="Times New Roman" w:cs="Times New Roman"/>
                <w:color w:val="auto"/>
                <w:sz w:val="24"/>
                <w:lang w:val="en-US" w:eastAsia="zh-CN"/>
              </w:rPr>
              <w:t>29-</w:t>
            </w:r>
            <w:r>
              <w:rPr>
                <w:rFonts w:hint="default" w:ascii="Times New Roman" w:hAnsi="Times New Roman" w:cs="Times New Roman"/>
                <w:color w:val="auto"/>
                <w:sz w:val="24"/>
                <w:lang w:val="en-US" w:eastAsia="zh-CN"/>
              </w:rPr>
              <w:t>53、塑料制品业</w:t>
            </w:r>
            <w:r>
              <w:rPr>
                <w:rFonts w:hint="eastAsia"/>
                <w:color w:val="auto"/>
                <w:sz w:val="24"/>
                <w:lang w:val="en-US" w:eastAsia="zh-CN"/>
              </w:rPr>
              <w:t>292</w:t>
            </w:r>
            <w:r>
              <w:rPr>
                <w:color w:val="auto"/>
                <w:sz w:val="24"/>
              </w:rPr>
              <w:t>；</w:t>
            </w:r>
            <w:r>
              <w:rPr>
                <w:rFonts w:hint="eastAsia"/>
                <w:color w:val="auto"/>
                <w:sz w:val="24"/>
              </w:rPr>
              <w:t>其他</w:t>
            </w:r>
            <w:r>
              <w:rPr>
                <w:rFonts w:hint="eastAsia"/>
                <w:color w:val="auto"/>
                <w:sz w:val="24"/>
                <w:lang w:eastAsia="zh-CN"/>
              </w:rPr>
              <w:t>（年用非溶剂型低</w:t>
            </w:r>
            <w:r>
              <w:rPr>
                <w:rFonts w:hint="eastAsia"/>
                <w:color w:val="auto"/>
                <w:sz w:val="24"/>
                <w:lang w:val="en-US" w:eastAsia="zh-CN"/>
              </w:rPr>
              <w:t>VOCs含量涂料10吨以下的除外</w:t>
            </w:r>
            <w:r>
              <w:rPr>
                <w:rFonts w:hint="eastAsia"/>
                <w:color w:val="auto"/>
                <w:sz w:val="24"/>
                <w:lang w:eastAsia="zh-CN"/>
              </w:rPr>
              <w:t>）</w:t>
            </w:r>
          </w:p>
        </w:tc>
      </w:tr>
      <w:tr w14:paraId="423270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734" w:type="dxa"/>
            <w:gridSpan w:val="2"/>
            <w:tcMar>
              <w:top w:w="16" w:type="dxa"/>
              <w:left w:w="16" w:type="dxa"/>
              <w:right w:w="16" w:type="dxa"/>
            </w:tcMar>
            <w:vAlign w:val="center"/>
          </w:tcPr>
          <w:p w14:paraId="079E16C4">
            <w:pPr>
              <w:adjustRightInd w:val="0"/>
              <w:snapToGrid w:val="0"/>
              <w:jc w:val="center"/>
              <w:rPr>
                <w:color w:val="auto"/>
                <w:sz w:val="24"/>
              </w:rPr>
            </w:pPr>
            <w:r>
              <w:rPr>
                <w:color w:val="auto"/>
                <w:sz w:val="24"/>
              </w:rPr>
              <w:t>建设性质</w:t>
            </w:r>
          </w:p>
        </w:tc>
        <w:tc>
          <w:tcPr>
            <w:tcW w:w="1920" w:type="dxa"/>
            <w:vAlign w:val="center"/>
          </w:tcPr>
          <w:p w14:paraId="16383CF1">
            <w:pPr>
              <w:jc w:val="left"/>
              <w:rPr>
                <w:color w:val="auto"/>
                <w:sz w:val="24"/>
              </w:rPr>
            </w:pPr>
            <w:r>
              <w:rPr>
                <w:color w:val="auto"/>
                <w:sz w:val="24"/>
              </w:rPr>
              <w:sym w:font="Wingdings 2" w:char="0052"/>
            </w:r>
            <w:r>
              <w:rPr>
                <w:color w:val="auto"/>
                <w:sz w:val="24"/>
              </w:rPr>
              <w:t>新建（迁建）</w:t>
            </w:r>
          </w:p>
          <w:p w14:paraId="131F116D">
            <w:pPr>
              <w:jc w:val="left"/>
              <w:rPr>
                <w:color w:val="auto"/>
                <w:sz w:val="24"/>
              </w:rPr>
            </w:pPr>
            <w:r>
              <w:rPr>
                <w:color w:val="auto"/>
                <w:sz w:val="24"/>
              </w:rPr>
              <w:sym w:font="Wingdings 2" w:char="00A3"/>
            </w:r>
            <w:r>
              <w:rPr>
                <w:color w:val="auto"/>
                <w:sz w:val="24"/>
              </w:rPr>
              <w:t>改建</w:t>
            </w:r>
          </w:p>
          <w:p w14:paraId="253E3C2F">
            <w:pPr>
              <w:jc w:val="left"/>
              <w:rPr>
                <w:color w:val="auto"/>
                <w:sz w:val="24"/>
              </w:rPr>
            </w:pPr>
            <w:r>
              <w:rPr>
                <w:color w:val="auto"/>
                <w:sz w:val="24"/>
              </w:rPr>
              <w:sym w:font="Wingdings 2" w:char="00A3"/>
            </w:r>
            <w:r>
              <w:rPr>
                <w:color w:val="auto"/>
                <w:sz w:val="24"/>
              </w:rPr>
              <w:t>扩建</w:t>
            </w:r>
          </w:p>
          <w:p w14:paraId="058F176B">
            <w:pPr>
              <w:jc w:val="left"/>
              <w:rPr>
                <w:color w:val="auto"/>
                <w:sz w:val="24"/>
              </w:rPr>
            </w:pPr>
            <w:r>
              <w:rPr>
                <w:color w:val="auto"/>
                <w:sz w:val="24"/>
              </w:rPr>
              <w:sym w:font="Wingdings 2" w:char="00A3"/>
            </w:r>
            <w:r>
              <w:rPr>
                <w:color w:val="auto"/>
                <w:sz w:val="24"/>
              </w:rPr>
              <w:t>技术改造</w:t>
            </w:r>
          </w:p>
        </w:tc>
        <w:tc>
          <w:tcPr>
            <w:tcW w:w="1700" w:type="dxa"/>
            <w:vAlign w:val="center"/>
          </w:tcPr>
          <w:p w14:paraId="2AF2D0C8">
            <w:pPr>
              <w:adjustRightInd w:val="0"/>
              <w:snapToGrid w:val="0"/>
              <w:jc w:val="center"/>
              <w:rPr>
                <w:color w:val="auto"/>
                <w:sz w:val="24"/>
              </w:rPr>
            </w:pPr>
            <w:r>
              <w:rPr>
                <w:color w:val="auto"/>
                <w:sz w:val="24"/>
              </w:rPr>
              <w:t>建设项目</w:t>
            </w:r>
          </w:p>
          <w:p w14:paraId="05EF2CD9">
            <w:pPr>
              <w:adjustRightInd w:val="0"/>
              <w:snapToGrid w:val="0"/>
              <w:jc w:val="center"/>
              <w:rPr>
                <w:color w:val="auto"/>
                <w:sz w:val="24"/>
              </w:rPr>
            </w:pPr>
            <w:r>
              <w:rPr>
                <w:color w:val="auto"/>
                <w:sz w:val="24"/>
              </w:rPr>
              <w:t>申报情形</w:t>
            </w:r>
          </w:p>
        </w:tc>
        <w:tc>
          <w:tcPr>
            <w:tcW w:w="3475" w:type="dxa"/>
            <w:vAlign w:val="center"/>
          </w:tcPr>
          <w:p w14:paraId="33724F11">
            <w:pPr>
              <w:jc w:val="left"/>
              <w:rPr>
                <w:color w:val="auto"/>
                <w:sz w:val="24"/>
              </w:rPr>
            </w:pPr>
            <w:r>
              <w:rPr>
                <w:color w:val="auto"/>
                <w:sz w:val="24"/>
              </w:rPr>
              <w:sym w:font="Wingdings 2" w:char="0052"/>
            </w:r>
            <w:r>
              <w:rPr>
                <w:color w:val="auto"/>
                <w:sz w:val="24"/>
              </w:rPr>
              <w:t xml:space="preserve">首次申报项目             </w:t>
            </w:r>
          </w:p>
          <w:p w14:paraId="2D6E250B">
            <w:pPr>
              <w:jc w:val="left"/>
              <w:rPr>
                <w:color w:val="auto"/>
                <w:sz w:val="24"/>
              </w:rPr>
            </w:pPr>
            <w:r>
              <w:rPr>
                <w:color w:val="auto"/>
                <w:sz w:val="24"/>
              </w:rPr>
              <w:sym w:font="Wingdings 2" w:char="00A3"/>
            </w:r>
            <w:r>
              <w:rPr>
                <w:color w:val="auto"/>
                <w:sz w:val="24"/>
              </w:rPr>
              <w:t>不予批准后再次申报项目</w:t>
            </w:r>
          </w:p>
          <w:p w14:paraId="5063FE5D">
            <w:pPr>
              <w:jc w:val="left"/>
              <w:rPr>
                <w:color w:val="auto"/>
                <w:sz w:val="24"/>
              </w:rPr>
            </w:pPr>
            <w:r>
              <w:rPr>
                <w:color w:val="auto"/>
                <w:sz w:val="24"/>
              </w:rPr>
              <w:sym w:font="Wingdings 2" w:char="00A3"/>
            </w:r>
            <w:r>
              <w:rPr>
                <w:color w:val="auto"/>
                <w:sz w:val="24"/>
              </w:rPr>
              <w:t xml:space="preserve">超五年重新审核项目     </w:t>
            </w:r>
          </w:p>
          <w:p w14:paraId="149B16C1">
            <w:pPr>
              <w:jc w:val="left"/>
              <w:rPr>
                <w:color w:val="auto"/>
                <w:sz w:val="24"/>
              </w:rPr>
            </w:pPr>
            <w:r>
              <w:rPr>
                <w:color w:val="auto"/>
                <w:sz w:val="24"/>
              </w:rPr>
              <w:sym w:font="Wingdings 2" w:char="00A3"/>
            </w:r>
            <w:r>
              <w:rPr>
                <w:color w:val="auto"/>
                <w:sz w:val="24"/>
              </w:rPr>
              <w:t>重大变动重新报批项目</w:t>
            </w:r>
          </w:p>
        </w:tc>
      </w:tr>
      <w:tr w14:paraId="7EEE5C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734" w:type="dxa"/>
            <w:gridSpan w:val="2"/>
            <w:tcMar>
              <w:top w:w="16" w:type="dxa"/>
              <w:left w:w="16" w:type="dxa"/>
              <w:right w:w="16" w:type="dxa"/>
            </w:tcMar>
            <w:vAlign w:val="center"/>
          </w:tcPr>
          <w:p w14:paraId="6EEA771E">
            <w:pPr>
              <w:adjustRightInd w:val="0"/>
              <w:snapToGrid w:val="0"/>
              <w:jc w:val="center"/>
              <w:rPr>
                <w:color w:val="auto"/>
                <w:sz w:val="24"/>
              </w:rPr>
            </w:pPr>
            <w:r>
              <w:rPr>
                <w:color w:val="auto"/>
                <w:sz w:val="24"/>
              </w:rPr>
              <w:t>项目审批（核准/</w:t>
            </w:r>
          </w:p>
          <w:p w14:paraId="1A7384A0">
            <w:pPr>
              <w:adjustRightInd w:val="0"/>
              <w:snapToGrid w:val="0"/>
              <w:jc w:val="center"/>
              <w:rPr>
                <w:color w:val="auto"/>
                <w:sz w:val="24"/>
              </w:rPr>
            </w:pPr>
            <w:r>
              <w:rPr>
                <w:color w:val="auto"/>
                <w:sz w:val="24"/>
              </w:rPr>
              <w:t>备案）部门</w:t>
            </w:r>
          </w:p>
        </w:tc>
        <w:tc>
          <w:tcPr>
            <w:tcW w:w="1920" w:type="dxa"/>
            <w:vAlign w:val="center"/>
          </w:tcPr>
          <w:p w14:paraId="5E1917E5">
            <w:pPr>
              <w:adjustRightInd w:val="0"/>
              <w:snapToGrid w:val="0"/>
              <w:jc w:val="center"/>
              <w:rPr>
                <w:color w:val="auto"/>
                <w:sz w:val="24"/>
              </w:rPr>
            </w:pPr>
            <w:r>
              <w:rPr>
                <w:rFonts w:hint="eastAsia"/>
                <w:color w:val="auto"/>
                <w:sz w:val="24"/>
                <w:lang w:eastAsia="zh-CN"/>
              </w:rPr>
              <w:t>澄江市发展和改革局</w:t>
            </w:r>
          </w:p>
        </w:tc>
        <w:tc>
          <w:tcPr>
            <w:tcW w:w="1700" w:type="dxa"/>
            <w:vAlign w:val="center"/>
          </w:tcPr>
          <w:p w14:paraId="0E62BBFD">
            <w:pPr>
              <w:adjustRightInd w:val="0"/>
              <w:snapToGrid w:val="0"/>
              <w:jc w:val="center"/>
              <w:rPr>
                <w:color w:val="auto"/>
                <w:sz w:val="24"/>
              </w:rPr>
            </w:pPr>
            <w:r>
              <w:rPr>
                <w:color w:val="auto"/>
                <w:sz w:val="24"/>
              </w:rPr>
              <w:t>项目审批（核准/</w:t>
            </w:r>
          </w:p>
          <w:p w14:paraId="08041751">
            <w:pPr>
              <w:adjustRightInd w:val="0"/>
              <w:snapToGrid w:val="0"/>
              <w:jc w:val="center"/>
              <w:rPr>
                <w:color w:val="auto"/>
                <w:sz w:val="24"/>
              </w:rPr>
            </w:pPr>
            <w:r>
              <w:rPr>
                <w:color w:val="auto"/>
                <w:sz w:val="24"/>
              </w:rPr>
              <w:t>备案）文号</w:t>
            </w:r>
          </w:p>
        </w:tc>
        <w:tc>
          <w:tcPr>
            <w:tcW w:w="3475" w:type="dxa"/>
            <w:vAlign w:val="center"/>
          </w:tcPr>
          <w:p w14:paraId="657C474D">
            <w:pPr>
              <w:adjustRightInd w:val="0"/>
              <w:snapToGrid w:val="0"/>
              <w:jc w:val="center"/>
              <w:rPr>
                <w:color w:val="auto"/>
                <w:sz w:val="24"/>
              </w:rPr>
            </w:pPr>
            <w:r>
              <w:rPr>
                <w:color w:val="auto"/>
                <w:sz w:val="24"/>
              </w:rPr>
              <w:t>2</w:t>
            </w:r>
            <w:r>
              <w:rPr>
                <w:rFonts w:hint="eastAsia"/>
                <w:color w:val="auto"/>
                <w:sz w:val="24"/>
                <w:lang w:val="en-US" w:eastAsia="zh-CN"/>
              </w:rPr>
              <w:t>606</w:t>
            </w:r>
            <w:r>
              <w:rPr>
                <w:color w:val="auto"/>
                <w:sz w:val="24"/>
              </w:rPr>
              <w:t>-53</w:t>
            </w:r>
            <w:r>
              <w:rPr>
                <w:rFonts w:hint="eastAsia"/>
                <w:color w:val="auto"/>
                <w:sz w:val="24"/>
                <w:lang w:val="en-US" w:eastAsia="zh-CN"/>
              </w:rPr>
              <w:t>0422</w:t>
            </w:r>
            <w:r>
              <w:rPr>
                <w:color w:val="auto"/>
                <w:sz w:val="24"/>
              </w:rPr>
              <w:t>-04-0</w:t>
            </w:r>
            <w:r>
              <w:rPr>
                <w:rFonts w:hint="eastAsia"/>
                <w:color w:val="auto"/>
                <w:sz w:val="24"/>
                <w:lang w:val="en-US" w:eastAsia="zh-CN"/>
              </w:rPr>
              <w:t>1</w:t>
            </w:r>
            <w:r>
              <w:rPr>
                <w:color w:val="auto"/>
                <w:sz w:val="24"/>
              </w:rPr>
              <w:t>-</w:t>
            </w:r>
            <w:r>
              <w:rPr>
                <w:rFonts w:hint="eastAsia"/>
                <w:color w:val="auto"/>
                <w:sz w:val="24"/>
                <w:lang w:val="en-US" w:eastAsia="zh-CN"/>
              </w:rPr>
              <w:t>186611</w:t>
            </w:r>
          </w:p>
        </w:tc>
      </w:tr>
      <w:tr w14:paraId="7EFBCA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9" w:hRule="atLeast"/>
          <w:jc w:val="center"/>
        </w:trPr>
        <w:tc>
          <w:tcPr>
            <w:tcW w:w="1734" w:type="dxa"/>
            <w:gridSpan w:val="2"/>
            <w:tcMar>
              <w:top w:w="16" w:type="dxa"/>
              <w:left w:w="16" w:type="dxa"/>
              <w:right w:w="16" w:type="dxa"/>
            </w:tcMar>
            <w:vAlign w:val="center"/>
          </w:tcPr>
          <w:p w14:paraId="65D2EEAE">
            <w:pPr>
              <w:adjustRightInd w:val="0"/>
              <w:snapToGrid w:val="0"/>
              <w:jc w:val="center"/>
              <w:rPr>
                <w:color w:val="auto"/>
                <w:sz w:val="24"/>
              </w:rPr>
            </w:pPr>
            <w:r>
              <w:rPr>
                <w:color w:val="auto"/>
                <w:sz w:val="24"/>
              </w:rPr>
              <w:t>总投资（万元）</w:t>
            </w:r>
          </w:p>
        </w:tc>
        <w:tc>
          <w:tcPr>
            <w:tcW w:w="1920" w:type="dxa"/>
            <w:vAlign w:val="center"/>
          </w:tcPr>
          <w:p w14:paraId="3727EF27">
            <w:pPr>
              <w:adjustRightInd w:val="0"/>
              <w:snapToGrid w:val="0"/>
              <w:jc w:val="center"/>
              <w:rPr>
                <w:rFonts w:hint="default"/>
                <w:color w:val="auto"/>
                <w:sz w:val="24"/>
                <w:lang w:val="en-US"/>
              </w:rPr>
            </w:pPr>
            <w:r>
              <w:rPr>
                <w:rFonts w:hint="eastAsia"/>
                <w:color w:val="auto"/>
                <w:sz w:val="24"/>
                <w:lang w:val="en-US" w:eastAsia="zh-CN"/>
              </w:rPr>
              <w:t>2770</w:t>
            </w:r>
          </w:p>
        </w:tc>
        <w:tc>
          <w:tcPr>
            <w:tcW w:w="1700" w:type="dxa"/>
            <w:tcMar>
              <w:top w:w="16" w:type="dxa"/>
              <w:left w:w="16" w:type="dxa"/>
              <w:right w:w="16" w:type="dxa"/>
            </w:tcMar>
            <w:vAlign w:val="center"/>
          </w:tcPr>
          <w:p w14:paraId="53C1C06A">
            <w:pPr>
              <w:adjustRightInd w:val="0"/>
              <w:snapToGrid w:val="0"/>
              <w:jc w:val="center"/>
              <w:rPr>
                <w:color w:val="auto"/>
                <w:sz w:val="24"/>
                <w:highlight w:val="none"/>
              </w:rPr>
            </w:pPr>
            <w:r>
              <w:rPr>
                <w:color w:val="auto"/>
                <w:sz w:val="24"/>
                <w:highlight w:val="none"/>
              </w:rPr>
              <w:t>环保投资（万元）</w:t>
            </w:r>
          </w:p>
        </w:tc>
        <w:tc>
          <w:tcPr>
            <w:tcW w:w="3475" w:type="dxa"/>
            <w:vAlign w:val="center"/>
          </w:tcPr>
          <w:p w14:paraId="2F87CC6A">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29.67</w:t>
            </w:r>
          </w:p>
        </w:tc>
      </w:tr>
      <w:tr w14:paraId="3C0E40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34" w:type="dxa"/>
            <w:gridSpan w:val="2"/>
            <w:tcMar>
              <w:top w:w="16" w:type="dxa"/>
              <w:left w:w="16" w:type="dxa"/>
              <w:right w:w="16" w:type="dxa"/>
            </w:tcMar>
            <w:vAlign w:val="center"/>
          </w:tcPr>
          <w:p w14:paraId="0132696B">
            <w:pPr>
              <w:adjustRightInd w:val="0"/>
              <w:snapToGrid w:val="0"/>
              <w:jc w:val="center"/>
              <w:rPr>
                <w:color w:val="auto"/>
                <w:sz w:val="24"/>
                <w:highlight w:val="none"/>
              </w:rPr>
            </w:pPr>
            <w:r>
              <w:rPr>
                <w:color w:val="auto"/>
                <w:sz w:val="24"/>
                <w:highlight w:val="none"/>
              </w:rPr>
              <w:t>环保投资占比（%）</w:t>
            </w:r>
          </w:p>
        </w:tc>
        <w:tc>
          <w:tcPr>
            <w:tcW w:w="1920" w:type="dxa"/>
            <w:vAlign w:val="center"/>
          </w:tcPr>
          <w:p w14:paraId="48F6E44B">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1.07</w:t>
            </w:r>
          </w:p>
        </w:tc>
        <w:tc>
          <w:tcPr>
            <w:tcW w:w="1700" w:type="dxa"/>
            <w:tcMar>
              <w:top w:w="16" w:type="dxa"/>
              <w:left w:w="16" w:type="dxa"/>
              <w:right w:w="16" w:type="dxa"/>
            </w:tcMar>
            <w:vAlign w:val="center"/>
          </w:tcPr>
          <w:p w14:paraId="323DCFBD">
            <w:pPr>
              <w:adjustRightInd w:val="0"/>
              <w:snapToGrid w:val="0"/>
              <w:jc w:val="center"/>
              <w:rPr>
                <w:color w:val="auto"/>
                <w:sz w:val="24"/>
              </w:rPr>
            </w:pPr>
            <w:r>
              <w:rPr>
                <w:color w:val="auto"/>
                <w:sz w:val="24"/>
              </w:rPr>
              <w:t>施工工期</w:t>
            </w:r>
          </w:p>
        </w:tc>
        <w:tc>
          <w:tcPr>
            <w:tcW w:w="3475" w:type="dxa"/>
            <w:vAlign w:val="center"/>
          </w:tcPr>
          <w:p w14:paraId="31C83B82">
            <w:pPr>
              <w:adjustRightInd w:val="0"/>
              <w:snapToGrid w:val="0"/>
              <w:jc w:val="center"/>
              <w:rPr>
                <w:color w:val="auto"/>
                <w:sz w:val="24"/>
              </w:rPr>
            </w:pPr>
            <w:r>
              <w:rPr>
                <w:rFonts w:hint="eastAsia"/>
                <w:color w:val="auto"/>
                <w:sz w:val="24"/>
                <w:lang w:val="en-US" w:eastAsia="zh-CN"/>
              </w:rPr>
              <w:t>4</w:t>
            </w:r>
            <w:r>
              <w:rPr>
                <w:color w:val="auto"/>
                <w:sz w:val="24"/>
              </w:rPr>
              <w:t>个月</w:t>
            </w:r>
          </w:p>
        </w:tc>
      </w:tr>
      <w:tr w14:paraId="28942C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34" w:type="dxa"/>
            <w:gridSpan w:val="2"/>
            <w:tcMar>
              <w:top w:w="16" w:type="dxa"/>
              <w:left w:w="16" w:type="dxa"/>
              <w:right w:w="16" w:type="dxa"/>
            </w:tcMar>
            <w:vAlign w:val="center"/>
          </w:tcPr>
          <w:p w14:paraId="4FB7D1C6">
            <w:pPr>
              <w:adjustRightInd w:val="0"/>
              <w:snapToGrid w:val="0"/>
              <w:jc w:val="center"/>
              <w:rPr>
                <w:color w:val="auto"/>
                <w:sz w:val="24"/>
              </w:rPr>
            </w:pPr>
            <w:r>
              <w:rPr>
                <w:color w:val="auto"/>
                <w:sz w:val="24"/>
              </w:rPr>
              <w:t>是否开工建设</w:t>
            </w:r>
          </w:p>
        </w:tc>
        <w:tc>
          <w:tcPr>
            <w:tcW w:w="1920" w:type="dxa"/>
            <w:vAlign w:val="center"/>
          </w:tcPr>
          <w:p w14:paraId="6AFECFC0">
            <w:pPr>
              <w:adjustRightInd w:val="0"/>
              <w:snapToGrid w:val="0"/>
              <w:rPr>
                <w:color w:val="auto"/>
                <w:sz w:val="24"/>
              </w:rPr>
            </w:pPr>
            <w:r>
              <w:rPr>
                <w:color w:val="auto"/>
                <w:sz w:val="24"/>
              </w:rPr>
              <w:sym w:font="Wingdings 2" w:char="0052"/>
            </w:r>
            <w:r>
              <w:rPr>
                <w:color w:val="auto"/>
                <w:sz w:val="24"/>
              </w:rPr>
              <w:t>否</w:t>
            </w:r>
          </w:p>
          <w:p w14:paraId="774ABF58">
            <w:pPr>
              <w:adjustRightInd w:val="0"/>
              <w:snapToGrid w:val="0"/>
              <w:rPr>
                <w:color w:val="auto"/>
                <w:sz w:val="24"/>
              </w:rPr>
            </w:pPr>
            <w:r>
              <w:rPr>
                <w:color w:val="auto"/>
                <w:sz w:val="24"/>
              </w:rPr>
              <w:sym w:font="Wingdings 2" w:char="00A3"/>
            </w:r>
            <w:r>
              <w:rPr>
                <w:color w:val="auto"/>
                <w:sz w:val="24"/>
              </w:rPr>
              <w:t>是：</w:t>
            </w:r>
            <w:r>
              <w:rPr>
                <w:rFonts w:hint="eastAsia"/>
                <w:color w:val="auto"/>
                <w:sz w:val="24"/>
                <w:u w:val="single"/>
                <w:lang w:val="en-US" w:eastAsia="zh-CN"/>
              </w:rPr>
              <w:t xml:space="preserve">           </w:t>
            </w:r>
          </w:p>
        </w:tc>
        <w:tc>
          <w:tcPr>
            <w:tcW w:w="1700" w:type="dxa"/>
            <w:tcMar>
              <w:top w:w="16" w:type="dxa"/>
              <w:left w:w="16" w:type="dxa"/>
              <w:right w:w="16" w:type="dxa"/>
            </w:tcMar>
            <w:vAlign w:val="center"/>
          </w:tcPr>
          <w:p w14:paraId="62129409">
            <w:pPr>
              <w:adjustRightInd w:val="0"/>
              <w:snapToGrid w:val="0"/>
              <w:jc w:val="center"/>
              <w:rPr>
                <w:color w:val="auto"/>
                <w:spacing w:val="-6"/>
                <w:sz w:val="24"/>
              </w:rPr>
            </w:pPr>
            <w:r>
              <w:rPr>
                <w:color w:val="auto"/>
                <w:spacing w:val="-6"/>
                <w:sz w:val="24"/>
              </w:rPr>
              <w:t>用地（用海）</w:t>
            </w:r>
          </w:p>
          <w:p w14:paraId="304A9143">
            <w:pPr>
              <w:adjustRightInd w:val="0"/>
              <w:snapToGrid w:val="0"/>
              <w:jc w:val="center"/>
              <w:rPr>
                <w:color w:val="auto"/>
                <w:sz w:val="24"/>
              </w:rPr>
            </w:pPr>
            <w:r>
              <w:rPr>
                <w:color w:val="auto"/>
                <w:spacing w:val="-6"/>
                <w:sz w:val="24"/>
              </w:rPr>
              <w:t>面积（m</w:t>
            </w:r>
            <w:r>
              <w:rPr>
                <w:color w:val="auto"/>
                <w:spacing w:val="-6"/>
                <w:sz w:val="24"/>
                <w:vertAlign w:val="superscript"/>
              </w:rPr>
              <w:t>2</w:t>
            </w:r>
            <w:r>
              <w:rPr>
                <w:color w:val="auto"/>
                <w:spacing w:val="-6"/>
                <w:sz w:val="24"/>
              </w:rPr>
              <w:t>）</w:t>
            </w:r>
          </w:p>
        </w:tc>
        <w:tc>
          <w:tcPr>
            <w:tcW w:w="3475" w:type="dxa"/>
            <w:vAlign w:val="center"/>
          </w:tcPr>
          <w:p w14:paraId="1B66B81C">
            <w:pPr>
              <w:adjustRightInd w:val="0"/>
              <w:snapToGrid w:val="0"/>
              <w:jc w:val="center"/>
              <w:rPr>
                <w:rFonts w:hint="default"/>
                <w:color w:val="auto"/>
                <w:sz w:val="24"/>
                <w:lang w:val="en-US"/>
              </w:rPr>
            </w:pPr>
            <w:r>
              <w:rPr>
                <w:rFonts w:hint="eastAsia"/>
                <w:color w:val="auto"/>
                <w:sz w:val="24"/>
                <w:lang w:val="en-US" w:eastAsia="zh-CN"/>
              </w:rPr>
              <w:t>6915</w:t>
            </w:r>
          </w:p>
        </w:tc>
      </w:tr>
      <w:tr w14:paraId="09CC65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14:paraId="7948DE67">
            <w:pPr>
              <w:autoSpaceDE w:val="0"/>
              <w:autoSpaceDN w:val="0"/>
              <w:adjustRightInd w:val="0"/>
              <w:snapToGrid w:val="0"/>
              <w:jc w:val="center"/>
              <w:rPr>
                <w:color w:val="auto"/>
                <w:kern w:val="0"/>
                <w:sz w:val="24"/>
              </w:rPr>
            </w:pPr>
            <w:r>
              <w:rPr>
                <w:color w:val="auto"/>
                <w:kern w:val="0"/>
                <w:sz w:val="24"/>
              </w:rPr>
              <w:t>专项评价设置情况</w:t>
            </w:r>
          </w:p>
        </w:tc>
        <w:tc>
          <w:tcPr>
            <w:tcW w:w="8105" w:type="dxa"/>
            <w:gridSpan w:val="4"/>
            <w:vAlign w:val="center"/>
          </w:tcPr>
          <w:p w14:paraId="6FBD1F84">
            <w:pPr>
              <w:autoSpaceDE w:val="0"/>
              <w:autoSpaceDN w:val="0"/>
              <w:adjustRightInd w:val="0"/>
              <w:snapToGrid w:val="0"/>
              <w:spacing w:line="288" w:lineRule="auto"/>
              <w:ind w:firstLine="480" w:firstLineChars="200"/>
              <w:rPr>
                <w:color w:val="auto"/>
                <w:kern w:val="0"/>
                <w:sz w:val="24"/>
              </w:rPr>
            </w:pPr>
            <w:r>
              <w:rPr>
                <w:color w:val="auto"/>
                <w:kern w:val="0"/>
                <w:sz w:val="24"/>
              </w:rPr>
              <w:t>项目专项评价判定情况如下表所示。</w:t>
            </w:r>
          </w:p>
          <w:p w14:paraId="6A004AC2">
            <w:pPr>
              <w:autoSpaceDE w:val="0"/>
              <w:autoSpaceDN w:val="0"/>
              <w:adjustRightInd w:val="0"/>
              <w:snapToGrid w:val="0"/>
              <w:jc w:val="center"/>
              <w:rPr>
                <w:color w:val="auto"/>
                <w:kern w:val="0"/>
                <w:szCs w:val="21"/>
              </w:rPr>
            </w:pPr>
            <w:r>
              <w:rPr>
                <w:b/>
                <w:bCs/>
                <w:color w:val="auto"/>
                <w:kern w:val="0"/>
                <w:szCs w:val="21"/>
              </w:rPr>
              <w:t>表1-1   项目专项评价判定表</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3062"/>
              <w:gridCol w:w="3262"/>
              <w:gridCol w:w="786"/>
            </w:tblGrid>
            <w:tr w14:paraId="016C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vAlign w:val="center"/>
                </w:tcPr>
                <w:p w14:paraId="095E6EA1">
                  <w:pPr>
                    <w:autoSpaceDE w:val="0"/>
                    <w:autoSpaceDN w:val="0"/>
                    <w:adjustRightInd w:val="0"/>
                    <w:snapToGrid w:val="0"/>
                    <w:jc w:val="center"/>
                    <w:rPr>
                      <w:b/>
                      <w:bCs/>
                      <w:color w:val="auto"/>
                      <w:kern w:val="0"/>
                      <w:szCs w:val="21"/>
                    </w:rPr>
                  </w:pPr>
                  <w:r>
                    <w:rPr>
                      <w:b/>
                      <w:bCs/>
                      <w:color w:val="auto"/>
                      <w:kern w:val="0"/>
                      <w:szCs w:val="21"/>
                    </w:rPr>
                    <w:t>专项评价</w:t>
                  </w:r>
                  <w:r>
                    <w:rPr>
                      <w:rFonts w:hint="eastAsia"/>
                      <w:b/>
                      <w:bCs/>
                      <w:color w:val="auto"/>
                      <w:kern w:val="0"/>
                      <w:szCs w:val="21"/>
                    </w:rPr>
                    <w:t>类别</w:t>
                  </w:r>
                </w:p>
              </w:tc>
              <w:tc>
                <w:tcPr>
                  <w:tcW w:w="1944" w:type="pct"/>
                  <w:vAlign w:val="center"/>
                </w:tcPr>
                <w:p w14:paraId="583F1D64">
                  <w:pPr>
                    <w:autoSpaceDE w:val="0"/>
                    <w:autoSpaceDN w:val="0"/>
                    <w:adjustRightInd w:val="0"/>
                    <w:snapToGrid w:val="0"/>
                    <w:jc w:val="center"/>
                    <w:rPr>
                      <w:b/>
                      <w:bCs/>
                      <w:color w:val="auto"/>
                      <w:kern w:val="0"/>
                      <w:szCs w:val="21"/>
                    </w:rPr>
                  </w:pPr>
                  <w:r>
                    <w:rPr>
                      <w:b/>
                      <w:bCs/>
                      <w:color w:val="auto"/>
                      <w:kern w:val="0"/>
                      <w:szCs w:val="21"/>
                    </w:rPr>
                    <w:t>设置原则</w:t>
                  </w:r>
                </w:p>
              </w:tc>
              <w:tc>
                <w:tcPr>
                  <w:tcW w:w="2071" w:type="pct"/>
                  <w:vAlign w:val="center"/>
                </w:tcPr>
                <w:p w14:paraId="63EDE6B2">
                  <w:pPr>
                    <w:autoSpaceDE w:val="0"/>
                    <w:autoSpaceDN w:val="0"/>
                    <w:adjustRightInd w:val="0"/>
                    <w:snapToGrid w:val="0"/>
                    <w:jc w:val="center"/>
                    <w:rPr>
                      <w:b/>
                      <w:bCs/>
                      <w:color w:val="auto"/>
                      <w:kern w:val="0"/>
                      <w:szCs w:val="21"/>
                    </w:rPr>
                  </w:pPr>
                  <w:r>
                    <w:rPr>
                      <w:b/>
                      <w:bCs/>
                      <w:color w:val="auto"/>
                      <w:kern w:val="0"/>
                      <w:szCs w:val="21"/>
                    </w:rPr>
                    <w:t>本项目情况</w:t>
                  </w:r>
                </w:p>
              </w:tc>
              <w:tc>
                <w:tcPr>
                  <w:tcW w:w="497" w:type="pct"/>
                  <w:vAlign w:val="center"/>
                </w:tcPr>
                <w:p w14:paraId="592D4A5E">
                  <w:pPr>
                    <w:autoSpaceDE w:val="0"/>
                    <w:autoSpaceDN w:val="0"/>
                    <w:adjustRightInd w:val="0"/>
                    <w:snapToGrid w:val="0"/>
                    <w:jc w:val="center"/>
                    <w:rPr>
                      <w:b/>
                      <w:bCs/>
                      <w:color w:val="auto"/>
                      <w:kern w:val="0"/>
                      <w:szCs w:val="21"/>
                    </w:rPr>
                  </w:pPr>
                  <w:r>
                    <w:rPr>
                      <w:b/>
                      <w:bCs/>
                      <w:color w:val="auto"/>
                      <w:kern w:val="0"/>
                      <w:szCs w:val="21"/>
                    </w:rPr>
                    <w:t>是否设置专项评价</w:t>
                  </w:r>
                </w:p>
              </w:tc>
            </w:tr>
            <w:tr w14:paraId="0569B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vAlign w:val="center"/>
                </w:tcPr>
                <w:p w14:paraId="5A46887B">
                  <w:pPr>
                    <w:tabs>
                      <w:tab w:val="left" w:pos="3255"/>
                    </w:tabs>
                    <w:jc w:val="center"/>
                    <w:rPr>
                      <w:color w:val="auto"/>
                      <w:szCs w:val="21"/>
                    </w:rPr>
                  </w:pPr>
                  <w:r>
                    <w:rPr>
                      <w:color w:val="auto"/>
                      <w:szCs w:val="21"/>
                    </w:rPr>
                    <w:t>大气</w:t>
                  </w:r>
                </w:p>
              </w:tc>
              <w:tc>
                <w:tcPr>
                  <w:tcW w:w="1944" w:type="pct"/>
                  <w:vAlign w:val="center"/>
                </w:tcPr>
                <w:p w14:paraId="18708D6A">
                  <w:pPr>
                    <w:autoSpaceDE w:val="0"/>
                    <w:autoSpaceDN w:val="0"/>
                    <w:adjustRightInd w:val="0"/>
                    <w:snapToGrid w:val="0"/>
                    <w:jc w:val="center"/>
                    <w:rPr>
                      <w:color w:val="auto"/>
                      <w:szCs w:val="21"/>
                    </w:rPr>
                  </w:pPr>
                  <w:r>
                    <w:rPr>
                      <w:color w:val="auto"/>
                      <w:kern w:val="0"/>
                      <w:szCs w:val="21"/>
                    </w:rPr>
                    <w:t>排放废气含有毒有害污染物</w:t>
                  </w:r>
                  <w:r>
                    <w:rPr>
                      <w:color w:val="auto"/>
                      <w:kern w:val="0"/>
                      <w:szCs w:val="21"/>
                      <w:vertAlign w:val="superscript"/>
                    </w:rPr>
                    <w:t>1</w:t>
                  </w:r>
                  <w:r>
                    <w:rPr>
                      <w:color w:val="auto"/>
                      <w:kern w:val="0"/>
                      <w:szCs w:val="21"/>
                    </w:rPr>
                    <w:t>、二噁英、苯并[a]芘、氰化物、氯气且厂界500m范围内有环境空气保护目标</w:t>
                  </w:r>
                  <w:r>
                    <w:rPr>
                      <w:color w:val="auto"/>
                      <w:kern w:val="0"/>
                      <w:szCs w:val="21"/>
                      <w:vertAlign w:val="superscript"/>
                    </w:rPr>
                    <w:t>2</w:t>
                  </w:r>
                  <w:r>
                    <w:rPr>
                      <w:color w:val="auto"/>
                      <w:kern w:val="0"/>
                      <w:szCs w:val="21"/>
                    </w:rPr>
                    <w:t>的建设项目。</w:t>
                  </w:r>
                </w:p>
              </w:tc>
              <w:tc>
                <w:tcPr>
                  <w:tcW w:w="2071" w:type="pct"/>
                  <w:vAlign w:val="center"/>
                </w:tcPr>
                <w:p w14:paraId="010CAA9D">
                  <w:pPr>
                    <w:autoSpaceDE w:val="0"/>
                    <w:autoSpaceDN w:val="0"/>
                    <w:adjustRightInd w:val="0"/>
                    <w:snapToGrid w:val="0"/>
                    <w:jc w:val="center"/>
                    <w:rPr>
                      <w:color w:val="auto"/>
                      <w:kern w:val="0"/>
                      <w:szCs w:val="21"/>
                    </w:rPr>
                  </w:pPr>
                  <w:r>
                    <w:rPr>
                      <w:color w:val="auto"/>
                      <w:kern w:val="0"/>
                      <w:szCs w:val="21"/>
                    </w:rPr>
                    <w:t>项目排放废气主要为颗粒物</w:t>
                  </w:r>
                  <w:r>
                    <w:rPr>
                      <w:rFonts w:hint="eastAsia"/>
                      <w:color w:val="auto"/>
                      <w:kern w:val="0"/>
                      <w:szCs w:val="21"/>
                      <w:lang w:eastAsia="zh-CN"/>
                    </w:rPr>
                    <w:t>、非甲烷总烃、臭气浓度</w:t>
                  </w:r>
                  <w:r>
                    <w:rPr>
                      <w:rFonts w:hint="eastAsia"/>
                      <w:bCs/>
                      <w:color w:val="auto"/>
                      <w:spacing w:val="-10"/>
                      <w:szCs w:val="21"/>
                    </w:rPr>
                    <w:t>等</w:t>
                  </w:r>
                  <w:r>
                    <w:rPr>
                      <w:color w:val="auto"/>
                      <w:kern w:val="0"/>
                      <w:szCs w:val="21"/>
                    </w:rPr>
                    <w:t>，不排放含有毒有害污染物、二噁英、苯并[a]芘、氰化物、氯气等废气。</w:t>
                  </w:r>
                </w:p>
              </w:tc>
              <w:tc>
                <w:tcPr>
                  <w:tcW w:w="497" w:type="pct"/>
                  <w:vAlign w:val="center"/>
                </w:tcPr>
                <w:p w14:paraId="44B1F726">
                  <w:pPr>
                    <w:autoSpaceDE w:val="0"/>
                    <w:autoSpaceDN w:val="0"/>
                    <w:adjustRightInd w:val="0"/>
                    <w:snapToGrid w:val="0"/>
                    <w:jc w:val="center"/>
                    <w:rPr>
                      <w:color w:val="auto"/>
                      <w:kern w:val="0"/>
                      <w:szCs w:val="21"/>
                    </w:rPr>
                  </w:pPr>
                  <w:r>
                    <w:rPr>
                      <w:color w:val="auto"/>
                      <w:kern w:val="0"/>
                      <w:szCs w:val="21"/>
                    </w:rPr>
                    <w:t>否</w:t>
                  </w:r>
                </w:p>
              </w:tc>
            </w:tr>
            <w:tr w14:paraId="60461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vAlign w:val="center"/>
                </w:tcPr>
                <w:p w14:paraId="136D535D">
                  <w:pPr>
                    <w:autoSpaceDE w:val="0"/>
                    <w:autoSpaceDN w:val="0"/>
                    <w:adjustRightInd w:val="0"/>
                    <w:snapToGrid w:val="0"/>
                    <w:jc w:val="center"/>
                    <w:rPr>
                      <w:color w:val="auto"/>
                      <w:kern w:val="0"/>
                      <w:szCs w:val="21"/>
                    </w:rPr>
                  </w:pPr>
                  <w:r>
                    <w:rPr>
                      <w:color w:val="auto"/>
                      <w:kern w:val="0"/>
                      <w:szCs w:val="21"/>
                    </w:rPr>
                    <w:t>地表水</w:t>
                  </w:r>
                </w:p>
              </w:tc>
              <w:tc>
                <w:tcPr>
                  <w:tcW w:w="1944" w:type="pct"/>
                  <w:vAlign w:val="center"/>
                </w:tcPr>
                <w:p w14:paraId="6C415C94">
                  <w:pPr>
                    <w:autoSpaceDE w:val="0"/>
                    <w:autoSpaceDN w:val="0"/>
                    <w:adjustRightInd w:val="0"/>
                    <w:snapToGrid w:val="0"/>
                    <w:jc w:val="center"/>
                    <w:rPr>
                      <w:color w:val="auto"/>
                      <w:kern w:val="0"/>
                      <w:szCs w:val="21"/>
                    </w:rPr>
                  </w:pPr>
                  <w:r>
                    <w:rPr>
                      <w:color w:val="auto"/>
                      <w:kern w:val="0"/>
                      <w:szCs w:val="21"/>
                    </w:rPr>
                    <w:t>新增工业废水直排建设项目（槽罐车外送污水处理厂的除外）；新增废水直排的污水集中处理厂。</w:t>
                  </w:r>
                </w:p>
              </w:tc>
              <w:tc>
                <w:tcPr>
                  <w:tcW w:w="2071" w:type="pct"/>
                  <w:vAlign w:val="center"/>
                </w:tcPr>
                <w:p w14:paraId="594A33D9">
                  <w:pPr>
                    <w:pStyle w:val="83"/>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right="0" w:firstLine="420" w:firstLineChars="200"/>
                    <w:textAlignment w:val="auto"/>
                    <w:rPr>
                      <w:color w:val="auto"/>
                      <w:szCs w:val="21"/>
                    </w:rPr>
                  </w:pPr>
                  <w:r>
                    <w:rPr>
                      <w:rFonts w:ascii="Times New Roman" w:hAnsi="Times New Roman" w:eastAsia="宋体" w:cs="Times New Roman"/>
                      <w:color w:val="auto"/>
                      <w:kern w:val="0"/>
                      <w:sz w:val="21"/>
                      <w:szCs w:val="21"/>
                      <w:lang w:val="en-US" w:eastAsia="zh-CN" w:bidi="ar-SA"/>
                    </w:rPr>
                    <w:t>项目排水采用雨污分流的排水方式，项目区建筑物屋面及地面雨水经厂区雨水沟收集后排入园区雨水市政管网；冷却水经冷却循环</w:t>
                  </w:r>
                  <w:r>
                    <w:rPr>
                      <w:rFonts w:hint="eastAsia" w:ascii="Times New Roman" w:hAnsi="Times New Roman" w:eastAsia="宋体" w:cs="Times New Roman"/>
                      <w:color w:val="auto"/>
                      <w:kern w:val="0"/>
                      <w:sz w:val="21"/>
                      <w:szCs w:val="21"/>
                      <w:lang w:val="en-US" w:eastAsia="zh-CN" w:bidi="ar-SA"/>
                    </w:rPr>
                    <w:t>水箱</w:t>
                  </w:r>
                  <w:r>
                    <w:rPr>
                      <w:rFonts w:ascii="Times New Roman" w:hAnsi="Times New Roman" w:eastAsia="宋体" w:cs="Times New Roman"/>
                      <w:color w:val="auto"/>
                      <w:kern w:val="0"/>
                      <w:sz w:val="21"/>
                      <w:szCs w:val="21"/>
                      <w:lang w:val="en-US" w:eastAsia="zh-CN" w:bidi="ar-SA"/>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达到</w:t>
                  </w:r>
                  <w:r>
                    <w:rPr>
                      <w:rFonts w:hint="default" w:ascii="Times New Roman" w:hAnsi="Times New Roman" w:eastAsia="宋体" w:cs="Times New Roman"/>
                      <w:b w:val="0"/>
                      <w:bCs w:val="0"/>
                      <w:color w:val="auto"/>
                      <w:sz w:val="21"/>
                      <w:szCs w:val="21"/>
                      <w:highlight w:val="none"/>
                      <w:lang w:val="en-US" w:eastAsia="zh-CN"/>
                    </w:rPr>
                    <w:t>《城市污水再生利用 城市杂用水水质》（GB/T18920-2020）中的城市绿化、道路清扫、消防、建筑施工标准后，用于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tc>
              <w:tc>
                <w:tcPr>
                  <w:tcW w:w="497" w:type="pct"/>
                  <w:vAlign w:val="center"/>
                </w:tcPr>
                <w:p w14:paraId="0BEF0593">
                  <w:pPr>
                    <w:autoSpaceDE w:val="0"/>
                    <w:autoSpaceDN w:val="0"/>
                    <w:adjustRightInd w:val="0"/>
                    <w:snapToGrid w:val="0"/>
                    <w:jc w:val="center"/>
                    <w:rPr>
                      <w:color w:val="auto"/>
                      <w:kern w:val="0"/>
                      <w:szCs w:val="21"/>
                    </w:rPr>
                  </w:pPr>
                  <w:r>
                    <w:rPr>
                      <w:color w:val="auto"/>
                      <w:kern w:val="0"/>
                      <w:szCs w:val="21"/>
                    </w:rPr>
                    <w:t>否</w:t>
                  </w:r>
                </w:p>
              </w:tc>
            </w:tr>
            <w:tr w14:paraId="63F5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vAlign w:val="center"/>
                </w:tcPr>
                <w:p w14:paraId="772B512E">
                  <w:pPr>
                    <w:autoSpaceDE w:val="0"/>
                    <w:autoSpaceDN w:val="0"/>
                    <w:adjustRightInd w:val="0"/>
                    <w:snapToGrid w:val="0"/>
                    <w:jc w:val="center"/>
                    <w:rPr>
                      <w:color w:val="auto"/>
                      <w:kern w:val="0"/>
                      <w:szCs w:val="21"/>
                    </w:rPr>
                  </w:pPr>
                  <w:r>
                    <w:rPr>
                      <w:color w:val="auto"/>
                      <w:kern w:val="0"/>
                      <w:szCs w:val="21"/>
                    </w:rPr>
                    <w:t>环境风险</w:t>
                  </w:r>
                </w:p>
              </w:tc>
              <w:tc>
                <w:tcPr>
                  <w:tcW w:w="1944" w:type="pct"/>
                  <w:vAlign w:val="center"/>
                </w:tcPr>
                <w:p w14:paraId="6BD92E87">
                  <w:pPr>
                    <w:autoSpaceDE w:val="0"/>
                    <w:autoSpaceDN w:val="0"/>
                    <w:adjustRightInd w:val="0"/>
                    <w:snapToGrid w:val="0"/>
                    <w:jc w:val="center"/>
                    <w:rPr>
                      <w:color w:val="auto"/>
                      <w:kern w:val="0"/>
                      <w:szCs w:val="21"/>
                    </w:rPr>
                  </w:pPr>
                  <w:r>
                    <w:rPr>
                      <w:color w:val="auto"/>
                      <w:kern w:val="0"/>
                      <w:szCs w:val="21"/>
                    </w:rPr>
                    <w:t>有毒有害和易燃易爆危险物质存储量超过临界量</w:t>
                  </w:r>
                  <w:r>
                    <w:rPr>
                      <w:color w:val="auto"/>
                      <w:kern w:val="0"/>
                      <w:szCs w:val="21"/>
                      <w:vertAlign w:val="superscript"/>
                    </w:rPr>
                    <w:t>3</w:t>
                  </w:r>
                  <w:r>
                    <w:rPr>
                      <w:color w:val="auto"/>
                      <w:kern w:val="0"/>
                      <w:szCs w:val="21"/>
                    </w:rPr>
                    <w:t>的建设项目。</w:t>
                  </w:r>
                </w:p>
              </w:tc>
              <w:tc>
                <w:tcPr>
                  <w:tcW w:w="2071" w:type="pct"/>
                  <w:vAlign w:val="center"/>
                </w:tcPr>
                <w:p w14:paraId="1100B5D8">
                  <w:pPr>
                    <w:autoSpaceDE w:val="0"/>
                    <w:autoSpaceDN w:val="0"/>
                    <w:adjustRightInd w:val="0"/>
                    <w:snapToGrid w:val="0"/>
                    <w:jc w:val="center"/>
                    <w:rPr>
                      <w:color w:val="auto"/>
                      <w:kern w:val="0"/>
                      <w:szCs w:val="21"/>
                    </w:rPr>
                  </w:pPr>
                  <w:r>
                    <w:rPr>
                      <w:color w:val="auto"/>
                      <w:kern w:val="0"/>
                      <w:szCs w:val="21"/>
                    </w:rPr>
                    <w:t>项目涉及有毒有害和易燃易爆危险物质</w:t>
                  </w:r>
                  <w:r>
                    <w:rPr>
                      <w:rFonts w:hint="eastAsia"/>
                      <w:color w:val="auto"/>
                      <w:kern w:val="0"/>
                      <w:szCs w:val="21"/>
                    </w:rPr>
                    <w:t>为</w:t>
                  </w:r>
                  <w:r>
                    <w:rPr>
                      <w:color w:val="auto"/>
                      <w:kern w:val="0"/>
                      <w:szCs w:val="21"/>
                    </w:rPr>
                    <w:t>废矿物油（废机油</w:t>
                  </w:r>
                  <w:r>
                    <w:rPr>
                      <w:rFonts w:hint="eastAsia"/>
                      <w:color w:val="auto"/>
                      <w:kern w:val="0"/>
                      <w:szCs w:val="21"/>
                    </w:rPr>
                    <w:t>）</w:t>
                  </w:r>
                  <w:r>
                    <w:rPr>
                      <w:rFonts w:hint="eastAsia"/>
                      <w:color w:val="auto"/>
                      <w:kern w:val="0"/>
                      <w:szCs w:val="21"/>
                      <w:highlight w:val="none"/>
                    </w:rPr>
                    <w:t>，Q=</w:t>
                  </w:r>
                  <w:r>
                    <w:rPr>
                      <w:rFonts w:hint="eastAsia"/>
                      <w:color w:val="auto"/>
                      <w:szCs w:val="21"/>
                      <w:highlight w:val="none"/>
                    </w:rPr>
                    <w:t>0.</w:t>
                  </w:r>
                  <w:r>
                    <w:rPr>
                      <w:rFonts w:hint="eastAsia"/>
                      <w:color w:val="auto"/>
                      <w:szCs w:val="21"/>
                      <w:highlight w:val="none"/>
                      <w:lang w:val="en-US" w:eastAsia="zh-CN"/>
                    </w:rPr>
                    <w:t>00016</w:t>
                  </w:r>
                  <w:r>
                    <w:rPr>
                      <w:rFonts w:hint="eastAsia"/>
                      <w:color w:val="auto"/>
                      <w:kern w:val="0"/>
                      <w:szCs w:val="21"/>
                      <w:highlight w:val="none"/>
                    </w:rPr>
                    <w:t>；</w:t>
                  </w:r>
                  <w:r>
                    <w:rPr>
                      <w:color w:val="auto"/>
                      <w:kern w:val="0"/>
                      <w:szCs w:val="21"/>
                    </w:rPr>
                    <w:t>最大暂存量未超过临界量</w:t>
                  </w:r>
                  <w:r>
                    <w:rPr>
                      <w:rFonts w:hint="eastAsia"/>
                      <w:color w:val="auto"/>
                      <w:kern w:val="0"/>
                      <w:szCs w:val="21"/>
                    </w:rPr>
                    <w:t>。</w:t>
                  </w:r>
                </w:p>
              </w:tc>
              <w:tc>
                <w:tcPr>
                  <w:tcW w:w="497" w:type="pct"/>
                  <w:vAlign w:val="center"/>
                </w:tcPr>
                <w:p w14:paraId="3481AB6C">
                  <w:pPr>
                    <w:autoSpaceDE w:val="0"/>
                    <w:autoSpaceDN w:val="0"/>
                    <w:adjustRightInd w:val="0"/>
                    <w:snapToGrid w:val="0"/>
                    <w:jc w:val="center"/>
                    <w:rPr>
                      <w:color w:val="auto"/>
                      <w:kern w:val="0"/>
                      <w:szCs w:val="21"/>
                    </w:rPr>
                  </w:pPr>
                  <w:r>
                    <w:rPr>
                      <w:color w:val="auto"/>
                      <w:kern w:val="0"/>
                      <w:szCs w:val="21"/>
                    </w:rPr>
                    <w:t>否</w:t>
                  </w:r>
                </w:p>
              </w:tc>
            </w:tr>
            <w:tr w14:paraId="10BFF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vAlign w:val="center"/>
                </w:tcPr>
                <w:p w14:paraId="48997C1E">
                  <w:pPr>
                    <w:autoSpaceDE w:val="0"/>
                    <w:autoSpaceDN w:val="0"/>
                    <w:adjustRightInd w:val="0"/>
                    <w:snapToGrid w:val="0"/>
                    <w:jc w:val="center"/>
                    <w:rPr>
                      <w:color w:val="auto"/>
                      <w:kern w:val="0"/>
                      <w:szCs w:val="21"/>
                    </w:rPr>
                  </w:pPr>
                  <w:r>
                    <w:rPr>
                      <w:color w:val="auto"/>
                      <w:kern w:val="0"/>
                      <w:szCs w:val="21"/>
                    </w:rPr>
                    <w:t>生态</w:t>
                  </w:r>
                </w:p>
              </w:tc>
              <w:tc>
                <w:tcPr>
                  <w:tcW w:w="1944" w:type="pct"/>
                  <w:vAlign w:val="center"/>
                </w:tcPr>
                <w:p w14:paraId="10AD0D4F">
                  <w:pPr>
                    <w:autoSpaceDE w:val="0"/>
                    <w:autoSpaceDN w:val="0"/>
                    <w:adjustRightInd w:val="0"/>
                    <w:snapToGrid w:val="0"/>
                    <w:jc w:val="center"/>
                    <w:rPr>
                      <w:color w:val="auto"/>
                      <w:kern w:val="0"/>
                      <w:szCs w:val="21"/>
                    </w:rPr>
                  </w:pPr>
                  <w:r>
                    <w:rPr>
                      <w:color w:val="auto"/>
                      <w:kern w:val="0"/>
                      <w:szCs w:val="21"/>
                    </w:rPr>
                    <w:t>取水口下游500米范围内有重要水生生物的自然产卵场、索饵场、越冬场和洄游通道的新增河道取水的污染类建设项目。</w:t>
                  </w:r>
                </w:p>
              </w:tc>
              <w:tc>
                <w:tcPr>
                  <w:tcW w:w="2071" w:type="pct"/>
                  <w:vAlign w:val="center"/>
                </w:tcPr>
                <w:p w14:paraId="775084CA">
                  <w:pPr>
                    <w:autoSpaceDE w:val="0"/>
                    <w:autoSpaceDN w:val="0"/>
                    <w:adjustRightInd w:val="0"/>
                    <w:snapToGrid w:val="0"/>
                    <w:jc w:val="center"/>
                    <w:rPr>
                      <w:color w:val="auto"/>
                      <w:kern w:val="0"/>
                      <w:szCs w:val="21"/>
                    </w:rPr>
                  </w:pPr>
                  <w:r>
                    <w:rPr>
                      <w:color w:val="auto"/>
                      <w:kern w:val="0"/>
                      <w:szCs w:val="21"/>
                    </w:rPr>
                    <w:t>本项目不涉及此项情况。</w:t>
                  </w:r>
                </w:p>
              </w:tc>
              <w:tc>
                <w:tcPr>
                  <w:tcW w:w="497" w:type="pct"/>
                  <w:vAlign w:val="center"/>
                </w:tcPr>
                <w:p w14:paraId="50B79B37">
                  <w:pPr>
                    <w:autoSpaceDE w:val="0"/>
                    <w:autoSpaceDN w:val="0"/>
                    <w:adjustRightInd w:val="0"/>
                    <w:snapToGrid w:val="0"/>
                    <w:jc w:val="center"/>
                    <w:rPr>
                      <w:color w:val="auto"/>
                      <w:kern w:val="0"/>
                      <w:szCs w:val="21"/>
                    </w:rPr>
                  </w:pPr>
                  <w:r>
                    <w:rPr>
                      <w:color w:val="auto"/>
                      <w:kern w:val="0"/>
                      <w:szCs w:val="21"/>
                    </w:rPr>
                    <w:t>否</w:t>
                  </w:r>
                </w:p>
              </w:tc>
            </w:tr>
            <w:tr w14:paraId="35F7B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pct"/>
                  <w:vAlign w:val="center"/>
                </w:tcPr>
                <w:p w14:paraId="5C565135">
                  <w:pPr>
                    <w:autoSpaceDE w:val="0"/>
                    <w:autoSpaceDN w:val="0"/>
                    <w:adjustRightInd w:val="0"/>
                    <w:snapToGrid w:val="0"/>
                    <w:jc w:val="center"/>
                    <w:rPr>
                      <w:color w:val="auto"/>
                      <w:kern w:val="0"/>
                      <w:szCs w:val="21"/>
                    </w:rPr>
                  </w:pPr>
                  <w:r>
                    <w:rPr>
                      <w:color w:val="auto"/>
                      <w:kern w:val="0"/>
                      <w:szCs w:val="21"/>
                    </w:rPr>
                    <w:t>海洋</w:t>
                  </w:r>
                </w:p>
              </w:tc>
              <w:tc>
                <w:tcPr>
                  <w:tcW w:w="1944" w:type="pct"/>
                  <w:vAlign w:val="center"/>
                </w:tcPr>
                <w:p w14:paraId="0D9B2255">
                  <w:pPr>
                    <w:autoSpaceDE w:val="0"/>
                    <w:autoSpaceDN w:val="0"/>
                    <w:adjustRightInd w:val="0"/>
                    <w:snapToGrid w:val="0"/>
                    <w:jc w:val="center"/>
                    <w:rPr>
                      <w:color w:val="auto"/>
                      <w:kern w:val="0"/>
                      <w:szCs w:val="21"/>
                    </w:rPr>
                  </w:pPr>
                  <w:r>
                    <w:rPr>
                      <w:color w:val="auto"/>
                      <w:kern w:val="0"/>
                      <w:szCs w:val="21"/>
                    </w:rPr>
                    <w:t>直接向海排放污染物的海洋工程建设项目。</w:t>
                  </w:r>
                </w:p>
              </w:tc>
              <w:tc>
                <w:tcPr>
                  <w:tcW w:w="2071" w:type="pct"/>
                  <w:vAlign w:val="center"/>
                </w:tcPr>
                <w:p w14:paraId="42BB59BE">
                  <w:pPr>
                    <w:autoSpaceDE w:val="0"/>
                    <w:autoSpaceDN w:val="0"/>
                    <w:adjustRightInd w:val="0"/>
                    <w:snapToGrid w:val="0"/>
                    <w:jc w:val="center"/>
                    <w:rPr>
                      <w:color w:val="auto"/>
                      <w:kern w:val="0"/>
                      <w:szCs w:val="21"/>
                    </w:rPr>
                  </w:pPr>
                  <w:r>
                    <w:rPr>
                      <w:color w:val="auto"/>
                      <w:kern w:val="0"/>
                      <w:szCs w:val="21"/>
                    </w:rPr>
                    <w:t>项目不属于海洋工程建设项目，不向海洋排放污染物。</w:t>
                  </w:r>
                </w:p>
              </w:tc>
              <w:tc>
                <w:tcPr>
                  <w:tcW w:w="497" w:type="pct"/>
                  <w:vAlign w:val="center"/>
                </w:tcPr>
                <w:p w14:paraId="290483A7">
                  <w:pPr>
                    <w:autoSpaceDE w:val="0"/>
                    <w:autoSpaceDN w:val="0"/>
                    <w:adjustRightInd w:val="0"/>
                    <w:snapToGrid w:val="0"/>
                    <w:jc w:val="center"/>
                    <w:rPr>
                      <w:color w:val="auto"/>
                      <w:kern w:val="0"/>
                      <w:szCs w:val="21"/>
                    </w:rPr>
                  </w:pPr>
                  <w:r>
                    <w:rPr>
                      <w:color w:val="auto"/>
                      <w:kern w:val="0"/>
                      <w:szCs w:val="21"/>
                    </w:rPr>
                    <w:t>否</w:t>
                  </w:r>
                </w:p>
              </w:tc>
            </w:tr>
            <w:tr w14:paraId="0DD56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4E69DEE4">
                  <w:pPr>
                    <w:autoSpaceDE w:val="0"/>
                    <w:autoSpaceDN w:val="0"/>
                    <w:adjustRightInd w:val="0"/>
                    <w:snapToGrid w:val="0"/>
                    <w:jc w:val="left"/>
                    <w:rPr>
                      <w:color w:val="auto"/>
                      <w:kern w:val="0"/>
                      <w:szCs w:val="21"/>
                    </w:rPr>
                  </w:pPr>
                  <w:r>
                    <w:rPr>
                      <w:color w:val="auto"/>
                      <w:kern w:val="0"/>
                      <w:szCs w:val="21"/>
                    </w:rPr>
                    <w:t>注：1.废气中有毒有害污染物指纳入《有毒有害大气污染物名录》的污染物（不包括无排放标准的污染物）。</w:t>
                  </w:r>
                </w:p>
                <w:p w14:paraId="74A80798">
                  <w:pPr>
                    <w:autoSpaceDE w:val="0"/>
                    <w:autoSpaceDN w:val="0"/>
                    <w:adjustRightInd w:val="0"/>
                    <w:snapToGrid w:val="0"/>
                    <w:jc w:val="left"/>
                    <w:rPr>
                      <w:color w:val="auto"/>
                      <w:kern w:val="0"/>
                      <w:szCs w:val="21"/>
                    </w:rPr>
                  </w:pPr>
                  <w:r>
                    <w:rPr>
                      <w:color w:val="auto"/>
                      <w:kern w:val="0"/>
                      <w:szCs w:val="21"/>
                    </w:rPr>
                    <w:t>2.环境空气保护目标指自然保护区、风景名胜区、居住区、文化区和农村地区中人群较集中的区域。</w:t>
                  </w:r>
                </w:p>
                <w:p w14:paraId="38418BC2">
                  <w:pPr>
                    <w:autoSpaceDE w:val="0"/>
                    <w:autoSpaceDN w:val="0"/>
                    <w:adjustRightInd w:val="0"/>
                    <w:snapToGrid w:val="0"/>
                    <w:jc w:val="left"/>
                    <w:rPr>
                      <w:color w:val="auto"/>
                      <w:kern w:val="0"/>
                      <w:szCs w:val="21"/>
                    </w:rPr>
                  </w:pPr>
                  <w:r>
                    <w:rPr>
                      <w:color w:val="auto"/>
                      <w:kern w:val="0"/>
                      <w:szCs w:val="21"/>
                    </w:rPr>
                    <w:t>3.临界量及其计算方法可参考《建设项目环境风险评价技术导则》（HJ 169）附录B、附录C.。</w:t>
                  </w:r>
                </w:p>
              </w:tc>
            </w:tr>
          </w:tbl>
          <w:p w14:paraId="10958E41">
            <w:pPr>
              <w:adjustRightInd w:val="0"/>
              <w:snapToGrid w:val="0"/>
              <w:spacing w:line="356" w:lineRule="auto"/>
              <w:ind w:firstLine="480" w:firstLineChars="200"/>
              <w:rPr>
                <w:color w:val="auto"/>
                <w:kern w:val="0"/>
                <w:sz w:val="24"/>
              </w:rPr>
            </w:pPr>
            <w:r>
              <w:rPr>
                <w:color w:val="auto"/>
                <w:kern w:val="0"/>
                <w:sz w:val="24"/>
              </w:rPr>
              <w:t>由上表可知，本项目不设置专项评价。</w:t>
            </w:r>
          </w:p>
        </w:tc>
      </w:tr>
      <w:tr w14:paraId="5B7C09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4" w:type="dxa"/>
            <w:vAlign w:val="center"/>
          </w:tcPr>
          <w:p w14:paraId="1EAE2DFA">
            <w:pPr>
              <w:autoSpaceDE w:val="0"/>
              <w:autoSpaceDN w:val="0"/>
              <w:adjustRightInd w:val="0"/>
              <w:snapToGrid w:val="0"/>
              <w:jc w:val="center"/>
              <w:rPr>
                <w:color w:val="auto"/>
                <w:kern w:val="0"/>
                <w:sz w:val="24"/>
              </w:rPr>
            </w:pPr>
            <w:r>
              <w:rPr>
                <w:color w:val="auto"/>
                <w:sz w:val="24"/>
              </w:rPr>
              <w:t>规划情况</w:t>
            </w:r>
          </w:p>
        </w:tc>
        <w:tc>
          <w:tcPr>
            <w:tcW w:w="8105" w:type="dxa"/>
            <w:gridSpan w:val="4"/>
            <w:vAlign w:val="center"/>
          </w:tcPr>
          <w:p w14:paraId="1E38636E">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b/>
                <w:bCs/>
                <w:color w:val="auto"/>
                <w:sz w:val="24"/>
                <w:szCs w:val="24"/>
                <w:lang w:val="en-US" w:eastAsia="zh-CN"/>
              </w:rPr>
              <w:t>规划名称：</w:t>
            </w:r>
            <w:r>
              <w:rPr>
                <w:rFonts w:hint="default" w:ascii="Times New Roman" w:hAnsi="Times New Roman" w:cs="Times New Roman"/>
                <w:color w:val="auto"/>
                <w:sz w:val="24"/>
                <w:szCs w:val="24"/>
                <w:lang w:val="en-US" w:eastAsia="zh-CN"/>
              </w:rPr>
              <w:t>《云南澄江产业园区总体规划【修编】（2021-2035）》</w:t>
            </w:r>
            <w:r>
              <w:rPr>
                <w:rFonts w:hint="eastAsia" w:ascii="Times New Roman" w:hAnsi="Times New Roman" w:cs="Times New Roman"/>
                <w:color w:val="auto"/>
                <w:sz w:val="24"/>
                <w:szCs w:val="24"/>
                <w:lang w:val="en-US" w:eastAsia="zh-CN"/>
              </w:rPr>
              <w:t>；</w:t>
            </w:r>
          </w:p>
          <w:p w14:paraId="0166D700">
            <w:pPr>
              <w:pStyle w:val="17"/>
              <w:keepNext w:val="0"/>
              <w:keepLines w:val="0"/>
              <w:pageBreakBefore w:val="0"/>
              <w:widowControl w:val="0"/>
              <w:kinsoku/>
              <w:wordWrap/>
              <w:overflowPunct/>
              <w:topLinePunct w:val="0"/>
              <w:bidi w:val="0"/>
              <w:spacing w:line="360" w:lineRule="auto"/>
              <w:jc w:val="both"/>
              <w:textAlignment w:val="auto"/>
              <w:rPr>
                <w:rFonts w:hint="eastAsia" w:ascii="Times New Roman" w:hAnsi="Times New Roman" w:cs="Times New Roman"/>
                <w:color w:val="auto"/>
                <w:sz w:val="24"/>
                <w:szCs w:val="24"/>
                <w:lang w:val="en-US" w:eastAsia="zh-CN"/>
              </w:rPr>
            </w:pPr>
            <w:r>
              <w:rPr>
                <w:rFonts w:hint="default" w:ascii="Times New Roman" w:hAnsi="Times New Roman" w:cs="Times New Roman"/>
                <w:b/>
                <w:bCs/>
                <w:color w:val="auto"/>
                <w:sz w:val="24"/>
                <w:szCs w:val="24"/>
                <w:lang w:val="en-US" w:eastAsia="zh-CN"/>
              </w:rPr>
              <w:t>审批机关：</w:t>
            </w:r>
            <w:r>
              <w:rPr>
                <w:rFonts w:hint="default" w:ascii="Times New Roman" w:hAnsi="Times New Roman" w:cs="Times New Roman"/>
                <w:color w:val="auto"/>
                <w:sz w:val="24"/>
                <w:szCs w:val="24"/>
                <w:lang w:val="en-US" w:eastAsia="zh-CN"/>
              </w:rPr>
              <w:t>玉溪市</w:t>
            </w:r>
            <w:r>
              <w:rPr>
                <w:rFonts w:hint="eastAsia" w:ascii="Times New Roman" w:hAnsi="Times New Roman" w:cs="Times New Roman"/>
                <w:color w:val="auto"/>
                <w:sz w:val="24"/>
                <w:szCs w:val="24"/>
                <w:lang w:val="en-US" w:eastAsia="zh-CN"/>
              </w:rPr>
              <w:t>人民政府；</w:t>
            </w:r>
          </w:p>
          <w:p w14:paraId="0CE53396">
            <w:pPr>
              <w:adjustRightInd w:val="0"/>
              <w:snapToGrid w:val="0"/>
              <w:spacing w:line="360" w:lineRule="auto"/>
              <w:rPr>
                <w:color w:val="auto"/>
              </w:rPr>
            </w:pPr>
            <w:r>
              <w:rPr>
                <w:rFonts w:hint="eastAsia"/>
                <w:b/>
                <w:bCs/>
                <w:color w:val="auto"/>
                <w:sz w:val="24"/>
                <w:szCs w:val="24"/>
                <w:highlight w:val="none"/>
                <w:lang w:val="zh-CN" w:eastAsia="zh-CN"/>
              </w:rPr>
              <w:t>审批文件名称及文号：</w:t>
            </w:r>
            <w:r>
              <w:rPr>
                <w:rFonts w:hint="eastAsia"/>
                <w:b w:val="0"/>
                <w:bCs w:val="0"/>
                <w:color w:val="auto"/>
                <w:sz w:val="24"/>
                <w:szCs w:val="24"/>
                <w:highlight w:val="none"/>
                <w:lang w:val="zh-CN" w:eastAsia="zh-CN"/>
              </w:rPr>
              <w:t>《</w:t>
            </w:r>
            <w:r>
              <w:rPr>
                <w:rFonts w:hint="eastAsia" w:ascii="Times New Roman" w:hAnsi="Times New Roman" w:cs="Times New Roman"/>
                <w:b w:val="0"/>
                <w:bCs w:val="0"/>
                <w:color w:val="auto"/>
                <w:sz w:val="24"/>
                <w:szCs w:val="24"/>
                <w:highlight w:val="none"/>
                <w:lang w:val="en-US" w:eastAsia="zh-CN"/>
              </w:rPr>
              <w:t>玉溪市人民政府关于</w:t>
            </w:r>
            <w:r>
              <w:rPr>
                <w:rFonts w:hint="default" w:ascii="Times New Roman" w:hAnsi="Times New Roman" w:cs="Times New Roman"/>
                <w:b w:val="0"/>
                <w:bCs w:val="0"/>
                <w:color w:val="auto"/>
                <w:sz w:val="24"/>
                <w:szCs w:val="24"/>
                <w:lang w:val="en-US" w:eastAsia="zh-CN"/>
              </w:rPr>
              <w:t>云南澄江产业园区总体规划修编（2021-2035）</w:t>
            </w:r>
            <w:r>
              <w:rPr>
                <w:rFonts w:hint="eastAsia" w:ascii="Times New Roman" w:hAnsi="Times New Roman" w:cs="Times New Roman"/>
                <w:color w:val="auto"/>
                <w:sz w:val="24"/>
                <w:szCs w:val="24"/>
                <w:highlight w:val="none"/>
                <w:lang w:val="en-US" w:eastAsia="zh-CN"/>
              </w:rPr>
              <w:t>的批复</w:t>
            </w:r>
            <w:r>
              <w:rPr>
                <w:rFonts w:hint="eastAsia"/>
                <w:b w:val="0"/>
                <w:bCs w:val="0"/>
                <w:color w:val="auto"/>
                <w:sz w:val="24"/>
                <w:szCs w:val="24"/>
                <w:highlight w:val="none"/>
                <w:lang w:val="zh-CN" w:eastAsia="zh-CN"/>
              </w:rPr>
              <w:t>》</w:t>
            </w:r>
            <w:r>
              <w:rPr>
                <w:rFonts w:hint="eastAsia" w:ascii="Times New Roman" w:hAnsi="Times New Roman" w:cs="Times New Roman"/>
                <w:color w:val="auto"/>
                <w:sz w:val="24"/>
                <w:szCs w:val="24"/>
                <w:highlight w:val="none"/>
                <w:lang w:val="en-US" w:eastAsia="zh-CN"/>
              </w:rPr>
              <w:t>（玉政复</w:t>
            </w:r>
            <w:r>
              <w:rPr>
                <w:rFonts w:hint="eastAsia" w:ascii="Times New Roman" w:hAnsi="Times New Roman" w:eastAsia="宋体" w:cs="宋体"/>
                <w:color w:val="auto"/>
                <w:kern w:val="0"/>
                <w:sz w:val="24"/>
                <w:szCs w:val="24"/>
                <w:highlight w:val="none"/>
                <w:lang w:eastAsia="zh-CN"/>
              </w:rPr>
              <w:t>〔20</w:t>
            </w:r>
            <w:r>
              <w:rPr>
                <w:rFonts w:hint="eastAsia" w:ascii="Times New Roman" w:hAnsi="Times New Roman" w:cs="宋体"/>
                <w:color w:val="auto"/>
                <w:kern w:val="0"/>
                <w:sz w:val="24"/>
                <w:szCs w:val="24"/>
                <w:highlight w:val="none"/>
                <w:lang w:val="en-US" w:eastAsia="zh-CN"/>
              </w:rPr>
              <w:t>23</w:t>
            </w:r>
            <w:r>
              <w:rPr>
                <w:rFonts w:hint="eastAsia" w:ascii="Times New Roman" w:hAnsi="Times New Roman" w:eastAsia="宋体" w:cs="宋体"/>
                <w:color w:val="auto"/>
                <w:kern w:val="0"/>
                <w:sz w:val="24"/>
                <w:szCs w:val="24"/>
                <w:highlight w:val="none"/>
                <w:lang w:eastAsia="zh-CN"/>
              </w:rPr>
              <w:t>〕</w:t>
            </w:r>
            <w:r>
              <w:rPr>
                <w:rFonts w:hint="eastAsia" w:cs="宋体"/>
                <w:color w:val="auto"/>
                <w:kern w:val="0"/>
                <w:sz w:val="24"/>
                <w:szCs w:val="24"/>
                <w:highlight w:val="none"/>
                <w:lang w:val="en-US" w:eastAsia="zh-CN"/>
              </w:rPr>
              <w:t>8</w:t>
            </w:r>
            <w:r>
              <w:rPr>
                <w:rFonts w:hint="eastAsia" w:ascii="Times New Roman" w:hAnsi="Times New Roman" w:eastAsia="宋体" w:cs="宋体"/>
                <w:color w:val="auto"/>
                <w:kern w:val="0"/>
                <w:sz w:val="24"/>
                <w:szCs w:val="24"/>
                <w:highlight w:val="none"/>
                <w:lang w:eastAsia="zh-CN"/>
              </w:rPr>
              <w:t>号</w:t>
            </w:r>
            <w:r>
              <w:rPr>
                <w:rFonts w:hint="eastAsia" w:ascii="Times New Roman" w:hAnsi="Times New Roman" w:cs="Times New Roman"/>
                <w:color w:val="auto"/>
                <w:sz w:val="24"/>
                <w:szCs w:val="24"/>
                <w:highlight w:val="none"/>
                <w:lang w:val="en-US" w:eastAsia="zh-CN"/>
              </w:rPr>
              <w:t>）。</w:t>
            </w:r>
          </w:p>
        </w:tc>
      </w:tr>
      <w:tr w14:paraId="7FD87B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24" w:type="dxa"/>
            <w:vAlign w:val="center"/>
          </w:tcPr>
          <w:p w14:paraId="3161ED14">
            <w:pPr>
              <w:adjustRightInd w:val="0"/>
              <w:snapToGrid w:val="0"/>
              <w:jc w:val="center"/>
              <w:rPr>
                <w:color w:val="auto"/>
                <w:sz w:val="24"/>
              </w:rPr>
            </w:pPr>
            <w:r>
              <w:rPr>
                <w:color w:val="auto"/>
                <w:sz w:val="24"/>
              </w:rPr>
              <w:t>规划环境影响</w:t>
            </w:r>
          </w:p>
          <w:p w14:paraId="67F2D4A0">
            <w:pPr>
              <w:adjustRightInd w:val="0"/>
              <w:snapToGrid w:val="0"/>
              <w:jc w:val="center"/>
              <w:rPr>
                <w:color w:val="auto"/>
                <w:kern w:val="0"/>
                <w:sz w:val="24"/>
              </w:rPr>
            </w:pPr>
            <w:r>
              <w:rPr>
                <w:color w:val="auto"/>
                <w:sz w:val="24"/>
              </w:rPr>
              <w:t>评价情况</w:t>
            </w:r>
          </w:p>
        </w:tc>
        <w:tc>
          <w:tcPr>
            <w:tcW w:w="8105" w:type="dxa"/>
            <w:gridSpan w:val="4"/>
            <w:vAlign w:val="center"/>
          </w:tcPr>
          <w:p w14:paraId="72EA177F">
            <w:pPr>
              <w:shd w:val="clear"/>
              <w:autoSpaceDE w:val="0"/>
              <w:autoSpaceDN w:val="0"/>
              <w:adjustRightInd w:val="0"/>
              <w:snapToGrid w:val="0"/>
              <w:spacing w:line="360" w:lineRule="auto"/>
              <w:rPr>
                <w:rFonts w:hint="default" w:ascii="Times New Roman" w:hAnsi="Times New Roman" w:eastAsia="宋体" w:cs="Times New Roman"/>
                <w:bCs/>
                <w:color w:val="auto"/>
                <w:sz w:val="24"/>
                <w:highlight w:val="none"/>
              </w:rPr>
            </w:pPr>
            <w:r>
              <w:rPr>
                <w:rFonts w:hint="default" w:ascii="Times New Roman" w:hAnsi="Times New Roman" w:eastAsia="宋体" w:cs="Times New Roman"/>
                <w:b/>
                <w:bCs/>
                <w:color w:val="auto"/>
                <w:sz w:val="24"/>
                <w:highlight w:val="none"/>
              </w:rPr>
              <w:t>规划环境影响评价文件名称：</w:t>
            </w:r>
            <w:r>
              <w:rPr>
                <w:rFonts w:hint="eastAsia" w:ascii="Times New Roman" w:hAnsi="Times New Roman" w:eastAsia="宋体" w:cs="Times New Roman"/>
                <w:b w:val="0"/>
                <w:bCs w:val="0"/>
                <w:color w:val="auto"/>
                <w:sz w:val="24"/>
                <w:lang w:eastAsia="zh-CN"/>
              </w:rPr>
              <w:t>《</w:t>
            </w:r>
            <w:r>
              <w:rPr>
                <w:rFonts w:hint="default" w:ascii="Times New Roman" w:hAnsi="Times New Roman" w:eastAsia="宋体" w:cs="Times New Roman"/>
                <w:b w:val="0"/>
                <w:bCs w:val="0"/>
                <w:color w:val="auto"/>
                <w:sz w:val="24"/>
              </w:rPr>
              <w:t>云南澄江产业园区总体规划</w:t>
            </w:r>
            <w:r>
              <w:rPr>
                <w:rFonts w:hint="default" w:ascii="Times New Roman" w:hAnsi="Times New Roman" w:cs="Times New Roman"/>
                <w:color w:val="auto"/>
                <w:sz w:val="24"/>
                <w:szCs w:val="24"/>
                <w:lang w:val="en-US" w:eastAsia="zh-CN"/>
              </w:rPr>
              <w:t>【修编】</w:t>
            </w:r>
            <w:r>
              <w:rPr>
                <w:rFonts w:hint="default" w:ascii="Times New Roman" w:hAnsi="Times New Roman" w:eastAsia="宋体" w:cs="Times New Roman"/>
                <w:b w:val="0"/>
                <w:bCs w:val="0"/>
                <w:color w:val="auto"/>
                <w:sz w:val="24"/>
              </w:rPr>
              <w:t>（2021-2035）环境影响报告书</w:t>
            </w:r>
            <w:r>
              <w:rPr>
                <w:rFonts w:hint="eastAsia" w:ascii="Times New Roman" w:hAnsi="Times New Roman" w:eastAsia="宋体" w:cs="Times New Roman"/>
                <w:b w:val="0"/>
                <w:bCs w:val="0"/>
                <w:color w:val="auto"/>
                <w:sz w:val="24"/>
                <w:lang w:eastAsia="zh-CN"/>
              </w:rPr>
              <w:t>》</w:t>
            </w:r>
            <w:r>
              <w:rPr>
                <w:rFonts w:hint="default" w:ascii="Times New Roman" w:hAnsi="Times New Roman" w:eastAsia="宋体" w:cs="Times New Roman"/>
                <w:bCs/>
                <w:color w:val="auto"/>
                <w:sz w:val="24"/>
                <w:highlight w:val="none"/>
              </w:rPr>
              <w:t>；</w:t>
            </w:r>
          </w:p>
          <w:p w14:paraId="2A3BE8AF">
            <w:pPr>
              <w:keepNext w:val="0"/>
              <w:keepLines w:val="0"/>
              <w:pageBreakBefore w:val="0"/>
              <w:widowControl w:val="0"/>
              <w:kinsoku/>
              <w:wordWrap/>
              <w:overflowPunct/>
              <w:topLinePunct w:val="0"/>
              <w:autoSpaceDE w:val="0"/>
              <w:autoSpaceDN w:val="0"/>
              <w:bidi w:val="0"/>
              <w:spacing w:line="360" w:lineRule="auto"/>
              <w:textAlignment w:val="auto"/>
              <w:rPr>
                <w:rFonts w:hint="eastAsia" w:ascii="Times New Roman" w:hAnsi="Times New Roman" w:eastAsia="宋体" w:cs="Times New Roman"/>
                <w:color w:val="auto"/>
                <w:sz w:val="24"/>
                <w:lang w:eastAsia="zh-CN"/>
              </w:rPr>
            </w:pPr>
            <w:r>
              <w:rPr>
                <w:rFonts w:hint="default" w:ascii="Times New Roman" w:hAnsi="Times New Roman" w:eastAsia="宋体" w:cs="Times New Roman"/>
                <w:b/>
                <w:bCs/>
                <w:color w:val="auto"/>
                <w:sz w:val="24"/>
                <w:highlight w:val="none"/>
              </w:rPr>
              <w:t>审查机关：</w:t>
            </w:r>
            <w:r>
              <w:rPr>
                <w:rFonts w:hint="default" w:ascii="Times New Roman" w:hAnsi="Times New Roman" w:eastAsia="宋体" w:cs="Times New Roman"/>
                <w:color w:val="auto"/>
                <w:sz w:val="24"/>
              </w:rPr>
              <w:t>玉溪市生态环境局</w:t>
            </w:r>
            <w:r>
              <w:rPr>
                <w:rFonts w:hint="eastAsia" w:ascii="Times New Roman" w:hAnsi="Times New Roman" w:eastAsia="宋体" w:cs="Times New Roman"/>
                <w:color w:val="auto"/>
                <w:sz w:val="24"/>
                <w:lang w:eastAsia="zh-CN"/>
              </w:rPr>
              <w:t>；</w:t>
            </w:r>
          </w:p>
          <w:p w14:paraId="6E3C07AA">
            <w:pPr>
              <w:autoSpaceDE w:val="0"/>
              <w:autoSpaceDN w:val="0"/>
              <w:adjustRightInd w:val="0"/>
              <w:snapToGrid w:val="0"/>
              <w:spacing w:line="360" w:lineRule="auto"/>
              <w:rPr>
                <w:rFonts w:hint="eastAsia" w:eastAsia="宋体"/>
                <w:color w:val="auto"/>
                <w:sz w:val="24"/>
                <w:lang w:eastAsia="zh-CN"/>
              </w:rPr>
            </w:pPr>
            <w:r>
              <w:rPr>
                <w:rFonts w:hint="default" w:ascii="Times New Roman" w:hAnsi="Times New Roman" w:eastAsia="宋体" w:cs="Times New Roman"/>
                <w:b/>
                <w:bCs/>
                <w:color w:val="auto"/>
                <w:sz w:val="24"/>
              </w:rPr>
              <w:t>审查文件名称及文号：</w:t>
            </w:r>
            <w:r>
              <w:rPr>
                <w:rFonts w:hint="default" w:ascii="Times New Roman" w:hAnsi="Times New Roman" w:eastAsia="宋体" w:cs="Times New Roman"/>
                <w:color w:val="auto"/>
                <w:sz w:val="24"/>
              </w:rPr>
              <w:t>《玉溪市</w:t>
            </w:r>
            <w:r>
              <w:rPr>
                <w:rFonts w:hint="default" w:ascii="Times New Roman" w:hAnsi="Times New Roman" w:eastAsia="宋体" w:cs="Times New Roman"/>
                <w:color w:val="auto"/>
                <w:sz w:val="24"/>
                <w:lang w:eastAsia="zh-CN"/>
              </w:rPr>
              <w:t>生态环境局</w:t>
            </w:r>
            <w:r>
              <w:rPr>
                <w:rFonts w:hint="default" w:ascii="Times New Roman" w:hAnsi="Times New Roman" w:eastAsia="宋体" w:cs="Times New Roman"/>
                <w:color w:val="auto"/>
                <w:sz w:val="24"/>
              </w:rPr>
              <w:t>关于云南澄江产业园区总体规划</w:t>
            </w:r>
            <w:r>
              <w:rPr>
                <w:rFonts w:hint="default" w:ascii="Times New Roman" w:hAnsi="Times New Roman" w:eastAsia="宋体" w:cs="Times New Roman"/>
                <w:snapToGrid w:val="0"/>
                <w:color w:val="auto"/>
                <w:sz w:val="24"/>
                <w:szCs w:val="24"/>
                <w:lang w:eastAsia="zh-CN"/>
              </w:rPr>
              <w:t>〔修编〕</w:t>
            </w:r>
            <w:r>
              <w:rPr>
                <w:rFonts w:hint="default" w:ascii="Times New Roman" w:hAnsi="Times New Roman" w:eastAsia="宋体" w:cs="Times New Roman"/>
                <w:color w:val="auto"/>
                <w:sz w:val="24"/>
              </w:rPr>
              <w:t>（2021-2035）环境影响报告书审查意见的函》</w:t>
            </w:r>
            <w:r>
              <w:rPr>
                <w:rFonts w:hint="default" w:ascii="Times New Roman" w:hAnsi="Times New Roman" w:eastAsia="宋体" w:cs="Times New Roman"/>
                <w:color w:val="auto"/>
                <w:kern w:val="0"/>
                <w:sz w:val="24"/>
              </w:rPr>
              <w:t>（玉市环函</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2022</w:t>
            </w:r>
            <w:r>
              <w:rPr>
                <w:rFonts w:hint="default" w:ascii="Times New Roman" w:hAnsi="Times New Roman" w:eastAsia="宋体" w:cs="Times New Roman"/>
                <w:color w:val="auto"/>
                <w:sz w:val="24"/>
              </w:rPr>
              <w:t>〕</w:t>
            </w:r>
            <w:r>
              <w:rPr>
                <w:rFonts w:hint="default" w:ascii="Times New Roman" w:hAnsi="Times New Roman" w:eastAsia="宋体" w:cs="Times New Roman"/>
                <w:color w:val="auto"/>
                <w:kern w:val="0"/>
                <w:sz w:val="24"/>
              </w:rPr>
              <w:t>2</w:t>
            </w:r>
            <w:r>
              <w:rPr>
                <w:rFonts w:hint="default" w:ascii="Times New Roman" w:hAnsi="Times New Roman" w:eastAsia="宋体" w:cs="Times New Roman"/>
                <w:color w:val="auto"/>
                <w:kern w:val="0"/>
                <w:sz w:val="24"/>
                <w:lang w:val="en-US" w:eastAsia="zh-CN"/>
              </w:rPr>
              <w:t>7</w:t>
            </w:r>
            <w:r>
              <w:rPr>
                <w:rFonts w:hint="default" w:ascii="Times New Roman" w:hAnsi="Times New Roman" w:eastAsia="宋体" w:cs="Times New Roman"/>
                <w:color w:val="auto"/>
                <w:kern w:val="0"/>
                <w:sz w:val="24"/>
              </w:rPr>
              <w:t>号）</w:t>
            </w:r>
            <w:r>
              <w:rPr>
                <w:rFonts w:hint="eastAsia" w:ascii="Times New Roman" w:hAnsi="Times New Roman" w:eastAsia="宋体" w:cs="Times New Roman"/>
                <w:color w:val="auto"/>
                <w:kern w:val="0"/>
                <w:sz w:val="24"/>
                <w:lang w:eastAsia="zh-CN"/>
              </w:rPr>
              <w:t>。</w:t>
            </w:r>
          </w:p>
        </w:tc>
      </w:tr>
      <w:tr w14:paraId="541035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724" w:type="dxa"/>
            <w:vAlign w:val="center"/>
          </w:tcPr>
          <w:p w14:paraId="4953B47E">
            <w:pPr>
              <w:autoSpaceDE w:val="0"/>
              <w:autoSpaceDN w:val="0"/>
              <w:adjustRightInd w:val="0"/>
              <w:snapToGrid w:val="0"/>
              <w:jc w:val="center"/>
              <w:rPr>
                <w:color w:val="auto"/>
                <w:kern w:val="0"/>
                <w:sz w:val="24"/>
              </w:rPr>
            </w:pPr>
            <w:r>
              <w:rPr>
                <w:color w:val="auto"/>
                <w:kern w:val="0"/>
                <w:sz w:val="24"/>
              </w:rPr>
              <w:t>规划及规划环境影响评价符合性分析</w:t>
            </w:r>
          </w:p>
        </w:tc>
        <w:tc>
          <w:tcPr>
            <w:tcW w:w="8105" w:type="dxa"/>
            <w:gridSpan w:val="4"/>
            <w:vAlign w:val="center"/>
          </w:tcPr>
          <w:p w14:paraId="10A56387">
            <w:pPr>
              <w:pStyle w:val="28"/>
              <w:spacing w:after="0" w:line="360" w:lineRule="auto"/>
              <w:ind w:left="0" w:leftChars="0" w:firstLine="482" w:firstLineChars="200"/>
              <w:jc w:val="left"/>
              <w:rPr>
                <w:rFonts w:hint="eastAsia" w:eastAsia="宋体"/>
                <w:b/>
                <w:bCs/>
                <w:color w:val="auto"/>
                <w:sz w:val="24"/>
                <w:highlight w:val="none"/>
                <w:lang w:val="en-US" w:eastAsia="zh-CN"/>
              </w:rPr>
            </w:pPr>
            <w:r>
              <w:rPr>
                <w:rFonts w:hint="eastAsia"/>
                <w:b/>
                <w:bCs/>
                <w:color w:val="auto"/>
                <w:sz w:val="24"/>
                <w:highlight w:val="none"/>
                <w:lang w:val="en-US" w:eastAsia="zh-CN"/>
              </w:rPr>
              <w:t>1、项目与</w:t>
            </w:r>
            <w:r>
              <w:rPr>
                <w:rFonts w:hint="default"/>
                <w:b/>
                <w:bCs/>
                <w:color w:val="auto"/>
                <w:sz w:val="24"/>
                <w:highlight w:val="none"/>
                <w:lang w:val="en-US" w:eastAsia="zh-CN"/>
              </w:rPr>
              <w:t>《云南澄江产业园区总体规划【修编】（2021-2035）》</w:t>
            </w:r>
            <w:r>
              <w:rPr>
                <w:rFonts w:hint="eastAsia"/>
                <w:b/>
                <w:bCs/>
                <w:color w:val="auto"/>
                <w:sz w:val="24"/>
                <w:highlight w:val="none"/>
                <w:lang w:val="en-US" w:eastAsia="zh-CN"/>
              </w:rPr>
              <w:t>的符合性分析</w:t>
            </w:r>
          </w:p>
          <w:p w14:paraId="23F6F8D7">
            <w:pPr>
              <w:adjustRightInd w:val="0"/>
              <w:snapToGrid w:val="0"/>
              <w:spacing w:line="360" w:lineRule="auto"/>
              <w:ind w:firstLine="482"/>
              <w:rPr>
                <w:rFonts w:ascii="Times New Roman" w:hAnsi="Times New Roman" w:cs="Times New Roman"/>
                <w:color w:val="auto"/>
                <w:sz w:val="24"/>
                <w:szCs w:val="24"/>
              </w:rPr>
            </w:pPr>
            <w:r>
              <w:rPr>
                <w:rFonts w:ascii="Times New Roman" w:hAnsi="Times New Roman" w:cs="Times New Roman"/>
                <w:b/>
                <w:color w:val="auto"/>
                <w:sz w:val="24"/>
                <w:szCs w:val="24"/>
              </w:rPr>
              <w:t>规划范围及用地规模</w:t>
            </w:r>
            <w:r>
              <w:rPr>
                <w:rFonts w:hint="eastAsia" w:ascii="Times New Roman" w:hAnsi="Times New Roman" w:cs="Times New Roman"/>
                <w:b/>
                <w:color w:val="auto"/>
                <w:sz w:val="24"/>
                <w:szCs w:val="24"/>
                <w:lang w:eastAsia="zh-CN"/>
              </w:rPr>
              <w:t>：</w:t>
            </w:r>
            <w:r>
              <w:rPr>
                <w:rFonts w:hint="eastAsia" w:ascii="Times New Roman" w:hAnsi="Times New Roman" w:cs="Times New Roman"/>
                <w:color w:val="auto"/>
                <w:sz w:val="24"/>
                <w:szCs w:val="24"/>
              </w:rPr>
              <w:t>云南澄江产业园区总规划面积为1073.87公顷，总城市建设用地面积为946.83公顷。其中九村片区规划面积为829.12公顷，城市建设用地面积为718.19公顷，辅助功能依托九村镇。提古片区规划面积为118.88公顷，城市建设用地面积为111.68公顷，辅助功能依托昆明高新区东区、澄江市区。牛场片区规划面积为125.87公顷，城市建设用地面积为116.96公顷，辅助功能依托九村镇</w:t>
            </w:r>
            <w:r>
              <w:rPr>
                <w:rFonts w:ascii="Times New Roman" w:hAnsi="Times New Roman" w:cs="Times New Roman"/>
                <w:color w:val="auto"/>
                <w:sz w:val="24"/>
                <w:szCs w:val="24"/>
              </w:rPr>
              <w:t>。</w:t>
            </w:r>
          </w:p>
          <w:p w14:paraId="3689D32D">
            <w:pPr>
              <w:adjustRightInd w:val="0"/>
              <w:snapToGrid w:val="0"/>
              <w:spacing w:line="360" w:lineRule="auto"/>
              <w:ind w:firstLine="482"/>
              <w:rPr>
                <w:rFonts w:hint="eastAsia" w:cs="Times New Roman"/>
                <w:b/>
                <w:bCs w:val="0"/>
                <w:color w:val="auto"/>
                <w:sz w:val="24"/>
                <w:szCs w:val="24"/>
                <w:lang w:eastAsia="zh-CN"/>
              </w:rPr>
            </w:pPr>
            <w:r>
              <w:rPr>
                <w:rFonts w:ascii="Times New Roman" w:hAnsi="Times New Roman" w:cs="Times New Roman"/>
                <w:b/>
                <w:color w:val="auto"/>
                <w:sz w:val="24"/>
                <w:szCs w:val="24"/>
                <w:lang w:val="zh-CN" w:eastAsia="zh-CN"/>
              </w:rPr>
              <w:t>规划期限</w:t>
            </w:r>
            <w:r>
              <w:rPr>
                <w:rFonts w:hint="eastAsia" w:ascii="Times New Roman" w:hAnsi="Times New Roman" w:cs="Times New Roman"/>
                <w:b/>
                <w:color w:val="auto"/>
                <w:sz w:val="24"/>
                <w:szCs w:val="24"/>
                <w:lang w:val="zh-CN" w:eastAsia="zh-CN"/>
              </w:rPr>
              <w:t>：</w:t>
            </w:r>
            <w:r>
              <w:rPr>
                <w:rFonts w:ascii="Times New Roman" w:hAnsi="Times New Roman" w:cs="Times New Roman"/>
                <w:color w:val="auto"/>
                <w:sz w:val="24"/>
                <w:szCs w:val="24"/>
              </w:rPr>
              <w:t>规划的期限为2021年至2035年，共分为三个阶段</w:t>
            </w:r>
            <w:r>
              <w:rPr>
                <w:rFonts w:hint="eastAsia" w:ascii="Times New Roman" w:hAnsi="Times New Roman" w:cs="Times New Roman"/>
                <w:color w:val="auto"/>
                <w:sz w:val="24"/>
                <w:szCs w:val="24"/>
                <w:lang w:eastAsia="zh-CN"/>
              </w:rPr>
              <w:t>；</w:t>
            </w:r>
            <w:r>
              <w:rPr>
                <w:rFonts w:ascii="Times New Roman" w:hAnsi="Times New Roman" w:cs="Times New Roman"/>
                <w:color w:val="auto"/>
                <w:sz w:val="24"/>
                <w:szCs w:val="24"/>
              </w:rPr>
              <w:t>近期：2021—2025年，启动推进实施阶段；中期：2026—2030年，全面建设阶段；远期：2031—2035年，完善提升阶段。</w:t>
            </w:r>
          </w:p>
          <w:p w14:paraId="5B78D9FE">
            <w:pPr>
              <w:adjustRightInd w:val="0"/>
              <w:snapToGrid w:val="0"/>
              <w:spacing w:line="360" w:lineRule="auto"/>
              <w:ind w:firstLine="482"/>
              <w:rPr>
                <w:rFonts w:hint="eastAsia" w:cs="Times New Roman"/>
                <w:b w:val="0"/>
                <w:bCs/>
                <w:color w:val="auto"/>
                <w:sz w:val="24"/>
                <w:szCs w:val="24"/>
                <w:lang w:val="en-US" w:eastAsia="zh-CN"/>
              </w:rPr>
            </w:pPr>
            <w:r>
              <w:rPr>
                <w:rFonts w:hint="eastAsia" w:cs="Times New Roman"/>
                <w:b/>
                <w:bCs w:val="0"/>
                <w:color w:val="auto"/>
                <w:sz w:val="24"/>
                <w:szCs w:val="24"/>
                <w:lang w:eastAsia="zh-CN"/>
              </w:rPr>
              <w:t>园区定位及空间机构</w:t>
            </w:r>
            <w:r>
              <w:rPr>
                <w:rFonts w:hint="default" w:ascii="Times New Roman" w:hAnsi="Times New Roman" w:eastAsia="宋体" w:cs="Times New Roman"/>
                <w:b/>
                <w:bCs w:val="0"/>
                <w:color w:val="auto"/>
                <w:sz w:val="24"/>
                <w:szCs w:val="24"/>
              </w:rPr>
              <w:t>：</w:t>
            </w:r>
            <w:r>
              <w:rPr>
                <w:rFonts w:ascii="Times New Roman" w:hAnsi="Times New Roman" w:cs="Times New Roman"/>
                <w:color w:val="auto"/>
                <w:sz w:val="24"/>
                <w:szCs w:val="24"/>
              </w:rPr>
              <w:t>云南澄江产业园区规划为“一园、一轴、三片” 的空间结构，与城区形成“南城北产、产城融合”的空间布局。</w:t>
            </w:r>
            <w:r>
              <w:rPr>
                <w:rFonts w:ascii="Times New Roman" w:hAnsi="Times New Roman" w:cs="Times New Roman"/>
                <w:b/>
                <w:bCs/>
                <w:color w:val="auto"/>
                <w:sz w:val="24"/>
                <w:szCs w:val="24"/>
              </w:rPr>
              <w:t>一园</w:t>
            </w:r>
            <w:r>
              <w:rPr>
                <w:rFonts w:hint="eastAsia" w:ascii="Times New Roman" w:hAnsi="Times New Roman" w:cs="Times New Roman"/>
                <w:b/>
                <w:bCs/>
                <w:color w:val="auto"/>
                <w:sz w:val="24"/>
                <w:szCs w:val="24"/>
                <w:lang w:eastAsia="zh-CN"/>
              </w:rPr>
              <w:t>：</w:t>
            </w:r>
            <w:r>
              <w:rPr>
                <w:rFonts w:ascii="Times New Roman" w:hAnsi="Times New Roman" w:cs="Times New Roman"/>
                <w:color w:val="auto"/>
                <w:sz w:val="24"/>
                <w:szCs w:val="24"/>
              </w:rPr>
              <w:t>云南澄江产业园区；</w:t>
            </w:r>
            <w:bookmarkStart w:id="6" w:name="_Hlk80087617"/>
            <w:r>
              <w:rPr>
                <w:rFonts w:ascii="Times New Roman" w:hAnsi="Times New Roman" w:cs="Times New Roman"/>
                <w:b/>
                <w:bCs/>
                <w:color w:val="auto"/>
                <w:sz w:val="24"/>
                <w:szCs w:val="24"/>
              </w:rPr>
              <w:t>一轴</w:t>
            </w:r>
            <w:r>
              <w:rPr>
                <w:rFonts w:hint="eastAsia" w:ascii="Times New Roman" w:hAnsi="Times New Roman" w:cs="Times New Roman"/>
                <w:color w:val="auto"/>
                <w:sz w:val="24"/>
                <w:szCs w:val="24"/>
                <w:lang w:eastAsia="zh-CN"/>
              </w:rPr>
              <w:t>：</w:t>
            </w:r>
            <w:r>
              <w:rPr>
                <w:rFonts w:ascii="Times New Roman" w:hAnsi="Times New Roman" w:cs="Times New Roman"/>
                <w:color w:val="auto"/>
                <w:sz w:val="24"/>
                <w:szCs w:val="24"/>
              </w:rPr>
              <w:t>产城融合发展轴；</w:t>
            </w:r>
            <w:bookmarkEnd w:id="6"/>
            <w:r>
              <w:rPr>
                <w:rFonts w:ascii="Times New Roman" w:hAnsi="Times New Roman" w:cs="Times New Roman"/>
                <w:b/>
                <w:bCs/>
                <w:color w:val="auto"/>
                <w:sz w:val="24"/>
                <w:szCs w:val="24"/>
              </w:rPr>
              <w:t>三片区</w:t>
            </w:r>
            <w:r>
              <w:rPr>
                <w:rFonts w:hint="eastAsia" w:ascii="Times New Roman" w:hAnsi="Times New Roman" w:cs="Times New Roman"/>
                <w:b/>
                <w:bCs/>
                <w:color w:val="auto"/>
                <w:sz w:val="24"/>
                <w:szCs w:val="24"/>
                <w:lang w:eastAsia="zh-CN"/>
              </w:rPr>
              <w:t>：</w:t>
            </w:r>
            <w:r>
              <w:rPr>
                <w:rFonts w:ascii="Times New Roman" w:hAnsi="Times New Roman" w:cs="Times New Roman"/>
                <w:color w:val="auto"/>
                <w:sz w:val="24"/>
                <w:szCs w:val="24"/>
              </w:rPr>
              <w:t>九村片区、提古片区、牛场片区</w:t>
            </w:r>
            <w:r>
              <w:rPr>
                <w:rFonts w:hint="eastAsia" w:ascii="Times New Roman" w:hAnsi="Times New Roman" w:eastAsia="宋体" w:cs="Times New Roman"/>
                <w:b w:val="0"/>
                <w:bCs/>
                <w:color w:val="auto"/>
                <w:sz w:val="24"/>
                <w:szCs w:val="24"/>
                <w:lang w:val="en-US" w:eastAsia="zh-CN"/>
              </w:rPr>
              <w:t>。</w:t>
            </w:r>
            <w:r>
              <w:rPr>
                <w:rFonts w:hint="eastAsia" w:cs="Times New Roman"/>
                <w:b w:val="0"/>
                <w:bCs/>
                <w:color w:val="auto"/>
                <w:sz w:val="24"/>
                <w:szCs w:val="24"/>
                <w:lang w:val="en-US" w:eastAsia="zh-CN"/>
              </w:rPr>
              <w:t>分片区功能定位：</w:t>
            </w:r>
          </w:p>
          <w:p w14:paraId="1B3A60E0">
            <w:pPr>
              <w:adjustRightInd w:val="0"/>
              <w:snapToGrid w:val="0"/>
              <w:spacing w:line="360" w:lineRule="auto"/>
              <w:ind w:firstLine="482"/>
              <w:rPr>
                <w:rFonts w:ascii="Times New Roman" w:hAnsi="Times New Roman" w:cs="Times New Roman"/>
                <w:color w:val="auto"/>
                <w:sz w:val="24"/>
                <w:szCs w:val="24"/>
              </w:rPr>
            </w:pPr>
            <w:r>
              <w:rPr>
                <w:rFonts w:ascii="Times New Roman" w:hAnsi="Times New Roman" w:cs="Times New Roman"/>
                <w:b/>
                <w:bCs/>
                <w:color w:val="auto"/>
                <w:sz w:val="24"/>
                <w:szCs w:val="24"/>
              </w:rPr>
              <w:t>九村片区：</w:t>
            </w:r>
            <w:bookmarkStart w:id="7" w:name="_Hlk78450399"/>
            <w:r>
              <w:rPr>
                <w:rFonts w:hint="eastAsia" w:ascii="Times New Roman" w:hAnsi="Times New Roman" w:cs="Times New Roman"/>
                <w:color w:val="auto"/>
                <w:sz w:val="24"/>
                <w:szCs w:val="24"/>
                <w:lang w:val="en-US" w:eastAsia="zh-CN"/>
              </w:rPr>
              <w:t>澄江产城融合示范区，磷化工绿色转型升级示范基地。</w:t>
            </w:r>
            <w:bookmarkEnd w:id="7"/>
          </w:p>
          <w:p w14:paraId="1289375D">
            <w:pPr>
              <w:adjustRightInd w:val="0"/>
              <w:snapToGrid w:val="0"/>
              <w:spacing w:line="360" w:lineRule="auto"/>
              <w:ind w:firstLine="482"/>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借助片区交通优势和产业基础，创新磷化工转型升级，主要发展先进装备制造业，辅助发展新材料产业、生物资源加工产业、培育发展现代物流产业。产业区将以生态、文化、产业、城镇交融为特色，建设成为澄江产城融合示范区。</w:t>
            </w:r>
          </w:p>
          <w:p w14:paraId="67F15F4A">
            <w:pPr>
              <w:adjustRightInd w:val="0"/>
              <w:snapToGrid w:val="0"/>
              <w:spacing w:line="360" w:lineRule="auto"/>
              <w:ind w:firstLine="482"/>
              <w:rPr>
                <w:rFonts w:ascii="Times New Roman" w:hAnsi="Times New Roman" w:cs="Times New Roman"/>
                <w:color w:val="auto"/>
                <w:sz w:val="24"/>
                <w:szCs w:val="24"/>
                <w:lang w:val="en-US" w:eastAsia="zh-CN"/>
              </w:rPr>
            </w:pPr>
            <w:r>
              <w:rPr>
                <w:rFonts w:ascii="Times New Roman" w:hAnsi="Times New Roman" w:cs="Times New Roman"/>
                <w:b/>
                <w:bCs/>
                <w:color w:val="auto"/>
                <w:sz w:val="24"/>
                <w:szCs w:val="24"/>
              </w:rPr>
              <w:t>提古片区：</w:t>
            </w:r>
            <w:bookmarkStart w:id="8" w:name="_Hlk78451622"/>
            <w:r>
              <w:rPr>
                <w:rFonts w:hint="eastAsia" w:ascii="Times New Roman" w:hAnsi="Times New Roman" w:cs="Times New Roman"/>
                <w:color w:val="auto"/>
                <w:sz w:val="24"/>
                <w:szCs w:val="24"/>
                <w:lang w:val="en-US" w:eastAsia="zh-CN"/>
              </w:rPr>
              <w:t>生物资源加工基地</w:t>
            </w:r>
            <w:r>
              <w:rPr>
                <w:rFonts w:ascii="Times New Roman" w:hAnsi="Times New Roman" w:cs="Times New Roman"/>
                <w:color w:val="auto"/>
                <w:sz w:val="24"/>
                <w:szCs w:val="24"/>
                <w:lang w:val="en-US" w:eastAsia="zh-CN"/>
              </w:rPr>
              <w:t>。</w:t>
            </w:r>
            <w:bookmarkEnd w:id="8"/>
          </w:p>
          <w:p w14:paraId="6652D12A">
            <w:pPr>
              <w:pStyle w:val="14"/>
              <w:ind w:firstLine="480" w:firstLineChars="200"/>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借助资源优势，发展生物资源加工产业。</w:t>
            </w:r>
          </w:p>
          <w:p w14:paraId="4EA68496">
            <w:pPr>
              <w:adjustRightInd w:val="0"/>
              <w:snapToGrid w:val="0"/>
              <w:spacing w:line="360" w:lineRule="auto"/>
              <w:ind w:firstLine="482"/>
              <w:rPr>
                <w:rFonts w:ascii="Times New Roman" w:hAnsi="Times New Roman" w:cs="Times New Roman"/>
                <w:color w:val="auto"/>
                <w:sz w:val="24"/>
                <w:szCs w:val="24"/>
                <w:lang w:val="en-US" w:eastAsia="zh-CN"/>
              </w:rPr>
            </w:pPr>
            <w:r>
              <w:rPr>
                <w:rFonts w:ascii="Times New Roman" w:hAnsi="Times New Roman" w:cs="Times New Roman"/>
                <w:b/>
                <w:bCs/>
                <w:color w:val="auto"/>
                <w:sz w:val="24"/>
                <w:szCs w:val="24"/>
              </w:rPr>
              <w:t>牛场片区：</w:t>
            </w:r>
            <w:bookmarkStart w:id="9" w:name="_Hlk78451636"/>
            <w:r>
              <w:rPr>
                <w:rFonts w:hint="eastAsia" w:ascii="Times New Roman" w:hAnsi="Times New Roman" w:cs="Times New Roman"/>
                <w:color w:val="auto"/>
                <w:sz w:val="24"/>
                <w:szCs w:val="24"/>
                <w:lang w:val="en-US" w:eastAsia="zh-CN"/>
              </w:rPr>
              <w:t>先进装备制造产业基地</w:t>
            </w:r>
            <w:r>
              <w:rPr>
                <w:rFonts w:ascii="Times New Roman" w:hAnsi="Times New Roman" w:cs="Times New Roman"/>
                <w:color w:val="auto"/>
                <w:sz w:val="24"/>
                <w:szCs w:val="24"/>
                <w:lang w:val="en-US" w:eastAsia="zh-CN"/>
              </w:rPr>
              <w:t>。</w:t>
            </w:r>
            <w:bookmarkEnd w:id="9"/>
          </w:p>
          <w:p w14:paraId="01A40271">
            <w:pPr>
              <w:pStyle w:val="14"/>
              <w:ind w:firstLine="480" w:firstLineChars="20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发展先进装备制造产业，打造澄江新兴产业发展基地。</w:t>
            </w:r>
          </w:p>
          <w:p w14:paraId="7356F41E">
            <w:pPr>
              <w:autoSpaceDE w:val="0"/>
              <w:autoSpaceDN w:val="0"/>
              <w:spacing w:line="360" w:lineRule="auto"/>
              <w:ind w:firstLine="480" w:firstLineChars="200"/>
              <w:rPr>
                <w:rFonts w:hint="default"/>
                <w:color w:val="auto"/>
                <w:sz w:val="24"/>
                <w:lang w:eastAsia="zh-CN"/>
              </w:rPr>
            </w:pPr>
            <w:r>
              <w:rPr>
                <w:rFonts w:hint="default"/>
                <w:color w:val="auto"/>
                <w:sz w:val="24"/>
              </w:rPr>
              <w:t>本项目位于</w:t>
            </w:r>
            <w:r>
              <w:rPr>
                <w:rFonts w:hint="eastAsia"/>
                <w:color w:val="auto"/>
                <w:sz w:val="24"/>
                <w:lang w:val="en-US" w:eastAsia="zh-CN"/>
              </w:rPr>
              <w:t>云南省玉溪市澄江市产业园区提古片区</w:t>
            </w:r>
            <w:r>
              <w:rPr>
                <w:rFonts w:hint="default"/>
                <w:color w:val="auto"/>
                <w:sz w:val="24"/>
              </w:rPr>
              <w:t>，</w:t>
            </w:r>
            <w:r>
              <w:rPr>
                <w:rFonts w:hint="eastAsia"/>
                <w:color w:val="auto"/>
                <w:sz w:val="24"/>
                <w:lang w:val="en-US" w:eastAsia="zh-CN"/>
              </w:rPr>
              <w:t>周边企业为机械加工、饲料厂、绝缘材料、灭火器及阴阳角线（塑料板、管、型材制造）等加工生产企业，</w:t>
            </w:r>
            <w:r>
              <w:rPr>
                <w:rFonts w:hint="default"/>
                <w:color w:val="auto"/>
                <w:sz w:val="24"/>
              </w:rPr>
              <w:t>根据《</w:t>
            </w:r>
            <w:r>
              <w:rPr>
                <w:rFonts w:hint="default"/>
                <w:color w:val="auto"/>
                <w:sz w:val="24"/>
                <w:lang w:eastAsia="zh-CN"/>
              </w:rPr>
              <w:t>云南澄江产业园区总体规划</w:t>
            </w:r>
            <w:r>
              <w:rPr>
                <w:rFonts w:hint="default"/>
                <w:color w:val="auto"/>
                <w:sz w:val="24"/>
              </w:rPr>
              <w:t>[修编]（2021-2035）》中提古片区的功能定位为：生物资源加工</w:t>
            </w:r>
            <w:r>
              <w:rPr>
                <w:rFonts w:hint="eastAsia"/>
                <w:color w:val="auto"/>
                <w:sz w:val="24"/>
                <w:lang w:eastAsia="zh-CN"/>
              </w:rPr>
              <w:t>基地</w:t>
            </w:r>
            <w:r>
              <w:rPr>
                <w:rFonts w:hint="default"/>
                <w:color w:val="auto"/>
                <w:sz w:val="24"/>
              </w:rPr>
              <w:t>，严禁《产业结构调整指导目录（20</w:t>
            </w:r>
            <w:r>
              <w:rPr>
                <w:rFonts w:hint="eastAsia"/>
                <w:color w:val="auto"/>
                <w:sz w:val="24"/>
                <w:lang w:val="en-US" w:eastAsia="zh-CN"/>
              </w:rPr>
              <w:t>24</w:t>
            </w:r>
            <w:r>
              <w:rPr>
                <w:rFonts w:hint="default"/>
                <w:color w:val="auto"/>
                <w:sz w:val="24"/>
              </w:rPr>
              <w:t>年本）》中淘汰类及限制类项目入驻、严禁《环境保护综合名录（2021年版）》中高风险高污染项目，</w:t>
            </w:r>
            <w:r>
              <w:rPr>
                <w:rStyle w:val="76"/>
                <w:rFonts w:hint="eastAsia" w:ascii="Times New Roman" w:hAnsi="Times New Roman" w:eastAsia="宋体" w:cs="Times New Roman"/>
                <w:color w:val="auto"/>
                <w:sz w:val="24"/>
                <w:highlight w:val="none"/>
                <w:lang w:val="en-US" w:eastAsia="zh-CN"/>
              </w:rPr>
              <w:t>本</w:t>
            </w:r>
            <w:r>
              <w:rPr>
                <w:rStyle w:val="76"/>
                <w:rFonts w:hint="default" w:ascii="Times New Roman" w:hAnsi="Times New Roman" w:eastAsia="宋体" w:cs="Times New Roman"/>
                <w:color w:val="auto"/>
                <w:sz w:val="24"/>
                <w:highlight w:val="none"/>
                <w:lang w:val="en-US" w:eastAsia="zh-CN"/>
              </w:rPr>
              <w:t>项目属于</w:t>
            </w:r>
            <w:r>
              <w:rPr>
                <w:rFonts w:hint="eastAsia" w:ascii="Times New Roman" w:hAnsi="Times New Roman" w:eastAsia="宋体" w:cs="Times New Roman"/>
                <w:color w:val="auto"/>
                <w:sz w:val="24"/>
                <w:szCs w:val="24"/>
                <w:highlight w:val="none"/>
                <w:lang w:val="en-US" w:eastAsia="zh-CN"/>
              </w:rPr>
              <w:t>塑料包装箱及容器制造</w:t>
            </w:r>
            <w:r>
              <w:rPr>
                <w:rStyle w:val="76"/>
                <w:rFonts w:hint="default" w:ascii="Times New Roman" w:hAnsi="Times New Roman" w:eastAsia="宋体" w:cs="Times New Roman"/>
                <w:color w:val="auto"/>
                <w:sz w:val="24"/>
                <w:highlight w:val="none"/>
                <w:lang w:val="en-US" w:eastAsia="zh-CN"/>
              </w:rPr>
              <w:t>项目，为</w:t>
            </w:r>
            <w:r>
              <w:rPr>
                <w:rStyle w:val="76"/>
                <w:rFonts w:hint="eastAsia" w:ascii="Times New Roman" w:hAnsi="Times New Roman" w:eastAsia="宋体" w:cs="Times New Roman"/>
                <w:color w:val="auto"/>
                <w:sz w:val="24"/>
                <w:highlight w:val="none"/>
                <w:lang w:val="en-US" w:eastAsia="zh-CN"/>
              </w:rPr>
              <w:t>澄江市</w:t>
            </w:r>
            <w:r>
              <w:rPr>
                <w:rStyle w:val="76"/>
                <w:rFonts w:hint="default" w:ascii="Times New Roman" w:hAnsi="Times New Roman" w:eastAsia="宋体" w:cs="Times New Roman"/>
                <w:color w:val="auto"/>
                <w:sz w:val="24"/>
                <w:highlight w:val="none"/>
                <w:lang w:val="en-US" w:eastAsia="zh-CN"/>
              </w:rPr>
              <w:t>的农产品深加工提供服务</w:t>
            </w:r>
            <w:r>
              <w:rPr>
                <w:rFonts w:hint="eastAsia" w:ascii="Times New Roman" w:hAnsi="Times New Roman" w:eastAsia="宋体" w:cs="Times New Roman"/>
                <w:bCs/>
                <w:snapToGrid w:val="0"/>
                <w:color w:val="auto"/>
                <w:sz w:val="24"/>
                <w:szCs w:val="24"/>
                <w:highlight w:val="none"/>
                <w:lang w:eastAsia="zh-CN"/>
              </w:rPr>
              <w:t>，</w:t>
            </w:r>
            <w:r>
              <w:rPr>
                <w:rFonts w:hint="default" w:ascii="Times New Roman" w:hAnsi="Times New Roman" w:eastAsia="宋体" w:cs="Times New Roman"/>
                <w:bCs/>
                <w:snapToGrid w:val="0"/>
                <w:color w:val="auto"/>
                <w:sz w:val="24"/>
                <w:szCs w:val="24"/>
                <w:highlight w:val="none"/>
              </w:rPr>
              <w:t>属于促进农业发展的配套项目</w:t>
            </w:r>
            <w:r>
              <w:rPr>
                <w:rFonts w:hint="eastAsia" w:ascii="Times New Roman" w:hAnsi="Times New Roman" w:eastAsia="宋体" w:cs="Times New Roman"/>
                <w:bCs/>
                <w:snapToGrid w:val="0"/>
                <w:color w:val="auto"/>
                <w:sz w:val="24"/>
                <w:szCs w:val="24"/>
                <w:highlight w:val="none"/>
                <w:lang w:eastAsia="zh-CN"/>
              </w:rPr>
              <w:t>，</w:t>
            </w:r>
            <w:r>
              <w:rPr>
                <w:rStyle w:val="76"/>
                <w:rFonts w:hint="default" w:ascii="Times New Roman" w:hAnsi="Times New Roman" w:eastAsia="宋体" w:cs="Times New Roman"/>
                <w:color w:val="auto"/>
                <w:sz w:val="24"/>
                <w:highlight w:val="none"/>
                <w:lang w:val="en-US" w:eastAsia="zh-CN"/>
              </w:rPr>
              <w:t>为提高区域农产品的生产能力提供保障</w:t>
            </w:r>
            <w:r>
              <w:rPr>
                <w:rStyle w:val="76"/>
                <w:rFonts w:hint="eastAsia" w:ascii="Times New Roman" w:hAnsi="Times New Roman" w:eastAsia="宋体" w:cs="Times New Roman"/>
                <w:color w:val="auto"/>
                <w:sz w:val="24"/>
                <w:highlight w:val="none"/>
                <w:lang w:val="en-US" w:eastAsia="zh-CN"/>
              </w:rPr>
              <w:t>，一定意义上促进了生物资源加工的发展；项目</w:t>
            </w:r>
            <w:r>
              <w:rPr>
                <w:rFonts w:hint="default"/>
                <w:color w:val="auto"/>
                <w:sz w:val="24"/>
                <w:lang w:eastAsia="zh-CN"/>
              </w:rPr>
              <w:t>不属于</w:t>
            </w:r>
            <w:r>
              <w:rPr>
                <w:rFonts w:hint="default"/>
                <w:color w:val="auto"/>
                <w:sz w:val="24"/>
              </w:rPr>
              <w:t>产业结构调整指导目录（20</w:t>
            </w:r>
            <w:r>
              <w:rPr>
                <w:rFonts w:hint="eastAsia"/>
                <w:color w:val="auto"/>
                <w:sz w:val="24"/>
                <w:lang w:val="en-US" w:eastAsia="zh-CN"/>
              </w:rPr>
              <w:t>24</w:t>
            </w:r>
            <w:r>
              <w:rPr>
                <w:rFonts w:hint="default"/>
                <w:color w:val="auto"/>
                <w:sz w:val="24"/>
              </w:rPr>
              <w:t>年本）》中淘汰类及限制类项目</w:t>
            </w:r>
            <w:r>
              <w:rPr>
                <w:rFonts w:hint="default"/>
                <w:color w:val="auto"/>
                <w:sz w:val="24"/>
                <w:lang w:eastAsia="zh-CN"/>
              </w:rPr>
              <w:t>以及</w:t>
            </w:r>
            <w:r>
              <w:rPr>
                <w:rFonts w:hint="default"/>
                <w:color w:val="auto"/>
                <w:sz w:val="24"/>
              </w:rPr>
              <w:t>《环境保护综合名录（2021年版）》中高风险高污染项目</w:t>
            </w:r>
            <w:r>
              <w:rPr>
                <w:rFonts w:hint="default"/>
                <w:color w:val="auto"/>
                <w:sz w:val="24"/>
                <w:lang w:eastAsia="zh-CN"/>
              </w:rPr>
              <w:t>。</w:t>
            </w:r>
          </w:p>
          <w:p w14:paraId="6239187E">
            <w:pPr>
              <w:adjustRightInd w:val="0"/>
              <w:snapToGrid w:val="0"/>
              <w:spacing w:line="360" w:lineRule="auto"/>
              <w:ind w:firstLine="482"/>
              <w:rPr>
                <w:rFonts w:hint="eastAsia" w:ascii="Times New Roman" w:hAnsi="Times New Roman" w:eastAsia="宋体" w:cs="Times New Roman"/>
                <w:color w:val="auto"/>
                <w:sz w:val="24"/>
                <w:lang w:val="en-US" w:eastAsia="zh-CN"/>
              </w:rPr>
            </w:pPr>
            <w:r>
              <w:rPr>
                <w:rFonts w:hint="eastAsia" w:cs="Times New Roman"/>
                <w:color w:val="auto"/>
                <w:sz w:val="24"/>
                <w:lang w:val="en-US" w:eastAsia="zh-CN"/>
              </w:rPr>
              <w:t>项目于</w:t>
            </w:r>
            <w:r>
              <w:rPr>
                <w:rFonts w:ascii="Times New Roman" w:hAnsi="Times New Roman" w:eastAsia="宋体" w:cs="Times New Roman"/>
                <w:color w:val="auto"/>
                <w:sz w:val="24"/>
              </w:rPr>
              <w:t>202</w:t>
            </w:r>
            <w:r>
              <w:rPr>
                <w:rFonts w:hint="eastAsia" w:ascii="Times New Roman" w:hAnsi="Times New Roman" w:eastAsia="宋体" w:cs="Times New Roman"/>
                <w:color w:val="auto"/>
                <w:sz w:val="24"/>
                <w:lang w:val="en-US" w:eastAsia="zh-CN"/>
              </w:rPr>
              <w:t>6</w:t>
            </w:r>
            <w:r>
              <w:rPr>
                <w:rFonts w:ascii="Times New Roman" w:hAnsi="Times New Roman" w:eastAsia="宋体" w:cs="Times New Roman"/>
                <w:color w:val="auto"/>
                <w:sz w:val="24"/>
              </w:rPr>
              <w:t>年</w:t>
            </w:r>
            <w:r>
              <w:rPr>
                <w:rFonts w:hint="eastAsia" w:cs="Times New Roman"/>
                <w:color w:val="auto"/>
                <w:sz w:val="24"/>
                <w:lang w:val="en-US" w:eastAsia="zh-CN"/>
              </w:rPr>
              <w:t>6</w:t>
            </w:r>
            <w:r>
              <w:rPr>
                <w:rFonts w:ascii="Times New Roman" w:hAnsi="Times New Roman" w:eastAsia="宋体" w:cs="Times New Roman"/>
                <w:color w:val="auto"/>
                <w:sz w:val="24"/>
              </w:rPr>
              <w:t>月</w:t>
            </w:r>
            <w:r>
              <w:rPr>
                <w:rFonts w:hint="eastAsia" w:cs="Times New Roman"/>
                <w:color w:val="auto"/>
                <w:sz w:val="24"/>
                <w:lang w:val="en-US" w:eastAsia="zh-CN"/>
              </w:rPr>
              <w:t>18</w:t>
            </w:r>
            <w:r>
              <w:rPr>
                <w:rFonts w:ascii="Times New Roman" w:hAnsi="Times New Roman" w:eastAsia="宋体" w:cs="Times New Roman"/>
                <w:color w:val="auto"/>
                <w:sz w:val="24"/>
              </w:rPr>
              <w:t>日</w:t>
            </w:r>
            <w:r>
              <w:rPr>
                <w:rFonts w:hint="eastAsia" w:cs="Times New Roman"/>
                <w:color w:val="auto"/>
                <w:sz w:val="24"/>
                <w:lang w:val="en-US" w:eastAsia="zh-CN"/>
              </w:rPr>
              <w:t>通过</w:t>
            </w:r>
            <w:r>
              <w:rPr>
                <w:rFonts w:hint="eastAsia" w:ascii="Times New Roman" w:hAnsi="Times New Roman" w:eastAsia="宋体" w:cs="Times New Roman"/>
                <w:color w:val="auto"/>
                <w:sz w:val="24"/>
                <w:lang w:val="en-US" w:eastAsia="zh-CN"/>
              </w:rPr>
              <w:t>澄江市</w:t>
            </w:r>
            <w:r>
              <w:rPr>
                <w:rFonts w:ascii="Times New Roman" w:hAnsi="Times New Roman" w:eastAsia="宋体" w:cs="Times New Roman"/>
                <w:color w:val="auto"/>
                <w:sz w:val="24"/>
              </w:rPr>
              <w:t>发展和改革局备案（备案号：</w:t>
            </w:r>
            <w:r>
              <w:rPr>
                <w:color w:val="auto"/>
                <w:sz w:val="24"/>
              </w:rPr>
              <w:t>2</w:t>
            </w:r>
            <w:r>
              <w:rPr>
                <w:rFonts w:hint="eastAsia"/>
                <w:color w:val="auto"/>
                <w:sz w:val="24"/>
                <w:lang w:val="en-US" w:eastAsia="zh-CN"/>
              </w:rPr>
              <w:t>606</w:t>
            </w:r>
            <w:r>
              <w:rPr>
                <w:color w:val="auto"/>
                <w:sz w:val="24"/>
              </w:rPr>
              <w:t>-53</w:t>
            </w:r>
            <w:r>
              <w:rPr>
                <w:rFonts w:hint="eastAsia"/>
                <w:color w:val="auto"/>
                <w:sz w:val="24"/>
                <w:lang w:val="en-US" w:eastAsia="zh-CN"/>
              </w:rPr>
              <w:t>0422</w:t>
            </w:r>
            <w:r>
              <w:rPr>
                <w:color w:val="auto"/>
                <w:sz w:val="24"/>
              </w:rPr>
              <w:t>-04-0</w:t>
            </w:r>
            <w:r>
              <w:rPr>
                <w:rFonts w:hint="eastAsia"/>
                <w:color w:val="auto"/>
                <w:sz w:val="24"/>
                <w:lang w:val="en-US" w:eastAsia="zh-CN"/>
              </w:rPr>
              <w:t>1</w:t>
            </w:r>
            <w:r>
              <w:rPr>
                <w:color w:val="auto"/>
                <w:sz w:val="24"/>
              </w:rPr>
              <w:t>-</w:t>
            </w:r>
            <w:r>
              <w:rPr>
                <w:rFonts w:hint="eastAsia"/>
                <w:color w:val="auto"/>
                <w:sz w:val="24"/>
                <w:lang w:val="en-US" w:eastAsia="zh-CN"/>
              </w:rPr>
              <w:t>186611</w:t>
            </w:r>
            <w:r>
              <w:rPr>
                <w:rFonts w:ascii="Times New Roman" w:hAnsi="Times New Roman" w:eastAsia="宋体" w:cs="Times New Roman"/>
                <w:color w:val="auto"/>
                <w:sz w:val="24"/>
              </w:rPr>
              <w:t>）</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见附件</w:t>
            </w:r>
            <w:r>
              <w:rPr>
                <w:rFonts w:hint="eastAsia" w:cs="Times New Roman"/>
                <w:color w:val="auto"/>
                <w:sz w:val="24"/>
                <w:lang w:val="en-US" w:eastAsia="zh-CN"/>
              </w:rPr>
              <w:t>6</w:t>
            </w:r>
            <w:r>
              <w:rPr>
                <w:rFonts w:hint="eastAsia" w:ascii="Times New Roman" w:hAnsi="Times New Roman" w:eastAsia="宋体" w:cs="Times New Roman"/>
                <w:color w:val="auto"/>
                <w:sz w:val="24"/>
                <w:lang w:eastAsia="zh-CN"/>
              </w:rPr>
              <w:t>）</w:t>
            </w:r>
            <w:r>
              <w:rPr>
                <w:rFonts w:hint="eastAsia" w:cs="Times New Roman"/>
                <w:color w:val="auto"/>
                <w:sz w:val="24"/>
                <w:lang w:eastAsia="zh-CN"/>
              </w:rPr>
              <w:t>；</w:t>
            </w:r>
            <w:r>
              <w:rPr>
                <w:rFonts w:ascii="Times New Roman" w:hAnsi="Times New Roman" w:eastAsia="宋体" w:cs="Times New Roman"/>
                <w:color w:val="auto"/>
                <w:sz w:val="24"/>
              </w:rPr>
              <w:t>项目于202</w:t>
            </w:r>
            <w:r>
              <w:rPr>
                <w:rFonts w:hint="eastAsia" w:ascii="Times New Roman" w:hAnsi="Times New Roman" w:eastAsia="宋体" w:cs="Times New Roman"/>
                <w:color w:val="auto"/>
                <w:sz w:val="24"/>
                <w:lang w:val="en-US" w:eastAsia="zh-CN"/>
              </w:rPr>
              <w:t>6</w:t>
            </w:r>
            <w:r>
              <w:rPr>
                <w:rFonts w:ascii="Times New Roman" w:hAnsi="Times New Roman" w:eastAsia="宋体" w:cs="Times New Roman"/>
                <w:color w:val="auto"/>
                <w:sz w:val="24"/>
              </w:rPr>
              <w:t>年</w:t>
            </w:r>
            <w:r>
              <w:rPr>
                <w:rFonts w:hint="eastAsia" w:cs="Times New Roman"/>
                <w:color w:val="auto"/>
                <w:sz w:val="24"/>
                <w:lang w:val="en-US" w:eastAsia="zh-CN"/>
              </w:rPr>
              <w:t>6</w:t>
            </w:r>
            <w:r>
              <w:rPr>
                <w:rFonts w:ascii="Times New Roman" w:hAnsi="Times New Roman" w:eastAsia="宋体" w:cs="Times New Roman"/>
                <w:color w:val="auto"/>
                <w:sz w:val="24"/>
              </w:rPr>
              <w:t>月</w:t>
            </w:r>
            <w:r>
              <w:rPr>
                <w:rFonts w:hint="eastAsia" w:cs="Times New Roman"/>
                <w:color w:val="auto"/>
                <w:sz w:val="24"/>
                <w:lang w:val="en-US" w:eastAsia="zh-CN"/>
              </w:rPr>
              <w:t>17</w:t>
            </w:r>
            <w:r>
              <w:rPr>
                <w:rFonts w:ascii="Times New Roman" w:hAnsi="Times New Roman" w:eastAsia="宋体" w:cs="Times New Roman"/>
                <w:color w:val="auto"/>
                <w:sz w:val="24"/>
              </w:rPr>
              <w:t>日</w:t>
            </w:r>
            <w:r>
              <w:rPr>
                <w:rFonts w:hint="eastAsia" w:ascii="Times New Roman" w:hAnsi="Times New Roman" w:eastAsia="宋体" w:cs="Times New Roman"/>
                <w:color w:val="auto"/>
                <w:sz w:val="24"/>
                <w:lang w:val="en-US" w:eastAsia="zh-CN"/>
              </w:rPr>
              <w:t>取得云南澄江产业园区管理委员会开具的入园证明（见附件</w:t>
            </w:r>
            <w:r>
              <w:rPr>
                <w:rFonts w:hint="eastAsia" w:cs="Times New Roman"/>
                <w:color w:val="auto"/>
                <w:sz w:val="24"/>
                <w:lang w:val="en-US" w:eastAsia="zh-CN"/>
              </w:rPr>
              <w:t>7</w:t>
            </w:r>
            <w:r>
              <w:rPr>
                <w:rFonts w:hint="eastAsia" w:ascii="Times New Roman" w:hAnsi="Times New Roman" w:eastAsia="宋体" w:cs="Times New Roman"/>
                <w:color w:val="auto"/>
                <w:sz w:val="24"/>
                <w:lang w:val="en-US" w:eastAsia="zh-CN"/>
              </w:rPr>
              <w:t>），该项目符合园区产业规划，原则同意云南合罡盛塑业科技有限公司塑料制品深加工新建项目入园。</w:t>
            </w:r>
          </w:p>
          <w:p w14:paraId="5F6A7FEB">
            <w:pPr>
              <w:adjustRightInd w:val="0"/>
              <w:snapToGrid w:val="0"/>
              <w:spacing w:line="360" w:lineRule="auto"/>
              <w:ind w:firstLine="482"/>
              <w:rPr>
                <w:rFonts w:hint="default" w:ascii="Times New Roman" w:hAnsi="Times New Roman" w:eastAsia="宋体" w:cs="Times New Roman"/>
                <w:b w:val="0"/>
                <w:bCs/>
                <w:color w:val="auto"/>
                <w:sz w:val="24"/>
                <w:szCs w:val="24"/>
              </w:rPr>
            </w:pPr>
            <w:r>
              <w:rPr>
                <w:rFonts w:hint="eastAsia" w:cs="Times New Roman"/>
                <w:b w:val="0"/>
                <w:bCs/>
                <w:color w:val="auto"/>
                <w:sz w:val="24"/>
                <w:szCs w:val="24"/>
                <w:lang w:eastAsia="zh-CN"/>
              </w:rPr>
              <w:t>综上</w:t>
            </w:r>
            <w:r>
              <w:rPr>
                <w:rFonts w:hint="default" w:ascii="Times New Roman" w:hAnsi="Times New Roman" w:eastAsia="宋体" w:cs="Times New Roman"/>
                <w:b w:val="0"/>
                <w:bCs/>
                <w:color w:val="auto"/>
                <w:sz w:val="24"/>
                <w:szCs w:val="24"/>
              </w:rPr>
              <w:t>同意项目入驻</w:t>
            </w:r>
            <w:r>
              <w:rPr>
                <w:rFonts w:hint="eastAsia" w:ascii="Times New Roman" w:hAnsi="Times New Roman" w:eastAsia="宋体" w:cs="Times New Roman"/>
                <w:b w:val="0"/>
                <w:bCs/>
                <w:color w:val="auto"/>
                <w:sz w:val="24"/>
                <w:szCs w:val="24"/>
                <w:lang w:eastAsia="zh-CN"/>
              </w:rPr>
              <w:t>云南澄江产业园区</w:t>
            </w:r>
            <w:r>
              <w:rPr>
                <w:rFonts w:hint="default" w:ascii="Times New Roman" w:hAnsi="Times New Roman" w:eastAsia="宋体" w:cs="Times New Roman"/>
                <w:b w:val="0"/>
                <w:bCs/>
                <w:color w:val="auto"/>
                <w:sz w:val="24"/>
                <w:szCs w:val="24"/>
              </w:rPr>
              <w:t>提古片区，因此本项目</w:t>
            </w:r>
            <w:r>
              <w:rPr>
                <w:rFonts w:hint="eastAsia" w:cs="Times New Roman"/>
                <w:b w:val="0"/>
                <w:bCs/>
                <w:color w:val="auto"/>
                <w:sz w:val="24"/>
                <w:szCs w:val="24"/>
                <w:lang w:eastAsia="zh-CN"/>
              </w:rPr>
              <w:t>与</w:t>
            </w:r>
            <w:r>
              <w:rPr>
                <w:rFonts w:hint="default" w:ascii="Times New Roman" w:hAnsi="Times New Roman" w:eastAsia="宋体" w:cs="Times New Roman"/>
                <w:b w:val="0"/>
                <w:bCs/>
                <w:color w:val="auto"/>
                <w:sz w:val="24"/>
                <w:szCs w:val="24"/>
              </w:rPr>
              <w:t>提古片区的</w:t>
            </w:r>
            <w:r>
              <w:rPr>
                <w:rFonts w:hint="eastAsia" w:cs="Times New Roman"/>
                <w:b w:val="0"/>
                <w:bCs/>
                <w:color w:val="auto"/>
                <w:sz w:val="24"/>
                <w:szCs w:val="24"/>
                <w:lang w:eastAsia="zh-CN"/>
              </w:rPr>
              <w:t>功能</w:t>
            </w:r>
            <w:r>
              <w:rPr>
                <w:rFonts w:hint="default" w:ascii="Times New Roman" w:hAnsi="Times New Roman" w:eastAsia="宋体" w:cs="Times New Roman"/>
                <w:color w:val="auto"/>
                <w:sz w:val="24"/>
                <w:lang w:val="en-US" w:eastAsia="zh-CN"/>
              </w:rPr>
              <w:t>定位</w:t>
            </w:r>
            <w:r>
              <w:rPr>
                <w:rFonts w:hint="eastAsia" w:cs="Times New Roman"/>
                <w:color w:val="auto"/>
                <w:sz w:val="24"/>
                <w:lang w:val="en-US" w:eastAsia="zh-CN"/>
              </w:rPr>
              <w:t>不冲突</w:t>
            </w:r>
            <w:r>
              <w:rPr>
                <w:rFonts w:hint="default" w:ascii="Times New Roman" w:hAnsi="Times New Roman" w:eastAsia="宋体" w:cs="Times New Roman"/>
                <w:color w:val="auto"/>
                <w:sz w:val="24"/>
                <w:lang w:val="en-US" w:eastAsia="zh-CN"/>
              </w:rPr>
              <w:t>，符合《云南澄江产业园区总体规划【修编】（2021-2035）》要求</w:t>
            </w:r>
            <w:r>
              <w:rPr>
                <w:rFonts w:hint="default" w:ascii="Times New Roman" w:hAnsi="Times New Roman" w:eastAsia="宋体" w:cs="Times New Roman"/>
                <w:b w:val="0"/>
                <w:bCs/>
                <w:color w:val="auto"/>
                <w:sz w:val="24"/>
                <w:szCs w:val="24"/>
              </w:rPr>
              <w:t>。</w:t>
            </w:r>
          </w:p>
          <w:p w14:paraId="77B42E6C">
            <w:pPr>
              <w:keepNext w:val="0"/>
              <w:keepLines w:val="0"/>
              <w:pageBreakBefore w:val="0"/>
              <w:widowControl w:val="0"/>
              <w:shd w:val="clear"/>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val="0"/>
                <w:color w:val="auto"/>
                <w:sz w:val="24"/>
                <w:highlight w:val="none"/>
                <w:lang w:eastAsia="zh-CN"/>
              </w:rPr>
            </w:pPr>
            <w:r>
              <w:rPr>
                <w:rFonts w:hint="default" w:ascii="Times New Roman" w:hAnsi="Times New Roman" w:eastAsia="宋体" w:cs="Times New Roman"/>
                <w:b/>
                <w:bCs w:val="0"/>
                <w:color w:val="auto"/>
                <w:sz w:val="24"/>
                <w:szCs w:val="24"/>
                <w:highlight w:val="none"/>
                <w:lang w:val="en-US" w:eastAsia="zh-CN"/>
              </w:rPr>
              <w:t>2、</w:t>
            </w:r>
            <w:r>
              <w:rPr>
                <w:rFonts w:hint="eastAsia" w:cs="Times New Roman"/>
                <w:b/>
                <w:bCs w:val="0"/>
                <w:color w:val="auto"/>
                <w:sz w:val="24"/>
                <w:szCs w:val="24"/>
                <w:highlight w:val="none"/>
                <w:lang w:val="en-US" w:eastAsia="zh-CN"/>
              </w:rPr>
              <w:t>项目</w:t>
            </w:r>
            <w:r>
              <w:rPr>
                <w:rFonts w:hint="default" w:ascii="Times New Roman" w:hAnsi="Times New Roman" w:eastAsia="宋体" w:cs="Times New Roman"/>
                <w:b/>
                <w:bCs w:val="0"/>
                <w:color w:val="auto"/>
                <w:sz w:val="24"/>
                <w:szCs w:val="24"/>
                <w:highlight w:val="none"/>
                <w:lang w:val="en-US" w:eastAsia="zh-CN"/>
              </w:rPr>
              <w:t>与</w:t>
            </w:r>
            <w:r>
              <w:rPr>
                <w:rFonts w:hint="eastAsia" w:ascii="Times New Roman" w:hAnsi="Times New Roman" w:eastAsia="宋体" w:cs="Times New Roman"/>
                <w:b/>
                <w:bCs/>
                <w:snapToGrid w:val="0"/>
                <w:color w:val="auto"/>
                <w:sz w:val="24"/>
                <w:highlight w:val="none"/>
                <w:lang w:val="en-US" w:eastAsia="zh-CN"/>
              </w:rPr>
              <w:t>《云南澄江产业园区总体规划[修编]（2021-2035）环境影响报告书》</w:t>
            </w:r>
            <w:r>
              <w:rPr>
                <w:rFonts w:hint="default" w:ascii="Times New Roman" w:hAnsi="Times New Roman" w:eastAsia="宋体" w:cs="Times New Roman"/>
                <w:b/>
                <w:color w:val="auto"/>
                <w:sz w:val="24"/>
                <w:szCs w:val="24"/>
                <w:highlight w:val="none"/>
                <w:lang w:eastAsia="zh-CN"/>
              </w:rPr>
              <w:t>及审查意见的符合性</w:t>
            </w:r>
          </w:p>
          <w:p w14:paraId="3F3A13E8">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lang w:val="en-US" w:eastAsia="zh-CN"/>
              </w:rPr>
              <w:t>1</w:t>
            </w:r>
            <w:r>
              <w:rPr>
                <w:rFonts w:hint="default"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szCs w:val="24"/>
                <w:highlight w:val="none"/>
                <w:lang w:val="en-US" w:eastAsia="zh-CN"/>
              </w:rPr>
              <w:t>与</w:t>
            </w:r>
            <w:r>
              <w:rPr>
                <w:rFonts w:hint="default" w:ascii="Times New Roman" w:hAnsi="Times New Roman" w:eastAsia="宋体" w:cs="Times New Roman"/>
                <w:b/>
                <w:bCs/>
                <w:color w:val="auto"/>
                <w:sz w:val="24"/>
                <w:highlight w:val="none"/>
                <w:lang w:eastAsia="zh-CN"/>
              </w:rPr>
              <w:t>《</w:t>
            </w:r>
            <w:r>
              <w:rPr>
                <w:rFonts w:hint="eastAsia" w:ascii="Times New Roman" w:hAnsi="Times New Roman" w:eastAsia="宋体" w:cs="Times New Roman"/>
                <w:b/>
                <w:bCs/>
                <w:snapToGrid w:val="0"/>
                <w:color w:val="auto"/>
                <w:sz w:val="24"/>
                <w:highlight w:val="none"/>
                <w:lang w:val="en-US" w:eastAsia="zh-CN"/>
              </w:rPr>
              <w:t>云南澄江产业园区总体规划[修编]（2021-2035）环境影响报告书》</w:t>
            </w:r>
            <w:r>
              <w:rPr>
                <w:rFonts w:hint="default" w:ascii="Times New Roman" w:hAnsi="Times New Roman" w:eastAsia="宋体" w:cs="Times New Roman"/>
                <w:b/>
                <w:bCs/>
                <w:color w:val="auto"/>
                <w:sz w:val="24"/>
                <w:highlight w:val="none"/>
                <w:lang w:val="en-US" w:eastAsia="zh-CN"/>
              </w:rPr>
              <w:t>相关环保要求的符合性分析</w:t>
            </w:r>
          </w:p>
          <w:p w14:paraId="0AAFEC63">
            <w:pPr>
              <w:pStyle w:val="14"/>
              <w:ind w:firstLine="480" w:firstLineChars="200"/>
              <w:rPr>
                <w:rFonts w:hint="eastAsia" w:ascii="Times New Roman" w:hAnsi="Times New Roman" w:eastAsia="宋体" w:cs="Times New Roman"/>
                <w:color w:val="auto"/>
                <w:sz w:val="24"/>
                <w:szCs w:val="22"/>
                <w:highlight w:val="none"/>
                <w:lang w:val="en-US" w:eastAsia="zh-CN"/>
              </w:rPr>
            </w:pPr>
            <w:r>
              <w:rPr>
                <w:rFonts w:hint="eastAsia" w:ascii="Times New Roman" w:hAnsi="Times New Roman" w:eastAsia="宋体" w:cs="Times New Roman"/>
                <w:color w:val="auto"/>
                <w:sz w:val="24"/>
                <w:szCs w:val="22"/>
                <w:highlight w:val="none"/>
                <w:lang w:val="en-US" w:eastAsia="zh-CN"/>
              </w:rPr>
              <w:t>项目</w:t>
            </w:r>
            <w:r>
              <w:rPr>
                <w:rFonts w:hint="default" w:ascii="Times New Roman" w:hAnsi="Times New Roman" w:eastAsia="宋体" w:cs="Times New Roman"/>
                <w:color w:val="auto"/>
                <w:sz w:val="24"/>
                <w:szCs w:val="22"/>
                <w:highlight w:val="none"/>
                <w:lang w:val="en-US" w:eastAsia="zh-CN"/>
              </w:rPr>
              <w:t>与规划环评相关内容的符合性分析见表1-</w:t>
            </w:r>
            <w:r>
              <w:rPr>
                <w:rFonts w:hint="eastAsia" w:cs="Times New Roman"/>
                <w:color w:val="auto"/>
                <w:sz w:val="24"/>
                <w:szCs w:val="22"/>
                <w:highlight w:val="none"/>
                <w:lang w:val="en-US" w:eastAsia="zh-CN"/>
              </w:rPr>
              <w:t>2</w:t>
            </w:r>
            <w:r>
              <w:rPr>
                <w:rFonts w:hint="default" w:ascii="Times New Roman" w:hAnsi="Times New Roman" w:eastAsia="宋体" w:cs="Times New Roman"/>
                <w:color w:val="auto"/>
                <w:sz w:val="24"/>
                <w:szCs w:val="22"/>
                <w:highlight w:val="none"/>
                <w:lang w:val="en-US" w:eastAsia="zh-CN"/>
              </w:rPr>
              <w:t>所示</w:t>
            </w:r>
            <w:r>
              <w:rPr>
                <w:rFonts w:hint="eastAsia" w:ascii="Times New Roman" w:hAnsi="Times New Roman" w:eastAsia="宋体" w:cs="Times New Roman"/>
                <w:color w:val="auto"/>
                <w:sz w:val="24"/>
                <w:szCs w:val="22"/>
                <w:highlight w:val="none"/>
                <w:lang w:val="en-US" w:eastAsia="zh-CN"/>
              </w:rPr>
              <w:t>。</w:t>
            </w:r>
          </w:p>
          <w:p w14:paraId="509EB8EE">
            <w:pPr>
              <w:adjustRightInd w:val="0"/>
              <w:snapToGrid w:val="0"/>
              <w:spacing w:line="240" w:lineRule="auto"/>
              <w:ind w:firstLine="422" w:firstLineChars="200"/>
              <w:jc w:val="center"/>
              <w:rPr>
                <w:rFonts w:hint="eastAsia" w:ascii="Times New Roman" w:hAnsi="Times New Roman" w:eastAsia="宋体" w:cs="Times New Roman"/>
                <w:b/>
                <w:bCs/>
                <w:color w:val="auto"/>
                <w:sz w:val="21"/>
                <w:szCs w:val="21"/>
              </w:rPr>
            </w:pPr>
            <w:r>
              <w:rPr>
                <w:rFonts w:hint="eastAsia" w:ascii="Times New Roman" w:hAnsi="Times New Roman" w:eastAsia="宋体" w:cs="Times New Roman"/>
                <w:b/>
                <w:bCs/>
                <w:color w:val="auto"/>
                <w:sz w:val="21"/>
                <w:szCs w:val="21"/>
              </w:rPr>
              <w:t>表</w:t>
            </w:r>
            <w:r>
              <w:rPr>
                <w:rFonts w:hint="eastAsia" w:ascii="Times New Roman" w:hAnsi="Times New Roman" w:eastAsia="宋体" w:cs="Times New Roman"/>
                <w:b/>
                <w:bCs/>
                <w:color w:val="auto"/>
                <w:sz w:val="21"/>
                <w:szCs w:val="21"/>
                <w:lang w:val="en-US" w:eastAsia="zh-CN"/>
              </w:rPr>
              <w:t>1-2</w:t>
            </w:r>
            <w:r>
              <w:rPr>
                <w:rFonts w:hint="eastAsia" w:cs="Times New Roman"/>
                <w:b/>
                <w:bCs/>
                <w:color w:val="auto"/>
                <w:sz w:val="21"/>
                <w:szCs w:val="21"/>
                <w:lang w:val="en-US" w:eastAsia="zh-CN"/>
              </w:rPr>
              <w:t xml:space="preserve">  </w:t>
            </w:r>
            <w:r>
              <w:rPr>
                <w:rFonts w:hint="eastAsia" w:ascii="Times New Roman" w:hAnsi="Times New Roman" w:eastAsia="宋体" w:cs="Times New Roman"/>
                <w:b/>
                <w:bCs/>
                <w:color w:val="auto"/>
                <w:sz w:val="21"/>
                <w:szCs w:val="21"/>
              </w:rPr>
              <w:t>项目与</w:t>
            </w:r>
            <w:r>
              <w:rPr>
                <w:rFonts w:hint="eastAsia" w:ascii="Times New Roman" w:hAnsi="Times New Roman" w:eastAsia="宋体" w:cs="Times New Roman"/>
                <w:b/>
                <w:bCs/>
                <w:color w:val="auto"/>
                <w:sz w:val="21"/>
                <w:szCs w:val="21"/>
                <w:lang w:val="en-US" w:eastAsia="zh-CN"/>
              </w:rPr>
              <w:t>规划环评</w:t>
            </w:r>
            <w:r>
              <w:rPr>
                <w:rFonts w:hint="eastAsia" w:ascii="Times New Roman" w:hAnsi="Times New Roman" w:eastAsia="宋体" w:cs="Times New Roman"/>
                <w:b/>
                <w:bCs/>
                <w:color w:val="auto"/>
                <w:sz w:val="21"/>
                <w:szCs w:val="21"/>
                <w:lang w:eastAsia="zh-CN"/>
              </w:rPr>
              <w:t>入驻企业</w:t>
            </w:r>
            <w:r>
              <w:rPr>
                <w:rFonts w:hint="eastAsia" w:ascii="Times New Roman" w:hAnsi="Times New Roman" w:eastAsia="宋体" w:cs="Times New Roman"/>
                <w:b/>
                <w:bCs/>
                <w:color w:val="auto"/>
                <w:sz w:val="21"/>
                <w:szCs w:val="21"/>
              </w:rPr>
              <w:t>相关环保要求</w:t>
            </w:r>
            <w:r>
              <w:rPr>
                <w:rFonts w:hint="eastAsia" w:ascii="Times New Roman" w:hAnsi="Times New Roman" w:eastAsia="宋体" w:cs="Times New Roman"/>
                <w:b/>
                <w:bCs/>
                <w:color w:val="auto"/>
                <w:sz w:val="21"/>
                <w:szCs w:val="21"/>
                <w:lang w:val="en-US" w:eastAsia="zh-CN"/>
              </w:rPr>
              <w:t>的</w:t>
            </w:r>
            <w:r>
              <w:rPr>
                <w:rFonts w:hint="eastAsia" w:ascii="Times New Roman" w:hAnsi="Times New Roman" w:eastAsia="宋体" w:cs="Times New Roman"/>
                <w:b/>
                <w:bCs/>
                <w:color w:val="auto"/>
                <w:sz w:val="21"/>
                <w:szCs w:val="21"/>
              </w:rPr>
              <w:t>符合性分析</w:t>
            </w:r>
          </w:p>
          <w:tbl>
            <w:tblPr>
              <w:tblStyle w:val="3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8"/>
              <w:gridCol w:w="3166"/>
              <w:gridCol w:w="2979"/>
              <w:gridCol w:w="603"/>
            </w:tblGrid>
            <w:tr w14:paraId="51D76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716" w:type="pct"/>
                  <w:noWrap w:val="0"/>
                  <w:vAlign w:val="center"/>
                </w:tcPr>
                <w:p w14:paraId="14B08392">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项目</w:t>
                  </w:r>
                </w:p>
              </w:tc>
              <w:tc>
                <w:tcPr>
                  <w:tcW w:w="2009" w:type="pct"/>
                  <w:noWrap w:val="0"/>
                  <w:vAlign w:val="center"/>
                </w:tcPr>
                <w:p w14:paraId="6B8D48D0">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规划环评环保要求</w:t>
                  </w:r>
                </w:p>
              </w:tc>
              <w:tc>
                <w:tcPr>
                  <w:tcW w:w="1891" w:type="pct"/>
                  <w:noWrap w:val="0"/>
                  <w:vAlign w:val="center"/>
                </w:tcPr>
                <w:p w14:paraId="7228AC2D">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本项目符合性分析</w:t>
                  </w:r>
                </w:p>
              </w:tc>
              <w:tc>
                <w:tcPr>
                  <w:tcW w:w="382" w:type="pct"/>
                  <w:noWrap w:val="0"/>
                  <w:vAlign w:val="center"/>
                </w:tcPr>
                <w:p w14:paraId="617DD697">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是否符合</w:t>
                  </w:r>
                </w:p>
              </w:tc>
            </w:tr>
            <w:tr w14:paraId="42AB6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5000" w:type="pct"/>
                  <w:gridSpan w:val="4"/>
                  <w:noWrap w:val="0"/>
                  <w:vAlign w:val="center"/>
                </w:tcPr>
                <w:p w14:paraId="330B6A72">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产业布局</w:t>
                  </w:r>
                </w:p>
              </w:tc>
            </w:tr>
            <w:tr w14:paraId="684A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2" w:hRule="atLeast"/>
              </w:trPr>
              <w:tc>
                <w:tcPr>
                  <w:tcW w:w="716" w:type="pct"/>
                  <w:noWrap w:val="0"/>
                  <w:vAlign w:val="center"/>
                </w:tcPr>
                <w:p w14:paraId="38290DD7">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规划产业布局</w:t>
                  </w:r>
                </w:p>
              </w:tc>
              <w:tc>
                <w:tcPr>
                  <w:tcW w:w="2009" w:type="pct"/>
                  <w:noWrap w:val="0"/>
                  <w:vAlign w:val="center"/>
                </w:tcPr>
                <w:p w14:paraId="145F8754">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提古片区定位：</w:t>
                  </w:r>
                  <w:r>
                    <w:rPr>
                      <w:rFonts w:hint="eastAsia" w:ascii="Times New Roman" w:hAnsi="Times New Roman" w:eastAsia="宋体" w:cs="Times New Roman"/>
                      <w:color w:val="auto"/>
                      <w:sz w:val="21"/>
                      <w:szCs w:val="21"/>
                      <w:lang w:val="en-US" w:eastAsia="zh-CN"/>
                    </w:rPr>
                    <w:t>装备制造及生物资源加工</w:t>
                  </w:r>
                  <w:r>
                    <w:rPr>
                      <w:rFonts w:hint="eastAsia" w:ascii="Times New Roman" w:cs="Times New Roman"/>
                      <w:color w:val="auto"/>
                      <w:sz w:val="21"/>
                      <w:szCs w:val="21"/>
                      <w:lang w:val="en-US" w:eastAsia="zh-CN"/>
                    </w:rPr>
                    <w:t>基地</w:t>
                  </w:r>
                </w:p>
              </w:tc>
              <w:tc>
                <w:tcPr>
                  <w:tcW w:w="1891" w:type="pct"/>
                  <w:noWrap w:val="0"/>
                  <w:vAlign w:val="center"/>
                </w:tcPr>
                <w:p w14:paraId="3AFE33B5">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项目于2026年6月17日取得云南澄江产业园区管理委员会开具的入园证明（见附件</w:t>
                  </w:r>
                  <w:r>
                    <w:rPr>
                      <w:rFonts w:hint="eastAsia" w:ascii="Times New Roman" w:cs="Times New Roman"/>
                      <w:color w:val="auto"/>
                      <w:sz w:val="21"/>
                      <w:szCs w:val="21"/>
                      <w:lang w:val="en-US" w:eastAsia="zh-CN"/>
                    </w:rPr>
                    <w:t>7</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证明中明确</w:t>
                  </w:r>
                  <w:r>
                    <w:rPr>
                      <w:rFonts w:hint="eastAsia" w:ascii="Times New Roman" w:hAnsi="Times New Roman" w:eastAsia="宋体" w:cs="Times New Roman"/>
                      <w:color w:val="auto"/>
                      <w:sz w:val="21"/>
                      <w:szCs w:val="21"/>
                      <w:lang w:val="en-US" w:eastAsia="zh-CN"/>
                    </w:rPr>
                    <w:t>“该项目符合园区产业规划，原则同意云南合罡盛塑业科技有限公司塑料制品深加工新建项目入园”</w:t>
                  </w:r>
                  <w:r>
                    <w:rPr>
                      <w:rFonts w:hint="eastAsia" w:ascii="Times New Roman" w:hAnsi="Times New Roman" w:eastAsia="宋体" w:cs="Times New Roman"/>
                      <w:color w:val="auto"/>
                      <w:sz w:val="21"/>
                      <w:szCs w:val="21"/>
                      <w:lang w:val="zh-CN" w:eastAsia="zh-CN"/>
                    </w:rPr>
                    <w:t>。</w:t>
                  </w:r>
                  <w:r>
                    <w:rPr>
                      <w:rFonts w:hint="eastAsia" w:ascii="Times New Roman" w:hAnsi="Times New Roman" w:eastAsia="宋体" w:cs="Times New Roman"/>
                      <w:color w:val="auto"/>
                      <w:sz w:val="21"/>
                      <w:szCs w:val="21"/>
                      <w:lang w:val="en-US" w:eastAsia="zh-CN"/>
                    </w:rPr>
                    <w:t>项目属于</w:t>
                  </w:r>
                  <w:r>
                    <w:rPr>
                      <w:rFonts w:hint="default" w:ascii="Times New Roman" w:hAnsi="Times New Roman" w:eastAsia="宋体" w:cs="Times New Roman"/>
                      <w:color w:val="auto"/>
                      <w:sz w:val="21"/>
                      <w:szCs w:val="21"/>
                      <w:lang w:val="en-US" w:eastAsia="zh-CN"/>
                    </w:rPr>
                    <w:t>塑料包装箱及容器制造</w:t>
                  </w:r>
                  <w:r>
                    <w:rPr>
                      <w:rFonts w:hint="eastAsia" w:ascii="Times New Roman" w:hAnsi="Times New Roman" w:eastAsia="宋体" w:cs="Times New Roman"/>
                      <w:color w:val="auto"/>
                      <w:sz w:val="21"/>
                      <w:szCs w:val="21"/>
                      <w:lang w:val="en-US" w:eastAsia="zh-CN"/>
                    </w:rPr>
                    <w:t>，与产业定位不冲突。</w:t>
                  </w:r>
                </w:p>
              </w:tc>
              <w:tc>
                <w:tcPr>
                  <w:tcW w:w="382" w:type="pct"/>
                  <w:noWrap w:val="0"/>
                  <w:vAlign w:val="center"/>
                </w:tcPr>
                <w:p w14:paraId="7EC7872A">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符合</w:t>
                  </w:r>
                </w:p>
              </w:tc>
            </w:tr>
            <w:tr w14:paraId="48B8D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000" w:type="pct"/>
                  <w:gridSpan w:val="4"/>
                  <w:noWrap w:val="0"/>
                  <w:vAlign w:val="center"/>
                </w:tcPr>
                <w:p w14:paraId="6E73FAFF">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b/>
                      <w:bCs/>
                      <w:color w:val="auto"/>
                      <w:sz w:val="21"/>
                      <w:szCs w:val="21"/>
                      <w:highlight w:val="none"/>
                      <w:lang w:eastAsia="zh-CN"/>
                    </w:rPr>
                    <w:t>规划产业园区管控单元及管控要求（九村片区东溪哨组团以外区域、牛场片区、提古片区）</w:t>
                  </w:r>
                </w:p>
              </w:tc>
            </w:tr>
            <w:tr w14:paraId="79B0E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716" w:type="pct"/>
                  <w:vMerge w:val="restart"/>
                  <w:noWrap w:val="0"/>
                  <w:vAlign w:val="center"/>
                </w:tcPr>
                <w:p w14:paraId="752F0877">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产业布局约束</w:t>
                  </w:r>
                </w:p>
              </w:tc>
              <w:tc>
                <w:tcPr>
                  <w:tcW w:w="2009" w:type="pct"/>
                  <w:noWrap w:val="0"/>
                  <w:vAlign w:val="center"/>
                </w:tcPr>
                <w:p w14:paraId="23CFC8C6">
                  <w:pPr>
                    <w:widowControl/>
                    <w:jc w:val="left"/>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kern w:val="0"/>
                      <w:szCs w:val="21"/>
                    </w:rPr>
                    <w:t>1、入驻项目须符合国家及云南省相关产业政策、符合园区规划产业布局；严禁《产业结构调整指导目录（2019年本）》中淘汰类及限制类项目入驻；严禁《环境保护综合名录（2021年版）》中高风险高污染行业入驻；</w:t>
                  </w:r>
                </w:p>
              </w:tc>
              <w:tc>
                <w:tcPr>
                  <w:tcW w:w="1891" w:type="pct"/>
                  <w:noWrap w:val="0"/>
                  <w:vAlign w:val="center"/>
                </w:tcPr>
                <w:p w14:paraId="393300DF">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本项目</w:t>
                  </w:r>
                  <w:r>
                    <w:rPr>
                      <w:rFonts w:hint="default" w:ascii="Times New Roman" w:hAnsi="Times New Roman" w:eastAsia="宋体" w:cs="Times New Roman"/>
                      <w:color w:val="auto"/>
                      <w:sz w:val="21"/>
                      <w:szCs w:val="21"/>
                    </w:rPr>
                    <w:t>不属于《产业结构调整指导目录（</w:t>
                  </w:r>
                  <w:r>
                    <w:rPr>
                      <w:rFonts w:hint="default" w:ascii="Times New Roman" w:hAnsi="Times New Roman" w:eastAsia="宋体" w:cs="Times New Roman"/>
                      <w:color w:val="auto"/>
                      <w:sz w:val="21"/>
                      <w:szCs w:val="21"/>
                      <w:lang w:eastAsia="zh-CN"/>
                    </w:rPr>
                    <w:t>2024年本</w:t>
                  </w:r>
                  <w:r>
                    <w:rPr>
                      <w:rFonts w:hint="default" w:ascii="Times New Roman" w:hAnsi="Times New Roman" w:eastAsia="宋体" w:cs="Times New Roman"/>
                      <w:color w:val="auto"/>
                      <w:sz w:val="21"/>
                      <w:szCs w:val="21"/>
                    </w:rPr>
                    <w:t>）》文件中淘汰类</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限制类</w:t>
                  </w:r>
                  <w:r>
                    <w:rPr>
                      <w:rFonts w:hint="default" w:ascii="Times New Roman" w:hAnsi="Times New Roman" w:eastAsia="宋体" w:cs="Times New Roman"/>
                      <w:color w:val="auto"/>
                      <w:sz w:val="21"/>
                      <w:szCs w:val="21"/>
                    </w:rPr>
                    <w:t>的项目，</w:t>
                  </w:r>
                  <w:r>
                    <w:rPr>
                      <w:rFonts w:hint="default" w:ascii="Times New Roman" w:hAnsi="Times New Roman" w:eastAsia="宋体" w:cs="Times New Roman"/>
                      <w:color w:val="auto"/>
                      <w:sz w:val="21"/>
                      <w:szCs w:val="21"/>
                      <w:lang w:eastAsia="zh-CN"/>
                    </w:rPr>
                    <w:t>也不属于</w:t>
                  </w:r>
                  <w:r>
                    <w:rPr>
                      <w:rFonts w:hint="default" w:ascii="Times New Roman" w:hAnsi="Times New Roman" w:eastAsia="宋体" w:cs="Times New Roman"/>
                      <w:color w:val="auto"/>
                      <w:sz w:val="21"/>
                      <w:szCs w:val="21"/>
                    </w:rPr>
                    <w:t>《环境保护综合名录（2021年版）》中高风险高污染行业。</w:t>
                  </w:r>
                </w:p>
              </w:tc>
              <w:tc>
                <w:tcPr>
                  <w:tcW w:w="382" w:type="pct"/>
                  <w:noWrap w:val="0"/>
                  <w:vAlign w:val="center"/>
                </w:tcPr>
                <w:p w14:paraId="707A9B81">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133F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716" w:type="pct"/>
                  <w:vMerge w:val="continue"/>
                  <w:noWrap w:val="0"/>
                  <w:vAlign w:val="center"/>
                </w:tcPr>
                <w:p w14:paraId="30DFB17D">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p>
              </w:tc>
              <w:tc>
                <w:tcPr>
                  <w:tcW w:w="2009" w:type="pct"/>
                  <w:noWrap w:val="0"/>
                  <w:vAlign w:val="center"/>
                </w:tcPr>
                <w:p w14:paraId="777576A8">
                  <w:pPr>
                    <w:widowControl/>
                    <w:jc w:val="left"/>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kern w:val="0"/>
                      <w:szCs w:val="21"/>
                    </w:rPr>
                    <w:t>2、严格控制大型的以排放废气和废水为主的企业入园；</w:t>
                  </w:r>
                </w:p>
              </w:tc>
              <w:tc>
                <w:tcPr>
                  <w:tcW w:w="1891" w:type="pct"/>
                  <w:noWrap w:val="0"/>
                  <w:vAlign w:val="center"/>
                </w:tcPr>
                <w:p w14:paraId="527DF830">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本项目产生的废气主要为</w:t>
                  </w:r>
                  <w:r>
                    <w:rPr>
                      <w:rFonts w:hint="eastAsia" w:ascii="Times New Roman" w:cs="Times New Roman"/>
                      <w:color w:val="auto"/>
                      <w:sz w:val="21"/>
                      <w:szCs w:val="21"/>
                      <w:lang w:val="en-US" w:eastAsia="zh-CN"/>
                    </w:rPr>
                    <w:t>注塑废气、破碎</w:t>
                  </w:r>
                  <w:r>
                    <w:rPr>
                      <w:rFonts w:hint="eastAsia" w:ascii="Times New Roman" w:hAnsi="Times New Roman" w:eastAsia="宋体" w:cs="Times New Roman"/>
                      <w:color w:val="auto"/>
                      <w:sz w:val="21"/>
                      <w:szCs w:val="21"/>
                      <w:lang w:val="en-US" w:eastAsia="zh-CN"/>
                    </w:rPr>
                    <w:t>废气，废气</w:t>
                  </w:r>
                  <w:r>
                    <w:rPr>
                      <w:rFonts w:hint="eastAsia" w:ascii="Times New Roman" w:cs="Times New Roman"/>
                      <w:color w:val="auto"/>
                      <w:sz w:val="21"/>
                      <w:szCs w:val="21"/>
                      <w:lang w:val="en-US" w:eastAsia="zh-CN"/>
                    </w:rPr>
                    <w:t>排放</w:t>
                  </w:r>
                  <w:r>
                    <w:rPr>
                      <w:rFonts w:hint="eastAsia" w:ascii="Times New Roman" w:hAnsi="Times New Roman" w:eastAsia="宋体" w:cs="Times New Roman"/>
                      <w:color w:val="auto"/>
                      <w:sz w:val="21"/>
                      <w:szCs w:val="21"/>
                      <w:lang w:val="en-US" w:eastAsia="zh-CN"/>
                    </w:rPr>
                    <w:t>量较小；</w:t>
                  </w:r>
                  <w:r>
                    <w:rPr>
                      <w:rFonts w:hint="eastAsia" w:ascii="Times New Roman" w:cs="Times New Roman"/>
                      <w:color w:val="auto"/>
                      <w:sz w:val="21"/>
                      <w:szCs w:val="21"/>
                      <w:lang w:val="en-US" w:eastAsia="zh-CN"/>
                    </w:rPr>
                    <w:t>生产废水不外排；</w:t>
                  </w:r>
                  <w:r>
                    <w:rPr>
                      <w:rFonts w:hint="eastAsia" w:ascii="Times New Roman" w:eastAsia="宋体" w:cs="Times New Roman"/>
                      <w:color w:val="auto"/>
                      <w:sz w:val="21"/>
                      <w:szCs w:val="21"/>
                      <w:lang w:val="en-US" w:eastAsia="zh-CN"/>
                    </w:rPr>
                    <w:t>生活污水产生量较小</w:t>
                  </w:r>
                  <w:r>
                    <w:rPr>
                      <w:rFonts w:hint="eastAsia" w:ascii="Times New Roman" w:cs="Times New Roman"/>
                      <w:color w:val="auto"/>
                      <w:sz w:val="21"/>
                      <w:szCs w:val="21"/>
                      <w:lang w:val="en-US" w:eastAsia="zh-CN"/>
                    </w:rPr>
                    <w:t>，经自建</w:t>
                  </w:r>
                  <w:r>
                    <w:rPr>
                      <w:rFonts w:hint="eastAsia" w:ascii="Times New Roman" w:hAnsi="Times New Roman" w:eastAsia="宋体" w:cs="Times New Roman"/>
                      <w:color w:val="auto"/>
                      <w:sz w:val="21"/>
                      <w:szCs w:val="21"/>
                      <w:lang w:val="en-US" w:eastAsia="zh-CN"/>
                    </w:rPr>
                    <w:t>污水处理站处理后回用于</w:t>
                  </w:r>
                  <w:r>
                    <w:rPr>
                      <w:rFonts w:hint="eastAsia" w:ascii="Times New Roman" w:cs="Times New Roman"/>
                      <w:color w:val="auto"/>
                      <w:sz w:val="21"/>
                      <w:szCs w:val="21"/>
                      <w:lang w:val="en-US" w:eastAsia="zh-CN"/>
                    </w:rPr>
                    <w:t>项目区</w:t>
                  </w:r>
                  <w:r>
                    <w:rPr>
                      <w:rFonts w:hint="eastAsia" w:ascii="Times New Roman" w:hAnsi="Times New Roman" w:eastAsia="宋体" w:cs="Times New Roman"/>
                      <w:color w:val="auto"/>
                      <w:sz w:val="21"/>
                      <w:szCs w:val="21"/>
                      <w:lang w:val="en-US" w:eastAsia="zh-CN"/>
                    </w:rPr>
                    <w:t>绿化与道路</w:t>
                  </w:r>
                  <w:r>
                    <w:rPr>
                      <w:rFonts w:hint="eastAsia" w:ascii="Times New Roman" w:cs="Times New Roman"/>
                      <w:color w:val="auto"/>
                      <w:sz w:val="21"/>
                      <w:szCs w:val="21"/>
                      <w:lang w:val="en-US" w:eastAsia="zh-CN"/>
                    </w:rPr>
                    <w:t>清扫</w:t>
                  </w:r>
                  <w:r>
                    <w:rPr>
                      <w:rFonts w:hint="eastAsia" w:ascii="Times New Roman" w:eastAsia="宋体" w:cs="Times New Roman"/>
                      <w:color w:val="auto"/>
                      <w:sz w:val="21"/>
                      <w:szCs w:val="21"/>
                      <w:lang w:val="en-US" w:eastAsia="zh-CN"/>
                    </w:rPr>
                    <w:t>。</w:t>
                  </w:r>
                </w:p>
              </w:tc>
              <w:tc>
                <w:tcPr>
                  <w:tcW w:w="382" w:type="pct"/>
                  <w:noWrap w:val="0"/>
                  <w:vAlign w:val="center"/>
                </w:tcPr>
                <w:p w14:paraId="1304718A">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2DEFC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716" w:type="pct"/>
                  <w:vMerge w:val="restart"/>
                  <w:noWrap w:val="0"/>
                  <w:vAlign w:val="center"/>
                </w:tcPr>
                <w:p w14:paraId="0EFFD1F0">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r>
                    <w:rPr>
                      <w:rFonts w:ascii="Times New Roman" w:hAnsi="Times New Roman" w:eastAsia="宋体" w:cs="Times New Roman"/>
                      <w:color w:val="auto"/>
                      <w:kern w:val="0"/>
                      <w:szCs w:val="21"/>
                    </w:rPr>
                    <w:t>污染物排放管控</w:t>
                  </w:r>
                </w:p>
              </w:tc>
              <w:tc>
                <w:tcPr>
                  <w:tcW w:w="2009" w:type="pct"/>
                  <w:noWrap w:val="0"/>
                  <w:vAlign w:val="center"/>
                </w:tcPr>
                <w:p w14:paraId="78A87CBB">
                  <w:pPr>
                    <w:widowControl/>
                    <w:jc w:val="left"/>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kern w:val="0"/>
                      <w:szCs w:val="21"/>
                    </w:rPr>
                    <w:t>3、根据入驻项目行业特点，加大工业用水的重复利用率和中水回用率；</w:t>
                  </w:r>
                </w:p>
              </w:tc>
              <w:tc>
                <w:tcPr>
                  <w:tcW w:w="1891" w:type="pct"/>
                  <w:noWrap w:val="0"/>
                  <w:vAlign w:val="center"/>
                </w:tcPr>
                <w:p w14:paraId="301A955B">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shd w:val="clear" w:color="auto" w:fill="auto"/>
                      <w:lang w:eastAsia="zh-CN"/>
                    </w:rPr>
                    <w:t>本项目</w:t>
                  </w:r>
                  <w:r>
                    <w:rPr>
                      <w:rFonts w:ascii="Times New Roman" w:hAnsi="Times New Roman" w:eastAsia="宋体" w:cs="Times New Roman"/>
                      <w:color w:val="auto"/>
                      <w:kern w:val="0"/>
                      <w:sz w:val="21"/>
                      <w:szCs w:val="21"/>
                      <w:lang w:val="en-US" w:eastAsia="zh-CN" w:bidi="ar-SA"/>
                    </w:rPr>
                    <w:t>冷却水经冷却循环</w:t>
                  </w:r>
                  <w:r>
                    <w:rPr>
                      <w:rFonts w:hint="eastAsia" w:ascii="Times New Roman" w:hAnsi="Times New Roman" w:eastAsia="宋体" w:cs="Times New Roman"/>
                      <w:color w:val="auto"/>
                      <w:kern w:val="0"/>
                      <w:sz w:val="21"/>
                      <w:szCs w:val="21"/>
                      <w:lang w:val="en-US" w:eastAsia="zh-CN" w:bidi="ar-SA"/>
                    </w:rPr>
                    <w:t>水箱</w:t>
                  </w:r>
                  <w:r>
                    <w:rPr>
                      <w:rFonts w:ascii="Times New Roman" w:hAnsi="Times New Roman" w:eastAsia="宋体" w:cs="Times New Roman"/>
                      <w:color w:val="auto"/>
                      <w:kern w:val="0"/>
                      <w:sz w:val="21"/>
                      <w:szCs w:val="21"/>
                      <w:lang w:val="en-US" w:eastAsia="zh-CN" w:bidi="ar-SA"/>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达到</w:t>
                  </w:r>
                  <w:r>
                    <w:rPr>
                      <w:rFonts w:hint="default" w:ascii="Times New Roman" w:hAnsi="Times New Roman" w:eastAsia="宋体" w:cs="Times New Roman"/>
                      <w:b w:val="0"/>
                      <w:bCs w:val="0"/>
                      <w:color w:val="auto"/>
                      <w:sz w:val="21"/>
                      <w:szCs w:val="21"/>
                      <w:highlight w:val="none"/>
                      <w:lang w:val="en-US" w:eastAsia="zh-CN"/>
                    </w:rPr>
                    <w:t>《城市污水再生利用 城市杂用水水质》（GB/T18920-2020）中的城市绿化、道路清扫、消防、建筑施工标准后，用于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tc>
              <w:tc>
                <w:tcPr>
                  <w:tcW w:w="382" w:type="pct"/>
                  <w:noWrap w:val="0"/>
                  <w:vAlign w:val="center"/>
                </w:tcPr>
                <w:p w14:paraId="6DA3B7F6">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1B9C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6" w:type="pct"/>
                  <w:vMerge w:val="continue"/>
                  <w:noWrap w:val="0"/>
                  <w:vAlign w:val="center"/>
                </w:tcPr>
                <w:p w14:paraId="40F4F32F">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p>
              </w:tc>
              <w:tc>
                <w:tcPr>
                  <w:tcW w:w="2009" w:type="pct"/>
                  <w:noWrap w:val="0"/>
                  <w:vAlign w:val="center"/>
                </w:tcPr>
                <w:p w14:paraId="30D139E4">
                  <w:pPr>
                    <w:widowControl/>
                    <w:jc w:val="left"/>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kern w:val="0"/>
                      <w:szCs w:val="21"/>
                    </w:rPr>
                    <w:t>4、九村片区、牛场片区进入园区污水厂处理的废水处理达标后尽可能在园区范围回用，回用不完外排的废水污染物排放量不得超出污水厂的排放总量；</w:t>
                  </w:r>
                </w:p>
              </w:tc>
              <w:tc>
                <w:tcPr>
                  <w:tcW w:w="1891" w:type="pct"/>
                  <w:noWrap w:val="0"/>
                  <w:vAlign w:val="center"/>
                </w:tcPr>
                <w:p w14:paraId="5BE403C5">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eastAsia" w:ascii="Times New Roman" w:hAnsi="Times New Roman" w:eastAsia="宋体" w:cs="Times New Roman"/>
                      <w:color w:val="auto"/>
                      <w:sz w:val="21"/>
                      <w:szCs w:val="21"/>
                      <w:lang w:val="en-US" w:eastAsia="zh-CN"/>
                    </w:rPr>
                  </w:pPr>
                  <w:r>
                    <w:rPr>
                      <w:rFonts w:hint="default" w:ascii="Times New Roman" w:hAnsi="宋体" w:eastAsia="宋体" w:cs="Times New Roman"/>
                      <w:color w:val="auto"/>
                      <w:sz w:val="21"/>
                      <w:szCs w:val="21"/>
                      <w:lang w:val="en-US" w:eastAsia="zh-CN"/>
                    </w:rPr>
                    <w:t>本项目</w:t>
                  </w:r>
                  <w:r>
                    <w:rPr>
                      <w:rFonts w:hint="eastAsia" w:ascii="Times New Roman" w:hAnsi="宋体" w:eastAsia="宋体" w:cs="Times New Roman"/>
                      <w:color w:val="auto"/>
                      <w:sz w:val="21"/>
                      <w:szCs w:val="21"/>
                      <w:lang w:val="en-US" w:eastAsia="zh-CN"/>
                    </w:rPr>
                    <w:t>不涉及九村片区、牛场片区。</w:t>
                  </w:r>
                </w:p>
              </w:tc>
              <w:tc>
                <w:tcPr>
                  <w:tcW w:w="382" w:type="pct"/>
                  <w:noWrap w:val="0"/>
                  <w:vAlign w:val="center"/>
                </w:tcPr>
                <w:p w14:paraId="3FF16C34">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0C9AD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716" w:type="pct"/>
                  <w:vMerge w:val="continue"/>
                  <w:noWrap w:val="0"/>
                  <w:vAlign w:val="center"/>
                </w:tcPr>
                <w:p w14:paraId="3719819A">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p>
              </w:tc>
              <w:tc>
                <w:tcPr>
                  <w:tcW w:w="2009" w:type="pct"/>
                  <w:noWrap w:val="0"/>
                  <w:vAlign w:val="center"/>
                </w:tcPr>
                <w:p w14:paraId="2F5B7DA5">
                  <w:pPr>
                    <w:widowControl/>
                    <w:jc w:val="left"/>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kern w:val="0"/>
                      <w:szCs w:val="21"/>
                    </w:rPr>
                    <w:t>5、提古片区无排水条件，片区必须以污水</w:t>
                  </w:r>
                  <w:r>
                    <w:rPr>
                      <w:rFonts w:hint="eastAsia" w:ascii="Times New Roman" w:hAnsi="Times New Roman" w:eastAsia="宋体" w:cs="Times New Roman"/>
                      <w:color w:val="auto"/>
                      <w:kern w:val="0"/>
                      <w:szCs w:val="21"/>
                    </w:rPr>
                    <w:t>全部回用不外排</w:t>
                  </w:r>
                  <w:r>
                    <w:rPr>
                      <w:rFonts w:ascii="Times New Roman" w:hAnsi="Times New Roman" w:eastAsia="宋体" w:cs="Times New Roman"/>
                      <w:color w:val="auto"/>
                      <w:kern w:val="0"/>
                      <w:szCs w:val="21"/>
                    </w:rPr>
                    <w:t>可行性作为产业发展基础，在未解决片区污水</w:t>
                  </w:r>
                  <w:r>
                    <w:rPr>
                      <w:rFonts w:hint="eastAsia" w:ascii="Times New Roman" w:hAnsi="Times New Roman" w:eastAsia="宋体" w:cs="Times New Roman"/>
                      <w:color w:val="auto"/>
                      <w:kern w:val="0"/>
                      <w:szCs w:val="21"/>
                    </w:rPr>
                    <w:t>全部回用不外排</w:t>
                  </w:r>
                  <w:r>
                    <w:rPr>
                      <w:rFonts w:ascii="Times New Roman" w:hAnsi="Times New Roman" w:eastAsia="宋体" w:cs="Times New Roman"/>
                      <w:color w:val="auto"/>
                      <w:kern w:val="0"/>
                      <w:szCs w:val="21"/>
                    </w:rPr>
                    <w:t>前提下，暂停实施该片区涉及排放生产废水的相关产业。</w:t>
                  </w:r>
                </w:p>
              </w:tc>
              <w:tc>
                <w:tcPr>
                  <w:tcW w:w="1891" w:type="pct"/>
                  <w:noWrap w:val="0"/>
                  <w:vAlign w:val="center"/>
                </w:tcPr>
                <w:p w14:paraId="546327E9">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eastAsia="宋体" w:cs="Times New Roman"/>
                      <w:color w:val="auto"/>
                      <w:sz w:val="21"/>
                      <w:szCs w:val="21"/>
                      <w:lang w:val="en-US" w:eastAsia="zh-CN"/>
                    </w:rPr>
                    <w:t>本项目位于提古片区，</w:t>
                  </w:r>
                  <w:r>
                    <w:rPr>
                      <w:rFonts w:hint="default" w:ascii="Times New Roman" w:hAnsi="Times New Roman" w:cs="Times New Roman"/>
                      <w:color w:val="auto"/>
                      <w:sz w:val="21"/>
                      <w:szCs w:val="21"/>
                      <w:shd w:val="clear" w:color="auto" w:fill="auto"/>
                      <w:lang w:eastAsia="zh-CN"/>
                    </w:rPr>
                    <w:t>项目</w:t>
                  </w:r>
                  <w:r>
                    <w:rPr>
                      <w:rFonts w:ascii="Times New Roman" w:hAnsi="Times New Roman" w:eastAsia="宋体" w:cs="Times New Roman"/>
                      <w:color w:val="auto"/>
                      <w:kern w:val="0"/>
                      <w:sz w:val="21"/>
                      <w:szCs w:val="21"/>
                      <w:lang w:val="en-US" w:eastAsia="zh-CN" w:bidi="ar-SA"/>
                    </w:rPr>
                    <w:t>冷却水经冷却循环</w:t>
                  </w:r>
                  <w:r>
                    <w:rPr>
                      <w:rFonts w:hint="eastAsia" w:ascii="Times New Roman" w:hAnsi="Times New Roman" w:eastAsia="宋体" w:cs="Times New Roman"/>
                      <w:color w:val="auto"/>
                      <w:kern w:val="0"/>
                      <w:sz w:val="21"/>
                      <w:szCs w:val="21"/>
                      <w:lang w:val="en-US" w:eastAsia="zh-CN" w:bidi="ar-SA"/>
                    </w:rPr>
                    <w:t>水箱</w:t>
                  </w:r>
                  <w:r>
                    <w:rPr>
                      <w:rFonts w:ascii="Times New Roman" w:hAnsi="Times New Roman" w:eastAsia="宋体" w:cs="Times New Roman"/>
                      <w:color w:val="auto"/>
                      <w:kern w:val="0"/>
                      <w:sz w:val="21"/>
                      <w:szCs w:val="21"/>
                      <w:lang w:val="en-US" w:eastAsia="zh-CN" w:bidi="ar-SA"/>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达到</w:t>
                  </w:r>
                  <w:r>
                    <w:rPr>
                      <w:rFonts w:hint="default" w:ascii="Times New Roman" w:hAnsi="Times New Roman" w:eastAsia="宋体" w:cs="Times New Roman"/>
                      <w:b w:val="0"/>
                      <w:bCs w:val="0"/>
                      <w:color w:val="auto"/>
                      <w:sz w:val="21"/>
                      <w:szCs w:val="21"/>
                      <w:highlight w:val="none"/>
                      <w:lang w:val="en-US" w:eastAsia="zh-CN"/>
                    </w:rPr>
                    <w:t>《城市污水再生利用 城市杂用水水质》（GB/T18920-2020）中的城市绿化、道路清扫、消防、建筑施工标准后，用于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tc>
              <w:tc>
                <w:tcPr>
                  <w:tcW w:w="382" w:type="pct"/>
                  <w:noWrap w:val="0"/>
                  <w:vAlign w:val="center"/>
                </w:tcPr>
                <w:p w14:paraId="2558AB16">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w:t>
                  </w:r>
                </w:p>
              </w:tc>
            </w:tr>
            <w:tr w14:paraId="0CEF2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716" w:type="pct"/>
                  <w:vMerge w:val="restart"/>
                  <w:noWrap w:val="0"/>
                  <w:vAlign w:val="center"/>
                </w:tcPr>
                <w:p w14:paraId="55D337DD">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r>
                    <w:rPr>
                      <w:rFonts w:ascii="Times New Roman" w:hAnsi="Times New Roman" w:eastAsia="宋体" w:cs="Times New Roman"/>
                      <w:color w:val="auto"/>
                      <w:kern w:val="0"/>
                      <w:szCs w:val="21"/>
                    </w:rPr>
                    <w:t>环境风险防控</w:t>
                  </w:r>
                </w:p>
              </w:tc>
              <w:tc>
                <w:tcPr>
                  <w:tcW w:w="2009" w:type="pct"/>
                  <w:noWrap w:val="0"/>
                  <w:vAlign w:val="center"/>
                </w:tcPr>
                <w:p w14:paraId="7E436336">
                  <w:pPr>
                    <w:widowControl/>
                    <w:jc w:val="left"/>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kern w:val="0"/>
                      <w:szCs w:val="21"/>
                    </w:rPr>
                    <w:t>6、不得布置日常储量构成重大危险源的项目；</w:t>
                  </w:r>
                </w:p>
              </w:tc>
              <w:tc>
                <w:tcPr>
                  <w:tcW w:w="1891" w:type="pct"/>
                  <w:noWrap w:val="0"/>
                  <w:vAlign w:val="center"/>
                </w:tcPr>
                <w:p w14:paraId="2D090191">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项目涉及的有毒有害、易燃易爆物质主要为</w:t>
                  </w:r>
                  <w:r>
                    <w:rPr>
                      <w:color w:val="auto"/>
                      <w:kern w:val="0"/>
                      <w:szCs w:val="21"/>
                    </w:rPr>
                    <w:t>废矿物油（废机油</w:t>
                  </w:r>
                  <w:r>
                    <w:rPr>
                      <w:rFonts w:hint="eastAsia"/>
                      <w:color w:val="auto"/>
                      <w:kern w:val="0"/>
                      <w:szCs w:val="21"/>
                    </w:rPr>
                    <w:t>）</w:t>
                  </w:r>
                  <w:r>
                    <w:rPr>
                      <w:rFonts w:hint="eastAsia" w:ascii="Times New Roman" w:cs="Times New Roman"/>
                      <w:color w:val="auto"/>
                      <w:sz w:val="21"/>
                      <w:szCs w:val="21"/>
                      <w:lang w:val="en-US" w:eastAsia="zh-CN"/>
                    </w:rPr>
                    <w:t>，最大暂存量未超过临界量</w:t>
                  </w:r>
                  <w:r>
                    <w:rPr>
                      <w:rFonts w:hint="default" w:ascii="Times New Roman" w:cs="Times New Roman"/>
                      <w:color w:val="auto"/>
                      <w:sz w:val="21"/>
                      <w:szCs w:val="21"/>
                      <w:lang w:val="en-US" w:eastAsia="zh-CN"/>
                    </w:rPr>
                    <w:t>，</w:t>
                  </w:r>
                  <w:r>
                    <w:rPr>
                      <w:rFonts w:hint="eastAsia" w:ascii="Times New Roman" w:cs="Times New Roman"/>
                      <w:color w:val="auto"/>
                      <w:sz w:val="21"/>
                      <w:szCs w:val="21"/>
                      <w:lang w:val="en-US" w:eastAsia="zh-CN"/>
                    </w:rPr>
                    <w:t>Q=0.00016；</w:t>
                  </w:r>
                  <w:r>
                    <w:rPr>
                      <w:rFonts w:hint="default" w:ascii="Times New Roman" w:cs="Times New Roman"/>
                      <w:color w:val="auto"/>
                      <w:sz w:val="21"/>
                      <w:szCs w:val="21"/>
                      <w:lang w:val="en-US" w:eastAsia="zh-CN"/>
                    </w:rPr>
                    <w:t>未达到《建设项目环境风险评价技术导则》（HJ169-2018）中油类物质的临界量2500t，</w:t>
                  </w:r>
                  <w:r>
                    <w:rPr>
                      <w:rFonts w:hint="eastAsia" w:ascii="Times New Roman" w:cs="Times New Roman"/>
                      <w:color w:val="auto"/>
                      <w:sz w:val="21"/>
                      <w:szCs w:val="21"/>
                      <w:lang w:val="en-US" w:eastAsia="zh-CN"/>
                    </w:rPr>
                    <w:t>废矿物油（废机油）最大储存</w:t>
                  </w:r>
                  <w:r>
                    <w:rPr>
                      <w:rFonts w:hint="default" w:ascii="Times New Roman" w:cs="Times New Roman"/>
                      <w:color w:val="auto"/>
                      <w:sz w:val="21"/>
                      <w:szCs w:val="21"/>
                      <w:lang w:val="en-US" w:eastAsia="zh-CN"/>
                    </w:rPr>
                    <w:t>量</w:t>
                  </w:r>
                  <w:r>
                    <w:rPr>
                      <w:rFonts w:hint="eastAsia" w:ascii="Times New Roman" w:cs="Times New Roman"/>
                      <w:color w:val="auto"/>
                      <w:sz w:val="21"/>
                      <w:szCs w:val="21"/>
                      <w:lang w:val="en-US" w:eastAsia="zh-CN"/>
                    </w:rPr>
                    <w:t>为0.04</w:t>
                  </w:r>
                  <w:r>
                    <w:rPr>
                      <w:rFonts w:hint="default" w:ascii="Times New Roman" w:cs="Times New Roman"/>
                      <w:color w:val="auto"/>
                      <w:sz w:val="21"/>
                      <w:szCs w:val="21"/>
                      <w:lang w:val="en-US" w:eastAsia="zh-CN"/>
                    </w:rPr>
                    <w:t>t</w:t>
                  </w:r>
                  <w:r>
                    <w:rPr>
                      <w:rFonts w:hint="eastAsia" w:ascii="Times New Roman" w:cs="Times New Roman"/>
                      <w:color w:val="auto"/>
                      <w:sz w:val="21"/>
                      <w:szCs w:val="21"/>
                      <w:lang w:val="en-US" w:eastAsia="zh-CN"/>
                    </w:rPr>
                    <w:t>，不属于重大危险源。</w:t>
                  </w:r>
                </w:p>
              </w:tc>
              <w:tc>
                <w:tcPr>
                  <w:tcW w:w="382" w:type="pct"/>
                  <w:noWrap w:val="0"/>
                  <w:vAlign w:val="center"/>
                </w:tcPr>
                <w:p w14:paraId="3824A56D">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eastAsia="宋体" w:cs="Times New Roman"/>
                      <w:color w:val="auto"/>
                      <w:sz w:val="21"/>
                      <w:szCs w:val="21"/>
                      <w:lang w:val="en-US" w:eastAsia="zh-CN"/>
                    </w:rPr>
                    <w:t>符合</w:t>
                  </w:r>
                </w:p>
              </w:tc>
            </w:tr>
            <w:tr w14:paraId="5F8F5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716" w:type="pct"/>
                  <w:vMerge w:val="continue"/>
                  <w:noWrap w:val="0"/>
                  <w:vAlign w:val="center"/>
                </w:tcPr>
                <w:p w14:paraId="16F70497">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p>
              </w:tc>
              <w:tc>
                <w:tcPr>
                  <w:tcW w:w="2009" w:type="pct"/>
                  <w:noWrap w:val="0"/>
                  <w:vAlign w:val="center"/>
                </w:tcPr>
                <w:p w14:paraId="6D654237">
                  <w:pPr>
                    <w:widowControl/>
                    <w:jc w:val="left"/>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color w:val="auto"/>
                      <w:kern w:val="0"/>
                      <w:szCs w:val="21"/>
                    </w:rPr>
                    <w:t>7、入驻企业根据本评价地下水分区管控要求进行管控</w:t>
                  </w:r>
                  <w:r>
                    <w:rPr>
                      <w:rFonts w:hint="eastAsia" w:ascii="Times New Roman" w:hAnsi="Times New Roman" w:eastAsia="宋体" w:cs="Times New Roman"/>
                      <w:color w:val="auto"/>
                      <w:kern w:val="0"/>
                      <w:szCs w:val="21"/>
                      <w:lang w:eastAsia="zh-CN"/>
                    </w:rPr>
                    <w:t>，</w:t>
                  </w:r>
                  <w:r>
                    <w:rPr>
                      <w:rFonts w:ascii="Times New Roman" w:hAnsi="Times New Roman" w:eastAsia="宋体" w:cs="Times New Roman"/>
                      <w:color w:val="auto"/>
                      <w:kern w:val="0"/>
                      <w:szCs w:val="21"/>
                    </w:rPr>
                    <w:t>详见本评价6.4.6章节。</w:t>
                  </w:r>
                  <w:r>
                    <w:rPr>
                      <w:rFonts w:hint="eastAsia" w:ascii="Times New Roman" w:hAnsi="Times New Roman" w:eastAsia="宋体" w:cs="Times New Roman"/>
                      <w:color w:val="auto"/>
                      <w:kern w:val="0"/>
                      <w:szCs w:val="21"/>
                      <w:lang w:eastAsia="zh-CN"/>
                    </w:rPr>
                    <w:t>（</w:t>
                  </w:r>
                  <w:r>
                    <w:rPr>
                      <w:rFonts w:ascii="Times New Roman" w:hAnsi="Times New Roman" w:eastAsia="宋体" w:cs="Times New Roman"/>
                      <w:b/>
                      <w:bCs/>
                      <w:color w:val="auto"/>
                      <w:kern w:val="0"/>
                      <w:szCs w:val="21"/>
                    </w:rPr>
                    <w:t>引导开发区（绿色区域）</w:t>
                  </w:r>
                  <w:r>
                    <w:rPr>
                      <w:rFonts w:ascii="Times New Roman" w:hAnsi="Times New Roman" w:eastAsia="宋体" w:cs="Times New Roman"/>
                      <w:color w:val="auto"/>
                      <w:kern w:val="0"/>
                      <w:szCs w:val="21"/>
                    </w:rPr>
                    <w:t>：除限制开发区、严格防控区外，可引导开发的区域。但入驻企业仍须做好厂区的污染防渗措施。</w:t>
                  </w:r>
                  <w:r>
                    <w:rPr>
                      <w:rFonts w:hint="eastAsia" w:ascii="Times New Roman" w:hAnsi="Times New Roman" w:eastAsia="宋体" w:cs="Times New Roman"/>
                      <w:color w:val="auto"/>
                      <w:kern w:val="0"/>
                      <w:szCs w:val="21"/>
                      <w:lang w:eastAsia="zh-CN"/>
                    </w:rPr>
                    <w:t>）</w:t>
                  </w:r>
                </w:p>
              </w:tc>
              <w:tc>
                <w:tcPr>
                  <w:tcW w:w="1891" w:type="pct"/>
                  <w:noWrap w:val="0"/>
                  <w:vAlign w:val="center"/>
                </w:tcPr>
                <w:p w14:paraId="6F9E0F8D">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本项目租用云南宝泰轻化机械有限公司厂房及配套设施</w:t>
                  </w:r>
                  <w:r>
                    <w:rPr>
                      <w:rFonts w:hint="eastAsia" w:ascii="Times New Roman" w:hAnsi="Times New Roman" w:eastAsia="宋体" w:cs="Times New Roman"/>
                      <w:color w:val="auto"/>
                      <w:sz w:val="21"/>
                      <w:szCs w:val="21"/>
                      <w:highlight w:val="none"/>
                      <w:lang w:val="en-US" w:eastAsia="zh-CN"/>
                    </w:rPr>
                    <w:t>，依托的化粪池</w:t>
                  </w:r>
                  <w:r>
                    <w:rPr>
                      <w:rFonts w:hint="eastAsia" w:ascii="Times New Roman" w:cs="Times New Roman"/>
                      <w:color w:val="auto"/>
                      <w:sz w:val="21"/>
                      <w:szCs w:val="21"/>
                      <w:highlight w:val="none"/>
                      <w:lang w:val="en-US" w:eastAsia="zh-CN"/>
                    </w:rPr>
                    <w:t>、一体化污水处理站</w:t>
                  </w:r>
                  <w:r>
                    <w:rPr>
                      <w:rFonts w:hint="eastAsia" w:ascii="Times New Roman" w:hAnsi="Times New Roman" w:eastAsia="宋体" w:cs="Times New Roman"/>
                      <w:color w:val="auto"/>
                      <w:sz w:val="21"/>
                      <w:szCs w:val="21"/>
                      <w:highlight w:val="none"/>
                      <w:lang w:val="en-US" w:eastAsia="zh-CN"/>
                    </w:rPr>
                    <w:t>已经按照一般防渗区进行防渗处理，</w:t>
                  </w:r>
                  <w:r>
                    <w:rPr>
                      <w:rFonts w:hint="eastAsia" w:ascii="Times New Roman" w:hAnsi="Times New Roman" w:eastAsia="宋体" w:cs="Times New Roman"/>
                      <w:color w:val="auto"/>
                      <w:sz w:val="21"/>
                      <w:szCs w:val="21"/>
                      <w:lang w:val="en-US" w:eastAsia="zh-CN"/>
                    </w:rPr>
                    <w:t>本项目进行分区防渗，</w:t>
                  </w:r>
                  <w:r>
                    <w:rPr>
                      <w:rFonts w:hint="eastAsia" w:ascii="Times New Roman" w:hAnsi="Times New Roman" w:eastAsia="宋体" w:cs="Times New Roman"/>
                      <w:color w:val="auto"/>
                      <w:sz w:val="21"/>
                      <w:szCs w:val="21"/>
                      <w:lang w:val="zh-CN" w:eastAsia="zh-CN"/>
                    </w:rPr>
                    <w:t>危险废物</w:t>
                  </w:r>
                  <w:r>
                    <w:rPr>
                      <w:rFonts w:hint="eastAsia" w:ascii="Times New Roman" w:hAnsi="Times New Roman" w:eastAsia="宋体" w:cs="Times New Roman"/>
                      <w:color w:val="auto"/>
                      <w:sz w:val="21"/>
                      <w:szCs w:val="21"/>
                      <w:lang w:val="en-US" w:eastAsia="zh-CN"/>
                    </w:rPr>
                    <w:t>贮存库按照重点防渗区进行防渗；</w:t>
                  </w:r>
                  <w:r>
                    <w:rPr>
                      <w:rFonts w:hint="eastAsia"/>
                      <w:color w:val="auto"/>
                      <w:sz w:val="21"/>
                      <w:szCs w:val="21"/>
                      <w:highlight w:val="none"/>
                      <w:lang w:val="en-US" w:eastAsia="zh-CN"/>
                    </w:rPr>
                    <w:t>一体化</w:t>
                  </w:r>
                  <w:r>
                    <w:rPr>
                      <w:rFonts w:hint="eastAsia"/>
                      <w:color w:val="auto"/>
                      <w:sz w:val="21"/>
                      <w:szCs w:val="21"/>
                      <w:highlight w:val="none"/>
                    </w:rPr>
                    <w:t>污水处理</w:t>
                  </w:r>
                  <w:r>
                    <w:rPr>
                      <w:rFonts w:hint="eastAsia"/>
                      <w:color w:val="auto"/>
                      <w:sz w:val="21"/>
                      <w:szCs w:val="21"/>
                      <w:highlight w:val="none"/>
                      <w:lang w:val="en-US" w:eastAsia="zh-CN"/>
                    </w:rPr>
                    <w:t>站</w:t>
                  </w:r>
                  <w:r>
                    <w:rPr>
                      <w:rFonts w:hint="eastAsia"/>
                      <w:color w:val="auto"/>
                      <w:sz w:val="21"/>
                      <w:szCs w:val="21"/>
                      <w:highlight w:val="none"/>
                    </w:rPr>
                    <w:t>、</w:t>
                  </w:r>
                  <w:r>
                    <w:rPr>
                      <w:rFonts w:hint="eastAsia" w:ascii="Times New Roman" w:hAnsi="Times New Roman" w:eastAsia="宋体" w:cs="Times New Roman"/>
                      <w:color w:val="auto"/>
                      <w:sz w:val="21"/>
                      <w:szCs w:val="21"/>
                      <w:highlight w:val="none"/>
                      <w:lang w:val="en-US" w:eastAsia="zh-CN"/>
                    </w:rPr>
                    <w:t>化粪池、隔油池、蓄水池、</w:t>
                  </w:r>
                  <w:r>
                    <w:rPr>
                      <w:rFonts w:hint="eastAsia" w:ascii="Times New Roman" w:hAnsi="Times New Roman" w:eastAsia="宋体" w:cs="Times New Roman"/>
                      <w:color w:val="auto"/>
                      <w:sz w:val="21"/>
                      <w:szCs w:val="21"/>
                      <w:lang w:val="en-US" w:eastAsia="zh-CN"/>
                    </w:rPr>
                    <w:t>一般固体废物暂存间按照一般防渗渠进行防渗；</w:t>
                  </w:r>
                  <w:r>
                    <w:rPr>
                      <w:rFonts w:hint="eastAsia" w:ascii="Times New Roman" w:hAnsi="Times New Roman" w:eastAsia="宋体" w:cs="Times New Roman"/>
                      <w:color w:val="auto"/>
                      <w:sz w:val="21"/>
                      <w:szCs w:val="21"/>
                      <w:lang w:val="zh-CN" w:eastAsia="zh-CN"/>
                    </w:rPr>
                    <w:t>生产区、</w:t>
                  </w:r>
                  <w:r>
                    <w:rPr>
                      <w:rFonts w:hint="eastAsia" w:ascii="Times New Roman" w:hAnsi="Times New Roman" w:eastAsia="宋体" w:cs="Times New Roman"/>
                      <w:color w:val="auto"/>
                      <w:sz w:val="21"/>
                      <w:szCs w:val="21"/>
                      <w:lang w:val="en-US" w:eastAsia="zh-CN"/>
                    </w:rPr>
                    <w:t>道路及办公区域（除绿化外）</w:t>
                  </w:r>
                  <w:r>
                    <w:rPr>
                      <w:rFonts w:hint="eastAsia" w:ascii="Times New Roman" w:hAnsi="Times New Roman" w:eastAsia="宋体" w:cs="Times New Roman"/>
                      <w:color w:val="auto"/>
                      <w:sz w:val="21"/>
                      <w:szCs w:val="21"/>
                      <w:lang w:val="zh-CN" w:eastAsia="zh-CN"/>
                    </w:rPr>
                    <w:t>进行一般</w:t>
                  </w:r>
                  <w:r>
                    <w:rPr>
                      <w:rFonts w:hint="eastAsia" w:ascii="Times New Roman" w:hAnsi="Times New Roman" w:eastAsia="宋体" w:cs="Times New Roman"/>
                      <w:color w:val="auto"/>
                      <w:sz w:val="21"/>
                      <w:szCs w:val="21"/>
                      <w:lang w:val="en-US" w:eastAsia="zh-CN"/>
                    </w:rPr>
                    <w:t>硬化处理为简单防渗区。</w:t>
                  </w:r>
                </w:p>
              </w:tc>
              <w:tc>
                <w:tcPr>
                  <w:tcW w:w="382" w:type="pct"/>
                  <w:noWrap w:val="0"/>
                  <w:vAlign w:val="center"/>
                </w:tcPr>
                <w:p w14:paraId="3D78C1B8">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eastAsia="宋体" w:cs="Times New Roman"/>
                      <w:color w:val="auto"/>
                      <w:sz w:val="21"/>
                      <w:szCs w:val="21"/>
                      <w:lang w:val="en-US" w:eastAsia="zh-CN"/>
                    </w:rPr>
                    <w:t>符合</w:t>
                  </w:r>
                </w:p>
              </w:tc>
            </w:tr>
            <w:tr w14:paraId="29AFA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000" w:type="pct"/>
                  <w:gridSpan w:val="4"/>
                  <w:noWrap w:val="0"/>
                  <w:vAlign w:val="center"/>
                </w:tcPr>
                <w:p w14:paraId="7421F3E6">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b/>
                      <w:bCs/>
                      <w:color w:val="auto"/>
                      <w:sz w:val="21"/>
                      <w:szCs w:val="21"/>
                      <w:highlight w:val="none"/>
                      <w:lang w:val="en-US" w:eastAsia="zh-CN"/>
                    </w:rPr>
                    <w:t>项目入驻原则</w:t>
                  </w:r>
                </w:p>
              </w:tc>
            </w:tr>
            <w:tr w14:paraId="7D48B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2726" w:type="pct"/>
                  <w:gridSpan w:val="2"/>
                  <w:noWrap w:val="0"/>
                  <w:vAlign w:val="center"/>
                </w:tcPr>
                <w:p w14:paraId="5BB5D0DE">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符合国家及云南省相关产业政策：规划区引进的项目，其工艺、规模、产品、选址应符合国家及云南省相关产业政策、园区产业结构和功能布局要求；不符合产业政策及园区产业规划的企业尽快淘汰、搬迁、或停产、转型。</w:t>
                  </w:r>
                </w:p>
              </w:tc>
              <w:tc>
                <w:tcPr>
                  <w:tcW w:w="1891" w:type="pct"/>
                  <w:noWrap w:val="0"/>
                  <w:vAlign w:val="center"/>
                </w:tcPr>
                <w:p w14:paraId="289BEC62">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对照</w:t>
                  </w:r>
                  <w:r>
                    <w:rPr>
                      <w:rFonts w:hint="default" w:ascii="Times New Roman" w:hAnsi="Times New Roman" w:eastAsia="宋体" w:cs="Times New Roman"/>
                      <w:color w:val="auto"/>
                      <w:sz w:val="21"/>
                      <w:szCs w:val="21"/>
                    </w:rPr>
                    <w:t>《产业结构调整指导目录（</w:t>
                  </w:r>
                  <w:r>
                    <w:rPr>
                      <w:rFonts w:hint="eastAsia" w:ascii="Times New Roman" w:eastAsia="宋体" w:cs="Times New Roman"/>
                      <w:color w:val="auto"/>
                      <w:sz w:val="21"/>
                      <w:szCs w:val="21"/>
                      <w:lang w:val="en-US" w:eastAsia="zh-CN"/>
                    </w:rPr>
                    <w:t>2024</w:t>
                  </w:r>
                  <w:r>
                    <w:rPr>
                      <w:rFonts w:hint="default" w:ascii="Times New Roman" w:hAnsi="Times New Roman" w:eastAsia="宋体" w:cs="Times New Roman"/>
                      <w:color w:val="auto"/>
                      <w:sz w:val="21"/>
                      <w:szCs w:val="21"/>
                    </w:rPr>
                    <w:t>年本）》</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本项目不属于鼓励类、限制类及淘汰类项目。</w:t>
                  </w:r>
                  <w:r>
                    <w:rPr>
                      <w:rFonts w:hint="eastAsia" w:ascii="Times New Roman" w:hAnsi="Times New Roman" w:eastAsia="宋体" w:cs="Times New Roman"/>
                      <w:color w:val="auto"/>
                      <w:sz w:val="21"/>
                      <w:szCs w:val="21"/>
                      <w:lang w:val="en-US" w:eastAsia="zh-CN"/>
                    </w:rPr>
                    <w:t>2026</w:t>
                  </w:r>
                  <w:r>
                    <w:rPr>
                      <w:rFonts w:hint="default" w:ascii="Times New Roman" w:hAnsi="Times New Roman" w:eastAsia="宋体" w:cs="Times New Roman"/>
                      <w:color w:val="auto"/>
                      <w:sz w:val="21"/>
                      <w:szCs w:val="21"/>
                      <w:lang w:val="en-US" w:eastAsia="zh-CN"/>
                    </w:rPr>
                    <w:t>年</w:t>
                  </w:r>
                  <w:r>
                    <w:rPr>
                      <w:rFonts w:hint="eastAsia" w:ascii="Times New Roman" w:hAnsi="Times New Roman" w:eastAsia="宋体" w:cs="Times New Roman"/>
                      <w:color w:val="auto"/>
                      <w:sz w:val="21"/>
                      <w:szCs w:val="21"/>
                      <w:lang w:val="en-US" w:eastAsia="zh-CN"/>
                    </w:rPr>
                    <w:t>6</w:t>
                  </w:r>
                  <w:r>
                    <w:rPr>
                      <w:rFonts w:hint="default" w:ascii="Times New Roman" w:hAnsi="Times New Roman" w:eastAsia="宋体" w:cs="Times New Roman"/>
                      <w:color w:val="auto"/>
                      <w:sz w:val="21"/>
                      <w:szCs w:val="21"/>
                      <w:lang w:val="en-US" w:eastAsia="zh-CN"/>
                    </w:rPr>
                    <w:t>月</w:t>
                  </w:r>
                  <w:r>
                    <w:rPr>
                      <w:rFonts w:hint="eastAsia" w:ascii="Times New Roman" w:hAnsi="Times New Roman" w:eastAsia="宋体" w:cs="Times New Roman"/>
                      <w:color w:val="auto"/>
                      <w:sz w:val="21"/>
                      <w:szCs w:val="21"/>
                      <w:lang w:val="en-US" w:eastAsia="zh-CN"/>
                    </w:rPr>
                    <w:t>18</w:t>
                  </w:r>
                  <w:r>
                    <w:rPr>
                      <w:rFonts w:hint="default" w:ascii="Times New Roman" w:hAnsi="Times New Roman" w:eastAsia="宋体" w:cs="Times New Roman"/>
                      <w:color w:val="auto"/>
                      <w:sz w:val="21"/>
                      <w:szCs w:val="21"/>
                      <w:lang w:val="en-US" w:eastAsia="zh-CN"/>
                    </w:rPr>
                    <w:t>日，</w:t>
                  </w:r>
                  <w:r>
                    <w:rPr>
                      <w:rFonts w:hint="eastAsia" w:ascii="Times New Roman" w:hAnsi="Times New Roman" w:eastAsia="宋体" w:cs="Times New Roman"/>
                      <w:color w:val="auto"/>
                      <w:sz w:val="21"/>
                      <w:szCs w:val="21"/>
                      <w:lang w:val="en-US" w:eastAsia="zh-CN"/>
                    </w:rPr>
                    <w:t>澄江市</w:t>
                  </w:r>
                  <w:r>
                    <w:rPr>
                      <w:rFonts w:hint="default" w:ascii="Times New Roman" w:hAnsi="Times New Roman" w:eastAsia="宋体" w:cs="Times New Roman"/>
                      <w:color w:val="auto"/>
                      <w:sz w:val="21"/>
                      <w:szCs w:val="21"/>
                      <w:lang w:val="en-US" w:eastAsia="zh-CN"/>
                    </w:rPr>
                    <w:t>发展和改革局对</w:t>
                  </w:r>
                  <w:r>
                    <w:rPr>
                      <w:rFonts w:hint="eastAsia" w:ascii="Times New Roman" w:hAnsi="Times New Roman" w:eastAsia="宋体" w:cs="Times New Roman"/>
                      <w:color w:val="auto"/>
                      <w:sz w:val="21"/>
                      <w:szCs w:val="21"/>
                      <w:lang w:val="en-US" w:eastAsia="zh-CN"/>
                    </w:rPr>
                    <w:t>本</w:t>
                  </w:r>
                  <w:r>
                    <w:rPr>
                      <w:rFonts w:hint="default" w:ascii="Times New Roman" w:hAnsi="Times New Roman" w:eastAsia="宋体" w:cs="Times New Roman"/>
                      <w:color w:val="auto"/>
                      <w:sz w:val="21"/>
                      <w:szCs w:val="21"/>
                      <w:lang w:val="en-US" w:eastAsia="zh-CN"/>
                    </w:rPr>
                    <w:t>项目进行备案，项目代码：</w:t>
                  </w:r>
                  <w:r>
                    <w:rPr>
                      <w:rFonts w:hint="eastAsia" w:ascii="Times New Roman" w:hAnsi="Times New Roman" w:eastAsia="宋体" w:cs="Times New Roman"/>
                      <w:color w:val="auto"/>
                      <w:sz w:val="21"/>
                      <w:szCs w:val="21"/>
                      <w:lang w:val="en-US" w:eastAsia="zh-CN"/>
                    </w:rPr>
                    <w:t>2606-530422-04-01-186611（见附件</w:t>
                  </w:r>
                  <w:r>
                    <w:rPr>
                      <w:rFonts w:hint="eastAsia" w:ascii="Times New Roman" w:cs="Times New Roman"/>
                      <w:color w:val="auto"/>
                      <w:sz w:val="21"/>
                      <w:szCs w:val="21"/>
                      <w:lang w:val="en-US" w:eastAsia="zh-CN"/>
                    </w:rPr>
                    <w:t>6</w:t>
                  </w:r>
                  <w:r>
                    <w:rPr>
                      <w:rFonts w:hint="eastAsia" w:ascii="Times New Roman" w:hAnsi="Times New Roman" w:eastAsia="宋体" w:cs="Times New Roman"/>
                      <w:color w:val="auto"/>
                      <w:sz w:val="21"/>
                      <w:szCs w:val="21"/>
                      <w:lang w:val="en-US" w:eastAsia="zh-CN"/>
                    </w:rPr>
                    <w:t>），项目符合国家产业政策。</w:t>
                  </w:r>
                </w:p>
              </w:tc>
              <w:tc>
                <w:tcPr>
                  <w:tcW w:w="382" w:type="pct"/>
                  <w:noWrap w:val="0"/>
                  <w:vAlign w:val="center"/>
                </w:tcPr>
                <w:p w14:paraId="483CB83D">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4D832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2726" w:type="pct"/>
                  <w:gridSpan w:val="2"/>
                  <w:noWrap w:val="0"/>
                  <w:vAlign w:val="center"/>
                </w:tcPr>
                <w:p w14:paraId="68E0D270">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2）引进的项目，应有利于推进园区产业结构调整，有利于规划目标的达成；</w:t>
                  </w:r>
                </w:p>
              </w:tc>
              <w:tc>
                <w:tcPr>
                  <w:tcW w:w="1891" w:type="pct"/>
                  <w:noWrap w:val="0"/>
                  <w:vAlign w:val="center"/>
                </w:tcPr>
                <w:p w14:paraId="2FAE26B5">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项目于2026年6月17日取得云南澄江产业园区管理委员会开具的入园证明（见附件</w:t>
                  </w:r>
                  <w:r>
                    <w:rPr>
                      <w:rFonts w:hint="eastAsia" w:ascii="Times New Roman" w:cs="Times New Roman"/>
                      <w:color w:val="auto"/>
                      <w:sz w:val="21"/>
                      <w:szCs w:val="21"/>
                      <w:lang w:val="en-US" w:eastAsia="zh-CN"/>
                    </w:rPr>
                    <w:t>7</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证明中明确</w:t>
                  </w:r>
                  <w:r>
                    <w:rPr>
                      <w:rFonts w:hint="eastAsia" w:ascii="Times New Roman" w:hAnsi="Times New Roman" w:eastAsia="宋体" w:cs="Times New Roman"/>
                      <w:color w:val="auto"/>
                      <w:sz w:val="21"/>
                      <w:szCs w:val="21"/>
                      <w:lang w:val="en-US" w:eastAsia="zh-CN"/>
                    </w:rPr>
                    <w:t>“该项目符合园区产业规划，原则同意云南合罡盛塑业科技有限公司塑料制品深加工新建项目入园”</w:t>
                  </w:r>
                  <w:r>
                    <w:rPr>
                      <w:rFonts w:hint="eastAsia" w:ascii="Times New Roman" w:hAnsi="Times New Roman" w:eastAsia="宋体" w:cs="Times New Roman"/>
                      <w:color w:val="auto"/>
                      <w:sz w:val="21"/>
                      <w:szCs w:val="21"/>
                      <w:lang w:val="zh-CN" w:eastAsia="zh-CN"/>
                    </w:rPr>
                    <w:t>。</w:t>
                  </w:r>
                  <w:r>
                    <w:rPr>
                      <w:rFonts w:hint="eastAsia" w:ascii="Times New Roman" w:hAnsi="Times New Roman" w:eastAsia="宋体" w:cs="Times New Roman"/>
                      <w:color w:val="auto"/>
                      <w:sz w:val="21"/>
                      <w:szCs w:val="21"/>
                      <w:lang w:val="en-US" w:eastAsia="zh-CN"/>
                    </w:rPr>
                    <w:t>项目与区域产业定位不冲突，有利于规划目标的达成。</w:t>
                  </w:r>
                </w:p>
              </w:tc>
              <w:tc>
                <w:tcPr>
                  <w:tcW w:w="382" w:type="pct"/>
                  <w:noWrap w:val="0"/>
                  <w:vAlign w:val="center"/>
                </w:tcPr>
                <w:p w14:paraId="331B2833">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52986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2726" w:type="pct"/>
                  <w:gridSpan w:val="2"/>
                  <w:noWrap w:val="0"/>
                  <w:vAlign w:val="center"/>
                </w:tcPr>
                <w:p w14:paraId="6831CA51">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3）资源节约原则：引进的项目应能够满足资源节约的原则，清洁生产水平应达到国内先进水平以上；</w:t>
                  </w:r>
                </w:p>
              </w:tc>
              <w:tc>
                <w:tcPr>
                  <w:tcW w:w="1891" w:type="pct"/>
                  <w:noWrap w:val="0"/>
                  <w:vAlign w:val="center"/>
                </w:tcPr>
                <w:p w14:paraId="36F67E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auto"/>
                      <w:sz w:val="21"/>
                      <w:szCs w:val="21"/>
                      <w:highlight w:val="none"/>
                      <w:vertAlign w:val="baseline"/>
                      <w:lang w:val="en-US" w:eastAsia="zh-CN"/>
                    </w:rPr>
                    <w:t>项目采用节能高效率设备，仅涉及电能，能够节约能源资源。</w:t>
                  </w:r>
                  <w:r>
                    <w:rPr>
                      <w:rFonts w:hint="eastAsia" w:cs="Times New Roman"/>
                      <w:color w:val="auto"/>
                      <w:sz w:val="21"/>
                      <w:szCs w:val="21"/>
                      <w:highlight w:val="none"/>
                      <w:vertAlign w:val="baseline"/>
                      <w:lang w:val="en-US" w:eastAsia="zh-CN"/>
                    </w:rPr>
                    <w:t>废水</w:t>
                  </w:r>
                  <w:r>
                    <w:rPr>
                      <w:rFonts w:hint="eastAsia" w:ascii="Times New Roman" w:hAnsi="Times New Roman" w:eastAsia="宋体" w:cs="Times New Roman"/>
                      <w:color w:val="auto"/>
                      <w:sz w:val="21"/>
                      <w:szCs w:val="21"/>
                      <w:highlight w:val="none"/>
                      <w:vertAlign w:val="baseline"/>
                      <w:lang w:val="en-US" w:eastAsia="zh-CN"/>
                    </w:rPr>
                    <w:t>、废气、固废均严格按照环评要求处理，生产产排污降到了较低水平。</w:t>
                  </w:r>
                </w:p>
              </w:tc>
              <w:tc>
                <w:tcPr>
                  <w:tcW w:w="382" w:type="pct"/>
                  <w:noWrap w:val="0"/>
                  <w:vAlign w:val="center"/>
                </w:tcPr>
                <w:p w14:paraId="39A450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1C0B1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2726" w:type="pct"/>
                  <w:gridSpan w:val="2"/>
                  <w:noWrap w:val="0"/>
                  <w:vAlign w:val="center"/>
                </w:tcPr>
                <w:p w14:paraId="2322D828">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color w:val="auto"/>
                      <w:sz w:val="21"/>
                      <w:szCs w:val="21"/>
                    </w:rPr>
                    <w:t>4）环境友好原则：引进的项目应符合环境友好的原则，优先引进无污染或少污染、耗水少、工业用水重复利用率高的企业；</w:t>
                  </w:r>
                </w:p>
              </w:tc>
              <w:tc>
                <w:tcPr>
                  <w:tcW w:w="1891" w:type="pct"/>
                  <w:noWrap w:val="0"/>
                  <w:vAlign w:val="center"/>
                </w:tcPr>
                <w:p w14:paraId="309BC9A3">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lang w:val="en-US"/>
                    </w:rPr>
                  </w:pPr>
                  <w:r>
                    <w:rPr>
                      <w:rFonts w:hint="eastAsia" w:ascii="Times New Roman" w:eastAsia="宋体" w:cs="Times New Roman"/>
                      <w:color w:val="auto"/>
                      <w:sz w:val="21"/>
                      <w:szCs w:val="21"/>
                      <w:highlight w:val="none"/>
                      <w:vertAlign w:val="baseline"/>
                      <w:lang w:val="en-US" w:eastAsia="zh-CN"/>
                    </w:rPr>
                    <w:t>本项目各污染物均达标排放，耗水量少，</w:t>
                  </w:r>
                  <w:r>
                    <w:rPr>
                      <w:rFonts w:hint="default" w:ascii="Times New Roman" w:hAnsi="Times New Roman" w:cs="Times New Roman"/>
                      <w:color w:val="auto"/>
                      <w:sz w:val="21"/>
                      <w:szCs w:val="21"/>
                      <w:shd w:val="clear" w:color="auto" w:fill="auto"/>
                      <w:lang w:eastAsia="zh-CN"/>
                    </w:rPr>
                    <w:t>本项目为</w:t>
                  </w:r>
                  <w:r>
                    <w:rPr>
                      <w:rFonts w:hint="eastAsia" w:ascii="Times New Roman" w:hAnsi="Times New Roman" w:cs="Times New Roman"/>
                      <w:color w:val="auto"/>
                      <w:sz w:val="21"/>
                      <w:szCs w:val="21"/>
                      <w:shd w:val="clear" w:color="auto" w:fill="auto"/>
                      <w:lang w:val="en-US" w:eastAsia="zh-CN"/>
                    </w:rPr>
                    <w:t>塑料制品行业</w:t>
                  </w:r>
                  <w:r>
                    <w:rPr>
                      <w:rFonts w:hint="default" w:ascii="Times New Roman" w:hAnsi="Times New Roman" w:cs="Times New Roman"/>
                      <w:color w:val="auto"/>
                      <w:sz w:val="21"/>
                      <w:szCs w:val="21"/>
                      <w:shd w:val="clear" w:color="auto" w:fill="auto"/>
                      <w:lang w:eastAsia="zh-CN"/>
                    </w:rPr>
                    <w:t>，项目</w:t>
                  </w:r>
                  <w:r>
                    <w:rPr>
                      <w:rFonts w:ascii="Times New Roman" w:hAnsi="Times New Roman" w:eastAsia="宋体" w:cs="Times New Roman"/>
                      <w:color w:val="auto"/>
                      <w:kern w:val="0"/>
                      <w:sz w:val="21"/>
                      <w:szCs w:val="21"/>
                      <w:lang w:val="en-US" w:eastAsia="zh-CN" w:bidi="ar-SA"/>
                    </w:rPr>
                    <w:t>冷却水经冷却循环</w:t>
                  </w:r>
                  <w:r>
                    <w:rPr>
                      <w:rFonts w:hint="eastAsia" w:ascii="Times New Roman" w:hAnsi="Times New Roman" w:eastAsia="宋体" w:cs="Times New Roman"/>
                      <w:color w:val="auto"/>
                      <w:kern w:val="0"/>
                      <w:sz w:val="21"/>
                      <w:szCs w:val="21"/>
                      <w:lang w:val="en-US" w:eastAsia="zh-CN" w:bidi="ar-SA"/>
                    </w:rPr>
                    <w:t>水箱</w:t>
                  </w:r>
                  <w:r>
                    <w:rPr>
                      <w:rFonts w:ascii="Times New Roman" w:hAnsi="Times New Roman" w:eastAsia="宋体" w:cs="Times New Roman"/>
                      <w:color w:val="auto"/>
                      <w:kern w:val="0"/>
                      <w:sz w:val="21"/>
                      <w:szCs w:val="21"/>
                      <w:lang w:val="en-US" w:eastAsia="zh-CN" w:bidi="ar-SA"/>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达到</w:t>
                  </w:r>
                  <w:r>
                    <w:rPr>
                      <w:rFonts w:hint="default" w:ascii="Times New Roman" w:hAnsi="Times New Roman" w:eastAsia="宋体" w:cs="Times New Roman"/>
                      <w:b w:val="0"/>
                      <w:bCs w:val="0"/>
                      <w:color w:val="auto"/>
                      <w:sz w:val="21"/>
                      <w:szCs w:val="21"/>
                      <w:highlight w:val="none"/>
                      <w:lang w:val="en-US" w:eastAsia="zh-CN"/>
                    </w:rPr>
                    <w:t>《城市污水再生利用 城市杂用水水质》（GB/T18920-2020）中的城市绿化、道路清扫、消防、建筑施工标准后，用于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tc>
              <w:tc>
                <w:tcPr>
                  <w:tcW w:w="382" w:type="pct"/>
                  <w:noWrap w:val="0"/>
                  <w:vAlign w:val="center"/>
                </w:tcPr>
                <w:p w14:paraId="10F4CA85">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21B8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2726" w:type="pct"/>
                  <w:gridSpan w:val="2"/>
                  <w:noWrap w:val="0"/>
                  <w:vAlign w:val="center"/>
                </w:tcPr>
                <w:p w14:paraId="4E99F5CF">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5）协调发展原则：引进的项目应有利于统筹城乡协调发展，有利于改善区域环境质量。</w:t>
                  </w:r>
                </w:p>
              </w:tc>
              <w:tc>
                <w:tcPr>
                  <w:tcW w:w="1891" w:type="pct"/>
                  <w:noWrap w:val="0"/>
                  <w:vAlign w:val="center"/>
                </w:tcPr>
                <w:p w14:paraId="7D1A9044">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highlight w:val="none"/>
                      <w:vertAlign w:val="baseline"/>
                      <w:lang w:val="en-US" w:eastAsia="zh-CN"/>
                    </w:rPr>
                    <w:t>本项目的建设有利于当地经济发展，</w:t>
                  </w:r>
                  <w:r>
                    <w:rPr>
                      <w:rFonts w:hint="eastAsia" w:ascii="Times New Roman" w:eastAsia="宋体" w:cs="Times New Roman"/>
                      <w:color w:val="auto"/>
                      <w:sz w:val="21"/>
                      <w:szCs w:val="21"/>
                      <w:highlight w:val="none"/>
                      <w:vertAlign w:val="baseline"/>
                      <w:lang w:val="en-US" w:eastAsia="zh-CN"/>
                    </w:rPr>
                    <w:t>项目各污染物均达标排放，不会降低区域环境质量</w:t>
                  </w:r>
                  <w:r>
                    <w:rPr>
                      <w:rFonts w:hint="default" w:ascii="Times New Roman" w:hAnsi="Times New Roman" w:eastAsia="宋体" w:cs="Times New Roman"/>
                      <w:color w:val="auto"/>
                      <w:sz w:val="21"/>
                      <w:szCs w:val="21"/>
                      <w:highlight w:val="none"/>
                      <w:vertAlign w:val="baseline"/>
                      <w:lang w:val="en-US" w:eastAsia="zh-CN"/>
                    </w:rPr>
                    <w:t>。</w:t>
                  </w:r>
                </w:p>
              </w:tc>
              <w:tc>
                <w:tcPr>
                  <w:tcW w:w="382" w:type="pct"/>
                  <w:noWrap w:val="0"/>
                  <w:vAlign w:val="center"/>
                </w:tcPr>
                <w:p w14:paraId="35BCFF03">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6FEDD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000" w:type="pct"/>
                  <w:gridSpan w:val="4"/>
                  <w:noWrap w:val="0"/>
                  <w:vAlign w:val="center"/>
                </w:tcPr>
                <w:p w14:paraId="325259E9">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ascii="Times New Roman" w:hAnsi="Times New Roman" w:eastAsia="宋体" w:cs="Times New Roman"/>
                      <w:b/>
                      <w:bCs/>
                      <w:color w:val="auto"/>
                      <w:sz w:val="21"/>
                      <w:szCs w:val="21"/>
                    </w:rPr>
                    <w:t>环境准入负面清单</w:t>
                  </w:r>
                </w:p>
              </w:tc>
            </w:tr>
            <w:tr w14:paraId="4B5BC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2726" w:type="pct"/>
                  <w:gridSpan w:val="2"/>
                  <w:noWrap w:val="0"/>
                  <w:vAlign w:val="center"/>
                </w:tcPr>
                <w:p w14:paraId="4B619767">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①不符合园区规划产业的项目；</w:t>
                  </w:r>
                </w:p>
              </w:tc>
              <w:tc>
                <w:tcPr>
                  <w:tcW w:w="1891" w:type="pct"/>
                  <w:noWrap w:val="0"/>
                  <w:vAlign w:val="center"/>
                </w:tcPr>
                <w:p w14:paraId="14EA48C9">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本项目</w:t>
                  </w:r>
                  <w:r>
                    <w:rPr>
                      <w:rFonts w:hint="default" w:ascii="Times New Roman" w:hAnsi="Times New Roman" w:eastAsia="宋体" w:cs="Times New Roman"/>
                      <w:color w:val="auto"/>
                      <w:sz w:val="21"/>
                      <w:szCs w:val="21"/>
                      <w:lang w:val="en-US" w:eastAsia="zh-CN"/>
                    </w:rPr>
                    <w:t>位于</w:t>
                  </w:r>
                  <w:r>
                    <w:rPr>
                      <w:rFonts w:hint="eastAsia" w:ascii="Times New Roman" w:eastAsia="宋体" w:cs="Times New Roman"/>
                      <w:color w:val="auto"/>
                      <w:sz w:val="21"/>
                      <w:szCs w:val="21"/>
                      <w:lang w:val="en-US" w:eastAsia="zh-CN"/>
                    </w:rPr>
                    <w:t>澄江产业园区</w:t>
                  </w:r>
                  <w:r>
                    <w:rPr>
                      <w:rFonts w:hint="eastAsia" w:ascii="Times New Roman" w:hAnsi="Times New Roman" w:eastAsia="宋体" w:cs="Times New Roman"/>
                      <w:color w:val="auto"/>
                      <w:sz w:val="21"/>
                      <w:szCs w:val="21"/>
                      <w:lang w:val="en-US" w:eastAsia="zh-CN"/>
                    </w:rPr>
                    <w:t>提古片区</w:t>
                  </w:r>
                  <w:r>
                    <w:rPr>
                      <w:rFonts w:hint="default" w:ascii="Times New Roman" w:hAnsi="Times New Roman" w:eastAsia="宋体" w:cs="Times New Roman"/>
                      <w:color w:val="auto"/>
                      <w:sz w:val="21"/>
                      <w:szCs w:val="21"/>
                      <w:lang w:val="en-US" w:eastAsia="zh-CN"/>
                    </w:rPr>
                    <w:t>，</w:t>
                  </w:r>
                  <w:r>
                    <w:rPr>
                      <w:rFonts w:hint="eastAsia" w:ascii="Times New Roman" w:cs="Times New Roman"/>
                      <w:color w:val="auto"/>
                      <w:sz w:val="21"/>
                      <w:szCs w:val="21"/>
                      <w:lang w:val="en-US" w:eastAsia="zh-CN"/>
                    </w:rPr>
                    <w:t>于</w:t>
                  </w:r>
                  <w:r>
                    <w:rPr>
                      <w:rFonts w:hint="eastAsia" w:ascii="Times New Roman" w:hAnsi="Times New Roman" w:eastAsia="宋体" w:cs="Times New Roman"/>
                      <w:color w:val="auto"/>
                      <w:sz w:val="21"/>
                      <w:szCs w:val="21"/>
                      <w:lang w:val="en-US" w:eastAsia="zh-CN"/>
                    </w:rPr>
                    <w:t>2026年6月17日取得云南澄江产业园区管理委员会开具的入园证明</w:t>
                  </w:r>
                  <w:r>
                    <w:rPr>
                      <w:rFonts w:hint="default" w:ascii="Times New Roman" w:hAnsi="Times New Roman" w:eastAsia="宋体" w:cs="Times New Roman"/>
                      <w:color w:val="auto"/>
                      <w:sz w:val="21"/>
                      <w:szCs w:val="21"/>
                      <w:lang w:val="zh-CN"/>
                    </w:rPr>
                    <w:t>申请同意</w:t>
                  </w:r>
                  <w:r>
                    <w:rPr>
                      <w:rFonts w:hint="default" w:ascii="Times New Roman" w:hAnsi="Times New Roman" w:eastAsia="宋体" w:cs="Times New Roman"/>
                      <w:color w:val="auto"/>
                      <w:sz w:val="21"/>
                      <w:szCs w:val="21"/>
                    </w:rPr>
                    <w:t>证明</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见附件3</w:t>
                  </w:r>
                  <w:r>
                    <w:rPr>
                      <w:rFonts w:hint="eastAsia"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与产业定位不冲突</w:t>
                  </w:r>
                  <w:r>
                    <w:rPr>
                      <w:rFonts w:hint="default" w:ascii="Times New Roman" w:hAnsi="Times New Roman" w:eastAsia="宋体" w:cs="Times New Roman"/>
                      <w:color w:val="auto"/>
                      <w:sz w:val="21"/>
                      <w:szCs w:val="21"/>
                      <w:lang w:val="en-US" w:eastAsia="zh-CN"/>
                    </w:rPr>
                    <w:t>。</w:t>
                  </w:r>
                </w:p>
              </w:tc>
              <w:tc>
                <w:tcPr>
                  <w:tcW w:w="382" w:type="pct"/>
                  <w:noWrap w:val="0"/>
                  <w:vAlign w:val="center"/>
                </w:tcPr>
                <w:p w14:paraId="3097AAFC">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32AF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2726" w:type="pct"/>
                  <w:gridSpan w:val="2"/>
                  <w:noWrap w:val="0"/>
                  <w:vAlign w:val="center"/>
                </w:tcPr>
                <w:p w14:paraId="3D5B53F7">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②属于《产业结构调整指导目录（2019年本）》、《云南省工业产业结构调整指导目录（2006年本）》、《外商投资产业指导目录（2015修订）》、《产业转移指导目录（2012年本）》等文件中淘汰类的项目，《环境保护综合名录（2021年版）》中高风险高污染行业、以及属于《工商投资领域制止重复建设目录》、《禁止外商投资产业目录》、《严重污染环境的淘汰工艺与设备名录》等文件内的建设项目，一律禁止引入园区；</w:t>
                  </w:r>
                </w:p>
              </w:tc>
              <w:tc>
                <w:tcPr>
                  <w:tcW w:w="1891" w:type="pct"/>
                  <w:noWrap w:val="0"/>
                  <w:vAlign w:val="center"/>
                </w:tcPr>
                <w:p w14:paraId="195B31BE">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本项目</w:t>
                  </w:r>
                  <w:r>
                    <w:rPr>
                      <w:rFonts w:hint="default" w:ascii="Times New Roman" w:hAnsi="Times New Roman" w:eastAsia="宋体" w:cs="Times New Roman"/>
                      <w:color w:val="auto"/>
                      <w:sz w:val="21"/>
                      <w:szCs w:val="21"/>
                    </w:rPr>
                    <w:t>不属于《产业结构调整指导目录（</w:t>
                  </w:r>
                  <w:r>
                    <w:rPr>
                      <w:rFonts w:hint="default" w:ascii="Times New Roman" w:hAnsi="Times New Roman" w:eastAsia="宋体" w:cs="Times New Roman"/>
                      <w:color w:val="auto"/>
                      <w:sz w:val="21"/>
                      <w:szCs w:val="21"/>
                      <w:lang w:eastAsia="zh-CN"/>
                    </w:rPr>
                    <w:t>2024年本</w:t>
                  </w:r>
                  <w:r>
                    <w:rPr>
                      <w:rFonts w:hint="default" w:ascii="Times New Roman" w:hAnsi="Times New Roman" w:eastAsia="宋体" w:cs="Times New Roman"/>
                      <w:color w:val="auto"/>
                      <w:sz w:val="21"/>
                      <w:szCs w:val="21"/>
                    </w:rPr>
                    <w:t>）》、《云南省工业产业结构调整指导目录（2006年本）》、《外商投资产业指导目录（2015修订）》、《产业转移指导目录（2012年本）》等文件中淘汰类的项目，</w:t>
                  </w:r>
                  <w:r>
                    <w:rPr>
                      <w:rFonts w:hint="default" w:ascii="Times New Roman" w:hAnsi="Times New Roman" w:eastAsia="宋体" w:cs="Times New Roman"/>
                      <w:color w:val="auto"/>
                      <w:sz w:val="21"/>
                      <w:szCs w:val="21"/>
                      <w:lang w:eastAsia="zh-CN"/>
                    </w:rPr>
                    <w:t>也不属于</w:t>
                  </w:r>
                  <w:r>
                    <w:rPr>
                      <w:rFonts w:hint="default" w:ascii="Times New Roman" w:hAnsi="Times New Roman" w:eastAsia="宋体" w:cs="Times New Roman"/>
                      <w:color w:val="auto"/>
                      <w:sz w:val="21"/>
                      <w:szCs w:val="21"/>
                    </w:rPr>
                    <w:t>《环境保护综合名录（2021年版）》中高风险高污染行业</w:t>
                  </w:r>
                  <w:r>
                    <w:rPr>
                      <w:rFonts w:hint="eastAsia" w:ascii="Times New Roman" w:hAnsi="Times New Roman" w:eastAsia="宋体" w:cs="Times New Roman"/>
                      <w:color w:val="auto"/>
                      <w:sz w:val="21"/>
                      <w:szCs w:val="21"/>
                      <w:lang w:eastAsia="zh-CN"/>
                    </w:rPr>
                    <w:t>以及</w:t>
                  </w:r>
                  <w:r>
                    <w:rPr>
                      <w:rFonts w:hint="default" w:ascii="Times New Roman" w:hAnsi="Times New Roman" w:eastAsia="宋体" w:cs="Times New Roman"/>
                      <w:color w:val="auto"/>
                      <w:sz w:val="21"/>
                      <w:szCs w:val="21"/>
                    </w:rPr>
                    <w:t>属于《工商投资领域制止重复建设目录》、《禁止外商投资产业目录》、《严重污染环境的淘汰工艺与设备名录》等文件内的建设项目。</w:t>
                  </w:r>
                </w:p>
              </w:tc>
              <w:tc>
                <w:tcPr>
                  <w:tcW w:w="382" w:type="pct"/>
                  <w:noWrap w:val="0"/>
                  <w:vAlign w:val="center"/>
                </w:tcPr>
                <w:p w14:paraId="588B1423">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6F70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2726" w:type="pct"/>
                  <w:gridSpan w:val="2"/>
                  <w:noWrap w:val="0"/>
                  <w:vAlign w:val="center"/>
                </w:tcPr>
                <w:p w14:paraId="70238686">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③单位产值水耗、能耗、污染物产生和排放量等清洁生产指标低于国内平均水平的产业（项目）。</w:t>
                  </w:r>
                </w:p>
              </w:tc>
              <w:tc>
                <w:tcPr>
                  <w:tcW w:w="1891" w:type="pct"/>
                  <w:noWrap w:val="0"/>
                  <w:vAlign w:val="center"/>
                </w:tcPr>
                <w:p w14:paraId="3AD45211">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本项目能源仅使用电能，冷却水循环使用水耗较少，污染物经过控制产排，排放均符合排放标准要求</w:t>
                  </w:r>
                  <w:r>
                    <w:rPr>
                      <w:rFonts w:hint="eastAsia" w:ascii="Times New Roman" w:cs="Times New Roman"/>
                      <w:color w:val="auto"/>
                      <w:sz w:val="21"/>
                      <w:szCs w:val="21"/>
                      <w:lang w:val="en-US" w:eastAsia="zh-CN"/>
                    </w:rPr>
                    <w:t>。</w:t>
                  </w:r>
                </w:p>
              </w:tc>
              <w:tc>
                <w:tcPr>
                  <w:tcW w:w="382" w:type="pct"/>
                  <w:noWrap w:val="0"/>
                  <w:vAlign w:val="center"/>
                </w:tcPr>
                <w:p w14:paraId="4FF075AE">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5C11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000" w:type="pct"/>
                  <w:gridSpan w:val="4"/>
                  <w:noWrap w:val="0"/>
                  <w:vAlign w:val="center"/>
                </w:tcPr>
                <w:p w14:paraId="31072878">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b/>
                      <w:bCs/>
                      <w:color w:val="auto"/>
                      <w:sz w:val="21"/>
                      <w:szCs w:val="21"/>
                    </w:rPr>
                    <w:t>规划环评环保要求</w:t>
                  </w:r>
                </w:p>
              </w:tc>
            </w:tr>
            <w:tr w14:paraId="6CCF2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716" w:type="pct"/>
                  <w:noWrap w:val="0"/>
                  <w:vAlign w:val="center"/>
                </w:tcPr>
                <w:p w14:paraId="5BF1A3D9">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大气环境影响减缓措施</w:t>
                  </w:r>
                </w:p>
              </w:tc>
              <w:tc>
                <w:tcPr>
                  <w:tcW w:w="2009" w:type="pct"/>
                  <w:noWrap w:val="0"/>
                  <w:vAlign w:val="center"/>
                </w:tcPr>
                <w:p w14:paraId="1F438204">
                  <w:pPr>
                    <w:keepNext w:val="0"/>
                    <w:keepLines w:val="0"/>
                    <w:pageBreakBefore w:val="0"/>
                    <w:kinsoku/>
                    <w:wordWrap/>
                    <w:overflowPunct/>
                    <w:topLinePunct w:val="0"/>
                    <w:autoSpaceDE/>
                    <w:autoSpaceDN/>
                    <w:bidi w:val="0"/>
                    <w:snapToGrid/>
                    <w:spacing w:line="240" w:lineRule="auto"/>
                    <w:ind w:firstLine="0" w:firstLineChars="0"/>
                    <w:textAlignment w:val="auto"/>
                    <w:rPr>
                      <w:rFonts w:hint="default" w:ascii="Times New Roman" w:hAnsi="Times New Roman" w:eastAsia="宋体"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入园企业工艺设计应优先选用清洁的</w:t>
                  </w:r>
                  <w:r>
                    <w:rPr>
                      <w:rFonts w:hint="default" w:ascii="Times New Roman" w:hAnsi="Times New Roman" w:eastAsia="宋体" w:cs="Times New Roman"/>
                      <w:color w:val="auto"/>
                      <w:sz w:val="21"/>
                      <w:szCs w:val="21"/>
                      <w:lang w:val="en-US" w:eastAsia="zh-CN"/>
                    </w:rPr>
                    <w:t>工艺</w:t>
                  </w:r>
                  <w:r>
                    <w:rPr>
                      <w:rFonts w:hint="default" w:ascii="Times New Roman" w:hAnsi="Times New Roman" w:eastAsia="宋体" w:cs="Times New Roman"/>
                      <w:color w:val="auto"/>
                      <w:sz w:val="21"/>
                      <w:szCs w:val="21"/>
                    </w:rPr>
                    <w:t>和原辅材料，采用先进的技术和装备，减少废气污染物产生量；生产过程排出的工艺废气应优先回收利用或综合利用，不能回收利用或综合利用的废气应采取净化处理措施；</w:t>
                  </w:r>
                </w:p>
                <w:p w14:paraId="48023868">
                  <w:pPr>
                    <w:keepNext w:val="0"/>
                    <w:keepLines w:val="0"/>
                    <w:pageBreakBefore w:val="0"/>
                    <w:numPr>
                      <w:ilvl w:val="0"/>
                      <w:numId w:val="0"/>
                    </w:numPr>
                    <w:kinsoku/>
                    <w:wordWrap/>
                    <w:overflowPunct/>
                    <w:topLinePunct w:val="0"/>
                    <w:autoSpaceDE/>
                    <w:autoSpaceDN/>
                    <w:bidi w:val="0"/>
                    <w:snapToGrid/>
                    <w:spacing w:line="240" w:lineRule="auto"/>
                    <w:textAlignment w:val="auto"/>
                    <w:rPr>
                      <w:rFonts w:hint="default" w:ascii="Times New Roman" w:hAnsi="Times New Roman" w:eastAsia="宋体"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入园企业废气治理方案应优先选择避免产生二次污染的工艺和技术，有二次污染产生时应对污染物进行治理；</w:t>
                  </w:r>
                </w:p>
                <w:p w14:paraId="411272AD">
                  <w:pPr>
                    <w:keepNext w:val="0"/>
                    <w:keepLines w:val="0"/>
                    <w:pageBreakBefore w:val="0"/>
                    <w:numPr>
                      <w:ilvl w:val="0"/>
                      <w:numId w:val="0"/>
                    </w:numPr>
                    <w:kinsoku/>
                    <w:wordWrap/>
                    <w:overflowPunct/>
                    <w:topLinePunct w:val="0"/>
                    <w:autoSpaceDE/>
                    <w:autoSpaceDN/>
                    <w:bidi w:val="0"/>
                    <w:snapToGrid/>
                    <w:spacing w:line="240" w:lineRule="auto"/>
                    <w:textAlignment w:val="auto"/>
                    <w:rPr>
                      <w:rFonts w:hint="default" w:ascii="Times New Roman" w:hAnsi="Times New Roman" w:eastAsia="宋体"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3</w:t>
                  </w:r>
                  <w:r>
                    <w:rPr>
                      <w:rFonts w:hint="eastAsia" w:cs="Times New Roman"/>
                      <w:color w:val="auto"/>
                      <w:sz w:val="21"/>
                      <w:szCs w:val="21"/>
                      <w:lang w:eastAsia="zh-CN"/>
                    </w:rPr>
                    <w:t>）</w:t>
                  </w:r>
                  <w:r>
                    <w:rPr>
                      <w:rFonts w:hint="default" w:ascii="Times New Roman" w:hAnsi="Times New Roman" w:eastAsia="宋体" w:cs="Times New Roman"/>
                      <w:color w:val="auto"/>
                      <w:sz w:val="21"/>
                      <w:szCs w:val="21"/>
                    </w:rPr>
                    <w:t>入园企业产生有毒有害废气、粉尘、恶臭、酸雾、挥发性有机物等气态物质的生产装置宜选用密闭的工艺设备或设施；产生大气污染物的生产工艺或装置应设置局部或整体气体收集系统和净化处理装置。</w:t>
                  </w:r>
                </w:p>
              </w:tc>
              <w:tc>
                <w:tcPr>
                  <w:tcW w:w="1891" w:type="pct"/>
                  <w:noWrap w:val="0"/>
                  <w:vAlign w:val="center"/>
                </w:tcPr>
                <w:p w14:paraId="5A5A3B35">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eastAsia" w:ascii="Times New Roman" w:eastAsia="宋体" w:cs="Times New Roman"/>
                      <w:color w:val="auto"/>
                      <w:sz w:val="21"/>
                      <w:szCs w:val="21"/>
                      <w:lang w:val="en-US" w:eastAsia="zh-CN"/>
                    </w:rPr>
                  </w:pPr>
                  <w:r>
                    <w:rPr>
                      <w:rFonts w:hint="eastAsia" w:ascii="Times New Roman" w:cs="Times New Roman"/>
                      <w:color w:val="auto"/>
                      <w:sz w:val="21"/>
                      <w:szCs w:val="21"/>
                      <w:lang w:val="en-US" w:eastAsia="zh-CN"/>
                    </w:rPr>
                    <w:t>（1）</w:t>
                  </w:r>
                  <w:r>
                    <w:rPr>
                      <w:rFonts w:hint="default" w:ascii="Times New Roman" w:hAnsi="Times New Roman" w:eastAsia="宋体" w:cs="Times New Roman"/>
                      <w:color w:val="auto"/>
                      <w:sz w:val="21"/>
                      <w:szCs w:val="21"/>
                      <w:lang w:val="en-US" w:eastAsia="zh-CN"/>
                    </w:rPr>
                    <w:t>本项目工艺设计优先选用清洁的工艺和原辅材料，采用先进的技术和装备，减少废气污染物产生量；生产过程</w:t>
                  </w:r>
                  <w:r>
                    <w:rPr>
                      <w:rFonts w:hint="eastAsia" w:ascii="Times New Roman" w:hAnsi="Times New Roman" w:eastAsia="宋体" w:cs="Times New Roman"/>
                      <w:color w:val="auto"/>
                      <w:sz w:val="21"/>
                      <w:szCs w:val="21"/>
                      <w:lang w:val="en-US" w:eastAsia="zh-CN"/>
                    </w:rPr>
                    <w:t>产生的</w:t>
                  </w:r>
                  <w:r>
                    <w:rPr>
                      <w:rFonts w:hint="eastAsia" w:ascii="Times New Roman" w:cs="Times New Roman"/>
                      <w:color w:val="auto"/>
                      <w:sz w:val="21"/>
                      <w:szCs w:val="21"/>
                      <w:lang w:val="en-US" w:eastAsia="zh-CN"/>
                    </w:rPr>
                    <w:t>注塑</w:t>
                  </w:r>
                  <w:r>
                    <w:rPr>
                      <w:rFonts w:hint="eastAsia" w:ascii="Times New Roman" w:hAnsi="Times New Roman" w:eastAsia="宋体" w:cs="Times New Roman"/>
                      <w:color w:val="auto"/>
                      <w:sz w:val="21"/>
                      <w:szCs w:val="21"/>
                      <w:lang w:val="en-US" w:eastAsia="zh-CN"/>
                    </w:rPr>
                    <w:t>废气采用</w:t>
                  </w:r>
                  <w:r>
                    <w:rPr>
                      <w:rFonts w:hint="eastAsia" w:ascii="Times New Roman" w:cs="Times New Roman"/>
                      <w:color w:val="auto"/>
                      <w:sz w:val="21"/>
                      <w:szCs w:val="21"/>
                      <w:lang w:val="en-US" w:eastAsia="zh-CN"/>
                    </w:rPr>
                    <w:t>三</w:t>
                  </w:r>
                  <w:r>
                    <w:rPr>
                      <w:rFonts w:hint="eastAsia" w:ascii="Times New Roman" w:hAnsi="Times New Roman" w:eastAsia="宋体" w:cs="Times New Roman"/>
                      <w:color w:val="auto"/>
                      <w:sz w:val="21"/>
                      <w:szCs w:val="21"/>
                      <w:lang w:val="en-US" w:eastAsia="zh-CN"/>
                    </w:rPr>
                    <w:t>级活性炭吸附</w:t>
                  </w:r>
                  <w:r>
                    <w:rPr>
                      <w:rFonts w:hint="eastAsia" w:ascii="Times New Roman" w:cs="Times New Roman"/>
                      <w:color w:val="auto"/>
                      <w:sz w:val="21"/>
                      <w:szCs w:val="21"/>
                      <w:lang w:val="en-US" w:eastAsia="zh-CN"/>
                    </w:rPr>
                    <w:t>装置</w:t>
                  </w:r>
                  <w:r>
                    <w:rPr>
                      <w:rFonts w:hint="eastAsia" w:ascii="Times New Roman" w:hAnsi="Times New Roman" w:eastAsia="宋体" w:cs="Times New Roman"/>
                      <w:color w:val="auto"/>
                      <w:sz w:val="21"/>
                      <w:szCs w:val="21"/>
                      <w:lang w:val="en-US" w:eastAsia="zh-CN"/>
                    </w:rPr>
                    <w:t>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通过15m高排气筒（DA001）排放；破碎废气</w:t>
                  </w:r>
                  <w:r>
                    <w:rPr>
                      <w:rFonts w:hint="eastAsia" w:ascii="Times New Roman" w:hAnsi="Times New Roman" w:eastAsia="宋体" w:cs="Times New Roman"/>
                      <w:color w:val="auto"/>
                      <w:sz w:val="21"/>
                      <w:szCs w:val="21"/>
                      <w:lang w:val="en-US" w:eastAsia="zh-CN"/>
                    </w:rPr>
                    <w:t>采用布袋除尘器进行处理达标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通过15m高排气筒（DA002）排放；</w:t>
                  </w:r>
                </w:p>
                <w:p w14:paraId="6F506394">
                  <w:pPr>
                    <w:pStyle w:val="47"/>
                    <w:keepNext w:val="0"/>
                    <w:keepLines w:val="0"/>
                    <w:pageBreakBefore w:val="0"/>
                    <w:widowControl/>
                    <w:numPr>
                      <w:ilvl w:val="0"/>
                      <w:numId w:val="0"/>
                    </w:numPr>
                    <w:tabs>
                      <w:tab w:val="left" w:pos="5530"/>
                    </w:tabs>
                    <w:kinsoku/>
                    <w:wordWrap/>
                    <w:overflowPunct/>
                    <w:topLinePunct w:val="0"/>
                    <w:autoSpaceDE/>
                    <w:autoSpaceDN/>
                    <w:bidi w:val="0"/>
                    <w:snapToGrid/>
                    <w:spacing w:beforeLines="0" w:afterLines="0" w:line="240" w:lineRule="auto"/>
                    <w:jc w:val="both"/>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（2）采取的</w:t>
                  </w:r>
                  <w:r>
                    <w:rPr>
                      <w:rFonts w:hint="default" w:ascii="Times New Roman" w:hAnsi="Times New Roman" w:eastAsia="宋体" w:cs="Times New Roman"/>
                      <w:color w:val="auto"/>
                      <w:sz w:val="21"/>
                      <w:szCs w:val="21"/>
                    </w:rPr>
                    <w:t>废气治理方案</w:t>
                  </w:r>
                  <w:r>
                    <w:rPr>
                      <w:rFonts w:hint="default" w:ascii="Times New Roman" w:hAnsi="Times New Roman" w:eastAsia="宋体" w:cs="Times New Roman"/>
                      <w:color w:val="auto"/>
                      <w:sz w:val="21"/>
                      <w:szCs w:val="21"/>
                      <w:lang w:val="en-US" w:eastAsia="zh-CN"/>
                    </w:rPr>
                    <w:t>不会产生二次污染</w:t>
                  </w:r>
                  <w:r>
                    <w:rPr>
                      <w:rFonts w:hint="eastAsia" w:ascii="Times New Roman" w:cs="Times New Roman"/>
                      <w:color w:val="auto"/>
                      <w:sz w:val="21"/>
                      <w:szCs w:val="21"/>
                      <w:lang w:val="en-US" w:eastAsia="zh-CN"/>
                    </w:rPr>
                    <w:t>；</w:t>
                  </w:r>
                </w:p>
                <w:p w14:paraId="015B96E7">
                  <w:pPr>
                    <w:pStyle w:val="47"/>
                    <w:keepNext w:val="0"/>
                    <w:keepLines w:val="0"/>
                    <w:pageBreakBefore w:val="0"/>
                    <w:widowControl/>
                    <w:numPr>
                      <w:ilvl w:val="0"/>
                      <w:numId w:val="0"/>
                    </w:numPr>
                    <w:tabs>
                      <w:tab w:val="left" w:pos="5530"/>
                    </w:tabs>
                    <w:kinsoku/>
                    <w:wordWrap/>
                    <w:overflowPunct/>
                    <w:topLinePunct w:val="0"/>
                    <w:autoSpaceDE/>
                    <w:autoSpaceDN/>
                    <w:bidi w:val="0"/>
                    <w:snapToGrid/>
                    <w:spacing w:beforeLines="0" w:afterLines="0" w:line="240" w:lineRule="auto"/>
                    <w:jc w:val="both"/>
                    <w:textAlignment w:val="auto"/>
                    <w:rPr>
                      <w:rFonts w:hint="default" w:ascii="Times New Roman" w:hAnsi="Times New Roman" w:eastAsia="宋体" w:cs="Times New Roman"/>
                      <w:color w:val="auto"/>
                      <w:sz w:val="21"/>
                      <w:szCs w:val="21"/>
                    </w:rPr>
                  </w:pPr>
                  <w:r>
                    <w:rPr>
                      <w:rFonts w:hint="eastAsia" w:ascii="Times New Roman"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产生大气污染物</w:t>
                  </w:r>
                  <w:r>
                    <w:rPr>
                      <w:rFonts w:hint="eastAsia" w:ascii="Times New Roman" w:hAnsi="Times New Roman" w:eastAsia="宋体" w:cs="Times New Roman"/>
                      <w:color w:val="auto"/>
                      <w:sz w:val="21"/>
                      <w:szCs w:val="21"/>
                      <w:lang w:val="en-US" w:eastAsia="zh-CN"/>
                    </w:rPr>
                    <w:t>均得到</w:t>
                  </w:r>
                  <w:r>
                    <w:rPr>
                      <w:rFonts w:hint="default" w:ascii="Times New Roman" w:hAnsi="Times New Roman" w:eastAsia="宋体" w:cs="Times New Roman"/>
                      <w:color w:val="auto"/>
                      <w:sz w:val="21"/>
                      <w:szCs w:val="21"/>
                      <w:lang w:val="en-US" w:eastAsia="zh-CN"/>
                    </w:rPr>
                    <w:t>收集系统</w:t>
                  </w:r>
                  <w:r>
                    <w:rPr>
                      <w:rFonts w:hint="eastAsia" w:ascii="Times New Roman" w:hAnsi="Times New Roman" w:eastAsia="宋体" w:cs="Times New Roman"/>
                      <w:color w:val="auto"/>
                      <w:sz w:val="21"/>
                      <w:szCs w:val="21"/>
                      <w:lang w:val="en-US" w:eastAsia="zh-CN"/>
                    </w:rPr>
                    <w:t>收集并进行</w:t>
                  </w:r>
                  <w:r>
                    <w:rPr>
                      <w:rFonts w:hint="default" w:ascii="Times New Roman" w:hAnsi="Times New Roman" w:eastAsia="宋体" w:cs="Times New Roman"/>
                      <w:color w:val="auto"/>
                      <w:sz w:val="21"/>
                      <w:szCs w:val="21"/>
                      <w:lang w:val="en-US" w:eastAsia="zh-CN"/>
                    </w:rPr>
                    <w:t>处理。</w:t>
                  </w:r>
                </w:p>
              </w:tc>
              <w:tc>
                <w:tcPr>
                  <w:tcW w:w="382" w:type="pct"/>
                  <w:noWrap w:val="0"/>
                  <w:vAlign w:val="center"/>
                </w:tcPr>
                <w:p w14:paraId="00765207">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5A8EC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trPr>
              <w:tc>
                <w:tcPr>
                  <w:tcW w:w="716" w:type="pct"/>
                  <w:noWrap w:val="0"/>
                  <w:vAlign w:val="center"/>
                </w:tcPr>
                <w:p w14:paraId="2F664482">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地表水环境影响减缓措施</w:t>
                  </w:r>
                </w:p>
              </w:tc>
              <w:tc>
                <w:tcPr>
                  <w:tcW w:w="2009" w:type="pct"/>
                  <w:noWrap w:val="0"/>
                  <w:vAlign w:val="center"/>
                </w:tcPr>
                <w:p w14:paraId="61E9E46B">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（1）入园企业应优先选用清洁原料，采用资源利用率高、污染物排放量少的工艺、设备以及废水综合利用技术，减少废水污染物产生。</w:t>
                  </w:r>
                </w:p>
                <w:p w14:paraId="4CAF307C">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（2）入园企业在满足企业用水安全的前提下，应控制新鲜水用量，并符合新建生产装置吨产品水耗达到国内行业先进水平；引进装置吨产品水耗达到国际先进水平；生产用水梯级利用、循环使用的规定；</w:t>
                  </w:r>
                </w:p>
                <w:p w14:paraId="3B791A74">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（3）入园企业产生的各类污、废水应按雨污分流、清污分流、污污分流的原则分质处理；</w:t>
                  </w:r>
                </w:p>
                <w:p w14:paraId="47077E57">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（4）入园企业排入园区污水处理厂的废水应经过预处理，符合污水处理厂接管要求，并按“一企一管”制送至园区污水处理厂处理；</w:t>
                  </w:r>
                </w:p>
                <w:p w14:paraId="5DDEA54B">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（5）根据入园企业的行业生产装置特点和污染特征进行污染区域划分，设置初期雨水收集池，将初期雨水收集处理后回用；</w:t>
                  </w:r>
                </w:p>
                <w:p w14:paraId="30B36E89">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（6）根据入园企业的行业特点设置一定容积的应急事故水池，事故水池的设计应符合相关设计规范的要求，确保产生的事故废水不排入外环境；</w:t>
                  </w:r>
                </w:p>
                <w:p w14:paraId="61D5D64D">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在园区污水处理站、配套管网未建成运行之前，入园企业需自建污水处理设施，处理产生的各类污废水，并全部回用不外排。待园区规划污水处理站、配套管网设施建成后，可按优化调整建议的排水方案处理各类污废水。</w:t>
                  </w:r>
                </w:p>
              </w:tc>
              <w:tc>
                <w:tcPr>
                  <w:tcW w:w="1891" w:type="pct"/>
                  <w:noWrap w:val="0"/>
                  <w:vAlign w:val="center"/>
                </w:tcPr>
                <w:p w14:paraId="532B635D">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jc w:val="left"/>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本项目属于</w:t>
                  </w:r>
                  <w:r>
                    <w:rPr>
                      <w:rFonts w:hint="default" w:ascii="Times New Roman" w:hAnsi="Times New Roman" w:eastAsia="宋体" w:cs="Times New Roman"/>
                      <w:color w:val="auto"/>
                      <w:sz w:val="21"/>
                      <w:szCs w:val="21"/>
                      <w:lang w:val="en-US" w:eastAsia="zh-CN"/>
                    </w:rPr>
                    <w:t>塑料包装箱及容器制造</w:t>
                  </w:r>
                  <w:r>
                    <w:rPr>
                      <w:rFonts w:hint="eastAsia" w:ascii="Times New Roman" w:hAnsi="Times New Roman" w:eastAsia="宋体" w:cs="Times New Roman"/>
                      <w:color w:val="auto"/>
                      <w:sz w:val="21"/>
                      <w:szCs w:val="21"/>
                      <w:lang w:val="en-US" w:eastAsia="zh-CN"/>
                    </w:rPr>
                    <w:t>，原辅料选用清洁原料，生产过程中采用先进的设备及工艺，减少污染物的排放量，充分提高资源利用率。</w:t>
                  </w:r>
                </w:p>
                <w:p w14:paraId="46FDD333">
                  <w:pPr>
                    <w:rPr>
                      <w:rFonts w:hint="default" w:ascii="Times New Roman" w:hAnsi="Times New Roman" w:eastAsia="宋体" w:cs="Times New Roman"/>
                      <w:color w:val="auto"/>
                      <w:kern w:val="0"/>
                      <w:sz w:val="21"/>
                      <w:szCs w:val="21"/>
                      <w:highlight w:val="yellow"/>
                      <w:lang w:val="en-US" w:eastAsia="zh-CN" w:bidi="ar-SA"/>
                    </w:rPr>
                  </w:pPr>
                  <w:r>
                    <w:rPr>
                      <w:rFonts w:hint="eastAsia" w:ascii="Times New Roman" w:hAnsi="Times New Roman" w:eastAsia="宋体" w:cs="Times New Roman"/>
                      <w:color w:val="auto"/>
                      <w:sz w:val="21"/>
                      <w:szCs w:val="21"/>
                      <w:lang w:val="en-US" w:eastAsia="zh-CN"/>
                    </w:rPr>
                    <w:t>（2）</w:t>
                  </w:r>
                  <w:r>
                    <w:rPr>
                      <w:rFonts w:hint="default" w:ascii="Times New Roman" w:hAnsi="Times New Roman" w:cs="Times New Roman"/>
                      <w:color w:val="auto"/>
                      <w:sz w:val="21"/>
                      <w:szCs w:val="21"/>
                      <w:shd w:val="clear" w:color="auto" w:fill="auto"/>
                      <w:lang w:eastAsia="zh-CN"/>
                    </w:rPr>
                    <w:t>本项目</w:t>
                  </w:r>
                  <w:r>
                    <w:rPr>
                      <w:rFonts w:ascii="Times New Roman" w:hAnsi="Times New Roman" w:eastAsia="宋体" w:cs="Times New Roman"/>
                      <w:color w:val="auto"/>
                      <w:kern w:val="0"/>
                      <w:sz w:val="21"/>
                      <w:szCs w:val="21"/>
                      <w:lang w:val="en-US" w:eastAsia="zh-CN" w:bidi="ar-SA"/>
                    </w:rPr>
                    <w:t>冷却水经冷却循环</w:t>
                  </w:r>
                  <w:r>
                    <w:rPr>
                      <w:rFonts w:hint="eastAsia" w:ascii="Times New Roman" w:hAnsi="Times New Roman" w:eastAsia="宋体" w:cs="Times New Roman"/>
                      <w:color w:val="auto"/>
                      <w:kern w:val="0"/>
                      <w:sz w:val="21"/>
                      <w:szCs w:val="21"/>
                      <w:lang w:val="en-US" w:eastAsia="zh-CN" w:bidi="ar-SA"/>
                    </w:rPr>
                    <w:t>水箱</w:t>
                  </w:r>
                  <w:r>
                    <w:rPr>
                      <w:rFonts w:ascii="Times New Roman" w:hAnsi="Times New Roman" w:eastAsia="宋体" w:cs="Times New Roman"/>
                      <w:color w:val="auto"/>
                      <w:kern w:val="0"/>
                      <w:sz w:val="21"/>
                      <w:szCs w:val="21"/>
                      <w:lang w:val="en-US" w:eastAsia="zh-CN" w:bidi="ar-SA"/>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达标后</w:t>
                  </w:r>
                  <w:r>
                    <w:rPr>
                      <w:rFonts w:hint="default" w:ascii="Times New Roman" w:hAnsi="Times New Roman" w:eastAsia="宋体" w:cs="Times New Roman"/>
                      <w:b w:val="0"/>
                      <w:bCs w:val="0"/>
                      <w:color w:val="auto"/>
                      <w:sz w:val="21"/>
                      <w:szCs w:val="21"/>
                      <w:highlight w:val="none"/>
                      <w:lang w:val="en-US" w:eastAsia="zh-CN"/>
                    </w:rPr>
                    <w:t>，用于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p w14:paraId="70099A43">
                  <w:pPr>
                    <w:rPr>
                      <w:rFonts w:hint="eastAsia" w:ascii="Times New Roman" w:hAnsi="Times New Roman" w:cs="Times New Roman"/>
                      <w:color w:val="auto"/>
                      <w:sz w:val="21"/>
                      <w:szCs w:val="21"/>
                      <w:shd w:val="clear" w:color="auto" w:fill="auto"/>
                      <w:lang w:val="en-US" w:eastAsia="zh-CN"/>
                    </w:rPr>
                  </w:pPr>
                  <w:r>
                    <w:rPr>
                      <w:rFonts w:hint="eastAsia" w:ascii="Times New Roman" w:hAnsi="Times New Roman" w:cs="Times New Roman"/>
                      <w:color w:val="auto"/>
                      <w:sz w:val="21"/>
                      <w:szCs w:val="21"/>
                      <w:highlight w:val="none"/>
                      <w:shd w:val="clear" w:color="auto" w:fill="auto"/>
                      <w:lang w:eastAsia="zh-CN"/>
                    </w:rPr>
                    <w:t>（</w:t>
                  </w:r>
                  <w:r>
                    <w:rPr>
                      <w:rFonts w:hint="eastAsia" w:ascii="Times New Roman" w:hAnsi="Times New Roman" w:cs="Times New Roman"/>
                      <w:color w:val="auto"/>
                      <w:sz w:val="21"/>
                      <w:szCs w:val="21"/>
                      <w:highlight w:val="none"/>
                      <w:shd w:val="clear" w:color="auto" w:fill="auto"/>
                      <w:lang w:val="en-US" w:eastAsia="zh-CN"/>
                    </w:rPr>
                    <w:t>3</w:t>
                  </w:r>
                  <w:r>
                    <w:rPr>
                      <w:rFonts w:hint="eastAsia" w:ascii="Times New Roman" w:hAnsi="Times New Roman" w:cs="Times New Roman"/>
                      <w:color w:val="auto"/>
                      <w:sz w:val="21"/>
                      <w:szCs w:val="21"/>
                      <w:highlight w:val="none"/>
                      <w:shd w:val="clear" w:color="auto" w:fill="auto"/>
                      <w:lang w:eastAsia="zh-CN"/>
                    </w:rPr>
                    <w:t>）</w:t>
                  </w:r>
                  <w:r>
                    <w:rPr>
                      <w:rFonts w:hint="eastAsia" w:ascii="Times New Roman" w:hAnsi="Times New Roman" w:cs="Times New Roman"/>
                      <w:color w:val="auto"/>
                      <w:sz w:val="21"/>
                      <w:szCs w:val="21"/>
                      <w:shd w:val="clear" w:color="auto" w:fill="auto"/>
                      <w:lang w:val="en-US" w:eastAsia="zh-CN"/>
                    </w:rPr>
                    <w:t>本项目采用雨污分流制。</w:t>
                  </w:r>
                </w:p>
                <w:p w14:paraId="5C959248">
                  <w:pP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cs="Times New Roman"/>
                      <w:color w:val="auto"/>
                      <w:sz w:val="21"/>
                      <w:szCs w:val="21"/>
                      <w:shd w:val="clear" w:color="auto" w:fill="auto"/>
                      <w:lang w:eastAsia="zh-CN"/>
                    </w:rPr>
                    <w:t>（</w:t>
                  </w:r>
                  <w:r>
                    <w:rPr>
                      <w:rFonts w:hint="eastAsia" w:ascii="Times New Roman" w:hAnsi="Times New Roman" w:cs="Times New Roman"/>
                      <w:color w:val="auto"/>
                      <w:sz w:val="21"/>
                      <w:szCs w:val="21"/>
                      <w:highlight w:val="none"/>
                      <w:shd w:val="clear" w:color="auto" w:fill="auto"/>
                      <w:lang w:val="en-US" w:eastAsia="zh-CN"/>
                    </w:rPr>
                    <w:t>4</w:t>
                  </w:r>
                  <w:r>
                    <w:rPr>
                      <w:rFonts w:hint="eastAsia" w:ascii="Times New Roman" w:hAnsi="Times New Roman" w:cs="Times New Roman"/>
                      <w:color w:val="auto"/>
                      <w:sz w:val="21"/>
                      <w:szCs w:val="21"/>
                      <w:highlight w:val="none"/>
                      <w:shd w:val="clear" w:color="auto" w:fill="auto"/>
                      <w:lang w:eastAsia="zh-CN"/>
                    </w:rPr>
                    <w:t>）</w:t>
                  </w:r>
                  <w:r>
                    <w:rPr>
                      <w:rFonts w:hint="eastAsia" w:cs="Times New Roman"/>
                      <w:color w:val="auto"/>
                      <w:sz w:val="21"/>
                      <w:szCs w:val="21"/>
                      <w:highlight w:val="none"/>
                      <w:vertAlign w:val="baseline"/>
                      <w:lang w:val="en-US" w:eastAsia="zh-CN"/>
                    </w:rPr>
                    <w:t>项目</w:t>
                  </w:r>
                  <w:r>
                    <w:rPr>
                      <w:rFonts w:ascii="Times New Roman" w:hAnsi="Times New Roman" w:eastAsia="宋体" w:cs="Times New Roman"/>
                      <w:color w:val="auto"/>
                      <w:kern w:val="0"/>
                      <w:sz w:val="21"/>
                      <w:szCs w:val="21"/>
                      <w:lang w:val="en-US" w:eastAsia="zh-CN" w:bidi="ar-SA"/>
                    </w:rPr>
                    <w:t>冷却水经冷却循环</w:t>
                  </w:r>
                  <w:r>
                    <w:rPr>
                      <w:rFonts w:hint="eastAsia" w:ascii="Times New Roman" w:hAnsi="Times New Roman" w:eastAsia="宋体" w:cs="Times New Roman"/>
                      <w:color w:val="auto"/>
                      <w:kern w:val="0"/>
                      <w:sz w:val="21"/>
                      <w:szCs w:val="21"/>
                      <w:lang w:val="en-US" w:eastAsia="zh-CN" w:bidi="ar-SA"/>
                    </w:rPr>
                    <w:t>水箱</w:t>
                  </w:r>
                  <w:r>
                    <w:rPr>
                      <w:rFonts w:ascii="Times New Roman" w:hAnsi="Times New Roman" w:eastAsia="宋体" w:cs="Times New Roman"/>
                      <w:color w:val="auto"/>
                      <w:kern w:val="0"/>
                      <w:sz w:val="21"/>
                      <w:szCs w:val="21"/>
                      <w:lang w:val="en-US" w:eastAsia="zh-CN" w:bidi="ar-SA"/>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w:t>
                  </w:r>
                  <w:r>
                    <w:rPr>
                      <w:rFonts w:hint="default" w:ascii="Times New Roman" w:hAnsi="Times New Roman" w:eastAsia="宋体" w:cs="Times New Roman"/>
                      <w:b w:val="0"/>
                      <w:bCs w:val="0"/>
                      <w:color w:val="auto"/>
                      <w:sz w:val="21"/>
                      <w:szCs w:val="21"/>
                      <w:highlight w:val="none"/>
                      <w:lang w:val="en-US" w:eastAsia="zh-CN"/>
                    </w:rPr>
                    <w:t>标后，用于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p w14:paraId="10CA762D">
                  <w:pPr>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shd w:val="clear" w:color="auto" w:fill="auto"/>
                      <w:lang w:val="en-US" w:eastAsia="zh-CN"/>
                    </w:rPr>
                    <w:t>（5）</w:t>
                  </w:r>
                  <w:r>
                    <w:rPr>
                      <w:rFonts w:hint="eastAsia" w:ascii="Times New Roman" w:hAnsi="Times New Roman" w:eastAsia="宋体" w:cs="Times New Roman"/>
                      <w:color w:val="auto"/>
                      <w:sz w:val="21"/>
                      <w:szCs w:val="21"/>
                      <w:lang w:val="en-US" w:eastAsia="zh-CN"/>
                    </w:rPr>
                    <w:t>本项目为</w:t>
                  </w:r>
                  <w:r>
                    <w:rPr>
                      <w:rFonts w:hint="default" w:ascii="Times New Roman" w:hAnsi="Times New Roman" w:eastAsia="宋体" w:cs="Times New Roman"/>
                      <w:color w:val="auto"/>
                      <w:sz w:val="21"/>
                      <w:szCs w:val="21"/>
                      <w:lang w:eastAsia="zh-CN"/>
                    </w:rPr>
                    <w:t>塑料包装箱及容器制造</w:t>
                  </w:r>
                  <w:r>
                    <w:rPr>
                      <w:rFonts w:hint="eastAsia" w:ascii="Times New Roman" w:hAnsi="Times New Roman" w:eastAsia="宋体" w:cs="Times New Roman"/>
                      <w:color w:val="auto"/>
                      <w:sz w:val="21"/>
                      <w:szCs w:val="21"/>
                      <w:lang w:eastAsia="zh-CN"/>
                    </w:rPr>
                    <w:t>，根据其行业生产装置特点和污染特征无需设置初期雨水收集池。</w:t>
                  </w:r>
                </w:p>
                <w:p w14:paraId="6EB82E09">
                  <w:pP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6</w:t>
                  </w:r>
                  <w:r>
                    <w:rPr>
                      <w:rFonts w:hint="eastAsia" w:ascii="Times New Roman" w:hAnsi="Times New Roman" w:eastAsia="宋体" w:cs="Times New Roman"/>
                      <w:color w:val="auto"/>
                      <w:sz w:val="21"/>
                      <w:szCs w:val="21"/>
                      <w:lang w:eastAsia="zh-CN"/>
                    </w:rPr>
                    <w:t>）</w:t>
                  </w:r>
                  <w:r>
                    <w:rPr>
                      <w:rFonts w:hint="eastAsia" w:cs="Times New Roman"/>
                      <w:color w:val="auto"/>
                      <w:sz w:val="21"/>
                      <w:szCs w:val="21"/>
                      <w:lang w:eastAsia="zh-CN"/>
                    </w:rPr>
                    <w:t>本项目生产过程中仅使用到冷却水，该部分</w:t>
                  </w:r>
                  <w:r>
                    <w:rPr>
                      <w:rFonts w:ascii="Times New Roman" w:hAnsi="Times New Roman" w:eastAsia="宋体" w:cs="Times New Roman"/>
                      <w:color w:val="auto"/>
                      <w:kern w:val="0"/>
                      <w:sz w:val="21"/>
                      <w:szCs w:val="21"/>
                      <w:lang w:val="en-US" w:eastAsia="zh-CN" w:bidi="ar-SA"/>
                    </w:rPr>
                    <w:t>冷却水</w:t>
                  </w:r>
                  <w:r>
                    <w:rPr>
                      <w:rFonts w:hint="eastAsia" w:cs="Times New Roman"/>
                      <w:color w:val="auto"/>
                      <w:sz w:val="21"/>
                      <w:szCs w:val="21"/>
                      <w:lang w:eastAsia="zh-CN"/>
                    </w:rPr>
                    <w:t>循环使用不外排，</w:t>
                  </w:r>
                  <w:r>
                    <w:rPr>
                      <w:rFonts w:hint="eastAsia" w:cs="Times New Roman"/>
                      <w:color w:val="auto"/>
                      <w:sz w:val="21"/>
                      <w:szCs w:val="21"/>
                      <w:highlight w:val="none"/>
                      <w:lang w:eastAsia="zh-CN"/>
                    </w:rPr>
                    <w:t>生活污水经处理后</w:t>
                  </w:r>
                  <w:r>
                    <w:rPr>
                      <w:rFonts w:hint="default" w:ascii="Times New Roman" w:hAnsi="Times New Roman" w:eastAsia="宋体" w:cs="Times New Roman"/>
                      <w:color w:val="auto"/>
                      <w:kern w:val="0"/>
                      <w:sz w:val="21"/>
                      <w:szCs w:val="21"/>
                      <w:highlight w:val="none"/>
                      <w:lang w:val="en-US" w:eastAsia="zh-CN" w:bidi="ar-SA"/>
                    </w:rPr>
                    <w:t>项目区内绿化及道路场地洒水降尘，不外排</w:t>
                  </w:r>
                  <w:r>
                    <w:rPr>
                      <w:rFonts w:hint="eastAsia" w:cs="Times New Roman"/>
                      <w:color w:val="auto"/>
                      <w:sz w:val="21"/>
                      <w:szCs w:val="21"/>
                      <w:highlight w:val="none"/>
                      <w:lang w:eastAsia="zh-CN"/>
                    </w:rPr>
                    <w:t>，设置了容积为</w:t>
                  </w:r>
                  <w:r>
                    <w:rPr>
                      <w:rFonts w:hint="eastAsia" w:cs="Times New Roman"/>
                      <w:color w:val="auto"/>
                      <w:sz w:val="21"/>
                      <w:szCs w:val="21"/>
                      <w:highlight w:val="none"/>
                      <w:lang w:val="en-US" w:eastAsia="zh-CN"/>
                    </w:rPr>
                    <w:t>15m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vertAlign w:val="baseline"/>
                      <w:lang w:val="en-US" w:eastAsia="zh-CN"/>
                    </w:rPr>
                    <w:t>的蓄水池</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rPr>
                    <w:t>确保产生的事故废水不排入外环境</w:t>
                  </w:r>
                  <w:r>
                    <w:rPr>
                      <w:rFonts w:hint="eastAsia" w:ascii="Times New Roman" w:hAnsi="Times New Roman" w:eastAsia="宋体" w:cs="Times New Roman"/>
                      <w:color w:val="auto"/>
                      <w:sz w:val="21"/>
                      <w:szCs w:val="21"/>
                      <w:lang w:eastAsia="zh-CN"/>
                    </w:rPr>
                    <w:t>。</w:t>
                  </w:r>
                </w:p>
                <w:p w14:paraId="0F024EEF">
                  <w:pPr>
                    <w:rPr>
                      <w:rFonts w:hint="eastAsia" w:ascii="Times New Roman" w:hAnsi="Times New Roman" w:eastAsia="宋体" w:cs="Times New Roman"/>
                      <w:color w:val="auto"/>
                      <w:sz w:val="21"/>
                      <w:szCs w:val="21"/>
                      <w:lang w:eastAsia="zh-CN"/>
                    </w:rPr>
                  </w:pPr>
                  <w:r>
                    <w:rPr>
                      <w:rFonts w:hint="eastAsia" w:ascii="Times New Roman" w:cs="Times New Roman"/>
                      <w:color w:val="auto"/>
                      <w:sz w:val="21"/>
                      <w:szCs w:val="21"/>
                      <w:lang w:eastAsia="zh-CN"/>
                    </w:rPr>
                    <w:t>（</w:t>
                  </w:r>
                  <w:r>
                    <w:rPr>
                      <w:rFonts w:hint="eastAsia" w:ascii="Times New Roman" w:cs="Times New Roman"/>
                      <w:color w:val="auto"/>
                      <w:sz w:val="21"/>
                      <w:szCs w:val="21"/>
                      <w:lang w:val="en-US" w:eastAsia="zh-CN"/>
                    </w:rPr>
                    <w:t>7</w:t>
                  </w:r>
                  <w:r>
                    <w:rPr>
                      <w:rFonts w:hint="eastAsia" w:ascii="Times New Roman" w:cs="Times New Roman"/>
                      <w:color w:val="auto"/>
                      <w:sz w:val="21"/>
                      <w:szCs w:val="21"/>
                      <w:lang w:eastAsia="zh-CN"/>
                    </w:rPr>
                    <w:t>）</w:t>
                  </w:r>
                  <w:r>
                    <w:rPr>
                      <w:rFonts w:hint="eastAsia" w:cs="Times New Roman"/>
                      <w:color w:val="auto"/>
                      <w:sz w:val="21"/>
                      <w:szCs w:val="21"/>
                      <w:highlight w:val="none"/>
                      <w:vertAlign w:val="baseline"/>
                      <w:lang w:val="en-US" w:eastAsia="zh-CN"/>
                    </w:rPr>
                    <w:t>项目</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达到</w:t>
                  </w:r>
                  <w:r>
                    <w:rPr>
                      <w:rFonts w:hint="default" w:ascii="Times New Roman" w:hAnsi="Times New Roman" w:eastAsia="宋体" w:cs="Times New Roman"/>
                      <w:b w:val="0"/>
                      <w:bCs w:val="0"/>
                      <w:color w:val="auto"/>
                      <w:sz w:val="21"/>
                      <w:szCs w:val="21"/>
                      <w:highlight w:val="none"/>
                      <w:lang w:val="en-US" w:eastAsia="zh-CN"/>
                    </w:rPr>
                    <w:t>《城市污水再生利用 城市杂用水水质》（GB/T18920-2020）中的城市绿化、道路清扫、消防、建筑施工标准后，用于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tc>
              <w:tc>
                <w:tcPr>
                  <w:tcW w:w="382" w:type="pct"/>
                  <w:noWrap w:val="0"/>
                  <w:vAlign w:val="center"/>
                </w:tcPr>
                <w:p w14:paraId="59F4D268">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06F51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1" w:hRule="atLeast"/>
              </w:trPr>
              <w:tc>
                <w:tcPr>
                  <w:tcW w:w="716" w:type="pct"/>
                  <w:noWrap w:val="0"/>
                  <w:vAlign w:val="center"/>
                </w:tcPr>
                <w:p w14:paraId="0C3349E5">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声环境影响减缓措施</w:t>
                  </w:r>
                </w:p>
              </w:tc>
              <w:tc>
                <w:tcPr>
                  <w:tcW w:w="2009" w:type="pct"/>
                  <w:noWrap w:val="0"/>
                  <w:vAlign w:val="center"/>
                </w:tcPr>
                <w:p w14:paraId="17150A6D">
                  <w:pPr>
                    <w:keepNext w:val="0"/>
                    <w:keepLines w:val="0"/>
                    <w:pageBreakBefore w:val="0"/>
                    <w:kinsoku/>
                    <w:wordWrap/>
                    <w:overflowPunct/>
                    <w:topLinePunct w:val="0"/>
                    <w:autoSpaceDE/>
                    <w:autoSpaceDN/>
                    <w:bidi w:val="0"/>
                    <w:snapToGrid/>
                    <w:spacing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（1）对工业项目选址进行合理布局。将具有高噪声源的企业布置在远离居民点的地方，在靠近居民点的地方布置噪声污染较轻的企业。企业内部布局也应遵循这一原则。</w:t>
                  </w:r>
                </w:p>
                <w:p w14:paraId="30F1B894">
                  <w:pPr>
                    <w:keepNext w:val="0"/>
                    <w:keepLines w:val="0"/>
                    <w:pageBreakBefore w:val="0"/>
                    <w:kinsoku/>
                    <w:wordWrap/>
                    <w:overflowPunct/>
                    <w:topLinePunct w:val="0"/>
                    <w:autoSpaceDE/>
                    <w:autoSpaceDN/>
                    <w:bidi w:val="0"/>
                    <w:snapToGrid/>
                    <w:spacing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（2）从产业布局着手控制噪声，严格执行《以噪声污染为主的工业企业卫生防护距离标准》（GB18083-2000），要按噪声达标距离进行产业布局。</w:t>
                  </w:r>
                </w:p>
                <w:p w14:paraId="3F28B561">
                  <w:pPr>
                    <w:keepNext w:val="0"/>
                    <w:keepLines w:val="0"/>
                    <w:pageBreakBefore w:val="0"/>
                    <w:kinsoku/>
                    <w:wordWrap/>
                    <w:overflowPunct/>
                    <w:topLinePunct w:val="0"/>
                    <w:autoSpaceDE/>
                    <w:autoSpaceDN/>
                    <w:bidi w:val="0"/>
                    <w:snapToGrid/>
                    <w:spacing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入园企业应尽量选用低噪声设备和工艺，对高噪声设备采用安装减振装置、吸声（消声）设备，设备隔声罩、单独的隔声操作室等控制措施，有效降低噪声，确保厂界噪声达标排放。紧挨居民点的企业，应设置一定的噪声防护距离。</w:t>
                  </w:r>
                </w:p>
                <w:p w14:paraId="1BDA5C28">
                  <w:pPr>
                    <w:keepNext w:val="0"/>
                    <w:keepLines w:val="0"/>
                    <w:pageBreakBefore w:val="0"/>
                    <w:kinsoku/>
                    <w:wordWrap/>
                    <w:overflowPunct/>
                    <w:topLinePunct w:val="0"/>
                    <w:autoSpaceDE/>
                    <w:autoSpaceDN/>
                    <w:bidi w:val="0"/>
                    <w:snapToGrid/>
                    <w:spacing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声屏障的存在使声波不能直达受声点，从而使受声点噪声降低。声屏障通常指墙、建筑物、树丛等。因此应在厂区及厂区周围加强绿化植树，保护植被，以提高消声降噪效果；规划的生活服务设施与工业用地之间，要按照规划的要求设置足够的绿化隔离带，减缓工业企业噪声对生活服务集中区的影响。</w:t>
                  </w:r>
                </w:p>
                <w:p w14:paraId="2A6D8EC2">
                  <w:pPr>
                    <w:keepNext w:val="0"/>
                    <w:keepLines w:val="0"/>
                    <w:pageBreakBefore w:val="0"/>
                    <w:kinsoku/>
                    <w:wordWrap/>
                    <w:overflowPunct/>
                    <w:topLinePunct w:val="0"/>
                    <w:autoSpaceDE/>
                    <w:autoSpaceDN/>
                    <w:bidi w:val="0"/>
                    <w:snapToGrid/>
                    <w:spacing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为减小对自然保护区的影响，规划在实施过程中，产生噪声源较大的企业应尽量远离自然保护区布置，减小对该区域的影响。在主要道路两侧设一定宽度的防护绿化带，可有效降低交通噪声。同时，加强交通管理，合理分配交通干线上车辆，靠近自然保护区一侧尽量避免大型运输车辆通过，减少交通噪声对该区域的影响。</w:t>
                  </w:r>
                </w:p>
              </w:tc>
              <w:tc>
                <w:tcPr>
                  <w:tcW w:w="1891" w:type="pct"/>
                  <w:noWrap w:val="0"/>
                  <w:vAlign w:val="center"/>
                </w:tcPr>
                <w:p w14:paraId="79C71FD1">
                  <w:pPr>
                    <w:pStyle w:val="47"/>
                    <w:keepNext w:val="0"/>
                    <w:keepLines w:val="0"/>
                    <w:pageBreakBefore w:val="0"/>
                    <w:widowControl/>
                    <w:tabs>
                      <w:tab w:val="left" w:pos="5530"/>
                    </w:tabs>
                    <w:kinsoku/>
                    <w:wordWrap w:val="0"/>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1</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本项目高噪声设备均设置在厂房内</w:t>
                  </w:r>
                  <w:r>
                    <w:rPr>
                      <w:rFonts w:hint="eastAsia" w:ascii="Times New Roman" w:hAnsi="Times New Roman" w:eastAsia="宋体" w:cs="Times New Roman"/>
                      <w:color w:val="auto"/>
                      <w:sz w:val="21"/>
                      <w:szCs w:val="21"/>
                      <w:lang w:val="en-US" w:eastAsia="zh-CN"/>
                    </w:rPr>
                    <w:t>，50m内无环境敏感点</w:t>
                  </w:r>
                  <w:r>
                    <w:rPr>
                      <w:rFonts w:hint="default" w:ascii="Times New Roman" w:hAnsi="Times New Roman" w:eastAsia="宋体" w:cs="Times New Roman"/>
                      <w:color w:val="auto"/>
                      <w:sz w:val="21"/>
                      <w:szCs w:val="21"/>
                      <w:lang w:val="en-US" w:eastAsia="zh-CN"/>
                    </w:rPr>
                    <w:t>；</w:t>
                  </w:r>
                </w:p>
                <w:p w14:paraId="506E14DE">
                  <w:pPr>
                    <w:keepNext w:val="0"/>
                    <w:keepLines w:val="0"/>
                    <w:pageBreakBefore w:val="0"/>
                    <w:kinsoku/>
                    <w:wordWrap w:val="0"/>
                    <w:overflowPunct/>
                    <w:topLinePunct w:val="0"/>
                    <w:autoSpaceDE/>
                    <w:autoSpaceDN/>
                    <w:bidi w:val="0"/>
                    <w:snapToGrid/>
                    <w:spacing w:line="240" w:lineRule="auto"/>
                    <w:ind w:firstLine="0" w:firstLineChars="0"/>
                    <w:jc w:val="left"/>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严格执行《以噪声污染为主的工业企业卫生防护距离标准》（GB18083-2000），</w:t>
                  </w:r>
                  <w:r>
                    <w:rPr>
                      <w:rFonts w:hint="eastAsia" w:cs="Times New Roman"/>
                      <w:color w:val="auto"/>
                      <w:sz w:val="21"/>
                      <w:szCs w:val="21"/>
                      <w:lang w:eastAsia="zh-CN"/>
                    </w:rPr>
                    <w:t>按照</w:t>
                  </w:r>
                  <w:r>
                    <w:rPr>
                      <w:rFonts w:hint="default" w:ascii="Times New Roman" w:hAnsi="Times New Roman" w:eastAsia="宋体" w:cs="Times New Roman"/>
                      <w:color w:val="auto"/>
                      <w:sz w:val="21"/>
                      <w:szCs w:val="21"/>
                    </w:rPr>
                    <w:t>噪声达标距离进行产业布局</w:t>
                  </w:r>
                  <w:r>
                    <w:rPr>
                      <w:rFonts w:hint="default" w:ascii="Times New Roman" w:hAnsi="Times New Roman" w:eastAsia="宋体" w:cs="Times New Roman"/>
                      <w:color w:val="auto"/>
                      <w:sz w:val="21"/>
                      <w:szCs w:val="21"/>
                      <w:lang w:eastAsia="zh-CN"/>
                    </w:rPr>
                    <w:t>；</w:t>
                  </w:r>
                </w:p>
                <w:p w14:paraId="405601F2">
                  <w:pPr>
                    <w:pStyle w:val="47"/>
                    <w:keepNext w:val="0"/>
                    <w:keepLines w:val="0"/>
                    <w:pageBreakBefore w:val="0"/>
                    <w:widowControl/>
                    <w:tabs>
                      <w:tab w:val="left" w:pos="5530"/>
                    </w:tabs>
                    <w:kinsoku/>
                    <w:wordWrap w:val="0"/>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项目通过选用低噪声设备，合理布局，对高噪声设备采取隔声、消声、减震措施后</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噪声能达标排放；</w:t>
                  </w:r>
                </w:p>
                <w:p w14:paraId="101601F7">
                  <w:pPr>
                    <w:pStyle w:val="47"/>
                    <w:keepNext w:val="0"/>
                    <w:keepLines w:val="0"/>
                    <w:pageBreakBefore w:val="0"/>
                    <w:widowControl/>
                    <w:tabs>
                      <w:tab w:val="left" w:pos="5530"/>
                    </w:tabs>
                    <w:kinsoku/>
                    <w:wordWrap w:val="0"/>
                    <w:overflowPunct/>
                    <w:topLinePunct w:val="0"/>
                    <w:autoSpaceDE/>
                    <w:autoSpaceDN/>
                    <w:bidi w:val="0"/>
                    <w:snapToGrid/>
                    <w:spacing w:beforeLines="0" w:afterLines="0"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4</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项目</w:t>
                  </w:r>
                  <w:r>
                    <w:rPr>
                      <w:rFonts w:hint="default" w:ascii="Times New Roman" w:hAnsi="Times New Roman" w:eastAsia="宋体" w:cs="Times New Roman"/>
                      <w:color w:val="auto"/>
                      <w:sz w:val="21"/>
                      <w:szCs w:val="21"/>
                    </w:rPr>
                    <w:t>按照规划的要求设置足够的绿化隔离带，减缓工业企业噪声对生活服务集中区的影响。</w:t>
                  </w:r>
                </w:p>
                <w:p w14:paraId="6A75749C">
                  <w:pPr>
                    <w:keepNext w:val="0"/>
                    <w:keepLines w:val="0"/>
                    <w:pageBreakBefore w:val="0"/>
                    <w:kinsoku/>
                    <w:wordWrap w:val="0"/>
                    <w:overflowPunct/>
                    <w:topLinePunct w:val="0"/>
                    <w:autoSpaceDE/>
                    <w:autoSpaceDN/>
                    <w:bidi w:val="0"/>
                    <w:snapToGrid/>
                    <w:spacing w:line="240" w:lineRule="auto"/>
                    <w:ind w:left="0" w:leftChars="0" w:firstLine="0" w:firstLineChars="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lang w:val="en-US" w:eastAsia="zh-CN"/>
                    </w:rPr>
                    <w:t>本</w:t>
                  </w:r>
                  <w:r>
                    <w:rPr>
                      <w:rFonts w:hint="default" w:ascii="Times New Roman" w:hAnsi="Times New Roman" w:eastAsia="宋体" w:cs="Times New Roman"/>
                      <w:color w:val="auto"/>
                      <w:sz w:val="21"/>
                      <w:szCs w:val="21"/>
                      <w:lang w:val="en-US" w:eastAsia="zh-CN"/>
                    </w:rPr>
                    <w:t>项目</w:t>
                  </w:r>
                  <w:r>
                    <w:rPr>
                      <w:rFonts w:hint="eastAsia" w:ascii="Times New Roman" w:hAnsi="Times New Roman" w:eastAsia="宋体" w:cs="Times New Roman"/>
                      <w:color w:val="auto"/>
                      <w:sz w:val="21"/>
                      <w:szCs w:val="21"/>
                      <w:lang w:val="en-US" w:eastAsia="zh-CN"/>
                    </w:rPr>
                    <w:t>周边无</w:t>
                  </w:r>
                  <w:r>
                    <w:rPr>
                      <w:rFonts w:hint="default" w:ascii="Times New Roman" w:hAnsi="Times New Roman" w:eastAsia="宋体" w:cs="Times New Roman"/>
                      <w:color w:val="auto"/>
                      <w:sz w:val="21"/>
                      <w:szCs w:val="21"/>
                    </w:rPr>
                    <w:t>自然保护区</w:t>
                  </w:r>
                  <w:r>
                    <w:rPr>
                      <w:rFonts w:hint="eastAsia" w:ascii="Times New Roman" w:hAnsi="Times New Roman" w:eastAsia="宋体" w:cs="Times New Roman"/>
                      <w:color w:val="auto"/>
                      <w:sz w:val="21"/>
                      <w:szCs w:val="21"/>
                      <w:lang w:eastAsia="zh-CN"/>
                    </w:rPr>
                    <w:t>。</w:t>
                  </w:r>
                </w:p>
              </w:tc>
              <w:tc>
                <w:tcPr>
                  <w:tcW w:w="382" w:type="pct"/>
                  <w:noWrap w:val="0"/>
                  <w:vAlign w:val="center"/>
                </w:tcPr>
                <w:p w14:paraId="71174A5B">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符合</w:t>
                  </w:r>
                </w:p>
              </w:tc>
            </w:tr>
            <w:tr w14:paraId="3B6F7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6" w:type="pct"/>
                  <w:noWrap w:val="0"/>
                  <w:vAlign w:val="center"/>
                </w:tcPr>
                <w:p w14:paraId="4AE61191">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固体废物环境影响减缓措施</w:t>
                  </w:r>
                </w:p>
              </w:tc>
              <w:tc>
                <w:tcPr>
                  <w:tcW w:w="2009" w:type="pct"/>
                  <w:noWrap w:val="0"/>
                  <w:vAlign w:val="center"/>
                </w:tcPr>
                <w:p w14:paraId="458CDBFF">
                  <w:pPr>
                    <w:keepNext w:val="0"/>
                    <w:keepLines w:val="0"/>
                    <w:pageBreakBefore w:val="0"/>
                    <w:numPr>
                      <w:ilvl w:val="0"/>
                      <w:numId w:val="3"/>
                    </w:numPr>
                    <w:kinsoku/>
                    <w:wordWrap/>
                    <w:overflowPunct/>
                    <w:topLinePunct w:val="0"/>
                    <w:autoSpaceDE/>
                    <w:autoSpaceDN/>
                    <w:bidi w:val="0"/>
                    <w:snapToGrid/>
                    <w:spacing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力推行清洁生产和循环经济，从源头上减少工业固体废物的产生量，明确入园条件，以清洁生产和技术进步为准绳，对进入园区的工业企业进行严格把关，禁止生产工艺落后、装备水平低下、“三废”产生和排放量大的企业入园。</w:t>
                  </w:r>
                </w:p>
                <w:p w14:paraId="43CBB790">
                  <w:pPr>
                    <w:keepNext w:val="0"/>
                    <w:keepLines w:val="0"/>
                    <w:pageBreakBefore w:val="0"/>
                    <w:kinsoku/>
                    <w:wordWrap/>
                    <w:overflowPunct/>
                    <w:topLinePunct w:val="0"/>
                    <w:autoSpaceDE/>
                    <w:autoSpaceDN/>
                    <w:bidi w:val="0"/>
                    <w:snapToGrid/>
                    <w:spacing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（2）生活垃圾的处置，在澄江生活垃圾焚烧发电项目未建成运行前，园区内产生的生活垃圾委托环卫部门统一收集后运至</w:t>
                  </w:r>
                  <w:r>
                    <w:rPr>
                      <w:rFonts w:hint="default" w:ascii="Times New Roman" w:hAnsi="Times New Roman" w:eastAsia="宋体" w:cs="Times New Roman"/>
                      <w:color w:val="auto"/>
                      <w:kern w:val="0"/>
                      <w:sz w:val="21"/>
                      <w:szCs w:val="21"/>
                      <w:lang w:bidi="ar"/>
                    </w:rPr>
                    <w:t>澄江市九村镇应急填埋场填埋处置；垃圾焚烧发电项目建成运行后，</w:t>
                  </w:r>
                  <w:r>
                    <w:rPr>
                      <w:rFonts w:hint="default" w:ascii="Times New Roman" w:hAnsi="Times New Roman" w:eastAsia="宋体" w:cs="Times New Roman"/>
                      <w:color w:val="auto"/>
                      <w:sz w:val="21"/>
                      <w:szCs w:val="21"/>
                    </w:rPr>
                    <w:t>生活垃圾可运至</w:t>
                  </w:r>
                  <w:r>
                    <w:rPr>
                      <w:rFonts w:hint="default" w:ascii="Times New Roman" w:hAnsi="Times New Roman" w:eastAsia="宋体" w:cs="Times New Roman"/>
                      <w:color w:val="auto"/>
                      <w:kern w:val="0"/>
                      <w:sz w:val="21"/>
                      <w:szCs w:val="21"/>
                      <w:lang w:bidi="ar"/>
                    </w:rPr>
                    <w:t>垃圾焚烧发电项目处置。</w:t>
                  </w:r>
                </w:p>
              </w:tc>
              <w:tc>
                <w:tcPr>
                  <w:tcW w:w="1891" w:type="pct"/>
                  <w:noWrap w:val="0"/>
                  <w:vAlign w:val="center"/>
                </w:tcPr>
                <w:p w14:paraId="0B0AA11C">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cs="Times New Roman"/>
                      <w:color w:val="auto"/>
                      <w:sz w:val="21"/>
                      <w:szCs w:val="21"/>
                      <w:highlight w:val="none"/>
                      <w:shd w:val="clear" w:color="auto" w:fill="auto"/>
                      <w:lang w:val="en-US" w:eastAsia="zh-CN"/>
                    </w:rPr>
                  </w:pPr>
                  <w:r>
                    <w:rPr>
                      <w:rFonts w:hint="eastAsia" w:ascii="Times New Roman" w:cs="Times New Roman"/>
                      <w:color w:val="auto"/>
                      <w:sz w:val="21"/>
                      <w:szCs w:val="21"/>
                      <w:highlight w:val="none"/>
                      <w:shd w:val="clear" w:color="auto" w:fill="auto"/>
                      <w:lang w:val="en-US" w:eastAsia="zh-CN"/>
                    </w:rPr>
                    <w:t>（1）本项目生产耗能仅涉及电能，生产原料均为新料，采用先进设备制造。产生的不合格产品及边角料、未成品产品均破碎后外售利用，实现循环利用不浪费。</w:t>
                  </w:r>
                </w:p>
                <w:p w14:paraId="408252F8">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rPr>
                  </w:pPr>
                  <w:r>
                    <w:rPr>
                      <w:rFonts w:hint="eastAsia" w:ascii="Times New Roman" w:cs="Times New Roman"/>
                      <w:color w:val="auto"/>
                      <w:sz w:val="21"/>
                      <w:szCs w:val="21"/>
                      <w:highlight w:val="none"/>
                      <w:shd w:val="clear" w:color="auto" w:fill="auto"/>
                      <w:lang w:val="en-US" w:eastAsia="zh-CN"/>
                    </w:rPr>
                    <w:t>（2）项目的生活垃圾委托环卫部门清运处置；</w:t>
                  </w:r>
                  <w:r>
                    <w:rPr>
                      <w:rFonts w:hint="default" w:ascii="Times New Roman" w:hAnsi="Times New Roman" w:cs="Times New Roman"/>
                      <w:color w:val="auto"/>
                      <w:sz w:val="21"/>
                      <w:szCs w:val="21"/>
                      <w:highlight w:val="none"/>
                      <w:shd w:val="clear" w:color="auto" w:fill="auto"/>
                    </w:rPr>
                    <w:t>各类</w:t>
                  </w:r>
                  <w:r>
                    <w:rPr>
                      <w:rFonts w:hint="eastAsia" w:ascii="Times New Roman" w:cs="Times New Roman"/>
                      <w:color w:val="auto"/>
                      <w:sz w:val="21"/>
                      <w:szCs w:val="21"/>
                      <w:highlight w:val="none"/>
                      <w:shd w:val="clear" w:color="auto" w:fill="auto"/>
                      <w:lang w:eastAsia="zh-CN"/>
                    </w:rPr>
                    <w:t>废弃包装材料</w:t>
                  </w:r>
                  <w:r>
                    <w:rPr>
                      <w:rFonts w:hint="default" w:ascii="Times New Roman" w:hAnsi="Times New Roman" w:cs="Times New Roman"/>
                      <w:color w:val="auto"/>
                      <w:sz w:val="21"/>
                      <w:szCs w:val="21"/>
                      <w:highlight w:val="none"/>
                      <w:shd w:val="clear" w:color="auto" w:fill="auto"/>
                    </w:rPr>
                    <w:t>统一收集后外售废品回收</w:t>
                  </w:r>
                  <w:r>
                    <w:rPr>
                      <w:rFonts w:hint="eastAsia" w:ascii="Times New Roman" w:cs="Times New Roman"/>
                      <w:color w:val="auto"/>
                      <w:sz w:val="21"/>
                      <w:szCs w:val="21"/>
                      <w:highlight w:val="none"/>
                      <w:shd w:val="clear" w:color="auto" w:fill="auto"/>
                      <w:lang w:eastAsia="zh-CN"/>
                    </w:rPr>
                    <w:t>站</w:t>
                  </w:r>
                  <w:r>
                    <w:rPr>
                      <w:rFonts w:hint="default" w:ascii="Times New Roman" w:hAnsi="Times New Roman" w:cs="Times New Roman"/>
                      <w:color w:val="auto"/>
                      <w:sz w:val="21"/>
                      <w:szCs w:val="21"/>
                      <w:highlight w:val="none"/>
                      <w:shd w:val="clear" w:color="auto" w:fill="auto"/>
                    </w:rPr>
                    <w:t>回收处置；</w:t>
                  </w:r>
                  <w:r>
                    <w:rPr>
                      <w:rFonts w:hint="eastAsia" w:ascii="Times New Roman" w:cs="Times New Roman"/>
                      <w:color w:val="auto"/>
                      <w:sz w:val="21"/>
                      <w:szCs w:val="21"/>
                      <w:highlight w:val="none"/>
                      <w:shd w:val="clear" w:color="auto" w:fill="auto"/>
                      <w:lang w:eastAsia="zh-CN"/>
                    </w:rPr>
                    <w:t>化粪池污泥委托环卫部门清掏处理；</w:t>
                  </w:r>
                  <w:r>
                    <w:rPr>
                      <w:rFonts w:hint="eastAsia" w:ascii="Times New Roman" w:cs="Times New Roman"/>
                      <w:color w:val="auto"/>
                      <w:sz w:val="21"/>
                      <w:szCs w:val="21"/>
                      <w:highlight w:val="none"/>
                      <w:shd w:val="clear" w:color="auto" w:fill="auto"/>
                      <w:lang w:val="en-US" w:eastAsia="zh-CN"/>
                    </w:rPr>
                    <w:t>废机油、废活性炭</w:t>
                  </w:r>
                  <w:r>
                    <w:rPr>
                      <w:rFonts w:hint="eastAsia" w:ascii="Times New Roman" w:cs="Times New Roman"/>
                      <w:color w:val="auto"/>
                      <w:sz w:val="21"/>
                      <w:szCs w:val="21"/>
                      <w:highlight w:val="none"/>
                      <w:shd w:val="clear" w:color="auto" w:fill="auto"/>
                      <w:lang w:eastAsia="zh-CN"/>
                    </w:rPr>
                    <w:t>分类收集后暂存于</w:t>
                  </w:r>
                  <w:r>
                    <w:rPr>
                      <w:rFonts w:hint="eastAsia"/>
                      <w:color w:val="auto"/>
                      <w:szCs w:val="21"/>
                      <w:lang w:val="en-US" w:eastAsia="zh-CN"/>
                    </w:rPr>
                    <w:t>危险废物贮存库</w:t>
                  </w:r>
                  <w:r>
                    <w:rPr>
                      <w:rFonts w:hint="eastAsia" w:ascii="Times New Roman" w:cs="Times New Roman"/>
                      <w:color w:val="auto"/>
                      <w:sz w:val="21"/>
                      <w:szCs w:val="21"/>
                      <w:highlight w:val="none"/>
                      <w:shd w:val="clear" w:color="auto" w:fill="auto"/>
                      <w:lang w:eastAsia="zh-CN"/>
                    </w:rPr>
                    <w:t>内，定期委托有资质单位进行清运处置。固废处置率</w:t>
                  </w:r>
                  <w:r>
                    <w:rPr>
                      <w:rFonts w:hint="eastAsia" w:ascii="Times New Roman" w:cs="Times New Roman"/>
                      <w:color w:val="auto"/>
                      <w:sz w:val="21"/>
                      <w:szCs w:val="21"/>
                      <w:highlight w:val="none"/>
                      <w:shd w:val="clear" w:color="auto" w:fill="auto"/>
                      <w:lang w:val="en-US" w:eastAsia="zh-CN"/>
                    </w:rPr>
                    <w:t>100%。</w:t>
                  </w:r>
                </w:p>
              </w:tc>
              <w:tc>
                <w:tcPr>
                  <w:tcW w:w="382" w:type="pct"/>
                  <w:noWrap w:val="0"/>
                  <w:vAlign w:val="center"/>
                </w:tcPr>
                <w:p w14:paraId="61C14D7A">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r w14:paraId="34EB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6" w:type="pct"/>
                  <w:noWrap w:val="0"/>
                  <w:vAlign w:val="center"/>
                </w:tcPr>
                <w:p w14:paraId="684D315A">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风险</w:t>
                  </w:r>
                  <w:r>
                    <w:rPr>
                      <w:rFonts w:hint="default" w:ascii="Times New Roman" w:hAnsi="Times New Roman" w:eastAsia="宋体" w:cs="Times New Roman"/>
                      <w:color w:val="auto"/>
                      <w:sz w:val="21"/>
                      <w:szCs w:val="21"/>
                    </w:rPr>
                    <w:t>环境影响减缓措施</w:t>
                  </w:r>
                </w:p>
              </w:tc>
              <w:tc>
                <w:tcPr>
                  <w:tcW w:w="2009" w:type="pct"/>
                  <w:noWrap w:val="0"/>
                  <w:vAlign w:val="center"/>
                </w:tcPr>
                <w:p w14:paraId="501BCA3C">
                  <w:pPr>
                    <w:keepNext w:val="0"/>
                    <w:keepLines w:val="0"/>
                    <w:pageBreakBefore w:val="0"/>
                    <w:kinsoku/>
                    <w:wordWrap/>
                    <w:overflowPunct/>
                    <w:topLinePunct w:val="0"/>
                    <w:autoSpaceDE/>
                    <w:autoSpaceDN/>
                    <w:bidi w:val="0"/>
                    <w:snapToGrid/>
                    <w:spacing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（1）根据进驻项目可能发生的风险事故和清消废水产生量，对存在环境风险的项目，在进行设计施工时，设置清消废水收集池，清消废水经收集处理达标后才能外排。</w:t>
                  </w:r>
                </w:p>
                <w:p w14:paraId="1534EC14">
                  <w:pPr>
                    <w:keepNext w:val="0"/>
                    <w:keepLines w:val="0"/>
                    <w:pageBreakBefore w:val="0"/>
                    <w:kinsoku/>
                    <w:wordWrap/>
                    <w:overflowPunct/>
                    <w:topLinePunct w:val="0"/>
                    <w:autoSpaceDE/>
                    <w:autoSpaceDN/>
                    <w:bidi w:val="0"/>
                    <w:snapToGrid/>
                    <w:spacing w:line="240" w:lineRule="auto"/>
                    <w:ind w:firstLine="0" w:firstLineChars="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对于涉及使用易燃易爆危险化学品的企业进驻园区时，要做好该距离范围内的火灾、爆炸防护工作，通过对进驻企业进行安全或风险评价，提出合理的防护距离，在该距离范围内，不得堆放易燃、易爆、有毒有害等危险化学品，并预留消防通道。</w:t>
                  </w:r>
                </w:p>
                <w:p w14:paraId="69C92A5B">
                  <w:pPr>
                    <w:keepNext w:val="0"/>
                    <w:keepLines w:val="0"/>
                    <w:pageBreakBefore w:val="0"/>
                    <w:kinsoku/>
                    <w:wordWrap/>
                    <w:overflowPunct/>
                    <w:topLinePunct w:val="0"/>
                    <w:autoSpaceDE/>
                    <w:autoSpaceDN/>
                    <w:bidi w:val="0"/>
                    <w:snapToGrid/>
                    <w:spacing w:line="240" w:lineRule="auto"/>
                    <w:ind w:firstLine="0" w:firstLineChars="0"/>
                    <w:jc w:val="left"/>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3）建立区域环境安全应急体系为了及时、有效、安全地预防和处置工业区范围内发生的各类突发性环境污染事件，建立、健全和完善突发性环境污染事件应急机制，提高应对突发性环境污染事件的应对能力，力争将突发性环境污染事件所造成的损失控制在最小范围和程度内，保障区域公众人身安全、财产、环境安全、生态安全，维护社会稳定，促进区域社会、经济、自然的全面、协调、可持续发展</w:t>
                  </w:r>
                  <w:r>
                    <w:rPr>
                      <w:rFonts w:hint="eastAsia" w:ascii="Times New Roman" w:hAnsi="Times New Roman" w:eastAsia="宋体" w:cs="Times New Roman"/>
                      <w:color w:val="auto"/>
                      <w:sz w:val="21"/>
                      <w:szCs w:val="21"/>
                      <w:lang w:eastAsia="zh-CN"/>
                    </w:rPr>
                    <w:t>。</w:t>
                  </w:r>
                </w:p>
              </w:tc>
              <w:tc>
                <w:tcPr>
                  <w:tcW w:w="1891" w:type="pct"/>
                  <w:noWrap w:val="0"/>
                  <w:vAlign w:val="center"/>
                </w:tcPr>
                <w:p w14:paraId="005C7098">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eastAsia="zh-CN"/>
                    </w:rPr>
                    <w:t>（</w:t>
                  </w:r>
                  <w:r>
                    <w:rPr>
                      <w:rFonts w:hint="eastAsia" w:ascii="Times New Roman" w:cs="Times New Roman"/>
                      <w:color w:val="auto"/>
                      <w:sz w:val="21"/>
                      <w:szCs w:val="21"/>
                      <w:lang w:val="en-US" w:eastAsia="zh-CN"/>
                    </w:rPr>
                    <w:t>1</w:t>
                  </w:r>
                  <w:r>
                    <w:rPr>
                      <w:rFonts w:hint="eastAsia" w:ascii="Times New Roman" w:cs="Times New Roman"/>
                      <w:color w:val="auto"/>
                      <w:sz w:val="21"/>
                      <w:szCs w:val="21"/>
                      <w:lang w:eastAsia="zh-CN"/>
                    </w:rPr>
                    <w:t>）本</w:t>
                  </w:r>
                  <w:r>
                    <w:rPr>
                      <w:rFonts w:hint="default" w:ascii="Times New Roman" w:hAnsi="Times New Roman" w:eastAsia="宋体" w:cs="Times New Roman"/>
                      <w:color w:val="auto"/>
                      <w:sz w:val="21"/>
                      <w:szCs w:val="21"/>
                    </w:rPr>
                    <w:t>项目</w:t>
                  </w:r>
                  <w:r>
                    <w:rPr>
                      <w:rFonts w:hint="eastAsia" w:ascii="Times New Roman" w:cs="Times New Roman"/>
                      <w:color w:val="auto"/>
                      <w:sz w:val="21"/>
                      <w:szCs w:val="21"/>
                      <w:lang w:eastAsia="zh-CN"/>
                    </w:rPr>
                    <w:t>租用已建厂房进行建设，</w:t>
                  </w:r>
                  <w:r>
                    <w:rPr>
                      <w:rFonts w:hint="eastAsia" w:ascii="Times New Roman" w:cs="Times New Roman"/>
                      <w:color w:val="auto"/>
                      <w:sz w:val="21"/>
                      <w:szCs w:val="21"/>
                      <w:highlight w:val="none"/>
                      <w:lang w:eastAsia="zh-CN"/>
                    </w:rPr>
                    <w:t>依托</w:t>
                  </w:r>
                  <w:r>
                    <w:rPr>
                      <w:rFonts w:hint="eastAsia" w:ascii="Times New Roman" w:cs="Times New Roman"/>
                      <w:color w:val="auto"/>
                      <w:sz w:val="21"/>
                      <w:szCs w:val="21"/>
                      <w:highlight w:val="none"/>
                      <w:lang w:val="en-US" w:eastAsia="zh-CN"/>
                    </w:rPr>
                    <w:t>设置</w:t>
                  </w:r>
                  <w:r>
                    <w:rPr>
                      <w:rFonts w:hint="default" w:ascii="Times New Roman" w:hAnsi="Times New Roman" w:eastAsia="宋体" w:cs="Times New Roman"/>
                      <w:color w:val="auto"/>
                      <w:sz w:val="21"/>
                      <w:szCs w:val="21"/>
                      <w:highlight w:val="none"/>
                      <w:lang w:val="en-US" w:eastAsia="zh-CN"/>
                    </w:rPr>
                    <w:t>1个容积为</w:t>
                  </w:r>
                  <w:r>
                    <w:rPr>
                      <w:rFonts w:hint="eastAsia" w:ascii="Times New Roman"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lang w:val="en-US" w:eastAsia="zh-CN"/>
                    </w:rPr>
                    <w:t>m³</w:t>
                  </w:r>
                  <w:r>
                    <w:rPr>
                      <w:rFonts w:hint="eastAsia" w:ascii="Times New Roman" w:cs="Times New Roman"/>
                      <w:color w:val="auto"/>
                      <w:sz w:val="21"/>
                      <w:szCs w:val="21"/>
                      <w:highlight w:val="none"/>
                      <w:lang w:val="en-US" w:eastAsia="zh-CN"/>
                    </w:rPr>
                    <w:t>蓄水池</w:t>
                  </w:r>
                  <w:r>
                    <w:rPr>
                      <w:rFonts w:hint="default"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如发生风险事故可</w:t>
                  </w:r>
                  <w:r>
                    <w:rPr>
                      <w:rFonts w:hint="default" w:ascii="Times New Roman" w:hAnsi="Times New Roman" w:eastAsia="宋体" w:cs="Times New Roman"/>
                      <w:color w:val="auto"/>
                      <w:sz w:val="21"/>
                      <w:szCs w:val="21"/>
                      <w:highlight w:val="none"/>
                      <w:lang w:val="en-US" w:eastAsia="zh-CN"/>
                    </w:rPr>
                    <w:t>用于暂存</w:t>
                  </w:r>
                  <w:r>
                    <w:rPr>
                      <w:rFonts w:hint="eastAsia" w:ascii="Times New Roman" w:cs="Times New Roman"/>
                      <w:color w:val="auto"/>
                      <w:sz w:val="21"/>
                      <w:szCs w:val="21"/>
                      <w:highlight w:val="none"/>
                      <w:lang w:val="en-US" w:eastAsia="zh-CN"/>
                    </w:rPr>
                    <w:t>清消</w:t>
                  </w:r>
                  <w:r>
                    <w:rPr>
                      <w:rFonts w:hint="default" w:ascii="Times New Roman" w:hAnsi="Times New Roman" w:eastAsia="宋体" w:cs="Times New Roman"/>
                      <w:color w:val="auto"/>
                      <w:sz w:val="21"/>
                      <w:szCs w:val="21"/>
                      <w:highlight w:val="none"/>
                      <w:lang w:val="en-US" w:eastAsia="zh-CN"/>
                    </w:rPr>
                    <w:t>废水；</w:t>
                  </w:r>
                </w:p>
                <w:p w14:paraId="3DF52C58">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eastAsia" w:ascii="Times New Roman" w:cs="Times New Roman"/>
                      <w:color w:val="auto"/>
                      <w:sz w:val="21"/>
                      <w:szCs w:val="21"/>
                      <w:lang w:val="en-US" w:eastAsia="zh-CN"/>
                    </w:rPr>
                  </w:pPr>
                  <w:r>
                    <w:rPr>
                      <w:rFonts w:hint="eastAsia" w:ascii="Times New Roman"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项目设置有</w:t>
                  </w:r>
                  <w:r>
                    <w:rPr>
                      <w:color w:val="auto"/>
                      <w:szCs w:val="21"/>
                      <w:lang w:val="zh-CN"/>
                    </w:rPr>
                    <w:t>危险废物</w:t>
                  </w:r>
                  <w:r>
                    <w:rPr>
                      <w:rFonts w:hint="eastAsia" w:eastAsia="宋体"/>
                      <w:color w:val="auto"/>
                      <w:sz w:val="21"/>
                      <w:szCs w:val="21"/>
                      <w:lang w:val="en-US" w:eastAsia="zh-CN"/>
                    </w:rPr>
                    <w:t>贮存库</w:t>
                  </w:r>
                  <w:r>
                    <w:rPr>
                      <w:rFonts w:hint="default" w:ascii="Times New Roman" w:hAnsi="Times New Roman" w:eastAsia="宋体" w:cs="Times New Roman"/>
                      <w:color w:val="auto"/>
                      <w:sz w:val="21"/>
                      <w:szCs w:val="21"/>
                      <w:lang w:val="en-US" w:eastAsia="zh-CN"/>
                    </w:rPr>
                    <w:t>用于暂存</w:t>
                  </w:r>
                  <w:r>
                    <w:rPr>
                      <w:rFonts w:hint="eastAsia" w:ascii="Times New Roman" w:cs="Times New Roman"/>
                      <w:color w:val="auto"/>
                      <w:sz w:val="21"/>
                      <w:szCs w:val="21"/>
                      <w:lang w:val="en-US" w:eastAsia="zh-CN"/>
                    </w:rPr>
                    <w:t>废机油</w:t>
                  </w:r>
                  <w:r>
                    <w:rPr>
                      <w:rFonts w:hint="eastAsia" w:ascii="Times New Roman" w:cs="Times New Roman"/>
                      <w:color w:val="auto"/>
                      <w:sz w:val="21"/>
                      <w:szCs w:val="21"/>
                      <w:highlight w:val="none"/>
                      <w:shd w:val="clear" w:color="auto" w:fill="auto"/>
                      <w:lang w:val="en-US" w:eastAsia="zh-CN"/>
                    </w:rPr>
                    <w:t>、</w:t>
                  </w:r>
                  <w:r>
                    <w:rPr>
                      <w:rFonts w:hint="eastAsia" w:ascii="Times New Roman" w:hAnsi="Times New Roman" w:eastAsia="宋体" w:cs="Times New Roman"/>
                      <w:color w:val="auto"/>
                      <w:sz w:val="21"/>
                      <w:szCs w:val="21"/>
                      <w:lang w:val="en-US" w:eastAsia="zh-CN"/>
                    </w:rPr>
                    <w:t>废活性炭</w:t>
                  </w:r>
                  <w:r>
                    <w:rPr>
                      <w:rFonts w:hint="eastAsia" w:ascii="Times New Roman" w:cs="Times New Roman"/>
                      <w:color w:val="auto"/>
                      <w:sz w:val="21"/>
                      <w:szCs w:val="21"/>
                      <w:lang w:val="en-US" w:eastAsia="zh-CN"/>
                    </w:rPr>
                    <w:t>；</w:t>
                  </w:r>
                </w:p>
                <w:p w14:paraId="4574E897">
                  <w:pPr>
                    <w:rPr>
                      <w:rFonts w:hint="eastAsia" w:eastAsia="宋体"/>
                      <w:color w:val="auto"/>
                      <w:lang w:eastAsia="zh-CN"/>
                    </w:rPr>
                  </w:pPr>
                  <w:r>
                    <w:rPr>
                      <w:rFonts w:hint="eastAsia" w:cs="Times New Roman"/>
                      <w:color w:val="auto"/>
                      <w:sz w:val="21"/>
                      <w:szCs w:val="21"/>
                      <w:lang w:val="en-US" w:eastAsia="zh-CN"/>
                    </w:rPr>
                    <w:t>（3）本项目建设完成后将按照要求编制</w:t>
                  </w:r>
                  <w:r>
                    <w:rPr>
                      <w:rFonts w:hint="eastAsia" w:ascii="Times New Roman" w:hAnsi="Times New Roman" w:eastAsia="宋体" w:cs="Times New Roman"/>
                      <w:color w:val="auto"/>
                      <w:sz w:val="21"/>
                      <w:szCs w:val="21"/>
                      <w:lang w:eastAsia="zh-CN"/>
                    </w:rPr>
                    <w:t>突发环境事件应急预案。</w:t>
                  </w:r>
                </w:p>
              </w:tc>
              <w:tc>
                <w:tcPr>
                  <w:tcW w:w="382" w:type="pct"/>
                  <w:noWrap w:val="0"/>
                  <w:vAlign w:val="center"/>
                </w:tcPr>
                <w:p w14:paraId="10920190">
                  <w:pPr>
                    <w:pStyle w:val="47"/>
                    <w:keepNext w:val="0"/>
                    <w:keepLines w:val="0"/>
                    <w:pageBreakBefore w:val="0"/>
                    <w:widowControl/>
                    <w:tabs>
                      <w:tab w:val="left" w:pos="5530"/>
                    </w:tabs>
                    <w:kinsoku/>
                    <w:wordWrap/>
                    <w:overflowPunct/>
                    <w:topLinePunct w:val="0"/>
                    <w:autoSpaceDE/>
                    <w:autoSpaceDN/>
                    <w:bidi w:val="0"/>
                    <w:snapToGrid/>
                    <w:spacing w:beforeLines="0" w:afterLines="0" w:line="240" w:lineRule="auto"/>
                    <w:ind w:firstLine="0" w:firstLineChar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符合</w:t>
                  </w:r>
                </w:p>
              </w:tc>
            </w:tr>
          </w:tbl>
          <w:p w14:paraId="0D6AF7F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lang w:val="zh-CN"/>
              </w:rPr>
            </w:pPr>
            <w:r>
              <w:rPr>
                <w:rFonts w:hint="default" w:ascii="Times New Roman" w:hAnsi="Times New Roman" w:eastAsia="宋体" w:cs="Times New Roman"/>
                <w:color w:val="auto"/>
                <w:sz w:val="24"/>
                <w:szCs w:val="24"/>
              </w:rPr>
              <w:t>综上</w:t>
            </w:r>
            <w:r>
              <w:rPr>
                <w:rFonts w:hint="default" w:ascii="Times New Roman" w:hAnsi="Times New Roman" w:eastAsia="宋体" w:cs="Times New Roman"/>
                <w:color w:val="auto"/>
                <w:sz w:val="24"/>
                <w:szCs w:val="24"/>
                <w:lang w:val="zh-CN"/>
              </w:rPr>
              <w:t>，</w:t>
            </w:r>
            <w:r>
              <w:rPr>
                <w:rFonts w:hint="eastAsia" w:cs="Times New Roman"/>
                <w:color w:val="auto"/>
                <w:sz w:val="24"/>
                <w:szCs w:val="24"/>
                <w:lang w:eastAsia="zh-CN"/>
              </w:rPr>
              <w:t>本项目与</w:t>
            </w:r>
            <w:r>
              <w:rPr>
                <w:rFonts w:hint="default" w:ascii="Times New Roman" w:hAnsi="Times New Roman" w:eastAsia="宋体" w:cs="Times New Roman"/>
                <w:color w:val="auto"/>
                <w:sz w:val="24"/>
                <w:szCs w:val="24"/>
                <w:lang w:val="zh-CN"/>
              </w:rPr>
              <w:t>《云南澄江产业园区总体规划[修编]（2021-2035）环境影响报告书》</w:t>
            </w:r>
            <w:r>
              <w:rPr>
                <w:rFonts w:hint="default" w:ascii="Times New Roman" w:hAnsi="Times New Roman" w:eastAsia="宋体" w:cs="Times New Roman"/>
                <w:bCs w:val="0"/>
                <w:color w:val="auto"/>
                <w:sz w:val="24"/>
                <w:highlight w:val="none"/>
                <w:lang w:val="en-US" w:eastAsia="zh-CN"/>
              </w:rPr>
              <w:t>及相关</w:t>
            </w:r>
            <w:r>
              <w:rPr>
                <w:rFonts w:hint="default" w:ascii="Times New Roman" w:hAnsi="Times New Roman" w:eastAsia="宋体" w:cs="Times New Roman"/>
                <w:color w:val="auto"/>
                <w:sz w:val="24"/>
                <w:szCs w:val="22"/>
                <w:highlight w:val="none"/>
                <w:lang w:val="zh-CN"/>
              </w:rPr>
              <w:t>环境保护要求</w:t>
            </w:r>
            <w:r>
              <w:rPr>
                <w:rFonts w:hint="eastAsia" w:ascii="Times New Roman" w:hAnsi="Times New Roman" w:eastAsia="宋体" w:cs="Times New Roman"/>
                <w:color w:val="auto"/>
                <w:sz w:val="24"/>
                <w:szCs w:val="22"/>
                <w:highlight w:val="none"/>
                <w:lang w:val="en-US" w:eastAsia="zh-CN"/>
              </w:rPr>
              <w:t>不冲突</w:t>
            </w:r>
            <w:r>
              <w:rPr>
                <w:rFonts w:hint="default" w:ascii="Times New Roman" w:hAnsi="Times New Roman" w:eastAsia="宋体" w:cs="Times New Roman"/>
                <w:color w:val="auto"/>
                <w:sz w:val="24"/>
                <w:szCs w:val="24"/>
                <w:highlight w:val="none"/>
                <w:lang w:val="zh-CN"/>
              </w:rPr>
              <w:t>。</w:t>
            </w:r>
          </w:p>
          <w:p w14:paraId="109060AE">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lang w:val="en-US" w:eastAsia="zh-CN"/>
              </w:rPr>
              <w:t>与规划环评审查意见的符合性分析</w:t>
            </w:r>
          </w:p>
          <w:p w14:paraId="233A7133">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Cs w:val="0"/>
                <w:color w:val="auto"/>
                <w:sz w:val="24"/>
                <w:highlight w:val="none"/>
                <w:lang w:eastAsia="zh-CN"/>
              </w:rPr>
            </w:pPr>
            <w:r>
              <w:rPr>
                <w:rFonts w:hint="eastAsia" w:ascii="Times New Roman" w:hAnsi="Times New Roman" w:eastAsia="宋体" w:cs="Times New Roman"/>
                <w:color w:val="auto"/>
                <w:kern w:val="0"/>
                <w:sz w:val="24"/>
                <w:szCs w:val="24"/>
                <w:highlight w:val="none"/>
                <w:lang w:val="en-US" w:eastAsia="zh-CN" w:bidi="ar"/>
              </w:rPr>
              <w:t>项目</w:t>
            </w:r>
            <w:r>
              <w:rPr>
                <w:rFonts w:hint="default" w:ascii="Times New Roman" w:hAnsi="Times New Roman" w:eastAsia="宋体" w:cs="Times New Roman"/>
                <w:color w:val="auto"/>
                <w:kern w:val="0"/>
                <w:sz w:val="24"/>
                <w:szCs w:val="24"/>
                <w:highlight w:val="none"/>
                <w:lang w:val="zh-CN" w:bidi="ar"/>
              </w:rPr>
              <w:t>与</w:t>
            </w:r>
            <w:r>
              <w:rPr>
                <w:rFonts w:hint="default" w:ascii="Times New Roman" w:hAnsi="Times New Roman" w:eastAsia="宋体" w:cs="Times New Roman"/>
                <w:color w:val="auto"/>
                <w:kern w:val="0"/>
                <w:sz w:val="24"/>
                <w:szCs w:val="24"/>
                <w:highlight w:val="none"/>
                <w:lang w:bidi="ar"/>
              </w:rPr>
              <w:t>规划</w:t>
            </w:r>
            <w:r>
              <w:rPr>
                <w:rFonts w:hint="default" w:ascii="Times New Roman" w:hAnsi="Times New Roman" w:eastAsia="宋体" w:cs="Times New Roman"/>
                <w:color w:val="auto"/>
                <w:kern w:val="0"/>
                <w:sz w:val="24"/>
                <w:szCs w:val="24"/>
                <w:highlight w:val="none"/>
                <w:lang w:val="zh-CN" w:bidi="ar"/>
              </w:rPr>
              <w:t>环评</w:t>
            </w:r>
            <w:r>
              <w:rPr>
                <w:rFonts w:hint="default" w:ascii="Times New Roman" w:hAnsi="Times New Roman" w:eastAsia="宋体" w:cs="Times New Roman"/>
                <w:color w:val="auto"/>
                <w:kern w:val="0"/>
                <w:sz w:val="24"/>
                <w:szCs w:val="24"/>
                <w:highlight w:val="none"/>
                <w:lang w:bidi="ar"/>
              </w:rPr>
              <w:t>审查意见符合性</w:t>
            </w:r>
            <w:r>
              <w:rPr>
                <w:rFonts w:hint="default" w:ascii="Times New Roman" w:hAnsi="Times New Roman" w:eastAsia="宋体" w:cs="Times New Roman"/>
                <w:color w:val="auto"/>
                <w:kern w:val="0"/>
                <w:sz w:val="24"/>
                <w:szCs w:val="24"/>
                <w:highlight w:val="none"/>
                <w:lang w:val="zh-CN" w:bidi="ar"/>
              </w:rPr>
              <w:t>分析如</w:t>
            </w:r>
            <w:r>
              <w:rPr>
                <w:rFonts w:hint="default" w:ascii="Times New Roman" w:hAnsi="Times New Roman" w:eastAsia="宋体" w:cs="Times New Roman"/>
                <w:color w:val="auto"/>
                <w:kern w:val="0"/>
                <w:sz w:val="24"/>
                <w:szCs w:val="24"/>
                <w:highlight w:val="none"/>
                <w:lang w:bidi="ar"/>
              </w:rPr>
              <w:t>下表所示。</w:t>
            </w:r>
          </w:p>
          <w:p w14:paraId="718073EB">
            <w:pPr>
              <w:adjustRightInd w:val="0"/>
              <w:snapToGrid w:val="0"/>
              <w:spacing w:line="240" w:lineRule="auto"/>
              <w:ind w:firstLine="422" w:firstLineChars="200"/>
              <w:jc w:val="center"/>
              <w:rPr>
                <w:rFonts w:hint="eastAsia" w:ascii="Times New Roman" w:hAnsi="Times New Roman" w:eastAsia="宋体" w:cs="Times New Roman"/>
                <w:b/>
                <w:bCs/>
                <w:color w:val="auto"/>
                <w:sz w:val="21"/>
                <w:szCs w:val="21"/>
                <w:lang w:eastAsia="zh-CN"/>
              </w:rPr>
            </w:pPr>
          </w:p>
          <w:p w14:paraId="31D48575">
            <w:pPr>
              <w:adjustRightInd w:val="0"/>
              <w:snapToGrid w:val="0"/>
              <w:spacing w:line="240" w:lineRule="auto"/>
              <w:ind w:firstLine="422" w:firstLineChars="200"/>
              <w:jc w:val="center"/>
              <w:rPr>
                <w:rFonts w:hint="eastAsia" w:ascii="Times New Roman" w:hAnsi="Times New Roman" w:eastAsia="宋体" w:cs="Times New Roman"/>
                <w:b/>
                <w:bCs/>
                <w:color w:val="auto"/>
                <w:sz w:val="21"/>
                <w:szCs w:val="21"/>
                <w:lang w:eastAsia="zh-CN"/>
              </w:rPr>
            </w:pPr>
          </w:p>
          <w:p w14:paraId="5759C192">
            <w:pPr>
              <w:adjustRightInd w:val="0"/>
              <w:snapToGrid w:val="0"/>
              <w:spacing w:line="240" w:lineRule="auto"/>
              <w:ind w:firstLine="422" w:firstLineChars="200"/>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eastAsia="zh-CN"/>
              </w:rPr>
              <w:t>表</w:t>
            </w:r>
            <w:r>
              <w:rPr>
                <w:rFonts w:hint="eastAsia" w:ascii="Times New Roman" w:hAnsi="Times New Roman" w:eastAsia="宋体" w:cs="Times New Roman"/>
                <w:b/>
                <w:bCs/>
                <w:color w:val="auto"/>
                <w:sz w:val="21"/>
                <w:szCs w:val="21"/>
                <w:lang w:val="en-US" w:eastAsia="zh-CN"/>
              </w:rPr>
              <w:t>1-3</w:t>
            </w:r>
            <w:r>
              <w:rPr>
                <w:rFonts w:hint="eastAsia" w:cs="Times New Roman"/>
                <w:b/>
                <w:bCs/>
                <w:color w:val="auto"/>
                <w:sz w:val="21"/>
                <w:szCs w:val="21"/>
                <w:lang w:val="en-US" w:eastAsia="zh-CN"/>
              </w:rPr>
              <w:t xml:space="preserve">  </w:t>
            </w:r>
            <w:r>
              <w:rPr>
                <w:rFonts w:hint="eastAsia" w:ascii="Times New Roman" w:hAnsi="Times New Roman" w:eastAsia="宋体" w:cs="Times New Roman"/>
                <w:b/>
                <w:bCs/>
                <w:color w:val="auto"/>
                <w:sz w:val="21"/>
                <w:szCs w:val="21"/>
                <w:lang w:val="en-US" w:eastAsia="zh-CN"/>
              </w:rPr>
              <w:t>项目与园区规划环评审查意见相符性分析</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8"/>
              <w:gridCol w:w="3864"/>
              <w:gridCol w:w="2694"/>
              <w:gridCol w:w="758"/>
            </w:tblGrid>
            <w:tr w14:paraId="29B42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54" w:type="pct"/>
                  <w:tcBorders>
                    <w:tl2br w:val="nil"/>
                    <w:tr2bl w:val="nil"/>
                  </w:tcBorders>
                  <w:noWrap w:val="0"/>
                  <w:vAlign w:val="center"/>
                </w:tcPr>
                <w:p w14:paraId="0B6A5E36">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序号</w:t>
                  </w:r>
                </w:p>
              </w:tc>
              <w:tc>
                <w:tcPr>
                  <w:tcW w:w="2453" w:type="pct"/>
                  <w:tcBorders>
                    <w:tl2br w:val="nil"/>
                    <w:tr2bl w:val="nil"/>
                  </w:tcBorders>
                  <w:noWrap w:val="0"/>
                  <w:vAlign w:val="center"/>
                </w:tcPr>
                <w:p w14:paraId="4DC1B9DE">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园区规划环评</w:t>
                  </w:r>
                </w:p>
              </w:tc>
              <w:tc>
                <w:tcPr>
                  <w:tcW w:w="1710" w:type="pct"/>
                  <w:tcBorders>
                    <w:tl2br w:val="nil"/>
                    <w:tr2bl w:val="nil"/>
                  </w:tcBorders>
                  <w:noWrap w:val="0"/>
                  <w:vAlign w:val="center"/>
                </w:tcPr>
                <w:p w14:paraId="3293A646">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本项目</w:t>
                  </w:r>
                </w:p>
              </w:tc>
              <w:tc>
                <w:tcPr>
                  <w:tcW w:w="481" w:type="pct"/>
                  <w:tcBorders>
                    <w:tl2br w:val="nil"/>
                    <w:tr2bl w:val="nil"/>
                  </w:tcBorders>
                  <w:noWrap w:val="0"/>
                  <w:vAlign w:val="center"/>
                </w:tcPr>
                <w:p w14:paraId="638E3220">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是否符合</w:t>
                  </w:r>
                </w:p>
              </w:tc>
            </w:tr>
            <w:tr w14:paraId="7384A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354" w:type="pct"/>
                  <w:tcBorders>
                    <w:tl2br w:val="nil"/>
                    <w:tr2bl w:val="nil"/>
                  </w:tcBorders>
                  <w:noWrap w:val="0"/>
                  <w:vAlign w:val="center"/>
                </w:tcPr>
                <w:p w14:paraId="4F80FE94">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1</w:t>
                  </w:r>
                </w:p>
              </w:tc>
              <w:tc>
                <w:tcPr>
                  <w:tcW w:w="2453" w:type="pct"/>
                  <w:tcBorders>
                    <w:tl2br w:val="nil"/>
                    <w:tr2bl w:val="nil"/>
                  </w:tcBorders>
                  <w:noWrap w:val="0"/>
                  <w:vAlign w:val="center"/>
                </w:tcPr>
                <w:p w14:paraId="6E214A2D">
                  <w:pPr>
                    <w:pStyle w:val="89"/>
                    <w:keepNext w:val="0"/>
                    <w:keepLines w:val="0"/>
                    <w:pageBreakBefore w:val="0"/>
                    <w:widowControl w:val="0"/>
                    <w:tabs>
                      <w:tab w:val="left" w:pos="3780"/>
                    </w:tabs>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加强《规划》引导，坚持绿色低碳高质量发展理念，结合生态环境分区管控要求，区域统筹保护好生态空间。根据区域发展战略，坚持生态优先、高效集约发展，加强澄江产业园区优化提升工作与国土空间规划的协调衔接，进一步优化《规划》的发展定位、功能布局、产业结构等，园区布局开发应满足国土空间管控和生态环境专项规划相关要求。按国家生态工业示范园区标准推进《规划》实施，实现产业发展与生态环境保护、人居环境安全相协调、引导园区低碳化、绿色化、循环化发展。</w:t>
                  </w:r>
                </w:p>
              </w:tc>
              <w:tc>
                <w:tcPr>
                  <w:tcW w:w="1710" w:type="pct"/>
                  <w:tcBorders>
                    <w:tl2br w:val="nil"/>
                    <w:tr2bl w:val="nil"/>
                  </w:tcBorders>
                  <w:noWrap w:val="0"/>
                  <w:vAlign w:val="center"/>
                </w:tcPr>
                <w:p w14:paraId="7CE43B91">
                  <w:pPr>
                    <w:pStyle w:val="89"/>
                    <w:keepNext w:val="0"/>
                    <w:keepLines w:val="0"/>
                    <w:pageBreakBefore w:val="0"/>
                    <w:widowControl w:val="0"/>
                    <w:tabs>
                      <w:tab w:val="left" w:pos="3780"/>
                    </w:tabs>
                    <w:kinsoku/>
                    <w:wordWrap/>
                    <w:overflowPunct/>
                    <w:topLinePunct w:val="0"/>
                    <w:autoSpaceDE/>
                    <w:autoSpaceDN/>
                    <w:bidi w:val="0"/>
                    <w:adjustRightInd w:val="0"/>
                    <w:snapToGrid w:val="0"/>
                    <w:spacing w:line="240" w:lineRule="auto"/>
                    <w:ind w:left="0" w:leftChars="0" w:firstLine="0" w:firstLineChars="0"/>
                    <w:jc w:val="left"/>
                    <w:textAlignment w:val="auto"/>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eastAsia="zh-CN"/>
                    </w:rPr>
                    <w:t>项</w:t>
                  </w:r>
                  <w:r>
                    <w:rPr>
                      <w:rFonts w:hint="default" w:ascii="Times New Roman" w:hAnsi="Times New Roman" w:eastAsia="宋体" w:cs="Times New Roman"/>
                      <w:b w:val="0"/>
                      <w:bCs w:val="0"/>
                      <w:color w:val="auto"/>
                      <w:sz w:val="21"/>
                      <w:szCs w:val="21"/>
                      <w:highlight w:val="none"/>
                      <w:lang w:val="en-US" w:eastAsia="zh-CN"/>
                    </w:rPr>
                    <w:t>目</w:t>
                  </w:r>
                  <w:r>
                    <w:rPr>
                      <w:rFonts w:hint="eastAsia" w:ascii="Times New Roman" w:hAnsi="Times New Roman" w:eastAsia="宋体" w:cs="Times New Roman"/>
                      <w:b w:val="0"/>
                      <w:bCs w:val="0"/>
                      <w:color w:val="auto"/>
                      <w:sz w:val="21"/>
                      <w:szCs w:val="21"/>
                      <w:highlight w:val="none"/>
                      <w:lang w:val="en-US" w:eastAsia="zh-CN"/>
                    </w:rPr>
                    <w:t>为</w:t>
                  </w:r>
                  <w:r>
                    <w:rPr>
                      <w:rFonts w:hint="default" w:ascii="Times New Roman" w:hAnsi="Times New Roman" w:eastAsia="宋体" w:cs="Times New Roman"/>
                      <w:b w:val="0"/>
                      <w:bCs w:val="0"/>
                      <w:color w:val="auto"/>
                      <w:sz w:val="21"/>
                      <w:szCs w:val="21"/>
                      <w:highlight w:val="none"/>
                      <w:lang w:val="en-US" w:eastAsia="zh-CN"/>
                    </w:rPr>
                    <w:t>塑料包装箱及容器制造，位于</w:t>
                  </w:r>
                  <w:r>
                    <w:rPr>
                      <w:rFonts w:hint="eastAsia" w:ascii="Times New Roman" w:hAnsi="Times New Roman" w:eastAsia="宋体" w:cs="Times New Roman"/>
                      <w:b w:val="0"/>
                      <w:bCs w:val="0"/>
                      <w:color w:val="auto"/>
                      <w:sz w:val="21"/>
                      <w:szCs w:val="21"/>
                      <w:highlight w:val="none"/>
                      <w:lang w:val="en-US" w:eastAsia="zh-CN"/>
                    </w:rPr>
                    <w:t>云南省玉溪市澄江市产业园区提古片区，项目于2026年6月17日取得云南澄江产业园区管理委员会开具的入园证明（见附件3），</w:t>
                  </w:r>
                  <w:r>
                    <w:rPr>
                      <w:rFonts w:hint="default" w:ascii="Times New Roman" w:hAnsi="Times New Roman" w:eastAsia="宋体" w:cs="Times New Roman"/>
                      <w:b w:val="0"/>
                      <w:bCs w:val="0"/>
                      <w:color w:val="auto"/>
                      <w:sz w:val="21"/>
                      <w:szCs w:val="21"/>
                      <w:highlight w:val="none"/>
                      <w:lang w:val="en-US" w:eastAsia="zh-CN"/>
                    </w:rPr>
                    <w:t>证明中明确</w:t>
                  </w:r>
                  <w:r>
                    <w:rPr>
                      <w:rFonts w:hint="eastAsia" w:ascii="Times New Roman" w:hAnsi="Times New Roman" w:eastAsia="宋体" w:cs="Times New Roman"/>
                      <w:b w:val="0"/>
                      <w:bCs w:val="0"/>
                      <w:color w:val="auto"/>
                      <w:sz w:val="21"/>
                      <w:szCs w:val="21"/>
                      <w:highlight w:val="none"/>
                      <w:lang w:val="en-US" w:eastAsia="zh-CN"/>
                    </w:rPr>
                    <w:t>“该项目符合园区产业规划，原则同意云南合罡盛塑业科技有限公司塑料制品深加工新建项目入园”</w:t>
                  </w:r>
                  <w:r>
                    <w:rPr>
                      <w:rFonts w:hint="eastAsia" w:ascii="Times New Roman" w:hAnsi="Times New Roman" w:eastAsia="宋体" w:cs="Times New Roman"/>
                      <w:b w:val="0"/>
                      <w:bCs w:val="0"/>
                      <w:color w:val="auto"/>
                      <w:sz w:val="21"/>
                      <w:szCs w:val="21"/>
                      <w:highlight w:val="none"/>
                      <w:lang w:val="zh-CN" w:eastAsia="zh-CN"/>
                    </w:rPr>
                    <w:t>。</w:t>
                  </w:r>
                  <w:r>
                    <w:rPr>
                      <w:rFonts w:hint="eastAsia" w:ascii="Times New Roman" w:hAnsi="Times New Roman" w:eastAsia="宋体" w:cs="Times New Roman"/>
                      <w:b w:val="0"/>
                      <w:bCs w:val="0"/>
                      <w:color w:val="auto"/>
                      <w:sz w:val="21"/>
                      <w:szCs w:val="21"/>
                      <w:highlight w:val="none"/>
                      <w:lang w:val="en-US" w:eastAsia="zh-CN"/>
                    </w:rPr>
                    <w:t>项目符合所在区域的</w:t>
                  </w:r>
                  <w:r>
                    <w:rPr>
                      <w:rFonts w:hint="default" w:ascii="Times New Roman" w:hAnsi="Times New Roman" w:eastAsia="宋体" w:cs="Times New Roman"/>
                      <w:b w:val="0"/>
                      <w:bCs w:val="0"/>
                      <w:color w:val="auto"/>
                      <w:sz w:val="21"/>
                      <w:szCs w:val="21"/>
                      <w:highlight w:val="none"/>
                      <w:lang w:val="en-US" w:eastAsia="zh-CN"/>
                    </w:rPr>
                    <w:t>功能布局、产业结构等</w:t>
                  </w:r>
                  <w:r>
                    <w:rPr>
                      <w:rFonts w:hint="eastAsia" w:ascii="Times New Roman" w:hAnsi="Times New Roman" w:eastAsia="宋体" w:cs="Times New Roman"/>
                      <w:b w:val="0"/>
                      <w:bCs w:val="0"/>
                      <w:color w:val="auto"/>
                      <w:sz w:val="21"/>
                      <w:szCs w:val="21"/>
                      <w:highlight w:val="none"/>
                      <w:lang w:val="en-US" w:eastAsia="zh-CN"/>
                    </w:rPr>
                    <w:t>。</w:t>
                  </w:r>
                </w:p>
              </w:tc>
              <w:tc>
                <w:tcPr>
                  <w:tcW w:w="481" w:type="pct"/>
                  <w:tcBorders>
                    <w:tl2br w:val="nil"/>
                    <w:tr2bl w:val="nil"/>
                  </w:tcBorders>
                  <w:noWrap w:val="0"/>
                  <w:vAlign w:val="center"/>
                </w:tcPr>
                <w:p w14:paraId="1B36437E">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符合</w:t>
                  </w:r>
                </w:p>
              </w:tc>
            </w:tr>
            <w:tr w14:paraId="32AAB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354" w:type="pct"/>
                  <w:tcBorders>
                    <w:tl2br w:val="nil"/>
                    <w:tr2bl w:val="nil"/>
                  </w:tcBorders>
                  <w:noWrap w:val="0"/>
                  <w:vAlign w:val="center"/>
                </w:tcPr>
                <w:p w14:paraId="533BF074">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2</w:t>
                  </w:r>
                </w:p>
              </w:tc>
              <w:tc>
                <w:tcPr>
                  <w:tcW w:w="2453" w:type="pct"/>
                  <w:tcBorders>
                    <w:tl2br w:val="nil"/>
                    <w:tr2bl w:val="nil"/>
                  </w:tcBorders>
                  <w:noWrap w:val="0"/>
                  <w:vAlign w:val="center"/>
                </w:tcPr>
                <w:p w14:paraId="56D9EBF7">
                  <w:pPr>
                    <w:pStyle w:val="89"/>
                    <w:keepNext w:val="0"/>
                    <w:keepLines w:val="0"/>
                    <w:pageBreakBefore w:val="0"/>
                    <w:widowControl w:val="0"/>
                    <w:tabs>
                      <w:tab w:val="left" w:pos="3780"/>
                    </w:tabs>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进一步优化园区空间布局，加强空间管控，严格对环境敏感区的保护，合理控制园区产业规模和开发强度，严禁不符合管控要求的各类开发和建设活动。九村片区紧临澄江动物化石群省级自然保护区，应优化布局，企业与保护区须留出一定的缓冲距离；提古片区位于滇池三级保护区内，应严格遵守《云南省滇池保护条例》的相关要求，入驻项目产生的生产废水和生活污水经处理达标后实现片区综合回用，严禁外排；园区内工业用地与人口密集区应合理设置绿化隔离带，留出必要的防护距离。</w:t>
                  </w:r>
                </w:p>
              </w:tc>
              <w:tc>
                <w:tcPr>
                  <w:tcW w:w="1710" w:type="pct"/>
                  <w:tcBorders>
                    <w:tl2br w:val="nil"/>
                    <w:tr2bl w:val="nil"/>
                  </w:tcBorders>
                  <w:noWrap w:val="0"/>
                  <w:vAlign w:val="center"/>
                </w:tcPr>
                <w:p w14:paraId="635BA764">
                  <w:pPr>
                    <w:pStyle w:val="89"/>
                    <w:keepNext w:val="0"/>
                    <w:keepLines w:val="0"/>
                    <w:pageBreakBefore w:val="0"/>
                    <w:widowControl w:val="0"/>
                    <w:tabs>
                      <w:tab w:val="left" w:pos="3780"/>
                    </w:tabs>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eastAsia="zh-CN"/>
                    </w:rPr>
                    <w:t>项目位于澄江产业园区</w:t>
                  </w:r>
                  <w:r>
                    <w:rPr>
                      <w:rFonts w:hint="eastAsia" w:ascii="Times New Roman" w:hAnsi="Times New Roman" w:eastAsia="宋体" w:cs="Times New Roman"/>
                      <w:b w:val="0"/>
                      <w:bCs w:val="0"/>
                      <w:color w:val="auto"/>
                      <w:sz w:val="21"/>
                      <w:szCs w:val="21"/>
                      <w:lang w:val="en-US" w:eastAsia="zh-CN"/>
                    </w:rPr>
                    <w:t>提古</w:t>
                  </w:r>
                  <w:r>
                    <w:rPr>
                      <w:rFonts w:hint="default" w:ascii="Times New Roman" w:hAnsi="Times New Roman" w:eastAsia="宋体" w:cs="Times New Roman"/>
                      <w:b w:val="0"/>
                      <w:bCs w:val="0"/>
                      <w:color w:val="auto"/>
                      <w:sz w:val="21"/>
                      <w:szCs w:val="21"/>
                      <w:lang w:eastAsia="zh-CN"/>
                    </w:rPr>
                    <w:t>片区</w:t>
                  </w:r>
                  <w:r>
                    <w:rPr>
                      <w:rFonts w:hint="eastAsia" w:ascii="Times New Roman" w:hAnsi="Times New Roman" w:eastAsia="宋体" w:cs="Times New Roman"/>
                      <w:b w:val="0"/>
                      <w:bCs w:val="0"/>
                      <w:color w:val="auto"/>
                      <w:sz w:val="21"/>
                      <w:szCs w:val="21"/>
                      <w:lang w:val="en-US" w:eastAsia="zh-CN"/>
                    </w:rPr>
                    <w:t>，将严格遵守</w:t>
                  </w:r>
                  <w:r>
                    <w:rPr>
                      <w:rFonts w:hint="default" w:ascii="Times New Roman" w:hAnsi="Times New Roman" w:eastAsia="宋体" w:cs="Times New Roman"/>
                      <w:b w:val="0"/>
                      <w:bCs w:val="0"/>
                      <w:color w:val="auto"/>
                      <w:sz w:val="21"/>
                      <w:szCs w:val="21"/>
                      <w:lang w:eastAsia="zh-CN"/>
                    </w:rPr>
                    <w:t>《云南省滇池保护条例》</w:t>
                  </w:r>
                  <w:r>
                    <w:rPr>
                      <w:rFonts w:hint="eastAsia" w:ascii="Times New Roman" w:hAnsi="Times New Roman" w:eastAsia="宋体" w:cs="Times New Roman"/>
                      <w:b w:val="0"/>
                      <w:bCs w:val="0"/>
                      <w:color w:val="auto"/>
                      <w:sz w:val="21"/>
                      <w:szCs w:val="21"/>
                      <w:lang w:eastAsia="zh-CN"/>
                    </w:rPr>
                    <w:t>，</w:t>
                  </w:r>
                  <w:r>
                    <w:rPr>
                      <w:rFonts w:hint="eastAsia" w:ascii="Times New Roman" w:hAnsi="Times New Roman" w:eastAsia="宋体" w:cs="Times New Roman"/>
                      <w:b w:val="0"/>
                      <w:bCs w:val="0"/>
                      <w:color w:val="auto"/>
                      <w:sz w:val="21"/>
                      <w:szCs w:val="21"/>
                      <w:lang w:val="en-US" w:eastAsia="zh-CN"/>
                    </w:rPr>
                    <w:t>项目</w:t>
                  </w:r>
                  <w:r>
                    <w:rPr>
                      <w:rFonts w:hint="default" w:ascii="Times New Roman" w:hAnsi="Times New Roman" w:eastAsia="宋体" w:cs="Times New Roman"/>
                      <w:b w:val="0"/>
                      <w:bCs w:val="0"/>
                      <w:color w:val="auto"/>
                      <w:sz w:val="21"/>
                      <w:szCs w:val="21"/>
                      <w:lang w:eastAsia="zh-CN"/>
                    </w:rPr>
                    <w:t>不涉及澄江动物化石群省级自然保护区；</w:t>
                  </w:r>
                  <w:r>
                    <w:rPr>
                      <w:rFonts w:hint="default" w:ascii="Times New Roman" w:hAnsi="Times New Roman" w:eastAsia="宋体" w:cs="Times New Roman"/>
                      <w:b w:val="0"/>
                      <w:bCs w:val="0"/>
                      <w:color w:val="auto"/>
                      <w:sz w:val="21"/>
                      <w:szCs w:val="21"/>
                      <w:lang w:val="en-US" w:eastAsia="zh-CN"/>
                    </w:rPr>
                    <w:t>距</w:t>
                  </w:r>
                  <w:r>
                    <w:rPr>
                      <w:rFonts w:hint="default" w:ascii="宋体" w:hAnsi="宋体" w:eastAsia="宋体" w:cs="Times New Roman"/>
                      <w:b w:val="0"/>
                      <w:bCs w:val="0"/>
                      <w:color w:val="auto"/>
                      <w:sz w:val="21"/>
                      <w:szCs w:val="21"/>
                      <w:lang w:val="en-US" w:eastAsia="zh-CN"/>
                    </w:rPr>
                    <w:t>离项目最近的居民区为</w:t>
                  </w:r>
                  <w:r>
                    <w:rPr>
                      <w:rFonts w:hint="eastAsia" w:ascii="宋体" w:hAnsi="宋体" w:eastAsia="宋体" w:cs="Times New Roman"/>
                      <w:b w:val="0"/>
                      <w:bCs w:val="0"/>
                      <w:color w:val="auto"/>
                      <w:sz w:val="21"/>
                      <w:szCs w:val="21"/>
                      <w:lang w:val="en-US" w:eastAsia="zh-CN"/>
                    </w:rPr>
                    <w:t>西北面</w:t>
                  </w:r>
                  <w:r>
                    <w:rPr>
                      <w:rFonts w:hint="eastAsia" w:ascii="Times New Roman" w:hAnsi="Times New Roman" w:eastAsia="宋体" w:cs="Times New Roman"/>
                      <w:b w:val="0"/>
                      <w:bCs w:val="0"/>
                      <w:color w:val="auto"/>
                      <w:sz w:val="21"/>
                      <w:szCs w:val="21"/>
                      <w:highlight w:val="none"/>
                      <w:lang w:val="en-US" w:eastAsia="zh-CN"/>
                    </w:rPr>
                    <w:t>320</w:t>
                  </w:r>
                  <w:r>
                    <w:rPr>
                      <w:rFonts w:hint="default" w:ascii="Times New Roman" w:hAnsi="Times New Roman" w:eastAsia="宋体" w:cs="Times New Roman"/>
                      <w:b w:val="0"/>
                      <w:bCs w:val="0"/>
                      <w:color w:val="auto"/>
                      <w:sz w:val="21"/>
                      <w:szCs w:val="21"/>
                      <w:highlight w:val="none"/>
                      <w:lang w:val="en-US" w:eastAsia="zh-CN"/>
                    </w:rPr>
                    <w:t>m</w:t>
                  </w:r>
                  <w:r>
                    <w:rPr>
                      <w:rFonts w:hint="default" w:ascii="宋体" w:hAnsi="宋体" w:eastAsia="宋体" w:cs="Times New Roman"/>
                      <w:b w:val="0"/>
                      <w:bCs w:val="0"/>
                      <w:color w:val="auto"/>
                      <w:sz w:val="21"/>
                      <w:szCs w:val="21"/>
                      <w:lang w:val="en-US" w:eastAsia="zh-CN"/>
                    </w:rPr>
                    <w:t>处的</w:t>
                  </w:r>
                  <w:r>
                    <w:rPr>
                      <w:rFonts w:hint="eastAsia" w:ascii="宋体" w:hAnsi="宋体" w:eastAsia="宋体" w:cs="Times New Roman"/>
                      <w:b w:val="0"/>
                      <w:bCs w:val="0"/>
                      <w:color w:val="auto"/>
                      <w:sz w:val="21"/>
                      <w:szCs w:val="21"/>
                      <w:lang w:val="en-US" w:eastAsia="zh-CN"/>
                    </w:rPr>
                    <w:t>提古村</w:t>
                  </w:r>
                  <w:r>
                    <w:rPr>
                      <w:rFonts w:hint="default" w:ascii="宋体" w:hAnsi="宋体" w:eastAsia="宋体" w:cs="Times New Roman"/>
                      <w:b w:val="0"/>
                      <w:bCs w:val="0"/>
                      <w:color w:val="auto"/>
                      <w:sz w:val="21"/>
                      <w:szCs w:val="21"/>
                      <w:lang w:val="en-US" w:eastAsia="zh-CN"/>
                    </w:rPr>
                    <w:t>，已留有必要的防护距离。</w:t>
                  </w:r>
                  <w:r>
                    <w:rPr>
                      <w:rFonts w:hint="eastAsia" w:ascii="Times New Roman" w:hAnsi="Times New Roman" w:eastAsia="宋体" w:cs="Times New Roman"/>
                      <w:b w:val="0"/>
                      <w:bCs w:val="0"/>
                      <w:color w:val="auto"/>
                      <w:sz w:val="21"/>
                      <w:szCs w:val="21"/>
                      <w:lang w:val="en-US" w:eastAsia="zh-CN"/>
                    </w:rPr>
                    <w:t>项目</w:t>
                  </w:r>
                  <w:r>
                    <w:rPr>
                      <w:rFonts w:ascii="Times New Roman" w:hAnsi="Times New Roman" w:eastAsia="宋体" w:cs="Times New Roman"/>
                      <w:b w:val="0"/>
                      <w:bCs/>
                      <w:color w:val="auto"/>
                      <w:kern w:val="0"/>
                      <w:sz w:val="21"/>
                      <w:szCs w:val="21"/>
                      <w:lang w:val="en-US" w:eastAsia="zh-CN" w:bidi="ar-SA"/>
                    </w:rPr>
                    <w:t>冷却水</w:t>
                  </w:r>
                  <w:r>
                    <w:rPr>
                      <w:rFonts w:hint="default" w:ascii="Times New Roman" w:hAnsi="Times New Roman" w:eastAsia="宋体" w:cs="Times New Roman"/>
                      <w:b w:val="0"/>
                      <w:bCs w:val="0"/>
                      <w:color w:val="auto"/>
                      <w:sz w:val="21"/>
                      <w:szCs w:val="21"/>
                      <w:lang w:val="en-US" w:eastAsia="zh-CN"/>
                    </w:rPr>
                    <w:t>经冷却循环</w:t>
                  </w:r>
                  <w:r>
                    <w:rPr>
                      <w:rFonts w:hint="eastAsia" w:ascii="Times New Roman" w:hAnsi="Times New Roman" w:eastAsia="宋体" w:cs="Times New Roman"/>
                      <w:b w:val="0"/>
                      <w:bCs w:val="0"/>
                      <w:color w:val="auto"/>
                      <w:sz w:val="21"/>
                      <w:szCs w:val="21"/>
                      <w:lang w:val="en-US" w:eastAsia="zh-CN"/>
                    </w:rPr>
                    <w:t>水箱</w:t>
                  </w:r>
                  <w:r>
                    <w:rPr>
                      <w:rFonts w:hint="default" w:ascii="Times New Roman" w:hAnsi="Times New Roman" w:eastAsia="宋体" w:cs="Times New Roman"/>
                      <w:b w:val="0"/>
                      <w:bCs w:val="0"/>
                      <w:color w:val="auto"/>
                      <w:sz w:val="21"/>
                      <w:szCs w:val="21"/>
                      <w:lang w:val="en-US" w:eastAsia="zh-CN"/>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ascii="Times New Roman" w:hAnsi="Times New Roman" w:eastAsia="宋体"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ascii="Times New Roman" w:hAnsi="Times New Roman" w:eastAsia="宋体" w:cs="Times New Roman"/>
                      <w:b w:val="0"/>
                      <w:bCs w:val="0"/>
                      <w:color w:val="auto"/>
                      <w:sz w:val="21"/>
                      <w:szCs w:val="21"/>
                      <w:highlight w:val="none"/>
                      <w:lang w:val="en-US" w:eastAsia="zh-CN"/>
                    </w:rPr>
                    <w:t>处理后</w:t>
                  </w:r>
                  <w:r>
                    <w:rPr>
                      <w:rFonts w:hint="default" w:ascii="Times New Roman" w:hAnsi="Times New Roman" w:eastAsia="宋体" w:cs="Times New Roman"/>
                      <w:b w:val="0"/>
                      <w:bCs w:val="0"/>
                      <w:color w:val="auto"/>
                      <w:sz w:val="21"/>
                      <w:szCs w:val="21"/>
                      <w:highlight w:val="none"/>
                      <w:lang w:val="en-US" w:eastAsia="zh-CN"/>
                    </w:rPr>
                    <w:t>再进入到</w:t>
                  </w:r>
                  <w:r>
                    <w:rPr>
                      <w:rFonts w:hint="eastAsia" w:ascii="Times New Roman" w:hAnsi="Times New Roman" w:eastAsia="宋体" w:cs="Times New Roman"/>
                      <w:b w:val="0"/>
                      <w:bCs w:val="0"/>
                      <w:color w:val="auto"/>
                      <w:sz w:val="21"/>
                      <w:szCs w:val="21"/>
                      <w:highlight w:val="none"/>
                      <w:lang w:val="en-US" w:eastAsia="zh-CN"/>
                    </w:rPr>
                    <w:t>依托的一体化污水处理站</w:t>
                  </w:r>
                  <w:r>
                    <w:rPr>
                      <w:rFonts w:hint="default" w:ascii="Times New Roman" w:hAnsi="Times New Roman" w:eastAsia="宋体" w:cs="Times New Roman"/>
                      <w:b w:val="0"/>
                      <w:bCs w:val="0"/>
                      <w:color w:val="auto"/>
                      <w:sz w:val="21"/>
                      <w:szCs w:val="21"/>
                      <w:highlight w:val="none"/>
                      <w:lang w:val="en-US" w:eastAsia="zh-CN"/>
                    </w:rPr>
                    <w:t>处理</w:t>
                  </w:r>
                  <w:r>
                    <w:rPr>
                      <w:rFonts w:hint="eastAsia" w:ascii="Times New Roman" w:hAnsi="Times New Roman" w:eastAsia="宋体" w:cs="Times New Roman"/>
                      <w:b w:val="0"/>
                      <w:bCs w:val="0"/>
                      <w:color w:val="auto"/>
                      <w:sz w:val="21"/>
                      <w:szCs w:val="21"/>
                      <w:highlight w:val="none"/>
                      <w:lang w:val="en-US" w:eastAsia="zh-CN"/>
                    </w:rPr>
                    <w:t>达</w:t>
                  </w:r>
                  <w:r>
                    <w:rPr>
                      <w:rFonts w:hint="default" w:ascii="Times New Roman" w:hAnsi="Times New Roman" w:eastAsia="宋体" w:cs="Times New Roman"/>
                      <w:b w:val="0"/>
                      <w:bCs w:val="0"/>
                      <w:color w:val="auto"/>
                      <w:sz w:val="21"/>
                      <w:szCs w:val="21"/>
                      <w:highlight w:val="none"/>
                      <w:lang w:val="en-US" w:eastAsia="zh-CN"/>
                    </w:rPr>
                    <w:t>标后，用于</w:t>
                  </w:r>
                  <w:r>
                    <w:rPr>
                      <w:rFonts w:hint="eastAsia" w:ascii="Times New Roman" w:hAnsi="Times New Roman" w:eastAsia="宋体"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ascii="Times New Roman" w:hAnsi="Times New Roman" w:eastAsia="宋体" w:cs="Times New Roman"/>
                      <w:b w:val="0"/>
                      <w:bCs w:val="0"/>
                      <w:color w:val="auto"/>
                      <w:sz w:val="21"/>
                      <w:szCs w:val="21"/>
                      <w:highlight w:val="none"/>
                      <w:lang w:val="en-US" w:eastAsia="zh-CN"/>
                    </w:rPr>
                    <w:t>及云南宝泰轻化机械有限公司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tc>
              <w:tc>
                <w:tcPr>
                  <w:tcW w:w="481" w:type="pct"/>
                  <w:tcBorders>
                    <w:tl2br w:val="nil"/>
                    <w:tr2bl w:val="nil"/>
                  </w:tcBorders>
                  <w:noWrap w:val="0"/>
                  <w:vAlign w:val="center"/>
                </w:tcPr>
                <w:p w14:paraId="423915CB">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符合</w:t>
                  </w:r>
                </w:p>
              </w:tc>
            </w:tr>
            <w:tr w14:paraId="5F9B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4" w:type="pct"/>
                  <w:tcBorders>
                    <w:tl2br w:val="nil"/>
                    <w:tr2bl w:val="nil"/>
                  </w:tcBorders>
                  <w:noWrap w:val="0"/>
                  <w:vAlign w:val="center"/>
                </w:tcPr>
                <w:p w14:paraId="05A84274">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3</w:t>
                  </w:r>
                </w:p>
              </w:tc>
              <w:tc>
                <w:tcPr>
                  <w:tcW w:w="2453" w:type="pct"/>
                  <w:tcBorders>
                    <w:tl2br w:val="nil"/>
                    <w:tr2bl w:val="nil"/>
                  </w:tcBorders>
                  <w:noWrap w:val="0"/>
                  <w:vAlign w:val="center"/>
                </w:tcPr>
                <w:p w14:paraId="3F772049">
                  <w:pPr>
                    <w:pStyle w:val="89"/>
                    <w:keepNext w:val="0"/>
                    <w:keepLines w:val="0"/>
                    <w:pageBreakBefore w:val="0"/>
                    <w:widowControl w:val="0"/>
                    <w:tabs>
                      <w:tab w:val="left" w:pos="3780"/>
                    </w:tabs>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严守环境质量底线，严格片区环境管控。根据“三线一单”、国家和云南省有关大气污染防治的相关要求，严格执行园区大气污染物总量管控要求，合理确定产业规模、布局、建设时序。入园企业采用先进的生产工艺路线、装备、清洁能源与原料，从源头上控制污染物的产生。在技术经济可行的条件下，应采用先进高效的污染防治措施，重点做好外排废气中颗粒物、二氧化硫、氮氧化物、挥发性有机物等污染物的减排工作，结合区域大气污染防治要求，加快能源结构升级改造和使用清洁能源，促进区域大气环境质量改善。</w:t>
                  </w:r>
                </w:p>
                <w:p w14:paraId="145E4F11">
                  <w:pPr>
                    <w:pStyle w:val="89"/>
                    <w:keepNext w:val="0"/>
                    <w:keepLines w:val="0"/>
                    <w:pageBreakBefore w:val="0"/>
                    <w:widowControl w:val="0"/>
                    <w:tabs>
                      <w:tab w:val="left" w:pos="3780"/>
                    </w:tabs>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高度重视园区废水收集、处理、回用、排放的环境管理，实施“雨污分流”，加快各片区污水管网、回用管网的建设，结合区域的建设时序适时建设污水处理厂、再生水处理设施及现有污水处理厂扩容改造。区域河流纳污容量有限，应严格控制废水外排量，确保受纳水体水质满足环境功能要求。</w:t>
                  </w:r>
                </w:p>
                <w:p w14:paraId="58509C96">
                  <w:pPr>
                    <w:pStyle w:val="89"/>
                    <w:keepNext w:val="0"/>
                    <w:keepLines w:val="0"/>
                    <w:pageBreakBefore w:val="0"/>
                    <w:widowControl w:val="0"/>
                    <w:tabs>
                      <w:tab w:val="left" w:pos="3780"/>
                    </w:tabs>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园区产业布局和项目建设时应充分考虑对地下水环境的影响，优化布局，严格水文地质、工程地质勘察，合理规避地下暗河及溶岩发育区，做好地下水污染防治和监控，按相关规范要求采取针对性防渗措施，确保区域地下水环境安全。严格执行《地下水管理条例》中相关规定，在泉域保护范围以及岩溶强发育、存在较多落水洞和岩溶漏斗的区域内</w:t>
                  </w:r>
                  <w:r>
                    <w:rPr>
                      <w:rFonts w:hint="default"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不得新建、改建、扩建可能造成地下水污染的建设项目。</w:t>
                  </w:r>
                </w:p>
                <w:p w14:paraId="336FECEE">
                  <w:pPr>
                    <w:pStyle w:val="89"/>
                    <w:keepNext w:val="0"/>
                    <w:keepLines w:val="0"/>
                    <w:pageBreakBefore w:val="0"/>
                    <w:widowControl w:val="0"/>
                    <w:tabs>
                      <w:tab w:val="left" w:pos="3780"/>
                    </w:tabs>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将土壤污染防治工作纳入园区规划及相关环境保护规划，采取有效预防措施，防止、减少土壤污染，确保满足土壤环境管控要求。入园企业产生的危险废物按照规定严格管控，积极推进工业固体废物综合利用。</w:t>
                  </w:r>
                </w:p>
                <w:p w14:paraId="621BFAAA">
                  <w:pPr>
                    <w:pStyle w:val="89"/>
                    <w:keepNext w:val="0"/>
                    <w:keepLines w:val="0"/>
                    <w:pageBreakBefore w:val="0"/>
                    <w:widowControl w:val="0"/>
                    <w:tabs>
                      <w:tab w:val="left" w:pos="3780"/>
                    </w:tabs>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根据国家和地方碳达峰碳中和行动方案和节能减排工作要求</w:t>
                  </w:r>
                  <w:r>
                    <w:rPr>
                      <w:rFonts w:hint="default"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积极开展园区减污降碳协同管控</w:t>
                  </w:r>
                  <w:r>
                    <w:rPr>
                      <w:rFonts w:hint="default"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推广园区能源梯级利用等节能低碳技术，实现减污降碳协同增效目标。</w:t>
                  </w:r>
                </w:p>
              </w:tc>
              <w:tc>
                <w:tcPr>
                  <w:tcW w:w="1710" w:type="pct"/>
                  <w:tcBorders>
                    <w:tl2br w:val="nil"/>
                    <w:tr2bl w:val="nil"/>
                  </w:tcBorders>
                  <w:noWrap w:val="0"/>
                  <w:vAlign w:val="center"/>
                </w:tcPr>
                <w:p w14:paraId="25240C17">
                  <w:pPr>
                    <w:pStyle w:val="89"/>
                    <w:keepNext w:val="0"/>
                    <w:keepLines w:val="0"/>
                    <w:pageBreakBefore w:val="0"/>
                    <w:widowControl w:val="0"/>
                    <w:tabs>
                      <w:tab w:val="left" w:pos="3780"/>
                    </w:tabs>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lang w:eastAsia="zh-CN"/>
                    </w:rPr>
                    <w:t>①</w:t>
                  </w:r>
                  <w:r>
                    <w:rPr>
                      <w:rFonts w:hint="default" w:ascii="Times New Roman" w:hAnsi="Times New Roman" w:eastAsia="宋体" w:cs="Times New Roman"/>
                      <w:b w:val="0"/>
                      <w:bCs w:val="0"/>
                      <w:color w:val="auto"/>
                      <w:sz w:val="21"/>
                      <w:szCs w:val="21"/>
                      <w:lang w:val="en-US" w:eastAsia="zh-CN"/>
                    </w:rPr>
                    <w:t>项目</w:t>
                  </w:r>
                  <w:r>
                    <w:rPr>
                      <w:rFonts w:hint="default" w:ascii="Times New Roman" w:hAnsi="Times New Roman" w:eastAsia="宋体" w:cs="Times New Roman"/>
                      <w:b w:val="0"/>
                      <w:bCs w:val="0"/>
                      <w:color w:val="auto"/>
                      <w:sz w:val="21"/>
                      <w:szCs w:val="21"/>
                    </w:rPr>
                    <w:t>用先进的生产工艺路线、装备、清洁能源与原料，从源头上控制污染物的产生</w:t>
                  </w:r>
                  <w:r>
                    <w:rPr>
                      <w:rFonts w:hint="default"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lang w:val="en-US" w:eastAsia="zh-CN"/>
                    </w:rPr>
                    <w:t>项目已采取相应废气污染物防治措施，根据工程分析可知，各污染物均能达标排放</w:t>
                  </w:r>
                  <w:r>
                    <w:rPr>
                      <w:rFonts w:hint="default" w:ascii="Times New Roman" w:hAnsi="Times New Roman" w:eastAsia="宋体" w:cs="Times New Roman"/>
                      <w:b w:val="0"/>
                      <w:bCs w:val="0"/>
                      <w:color w:val="auto"/>
                      <w:sz w:val="21"/>
                      <w:szCs w:val="21"/>
                    </w:rPr>
                    <w:t>。</w:t>
                  </w:r>
                </w:p>
                <w:p w14:paraId="634D0C54">
                  <w:pPr>
                    <w:pStyle w:val="89"/>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宋体" w:cs="Times New Roman"/>
                      <w:b w:val="0"/>
                      <w:bCs w:val="0"/>
                      <w:color w:val="auto"/>
                      <w:sz w:val="21"/>
                      <w:szCs w:val="21"/>
                      <w:lang w:val="en-US"/>
                    </w:rPr>
                  </w:pPr>
                  <w:r>
                    <w:rPr>
                      <w:rFonts w:hint="default" w:ascii="Times New Roman" w:hAnsi="Times New Roman" w:eastAsia="宋体" w:cs="Times New Roman"/>
                      <w:b w:val="0"/>
                      <w:bCs w:val="0"/>
                      <w:color w:val="auto"/>
                      <w:sz w:val="21"/>
                      <w:szCs w:val="21"/>
                    </w:rPr>
                    <w:t>②</w:t>
                  </w:r>
                  <w:r>
                    <w:rPr>
                      <w:rFonts w:hint="default" w:ascii="Times New Roman" w:hAnsi="Times New Roman" w:eastAsia="宋体" w:cs="Times New Roman"/>
                      <w:b w:val="0"/>
                      <w:bCs w:val="0"/>
                      <w:color w:val="auto"/>
                      <w:sz w:val="21"/>
                      <w:szCs w:val="21"/>
                      <w:lang w:val="en-US" w:eastAsia="zh-CN"/>
                    </w:rPr>
                    <w:t>项目排水采用雨污分流的排水方式，项目区建筑物屋面及地面雨水经厂区雨水沟收集后排入园区雨水市政管网</w:t>
                  </w:r>
                  <w:r>
                    <w:rPr>
                      <w:rFonts w:hint="eastAsia" w:ascii="Times New Roman" w:hAnsi="Times New Roman" w:eastAsia="宋体" w:cs="Times New Roman"/>
                      <w:b w:val="0"/>
                      <w:bCs w:val="0"/>
                      <w:color w:val="auto"/>
                      <w:sz w:val="21"/>
                      <w:szCs w:val="21"/>
                      <w:lang w:val="en-US" w:eastAsia="zh-CN"/>
                    </w:rPr>
                    <w:t>；项目</w:t>
                  </w:r>
                  <w:r>
                    <w:rPr>
                      <w:rFonts w:hint="default" w:ascii="Times New Roman" w:hAnsi="Times New Roman" w:eastAsia="宋体" w:cs="Times New Roman"/>
                      <w:b w:val="0"/>
                      <w:bCs w:val="0"/>
                      <w:color w:val="auto"/>
                      <w:sz w:val="21"/>
                      <w:szCs w:val="21"/>
                      <w:lang w:val="en-US" w:eastAsia="zh-CN"/>
                    </w:rPr>
                    <w:t>冷却水经冷却循环</w:t>
                  </w:r>
                  <w:r>
                    <w:rPr>
                      <w:rFonts w:hint="eastAsia" w:ascii="Times New Roman" w:hAnsi="Times New Roman" w:eastAsia="宋体" w:cs="Times New Roman"/>
                      <w:b w:val="0"/>
                      <w:bCs w:val="0"/>
                      <w:color w:val="auto"/>
                      <w:sz w:val="21"/>
                      <w:szCs w:val="21"/>
                      <w:lang w:val="en-US" w:eastAsia="zh-CN"/>
                    </w:rPr>
                    <w:t>水箱</w:t>
                  </w:r>
                  <w:r>
                    <w:rPr>
                      <w:rFonts w:hint="default" w:ascii="Times New Roman" w:hAnsi="Times New Roman" w:eastAsia="宋体" w:cs="Times New Roman"/>
                      <w:b w:val="0"/>
                      <w:bCs w:val="0"/>
                      <w:color w:val="auto"/>
                      <w:sz w:val="21"/>
                      <w:szCs w:val="21"/>
                      <w:lang w:val="en-US" w:eastAsia="zh-CN"/>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ascii="Times New Roman" w:hAnsi="Times New Roman" w:eastAsia="宋体"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ascii="Times New Roman" w:hAnsi="Times New Roman" w:eastAsia="宋体" w:cs="Times New Roman"/>
                      <w:b w:val="0"/>
                      <w:bCs w:val="0"/>
                      <w:color w:val="auto"/>
                      <w:sz w:val="21"/>
                      <w:szCs w:val="21"/>
                      <w:highlight w:val="none"/>
                      <w:lang w:val="en-US" w:eastAsia="zh-CN"/>
                    </w:rPr>
                    <w:t>处理后</w:t>
                  </w:r>
                  <w:r>
                    <w:rPr>
                      <w:rFonts w:hint="default" w:ascii="Times New Roman" w:hAnsi="Times New Roman" w:eastAsia="宋体" w:cs="Times New Roman"/>
                      <w:b w:val="0"/>
                      <w:bCs w:val="0"/>
                      <w:color w:val="auto"/>
                      <w:sz w:val="21"/>
                      <w:szCs w:val="21"/>
                      <w:highlight w:val="none"/>
                      <w:lang w:val="en-US" w:eastAsia="zh-CN"/>
                    </w:rPr>
                    <w:t>再进入到</w:t>
                  </w:r>
                  <w:r>
                    <w:rPr>
                      <w:rFonts w:hint="eastAsia" w:ascii="Times New Roman" w:hAnsi="Times New Roman" w:eastAsia="宋体" w:cs="Times New Roman"/>
                      <w:b w:val="0"/>
                      <w:bCs w:val="0"/>
                      <w:color w:val="auto"/>
                      <w:sz w:val="21"/>
                      <w:szCs w:val="21"/>
                      <w:highlight w:val="none"/>
                      <w:lang w:val="en-US" w:eastAsia="zh-CN"/>
                    </w:rPr>
                    <w:t>依托的一体化污水处理站</w:t>
                  </w:r>
                  <w:r>
                    <w:rPr>
                      <w:rFonts w:hint="default" w:ascii="Times New Roman" w:hAnsi="Times New Roman" w:eastAsia="宋体" w:cs="Times New Roman"/>
                      <w:b w:val="0"/>
                      <w:bCs w:val="0"/>
                      <w:color w:val="auto"/>
                      <w:sz w:val="21"/>
                      <w:szCs w:val="21"/>
                      <w:highlight w:val="none"/>
                      <w:lang w:val="en-US" w:eastAsia="zh-CN"/>
                    </w:rPr>
                    <w:t>处理</w:t>
                  </w:r>
                  <w:r>
                    <w:rPr>
                      <w:rFonts w:hint="eastAsia" w:ascii="Times New Roman" w:hAnsi="Times New Roman" w:eastAsia="宋体" w:cs="Times New Roman"/>
                      <w:b w:val="0"/>
                      <w:bCs w:val="0"/>
                      <w:color w:val="auto"/>
                      <w:sz w:val="21"/>
                      <w:szCs w:val="21"/>
                      <w:highlight w:val="none"/>
                      <w:lang w:val="en-US" w:eastAsia="zh-CN"/>
                    </w:rPr>
                    <w:t>达</w:t>
                  </w:r>
                  <w:r>
                    <w:rPr>
                      <w:rFonts w:hint="default" w:ascii="Times New Roman" w:hAnsi="Times New Roman" w:eastAsia="宋体" w:cs="Times New Roman"/>
                      <w:b w:val="0"/>
                      <w:bCs w:val="0"/>
                      <w:color w:val="auto"/>
                      <w:sz w:val="21"/>
                      <w:szCs w:val="21"/>
                      <w:highlight w:val="none"/>
                      <w:lang w:val="en-US" w:eastAsia="zh-CN"/>
                    </w:rPr>
                    <w:t>标后，用于</w:t>
                  </w:r>
                  <w:r>
                    <w:rPr>
                      <w:rFonts w:hint="eastAsia" w:ascii="Times New Roman" w:hAnsi="Times New Roman" w:eastAsia="宋体"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ascii="Times New Roman" w:hAnsi="Times New Roman" w:eastAsia="宋体" w:cs="Times New Roman"/>
                      <w:b w:val="0"/>
                      <w:bCs w:val="0"/>
                      <w:color w:val="auto"/>
                      <w:sz w:val="21"/>
                      <w:szCs w:val="21"/>
                      <w:highlight w:val="none"/>
                      <w:lang w:val="en-US" w:eastAsia="zh-CN"/>
                    </w:rPr>
                    <w:t>及云南宝泰轻化机械有限公司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r>
                    <w:rPr>
                      <w:rFonts w:hint="eastAsia" w:ascii="Times New Roman" w:hAnsi="Times New Roman" w:eastAsia="宋体" w:cs="Times New Roman"/>
                      <w:b w:val="0"/>
                      <w:bCs w:val="0"/>
                      <w:color w:val="auto"/>
                      <w:sz w:val="21"/>
                      <w:szCs w:val="21"/>
                      <w:lang w:val="en-US" w:eastAsia="zh-CN"/>
                    </w:rPr>
                    <w:t>项目产生的挥发性有机物经三级活性炭吸附装置进行处理达标后通过15m高排气筒排放。</w:t>
                  </w:r>
                </w:p>
                <w:p w14:paraId="5278DB60">
                  <w:pPr>
                    <w:pStyle w:val="89"/>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rPr>
                    <w:t>③</w:t>
                  </w:r>
                  <w:r>
                    <w:rPr>
                      <w:rFonts w:hint="default" w:ascii="Times New Roman" w:hAnsi="Times New Roman" w:eastAsia="宋体" w:cs="Times New Roman"/>
                      <w:b w:val="0"/>
                      <w:bCs w:val="0"/>
                      <w:color w:val="auto"/>
                      <w:sz w:val="21"/>
                      <w:szCs w:val="21"/>
                      <w:lang w:val="en-US" w:eastAsia="zh-CN"/>
                    </w:rPr>
                    <w:t>根据工程分析，项目运营期可能存在的地下水、土壤环境污染源为</w:t>
                  </w:r>
                  <w:r>
                    <w:rPr>
                      <w:rFonts w:hint="eastAsia" w:ascii="Times New Roman" w:hAnsi="Times New Roman" w:eastAsia="宋体" w:cs="Times New Roman"/>
                      <w:b w:val="0"/>
                      <w:bCs w:val="0"/>
                      <w:color w:val="auto"/>
                      <w:sz w:val="21"/>
                      <w:szCs w:val="21"/>
                      <w:lang w:val="zh-CN" w:eastAsia="zh-CN"/>
                    </w:rPr>
                    <w:t>危险废物</w:t>
                  </w:r>
                  <w:r>
                    <w:rPr>
                      <w:rFonts w:hint="eastAsia" w:ascii="Times New Roman" w:hAnsi="Times New Roman" w:eastAsia="宋体" w:cs="Times New Roman"/>
                      <w:b w:val="0"/>
                      <w:bCs w:val="0"/>
                      <w:color w:val="auto"/>
                      <w:sz w:val="21"/>
                      <w:szCs w:val="21"/>
                      <w:lang w:val="en-US" w:eastAsia="zh-CN"/>
                    </w:rPr>
                    <w:t>贮存库</w:t>
                  </w:r>
                  <w:r>
                    <w:rPr>
                      <w:rFonts w:hint="default" w:ascii="Times New Roman" w:hAnsi="Times New Roman" w:eastAsia="宋体" w:cs="Times New Roman"/>
                      <w:b w:val="0"/>
                      <w:bCs w:val="0"/>
                      <w:color w:val="auto"/>
                      <w:sz w:val="21"/>
                      <w:szCs w:val="21"/>
                      <w:lang w:val="en-US" w:eastAsia="zh-CN"/>
                    </w:rPr>
                    <w:t>，</w:t>
                  </w:r>
                  <w:r>
                    <w:rPr>
                      <w:rFonts w:hint="eastAsia" w:ascii="Times New Roman" w:hAnsi="Times New Roman" w:eastAsia="宋体" w:cs="Times New Roman"/>
                      <w:b w:val="0"/>
                      <w:bCs w:val="0"/>
                      <w:color w:val="auto"/>
                      <w:sz w:val="21"/>
                      <w:szCs w:val="21"/>
                      <w:lang w:val="en-US" w:eastAsia="zh-CN"/>
                    </w:rPr>
                    <w:t>本次评价提出</w:t>
                  </w:r>
                  <w:r>
                    <w:rPr>
                      <w:rFonts w:hint="eastAsia" w:ascii="Times New Roman" w:hAnsi="Times New Roman" w:eastAsia="宋体" w:cs="Times New Roman"/>
                      <w:b w:val="0"/>
                      <w:bCs w:val="0"/>
                      <w:color w:val="auto"/>
                      <w:sz w:val="21"/>
                      <w:szCs w:val="21"/>
                      <w:lang w:val="zh-CN" w:eastAsia="zh-CN"/>
                    </w:rPr>
                    <w:t>危险废物</w:t>
                  </w:r>
                  <w:r>
                    <w:rPr>
                      <w:rFonts w:hint="eastAsia" w:ascii="Times New Roman" w:hAnsi="Times New Roman" w:eastAsia="宋体" w:cs="Times New Roman"/>
                      <w:b w:val="0"/>
                      <w:bCs w:val="0"/>
                      <w:color w:val="auto"/>
                      <w:sz w:val="21"/>
                      <w:szCs w:val="21"/>
                      <w:lang w:val="en-US" w:eastAsia="zh-CN"/>
                    </w:rPr>
                    <w:t>贮存库</w:t>
                  </w:r>
                  <w:r>
                    <w:rPr>
                      <w:rFonts w:hint="default" w:ascii="Times New Roman" w:hAnsi="Times New Roman" w:eastAsia="宋体" w:cs="Times New Roman"/>
                      <w:b w:val="0"/>
                      <w:bCs w:val="0"/>
                      <w:color w:val="auto"/>
                      <w:sz w:val="21"/>
                      <w:szCs w:val="21"/>
                      <w:lang w:val="en-US" w:eastAsia="zh-CN"/>
                    </w:rPr>
                    <w:t>进行重点防渗，可有效减少土壤及地下水环境受到的影响。</w:t>
                  </w:r>
                </w:p>
                <w:p w14:paraId="14F30664">
                  <w:pPr>
                    <w:pStyle w:val="89"/>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宋体" w:cs="Times New Roman"/>
                      <w:b w:val="0"/>
                      <w:bCs w:val="0"/>
                      <w:color w:val="auto"/>
                      <w:sz w:val="21"/>
                      <w:szCs w:val="21"/>
                      <w:lang w:eastAsia="zh-CN"/>
                    </w:rPr>
                  </w:pPr>
                </w:p>
              </w:tc>
              <w:tc>
                <w:tcPr>
                  <w:tcW w:w="481" w:type="pct"/>
                  <w:tcBorders>
                    <w:tl2br w:val="nil"/>
                    <w:tr2bl w:val="nil"/>
                  </w:tcBorders>
                  <w:noWrap w:val="0"/>
                  <w:vAlign w:val="center"/>
                </w:tcPr>
                <w:p w14:paraId="02CF16DF">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符合</w:t>
                  </w:r>
                </w:p>
              </w:tc>
            </w:tr>
            <w:tr w14:paraId="32F5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54" w:type="pct"/>
                  <w:tcBorders>
                    <w:tl2br w:val="nil"/>
                    <w:tr2bl w:val="nil"/>
                  </w:tcBorders>
                  <w:noWrap w:val="0"/>
                  <w:vAlign w:val="center"/>
                </w:tcPr>
                <w:p w14:paraId="5139CCB0">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4</w:t>
                  </w:r>
                </w:p>
              </w:tc>
              <w:tc>
                <w:tcPr>
                  <w:tcW w:w="2453" w:type="pct"/>
                  <w:tcBorders>
                    <w:tl2br w:val="nil"/>
                    <w:tr2bl w:val="nil"/>
                  </w:tcBorders>
                  <w:noWrap w:val="0"/>
                  <w:vAlign w:val="center"/>
                </w:tcPr>
                <w:p w14:paraId="12965BF7">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both"/>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val="0"/>
                      <w:bCs w:val="0"/>
                      <w:color w:val="auto"/>
                      <w:sz w:val="21"/>
                      <w:szCs w:val="21"/>
                    </w:rPr>
                    <w:t>严格执行环境准入要求，加强入园项目生态环境准入管理。落实蓝天、碧水、净土保卫战有关管控要求，加强“两高”行业生态环境源头防控，引进项目的生产工艺、设备、污染物排放和资源利用等，应达到清洁生产国内先进水平。推进技术研发型、创新型产业发展，提升产业的技术水平和园区的绿色低碳化水平。园区招商引资、入园项目环评审批应严格执行生态环境准入要求，要以园区的资源环境承载能力为基础，充分论证、有序发展，严禁引进工艺装备落后，不符合污染物排放总量控制要求的企业。</w:t>
                  </w:r>
                </w:p>
              </w:tc>
              <w:tc>
                <w:tcPr>
                  <w:tcW w:w="1710" w:type="pct"/>
                  <w:tcBorders>
                    <w:tl2br w:val="nil"/>
                    <w:tr2bl w:val="nil"/>
                  </w:tcBorders>
                  <w:noWrap w:val="0"/>
                  <w:vAlign w:val="center"/>
                </w:tcPr>
                <w:p w14:paraId="12EB6676">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left"/>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val="0"/>
                      <w:bCs w:val="0"/>
                      <w:color w:val="auto"/>
                      <w:sz w:val="21"/>
                      <w:szCs w:val="21"/>
                      <w:lang w:eastAsia="zh-CN"/>
                    </w:rPr>
                    <w:t>项目不属于“两高”行业，所采取的</w:t>
                  </w:r>
                  <w:r>
                    <w:rPr>
                      <w:rFonts w:hint="default" w:ascii="Times New Roman" w:hAnsi="Times New Roman" w:eastAsia="宋体" w:cs="Times New Roman"/>
                      <w:b w:val="0"/>
                      <w:bCs w:val="0"/>
                      <w:color w:val="auto"/>
                      <w:sz w:val="21"/>
                      <w:szCs w:val="21"/>
                      <w:lang w:val="en-US" w:eastAsia="zh-CN"/>
                    </w:rPr>
                    <w:t>生产工艺及设备满足清洁生产要求</w:t>
                  </w:r>
                  <w:r>
                    <w:rPr>
                      <w:rFonts w:hint="default"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lang w:val="en-US" w:eastAsia="zh-CN"/>
                    </w:rPr>
                    <w:t>在</w:t>
                  </w:r>
                  <w:r>
                    <w:rPr>
                      <w:rFonts w:hint="default" w:ascii="Times New Roman" w:hAnsi="Times New Roman" w:eastAsia="宋体" w:cs="Times New Roman"/>
                      <w:b w:val="0"/>
                      <w:bCs w:val="0"/>
                      <w:color w:val="auto"/>
                      <w:sz w:val="21"/>
                      <w:szCs w:val="21"/>
                      <w:lang w:eastAsia="zh-CN"/>
                    </w:rPr>
                    <w:t>采取本环评所述措施后，项目</w:t>
                  </w:r>
                  <w:r>
                    <w:rPr>
                      <w:rFonts w:hint="default" w:ascii="Times New Roman" w:hAnsi="Times New Roman" w:eastAsia="宋体" w:cs="Times New Roman"/>
                      <w:b w:val="0"/>
                      <w:bCs w:val="0"/>
                      <w:color w:val="auto"/>
                      <w:sz w:val="21"/>
                      <w:szCs w:val="21"/>
                      <w:lang w:val="en-US" w:eastAsia="zh-CN"/>
                    </w:rPr>
                    <w:t>运营期产生的</w:t>
                  </w:r>
                  <w:r>
                    <w:rPr>
                      <w:rFonts w:hint="default" w:ascii="Times New Roman" w:hAnsi="Times New Roman" w:eastAsia="宋体" w:cs="Times New Roman"/>
                      <w:b w:val="0"/>
                      <w:bCs w:val="0"/>
                      <w:color w:val="auto"/>
                      <w:sz w:val="21"/>
                      <w:szCs w:val="21"/>
                      <w:lang w:eastAsia="zh-CN"/>
                    </w:rPr>
                    <w:t>废气、噪声可达标排放</w:t>
                  </w:r>
                  <w:r>
                    <w:rPr>
                      <w:rFonts w:hint="eastAsia" w:ascii="Times New Roman" w:hAnsi="Times New Roman" w:eastAsia="宋体" w:cs="Times New Roman"/>
                      <w:b w:val="0"/>
                      <w:bCs w:val="0"/>
                      <w:color w:val="auto"/>
                      <w:sz w:val="21"/>
                      <w:szCs w:val="21"/>
                      <w:lang w:eastAsia="zh-CN"/>
                    </w:rPr>
                    <w:t>；</w:t>
                  </w:r>
                  <w:r>
                    <w:rPr>
                      <w:rFonts w:ascii="Times New Roman" w:hAnsi="Times New Roman" w:eastAsia="宋体" w:cs="Times New Roman"/>
                      <w:b w:val="0"/>
                      <w:bCs/>
                      <w:color w:val="auto"/>
                      <w:kern w:val="0"/>
                      <w:sz w:val="21"/>
                      <w:szCs w:val="21"/>
                      <w:lang w:val="en-US" w:eastAsia="zh-CN" w:bidi="ar-SA"/>
                    </w:rPr>
                    <w:t>冷却水</w:t>
                  </w:r>
                  <w:r>
                    <w:rPr>
                      <w:rFonts w:hint="default" w:ascii="Times New Roman" w:hAnsi="Times New Roman" w:eastAsia="宋体" w:cs="Times New Roman"/>
                      <w:b w:val="0"/>
                      <w:bCs w:val="0"/>
                      <w:color w:val="auto"/>
                      <w:sz w:val="21"/>
                      <w:szCs w:val="21"/>
                      <w:lang w:val="en-US" w:eastAsia="zh-CN"/>
                    </w:rPr>
                    <w:t>经冷却循环</w:t>
                  </w:r>
                  <w:r>
                    <w:rPr>
                      <w:rFonts w:hint="eastAsia" w:ascii="Times New Roman" w:hAnsi="Times New Roman" w:eastAsia="宋体" w:cs="Times New Roman"/>
                      <w:b w:val="0"/>
                      <w:bCs w:val="0"/>
                      <w:color w:val="auto"/>
                      <w:sz w:val="21"/>
                      <w:szCs w:val="21"/>
                      <w:lang w:val="en-US" w:eastAsia="zh-CN"/>
                    </w:rPr>
                    <w:t>水箱</w:t>
                  </w:r>
                  <w:r>
                    <w:rPr>
                      <w:rFonts w:hint="default" w:ascii="Times New Roman" w:hAnsi="Times New Roman" w:eastAsia="宋体" w:cs="Times New Roman"/>
                      <w:b w:val="0"/>
                      <w:bCs w:val="0"/>
                      <w:color w:val="auto"/>
                      <w:sz w:val="21"/>
                      <w:szCs w:val="21"/>
                      <w:lang w:val="en-US" w:eastAsia="zh-CN"/>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ascii="Times New Roman" w:hAnsi="Times New Roman" w:eastAsia="宋体"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ascii="Times New Roman" w:hAnsi="Times New Roman" w:eastAsia="宋体" w:cs="Times New Roman"/>
                      <w:b w:val="0"/>
                      <w:bCs w:val="0"/>
                      <w:color w:val="auto"/>
                      <w:sz w:val="21"/>
                      <w:szCs w:val="21"/>
                      <w:highlight w:val="none"/>
                      <w:lang w:val="en-US" w:eastAsia="zh-CN"/>
                    </w:rPr>
                    <w:t>处理后</w:t>
                  </w:r>
                  <w:r>
                    <w:rPr>
                      <w:rFonts w:hint="default" w:ascii="Times New Roman" w:hAnsi="Times New Roman" w:eastAsia="宋体" w:cs="Times New Roman"/>
                      <w:b w:val="0"/>
                      <w:bCs w:val="0"/>
                      <w:color w:val="auto"/>
                      <w:sz w:val="21"/>
                      <w:szCs w:val="21"/>
                      <w:highlight w:val="none"/>
                      <w:lang w:val="en-US" w:eastAsia="zh-CN"/>
                    </w:rPr>
                    <w:t>再进入到</w:t>
                  </w:r>
                  <w:r>
                    <w:rPr>
                      <w:rFonts w:hint="eastAsia" w:ascii="Times New Roman" w:hAnsi="Times New Roman" w:eastAsia="宋体" w:cs="Times New Roman"/>
                      <w:b w:val="0"/>
                      <w:bCs w:val="0"/>
                      <w:color w:val="auto"/>
                      <w:sz w:val="21"/>
                      <w:szCs w:val="21"/>
                      <w:highlight w:val="none"/>
                      <w:lang w:val="en-US" w:eastAsia="zh-CN"/>
                    </w:rPr>
                    <w:t>依托的一体化污水处理站</w:t>
                  </w:r>
                  <w:r>
                    <w:rPr>
                      <w:rFonts w:hint="default" w:ascii="Times New Roman" w:hAnsi="Times New Roman" w:eastAsia="宋体" w:cs="Times New Roman"/>
                      <w:b w:val="0"/>
                      <w:bCs w:val="0"/>
                      <w:color w:val="auto"/>
                      <w:sz w:val="21"/>
                      <w:szCs w:val="21"/>
                      <w:highlight w:val="none"/>
                      <w:lang w:val="en-US" w:eastAsia="zh-CN"/>
                    </w:rPr>
                    <w:t>处理</w:t>
                  </w:r>
                  <w:r>
                    <w:rPr>
                      <w:rFonts w:hint="eastAsia" w:ascii="Times New Roman" w:hAnsi="Times New Roman" w:eastAsia="宋体" w:cs="Times New Roman"/>
                      <w:b w:val="0"/>
                      <w:bCs w:val="0"/>
                      <w:color w:val="auto"/>
                      <w:sz w:val="21"/>
                      <w:szCs w:val="21"/>
                      <w:highlight w:val="none"/>
                      <w:lang w:val="en-US" w:eastAsia="zh-CN"/>
                    </w:rPr>
                    <w:t>达</w:t>
                  </w:r>
                  <w:r>
                    <w:rPr>
                      <w:rFonts w:hint="default" w:ascii="Times New Roman" w:hAnsi="Times New Roman" w:eastAsia="宋体" w:cs="Times New Roman"/>
                      <w:b w:val="0"/>
                      <w:bCs w:val="0"/>
                      <w:color w:val="auto"/>
                      <w:sz w:val="21"/>
                      <w:szCs w:val="21"/>
                      <w:highlight w:val="none"/>
                      <w:lang w:val="en-US" w:eastAsia="zh-CN"/>
                    </w:rPr>
                    <w:t>标后，用于</w:t>
                  </w:r>
                  <w:r>
                    <w:rPr>
                      <w:rFonts w:hint="eastAsia" w:ascii="Times New Roman" w:hAnsi="Times New Roman" w:eastAsia="宋体"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ascii="Times New Roman" w:hAnsi="Times New Roman" w:eastAsia="宋体" w:cs="Times New Roman"/>
                      <w:b w:val="0"/>
                      <w:bCs w:val="0"/>
                      <w:color w:val="auto"/>
                      <w:sz w:val="21"/>
                      <w:szCs w:val="21"/>
                      <w:highlight w:val="none"/>
                      <w:lang w:val="en-US" w:eastAsia="zh-CN"/>
                    </w:rPr>
                    <w:t>及云南宝泰轻化机械有限公司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lang w:val="en-US" w:eastAsia="zh-CN"/>
                    </w:rPr>
                    <w:t>固体废物可得到妥善处置</w:t>
                  </w:r>
                  <w:r>
                    <w:rPr>
                      <w:rFonts w:hint="eastAsia" w:ascii="Times New Roman" w:hAnsi="Times New Roman" w:eastAsia="宋体" w:cs="Times New Roman"/>
                      <w:b w:val="0"/>
                      <w:bCs w:val="0"/>
                      <w:color w:val="auto"/>
                      <w:sz w:val="21"/>
                      <w:szCs w:val="21"/>
                      <w:lang w:val="en-US" w:eastAsia="zh-CN"/>
                    </w:rPr>
                    <w:t>，处置率100%</w:t>
                  </w:r>
                  <w:r>
                    <w:rPr>
                      <w:rFonts w:hint="default" w:ascii="Times New Roman" w:hAnsi="Times New Roman" w:eastAsia="宋体" w:cs="Times New Roman"/>
                      <w:b w:val="0"/>
                      <w:bCs w:val="0"/>
                      <w:color w:val="auto"/>
                      <w:sz w:val="21"/>
                      <w:szCs w:val="21"/>
                      <w:lang w:val="en-US" w:eastAsia="zh-CN"/>
                    </w:rPr>
                    <w:t>。</w:t>
                  </w:r>
                </w:p>
              </w:tc>
              <w:tc>
                <w:tcPr>
                  <w:tcW w:w="481" w:type="pct"/>
                  <w:tcBorders>
                    <w:tl2br w:val="nil"/>
                    <w:tr2bl w:val="nil"/>
                  </w:tcBorders>
                  <w:noWrap w:val="0"/>
                  <w:vAlign w:val="center"/>
                </w:tcPr>
                <w:p w14:paraId="3216375A">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lang w:eastAsia="zh-CN"/>
                    </w:rPr>
                    <w:t>符合</w:t>
                  </w:r>
                </w:p>
              </w:tc>
            </w:tr>
            <w:tr w14:paraId="6F385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354" w:type="pct"/>
                  <w:tcBorders>
                    <w:tl2br w:val="nil"/>
                    <w:tr2bl w:val="nil"/>
                  </w:tcBorders>
                  <w:noWrap w:val="0"/>
                  <w:vAlign w:val="center"/>
                </w:tcPr>
                <w:p w14:paraId="5B50BDD2">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5</w:t>
                  </w:r>
                </w:p>
              </w:tc>
              <w:tc>
                <w:tcPr>
                  <w:tcW w:w="2453" w:type="pct"/>
                  <w:tcBorders>
                    <w:tl2br w:val="nil"/>
                    <w:tr2bl w:val="nil"/>
                  </w:tcBorders>
                  <w:noWrap w:val="0"/>
                  <w:vAlign w:val="center"/>
                </w:tcPr>
                <w:p w14:paraId="307BBB34">
                  <w:pPr>
                    <w:pStyle w:val="89"/>
                    <w:keepNext w:val="0"/>
                    <w:keepLines w:val="0"/>
                    <w:pageBreakBefore w:val="0"/>
                    <w:widowControl w:val="0"/>
                    <w:tabs>
                      <w:tab w:val="left" w:pos="3780"/>
                    </w:tabs>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建立健全区域环境风险防范和生态安全保障体系。加强园区内易导致环境风险的有毒有害和易燃易爆物质的生产、使用、贮运等管理，统筹考虑污染防治、生态恢复与建设、环境风险防范、环境管理等事宜。强化园区危险化学品储运的环境风险管理，制定建立厂区、园区、区域三级防控措施，强化环境监测与预警能力建设、环境风险应急与防范措施，建立应急响应联动机制和风险防控体系并编制应急预案，防范环境风险，避免事故废水排入园区外水体，保障区域环境安全。</w:t>
                  </w:r>
                </w:p>
              </w:tc>
              <w:tc>
                <w:tcPr>
                  <w:tcW w:w="1710" w:type="pct"/>
                  <w:tcBorders>
                    <w:tl2br w:val="nil"/>
                    <w:tr2bl w:val="nil"/>
                  </w:tcBorders>
                  <w:noWrap w:val="0"/>
                  <w:vAlign w:val="center"/>
                </w:tcPr>
                <w:p w14:paraId="7DAB2D00">
                  <w:pPr>
                    <w:pStyle w:val="89"/>
                    <w:keepNext w:val="0"/>
                    <w:keepLines w:val="0"/>
                    <w:pageBreakBefore w:val="0"/>
                    <w:widowControl w:val="0"/>
                    <w:tabs>
                      <w:tab w:val="left" w:pos="3780"/>
                    </w:tabs>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项目涉及</w:t>
                  </w:r>
                  <w:r>
                    <w:rPr>
                      <w:rFonts w:hint="eastAsia" w:ascii="Times New Roman" w:hAnsi="Times New Roman" w:eastAsia="宋体" w:cs="Times New Roman"/>
                      <w:b w:val="0"/>
                      <w:bCs w:val="0"/>
                      <w:color w:val="auto"/>
                      <w:sz w:val="21"/>
                      <w:szCs w:val="21"/>
                      <w:lang w:val="en-US" w:eastAsia="zh-CN"/>
                    </w:rPr>
                    <w:t>可能导致环境风险的、</w:t>
                  </w:r>
                  <w:r>
                    <w:rPr>
                      <w:rFonts w:hint="default" w:ascii="Times New Roman" w:hAnsi="Times New Roman" w:eastAsia="宋体" w:cs="Times New Roman"/>
                      <w:b w:val="0"/>
                      <w:bCs w:val="0"/>
                      <w:color w:val="auto"/>
                      <w:sz w:val="21"/>
                      <w:szCs w:val="21"/>
                      <w:lang w:val="en-US" w:eastAsia="zh-CN"/>
                    </w:rPr>
                    <w:t>易燃易爆物质主要为</w:t>
                  </w:r>
                  <w:r>
                    <w:rPr>
                      <w:rFonts w:hint="eastAsia" w:ascii="Times New Roman" w:hAnsi="Times New Roman" w:eastAsia="宋体" w:cs="Times New Roman"/>
                      <w:b w:val="0"/>
                      <w:bCs w:val="0"/>
                      <w:color w:val="auto"/>
                      <w:sz w:val="21"/>
                      <w:szCs w:val="21"/>
                      <w:lang w:val="en-US" w:eastAsia="zh-CN"/>
                    </w:rPr>
                    <w:t>废矿物油（废机油），厂内储存量远低于临界量，不属于重大危险源。</w:t>
                  </w:r>
                  <w:r>
                    <w:rPr>
                      <w:rFonts w:hint="eastAsia" w:ascii="Times New Roman" w:hAnsi="Times New Roman" w:eastAsia="宋体" w:cs="Times New Roman"/>
                      <w:b w:val="0"/>
                      <w:bCs w:val="0"/>
                      <w:color w:val="auto"/>
                      <w:sz w:val="21"/>
                      <w:szCs w:val="21"/>
                      <w:highlight w:val="none"/>
                      <w:lang w:val="en-US" w:eastAsia="zh-CN"/>
                    </w:rPr>
                    <w:t>本项目依托使用的蓄水池，</w:t>
                  </w:r>
                  <w:r>
                    <w:rPr>
                      <w:rFonts w:hint="eastAsia" w:ascii="Times New Roman" w:hAnsi="Times New Roman" w:eastAsia="宋体" w:cs="Times New Roman"/>
                      <w:b w:val="0"/>
                      <w:bCs w:val="0"/>
                      <w:color w:val="auto"/>
                      <w:sz w:val="21"/>
                      <w:szCs w:val="21"/>
                      <w:lang w:val="en-US" w:eastAsia="zh-CN"/>
                    </w:rPr>
                    <w:t>容积可满足事故状态下污废水及消防废水的收集。</w:t>
                  </w:r>
                </w:p>
              </w:tc>
              <w:tc>
                <w:tcPr>
                  <w:tcW w:w="481" w:type="pct"/>
                  <w:tcBorders>
                    <w:tl2br w:val="nil"/>
                    <w:tr2bl w:val="nil"/>
                  </w:tcBorders>
                  <w:noWrap w:val="0"/>
                  <w:vAlign w:val="center"/>
                </w:tcPr>
                <w:p w14:paraId="6D4C2252">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lang w:eastAsia="zh-CN"/>
                    </w:rPr>
                  </w:pPr>
                  <w:r>
                    <w:rPr>
                      <w:rFonts w:hint="eastAsia" w:ascii="Times New Roman" w:hAnsi="Times New Roman" w:eastAsia="宋体" w:cs="Times New Roman"/>
                      <w:b w:val="0"/>
                      <w:bCs w:val="0"/>
                      <w:color w:val="auto"/>
                      <w:sz w:val="21"/>
                      <w:szCs w:val="21"/>
                      <w:lang w:val="en-US" w:eastAsia="zh-CN"/>
                    </w:rPr>
                    <w:t>符合</w:t>
                  </w:r>
                </w:p>
              </w:tc>
            </w:tr>
            <w:tr w14:paraId="2EED5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354" w:type="pct"/>
                  <w:tcBorders>
                    <w:tl2br w:val="nil"/>
                    <w:tr2bl w:val="nil"/>
                  </w:tcBorders>
                  <w:noWrap w:val="0"/>
                  <w:vAlign w:val="center"/>
                </w:tcPr>
                <w:p w14:paraId="160A5B49">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6</w:t>
                  </w:r>
                </w:p>
              </w:tc>
              <w:tc>
                <w:tcPr>
                  <w:tcW w:w="2453" w:type="pct"/>
                  <w:tcBorders>
                    <w:tl2br w:val="nil"/>
                    <w:tr2bl w:val="nil"/>
                  </w:tcBorders>
                  <w:noWrap w:val="0"/>
                  <w:vAlign w:val="center"/>
                </w:tcPr>
                <w:p w14:paraId="0B141EDE">
                  <w:pPr>
                    <w:pStyle w:val="89"/>
                    <w:keepNext w:val="0"/>
                    <w:keepLines w:val="0"/>
                    <w:pageBreakBefore w:val="0"/>
                    <w:widowControl w:val="0"/>
                    <w:tabs>
                      <w:tab w:val="left" w:pos="3780"/>
                    </w:tabs>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建立环境质量监测网络并共享数据。根据园区功能分区、产业布局、重点企业分布、特征污染物的排放种类和状况、环境敏感目标分布等情况，统筹安排环境监测监控网络建设。园区建议设置环境空气自动监测站，做好园区大气、地表水、地下水、土壤等环境的长期跟踪监测与管理，</w:t>
                  </w:r>
                  <w:r>
                    <w:rPr>
                      <w:rFonts w:hint="default" w:ascii="Times New Roman" w:hAnsi="Times New Roman" w:eastAsia="宋体" w:cs="Times New Roman"/>
                      <w:b w:val="0"/>
                      <w:bCs w:val="0"/>
                      <w:color w:val="auto"/>
                      <w:sz w:val="21"/>
                      <w:szCs w:val="21"/>
                      <w:highlight w:val="none"/>
                    </w:rPr>
                    <w:t>督促排污企业落实自行监测责任。根</w:t>
                  </w:r>
                  <w:r>
                    <w:rPr>
                      <w:rFonts w:hint="default" w:ascii="Times New Roman" w:hAnsi="Times New Roman" w:eastAsia="宋体" w:cs="Times New Roman"/>
                      <w:b w:val="0"/>
                      <w:bCs w:val="0"/>
                      <w:color w:val="auto"/>
                      <w:sz w:val="21"/>
                      <w:szCs w:val="21"/>
                    </w:rPr>
                    <w:t>据监测结果、实际环境影响、不良环境影响减缓措施的有效性等完善环境管理方案并适时优化调整《规划》。</w:t>
                  </w:r>
                </w:p>
              </w:tc>
              <w:tc>
                <w:tcPr>
                  <w:tcW w:w="1710" w:type="pct"/>
                  <w:tcBorders>
                    <w:tl2br w:val="nil"/>
                    <w:tr2bl w:val="nil"/>
                  </w:tcBorders>
                  <w:noWrap w:val="0"/>
                  <w:vAlign w:val="center"/>
                </w:tcPr>
                <w:p w14:paraId="2F836C8A">
                  <w:pPr>
                    <w:pStyle w:val="89"/>
                    <w:keepNext w:val="0"/>
                    <w:keepLines w:val="0"/>
                    <w:pageBreakBefore w:val="0"/>
                    <w:widowControl w:val="0"/>
                    <w:tabs>
                      <w:tab w:val="left" w:pos="3780"/>
                    </w:tabs>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eastAsia="zh-CN"/>
                    </w:rPr>
                    <w:t>本项目建成后，</w:t>
                  </w:r>
                  <w:r>
                    <w:rPr>
                      <w:rFonts w:hint="default" w:ascii="Times New Roman" w:hAnsi="Times New Roman" w:eastAsia="宋体" w:cs="Times New Roman"/>
                      <w:b w:val="0"/>
                      <w:bCs w:val="0"/>
                      <w:color w:val="auto"/>
                      <w:sz w:val="21"/>
                      <w:szCs w:val="21"/>
                      <w:lang w:val="en-US" w:eastAsia="zh-CN"/>
                    </w:rPr>
                    <w:t>建设单位</w:t>
                  </w:r>
                  <w:r>
                    <w:rPr>
                      <w:rFonts w:hint="eastAsia" w:ascii="Times New Roman" w:hAnsi="Times New Roman" w:eastAsia="宋体" w:cs="Times New Roman"/>
                      <w:b w:val="0"/>
                      <w:bCs w:val="0"/>
                      <w:color w:val="auto"/>
                      <w:sz w:val="21"/>
                      <w:szCs w:val="21"/>
                      <w:lang w:val="en-US" w:eastAsia="zh-CN"/>
                    </w:rPr>
                    <w:t>将</w:t>
                  </w:r>
                  <w:r>
                    <w:rPr>
                      <w:rFonts w:hint="default" w:ascii="Times New Roman" w:hAnsi="Times New Roman" w:eastAsia="宋体" w:cs="Times New Roman"/>
                      <w:b w:val="0"/>
                      <w:bCs w:val="0"/>
                      <w:color w:val="auto"/>
                      <w:sz w:val="21"/>
                      <w:szCs w:val="21"/>
                      <w:lang w:val="en-US" w:eastAsia="zh-CN"/>
                    </w:rPr>
                    <w:t>按《排污单位自行监测技术指南总则》（HJ819-2017）</w:t>
                  </w:r>
                  <w:r>
                    <w:rPr>
                      <w:rFonts w:hint="eastAsia" w:ascii="Times New Roman" w:hAnsi="Times New Roman" w:eastAsia="宋体" w:cs="Times New Roman"/>
                      <w:b w:val="0"/>
                      <w:bCs w:val="0"/>
                      <w:color w:val="auto"/>
                      <w:sz w:val="21"/>
                      <w:szCs w:val="21"/>
                      <w:lang w:val="en-US" w:eastAsia="zh-CN"/>
                    </w:rPr>
                    <w:t>、《排污单位自行监测技术指南橡胶和塑料制品（HJ1207—2021）》、</w:t>
                  </w:r>
                  <w:r>
                    <w:rPr>
                      <w:rFonts w:hint="default" w:ascii="Times New Roman" w:hAnsi="Times New Roman" w:eastAsia="宋体" w:cs="Times New Roman"/>
                      <w:b w:val="0"/>
                      <w:bCs w:val="0"/>
                      <w:color w:val="auto"/>
                      <w:sz w:val="21"/>
                      <w:szCs w:val="21"/>
                      <w:lang w:val="en-US" w:eastAsia="zh-CN"/>
                    </w:rPr>
                    <w:t>排污许可证申请与核发技术规范橡胶和塑料制品工业》中相关要求进行自行监测。</w:t>
                  </w:r>
                </w:p>
              </w:tc>
              <w:tc>
                <w:tcPr>
                  <w:tcW w:w="481" w:type="pct"/>
                  <w:tcBorders>
                    <w:tl2br w:val="nil"/>
                    <w:tr2bl w:val="nil"/>
                  </w:tcBorders>
                  <w:noWrap w:val="0"/>
                  <w:vAlign w:val="center"/>
                </w:tcPr>
                <w:p w14:paraId="0ECD66AC">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lang w:eastAsia="zh-CN"/>
                    </w:rPr>
                    <w:t>符合</w:t>
                  </w:r>
                </w:p>
              </w:tc>
            </w:tr>
            <w:tr w14:paraId="4E32C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354" w:type="pct"/>
                  <w:tcBorders>
                    <w:tl2br w:val="nil"/>
                    <w:tr2bl w:val="nil"/>
                  </w:tcBorders>
                  <w:noWrap w:val="0"/>
                  <w:vAlign w:val="center"/>
                </w:tcPr>
                <w:p w14:paraId="733E7413">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7</w:t>
                  </w:r>
                </w:p>
              </w:tc>
              <w:tc>
                <w:tcPr>
                  <w:tcW w:w="2453" w:type="pct"/>
                  <w:tcBorders>
                    <w:tl2br w:val="nil"/>
                    <w:tr2bl w:val="nil"/>
                  </w:tcBorders>
                  <w:noWrap w:val="0"/>
                  <w:vAlign w:val="center"/>
                </w:tcPr>
                <w:p w14:paraId="5B2AC4B2">
                  <w:pPr>
                    <w:pStyle w:val="89"/>
                    <w:keepNext w:val="0"/>
                    <w:keepLines w:val="0"/>
                    <w:pageBreakBefore w:val="0"/>
                    <w:widowControl w:val="0"/>
                    <w:tabs>
                      <w:tab w:val="left" w:pos="3780"/>
                    </w:tabs>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加快园区环保基础设施建设，促进区域环境质量持续改善。各片区应根据用地规模、开发程度、产业聚集程度及排水条件，因地制宜规划建设污水集中处理设施及中水回用设施，并同步建设污水管网、雨水管网及中水回用管网。做好“雨污分流</w:t>
                  </w:r>
                  <w:r>
                    <w:rPr>
                      <w:rFonts w:hint="default"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清污分流”、废（污）水集中处理、中水回用等环保基础设施的建设，确保各片区污水得到有效收集和处理。积极推进集中供热的建设，督促园区企业加强废气、废水、噪声、固废等环保设施建设和运行管理。</w:t>
                  </w:r>
                </w:p>
              </w:tc>
              <w:tc>
                <w:tcPr>
                  <w:tcW w:w="1710" w:type="pct"/>
                  <w:tcBorders>
                    <w:tl2br w:val="nil"/>
                    <w:tr2bl w:val="nil"/>
                  </w:tcBorders>
                  <w:noWrap w:val="0"/>
                  <w:vAlign w:val="center"/>
                </w:tcPr>
                <w:p w14:paraId="196F8AFD">
                  <w:pPr>
                    <w:pStyle w:val="89"/>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lang w:val="en-US" w:eastAsia="zh-CN"/>
                    </w:rPr>
                    <w:t>项目</w:t>
                  </w:r>
                  <w:r>
                    <w:rPr>
                      <w:rFonts w:ascii="Times New Roman" w:hAnsi="Times New Roman" w:eastAsia="宋体" w:cs="Times New Roman"/>
                      <w:b w:val="0"/>
                      <w:bCs/>
                      <w:color w:val="auto"/>
                      <w:kern w:val="0"/>
                      <w:sz w:val="21"/>
                      <w:szCs w:val="21"/>
                      <w:lang w:val="en-US" w:eastAsia="zh-CN" w:bidi="ar-SA"/>
                    </w:rPr>
                    <w:t>冷却水</w:t>
                  </w:r>
                  <w:r>
                    <w:rPr>
                      <w:rFonts w:hint="default" w:ascii="Times New Roman" w:hAnsi="Times New Roman" w:eastAsia="宋体" w:cs="Times New Roman"/>
                      <w:b w:val="0"/>
                      <w:bCs w:val="0"/>
                      <w:color w:val="auto"/>
                      <w:sz w:val="21"/>
                      <w:szCs w:val="21"/>
                      <w:lang w:val="en-US" w:eastAsia="zh-CN"/>
                    </w:rPr>
                    <w:t>经冷却循环</w:t>
                  </w:r>
                  <w:r>
                    <w:rPr>
                      <w:rFonts w:hint="eastAsia" w:ascii="Times New Roman" w:hAnsi="Times New Roman" w:eastAsia="宋体" w:cs="Times New Roman"/>
                      <w:b w:val="0"/>
                      <w:bCs w:val="0"/>
                      <w:color w:val="auto"/>
                      <w:sz w:val="21"/>
                      <w:szCs w:val="21"/>
                      <w:lang w:val="en-US" w:eastAsia="zh-CN"/>
                    </w:rPr>
                    <w:t>水箱</w:t>
                  </w:r>
                  <w:r>
                    <w:rPr>
                      <w:rFonts w:hint="default" w:ascii="Times New Roman" w:hAnsi="Times New Roman" w:eastAsia="宋体" w:cs="Times New Roman"/>
                      <w:b w:val="0"/>
                      <w:bCs w:val="0"/>
                      <w:color w:val="auto"/>
                      <w:sz w:val="21"/>
                      <w:szCs w:val="21"/>
                      <w:lang w:val="en-US" w:eastAsia="zh-CN"/>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ascii="Times New Roman" w:hAnsi="Times New Roman" w:eastAsia="宋体"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ascii="Times New Roman" w:hAnsi="Times New Roman" w:eastAsia="宋体" w:cs="Times New Roman"/>
                      <w:b w:val="0"/>
                      <w:bCs w:val="0"/>
                      <w:color w:val="auto"/>
                      <w:sz w:val="21"/>
                      <w:szCs w:val="21"/>
                      <w:highlight w:val="none"/>
                      <w:lang w:val="en-US" w:eastAsia="zh-CN"/>
                    </w:rPr>
                    <w:t>处理后</w:t>
                  </w:r>
                  <w:r>
                    <w:rPr>
                      <w:rFonts w:hint="default" w:ascii="Times New Roman" w:hAnsi="Times New Roman" w:eastAsia="宋体" w:cs="Times New Roman"/>
                      <w:b w:val="0"/>
                      <w:bCs w:val="0"/>
                      <w:color w:val="auto"/>
                      <w:sz w:val="21"/>
                      <w:szCs w:val="21"/>
                      <w:highlight w:val="none"/>
                      <w:lang w:val="en-US" w:eastAsia="zh-CN"/>
                    </w:rPr>
                    <w:t>再进入到</w:t>
                  </w:r>
                  <w:r>
                    <w:rPr>
                      <w:rFonts w:hint="eastAsia" w:ascii="Times New Roman" w:hAnsi="Times New Roman" w:eastAsia="宋体" w:cs="Times New Roman"/>
                      <w:b w:val="0"/>
                      <w:bCs w:val="0"/>
                      <w:color w:val="auto"/>
                      <w:sz w:val="21"/>
                      <w:szCs w:val="21"/>
                      <w:highlight w:val="none"/>
                      <w:lang w:val="en-US" w:eastAsia="zh-CN"/>
                    </w:rPr>
                    <w:t>依托的一体化污水处理站</w:t>
                  </w:r>
                  <w:r>
                    <w:rPr>
                      <w:rFonts w:hint="default" w:ascii="Times New Roman" w:hAnsi="Times New Roman" w:eastAsia="宋体" w:cs="Times New Roman"/>
                      <w:b w:val="0"/>
                      <w:bCs w:val="0"/>
                      <w:color w:val="auto"/>
                      <w:sz w:val="21"/>
                      <w:szCs w:val="21"/>
                      <w:highlight w:val="none"/>
                      <w:lang w:val="en-US" w:eastAsia="zh-CN"/>
                    </w:rPr>
                    <w:t>处理</w:t>
                  </w:r>
                  <w:r>
                    <w:rPr>
                      <w:rFonts w:hint="eastAsia" w:ascii="Times New Roman" w:hAnsi="Times New Roman" w:eastAsia="宋体" w:cs="Times New Roman"/>
                      <w:b w:val="0"/>
                      <w:bCs w:val="0"/>
                      <w:color w:val="auto"/>
                      <w:sz w:val="21"/>
                      <w:szCs w:val="21"/>
                      <w:highlight w:val="none"/>
                      <w:lang w:val="en-US" w:eastAsia="zh-CN"/>
                    </w:rPr>
                    <w:t>达</w:t>
                  </w:r>
                  <w:r>
                    <w:rPr>
                      <w:rFonts w:hint="default" w:ascii="Times New Roman" w:hAnsi="Times New Roman" w:eastAsia="宋体" w:cs="Times New Roman"/>
                      <w:b w:val="0"/>
                      <w:bCs w:val="0"/>
                      <w:color w:val="auto"/>
                      <w:sz w:val="21"/>
                      <w:szCs w:val="21"/>
                      <w:highlight w:val="none"/>
                      <w:lang w:val="en-US" w:eastAsia="zh-CN"/>
                    </w:rPr>
                    <w:t>标后，用于</w:t>
                  </w:r>
                  <w:r>
                    <w:rPr>
                      <w:rFonts w:hint="eastAsia" w:ascii="Times New Roman" w:hAnsi="Times New Roman" w:eastAsia="宋体"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ascii="Times New Roman" w:hAnsi="Times New Roman" w:eastAsia="宋体" w:cs="Times New Roman"/>
                      <w:b w:val="0"/>
                      <w:bCs w:val="0"/>
                      <w:color w:val="auto"/>
                      <w:sz w:val="21"/>
                      <w:szCs w:val="21"/>
                      <w:highlight w:val="none"/>
                      <w:lang w:val="en-US" w:eastAsia="zh-CN"/>
                    </w:rPr>
                    <w:t>及云南宝泰轻化机械有限公司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r>
                    <w:rPr>
                      <w:rFonts w:hint="default" w:ascii="Times New Roman" w:hAnsi="Times New Roman" w:eastAsia="宋体" w:cs="Times New Roman"/>
                      <w:b w:val="0"/>
                      <w:bCs w:val="0"/>
                      <w:color w:val="auto"/>
                      <w:sz w:val="21"/>
                      <w:szCs w:val="21"/>
                      <w:lang w:val="en-US" w:eastAsia="zh-CN"/>
                    </w:rPr>
                    <w:t>本次评价已针对项目运营期产生的</w:t>
                  </w:r>
                  <w:r>
                    <w:rPr>
                      <w:rFonts w:hint="default" w:ascii="Times New Roman" w:hAnsi="Times New Roman" w:eastAsia="宋体" w:cs="Times New Roman"/>
                      <w:b w:val="0"/>
                      <w:bCs w:val="0"/>
                      <w:color w:val="auto"/>
                      <w:sz w:val="21"/>
                      <w:szCs w:val="21"/>
                    </w:rPr>
                    <w:t>废气、废水、噪声、固废</w:t>
                  </w:r>
                  <w:r>
                    <w:rPr>
                      <w:rFonts w:hint="default" w:ascii="Times New Roman" w:hAnsi="Times New Roman" w:eastAsia="宋体" w:cs="Times New Roman"/>
                      <w:b w:val="0"/>
                      <w:bCs w:val="0"/>
                      <w:color w:val="auto"/>
                      <w:sz w:val="21"/>
                      <w:szCs w:val="21"/>
                      <w:lang w:val="en-US" w:eastAsia="zh-CN"/>
                    </w:rPr>
                    <w:t>提出了对应的治理措施及运行管理要求</w:t>
                  </w:r>
                  <w:r>
                    <w:rPr>
                      <w:rFonts w:hint="default" w:ascii="Times New Roman" w:hAnsi="Times New Roman" w:eastAsia="宋体" w:cs="Times New Roman"/>
                      <w:b w:val="0"/>
                      <w:bCs w:val="0"/>
                      <w:color w:val="auto"/>
                      <w:sz w:val="21"/>
                      <w:szCs w:val="21"/>
                    </w:rPr>
                    <w:t>。</w:t>
                  </w:r>
                </w:p>
              </w:tc>
              <w:tc>
                <w:tcPr>
                  <w:tcW w:w="481" w:type="pct"/>
                  <w:tcBorders>
                    <w:tl2br w:val="nil"/>
                    <w:tr2bl w:val="nil"/>
                  </w:tcBorders>
                  <w:noWrap w:val="0"/>
                  <w:vAlign w:val="center"/>
                </w:tcPr>
                <w:p w14:paraId="1C4B1F4D">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lang w:eastAsia="zh-CN"/>
                    </w:rPr>
                    <w:t>符合</w:t>
                  </w:r>
                </w:p>
              </w:tc>
            </w:tr>
            <w:tr w14:paraId="7FD18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354" w:type="pct"/>
                  <w:tcBorders>
                    <w:tl2br w:val="nil"/>
                    <w:tr2bl w:val="nil"/>
                  </w:tcBorders>
                  <w:noWrap w:val="0"/>
                  <w:vAlign w:val="center"/>
                </w:tcPr>
                <w:p w14:paraId="0BD5E177">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8</w:t>
                  </w:r>
                </w:p>
              </w:tc>
              <w:tc>
                <w:tcPr>
                  <w:tcW w:w="2453" w:type="pct"/>
                  <w:tcBorders>
                    <w:tl2br w:val="nil"/>
                    <w:tr2bl w:val="nil"/>
                  </w:tcBorders>
                  <w:noWrap w:val="0"/>
                  <w:vAlign w:val="center"/>
                </w:tcPr>
                <w:p w14:paraId="0F78470A">
                  <w:pPr>
                    <w:pStyle w:val="89"/>
                    <w:keepNext w:val="0"/>
                    <w:keepLines w:val="0"/>
                    <w:pageBreakBefore w:val="0"/>
                    <w:widowControl w:val="0"/>
                    <w:tabs>
                      <w:tab w:val="left" w:pos="3780"/>
                    </w:tabs>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定期发布环境信息，建立畅通的公众参与平台。加强与周边公众的沟通，主动接受社会监督，妥善处理好园区建设与周边居民的关系，及时解决公众关心的环境问题，满足公众合理的环境诉求。</w:t>
                  </w:r>
                </w:p>
              </w:tc>
              <w:tc>
                <w:tcPr>
                  <w:tcW w:w="1710" w:type="pct"/>
                  <w:tcBorders>
                    <w:tl2br w:val="nil"/>
                    <w:tr2bl w:val="nil"/>
                  </w:tcBorders>
                  <w:noWrap w:val="0"/>
                  <w:vAlign w:val="center"/>
                </w:tcPr>
                <w:p w14:paraId="45DBA80A">
                  <w:pPr>
                    <w:pStyle w:val="89"/>
                    <w:keepNext w:val="0"/>
                    <w:keepLines w:val="0"/>
                    <w:pageBreakBefore w:val="0"/>
                    <w:widowControl w:val="0"/>
                    <w:tabs>
                      <w:tab w:val="left" w:pos="3780"/>
                    </w:tabs>
                    <w:kinsoku/>
                    <w:wordWrap/>
                    <w:overflowPunct/>
                    <w:topLinePunct w:val="0"/>
                    <w:autoSpaceDE/>
                    <w:autoSpaceDN/>
                    <w:bidi w:val="0"/>
                    <w:adjustRightInd w:val="0"/>
                    <w:snapToGrid w:val="0"/>
                    <w:spacing w:line="240" w:lineRule="auto"/>
                    <w:ind w:left="0" w:leftChars="0" w:firstLine="0" w:firstLineChars="0"/>
                    <w:jc w:val="left"/>
                    <w:textAlignment w:val="auto"/>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lang w:val="en-US" w:eastAsia="zh-CN"/>
                    </w:rPr>
                    <w:t>项目建成后，建设单位将定期进行自行监测，并发布自行监测信息，主动接受社会监督。</w:t>
                  </w:r>
                </w:p>
              </w:tc>
              <w:tc>
                <w:tcPr>
                  <w:tcW w:w="481" w:type="pct"/>
                  <w:tcBorders>
                    <w:tl2br w:val="nil"/>
                    <w:tr2bl w:val="nil"/>
                  </w:tcBorders>
                  <w:noWrap w:val="0"/>
                  <w:vAlign w:val="center"/>
                </w:tcPr>
                <w:p w14:paraId="18BFB895">
                  <w:pPr>
                    <w:pStyle w:val="89"/>
                    <w:keepNext w:val="0"/>
                    <w:keepLines w:val="0"/>
                    <w:pageBreakBefore w:val="0"/>
                    <w:widowControl w:val="0"/>
                    <w:tabs>
                      <w:tab w:val="left" w:pos="3780"/>
                    </w:tabs>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lang w:eastAsia="zh-CN"/>
                    </w:rPr>
                    <w:t>符合</w:t>
                  </w:r>
                </w:p>
              </w:tc>
            </w:tr>
          </w:tbl>
          <w:p w14:paraId="7B28F90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sz w:val="24"/>
                <w:lang w:eastAsia="zh-CN"/>
              </w:rPr>
            </w:pPr>
            <w:r>
              <w:rPr>
                <w:rFonts w:hint="default" w:ascii="Times New Roman" w:hAnsi="Times New Roman" w:eastAsia="宋体" w:cs="Times New Roman"/>
                <w:color w:val="auto"/>
                <w:sz w:val="24"/>
              </w:rPr>
              <w:t>综上，项目建设与</w:t>
            </w:r>
            <w:r>
              <w:rPr>
                <w:rFonts w:hint="default" w:ascii="Times New Roman" w:hAnsi="Times New Roman" w:eastAsia="宋体" w:cs="Times New Roman"/>
                <w:color w:val="auto"/>
                <w:sz w:val="24"/>
                <w:szCs w:val="24"/>
                <w:lang w:val="zh-CN"/>
              </w:rPr>
              <w:t>《云南澄江产业园区总体规划[修编]（2021-2035）环境影响报告书》</w:t>
            </w:r>
            <w:r>
              <w:rPr>
                <w:rFonts w:hint="default" w:ascii="Times New Roman" w:hAnsi="Times New Roman" w:eastAsia="宋体" w:cs="Times New Roman"/>
                <w:color w:val="auto"/>
                <w:sz w:val="24"/>
                <w:lang w:val="zh-CN" w:eastAsia="zh-CN"/>
              </w:rPr>
              <w:t>及其</w:t>
            </w:r>
            <w:r>
              <w:rPr>
                <w:rFonts w:hint="default" w:ascii="Times New Roman" w:hAnsi="Times New Roman" w:eastAsia="宋体" w:cs="Times New Roman"/>
                <w:color w:val="auto"/>
                <w:sz w:val="24"/>
                <w:lang w:eastAsia="zh-CN"/>
              </w:rPr>
              <w:t>审查意见的函</w:t>
            </w:r>
            <w:r>
              <w:rPr>
                <w:rFonts w:hint="default" w:ascii="Times New Roman" w:hAnsi="Times New Roman" w:eastAsia="宋体" w:cs="Times New Roman"/>
                <w:color w:val="auto"/>
                <w:kern w:val="0"/>
                <w:sz w:val="24"/>
              </w:rPr>
              <w:t>（玉市环函</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2022</w:t>
            </w:r>
            <w:r>
              <w:rPr>
                <w:rFonts w:hint="default" w:ascii="Times New Roman" w:hAnsi="Times New Roman" w:eastAsia="宋体" w:cs="Times New Roman"/>
                <w:color w:val="auto"/>
                <w:sz w:val="24"/>
              </w:rPr>
              <w:t>〕</w:t>
            </w:r>
            <w:r>
              <w:rPr>
                <w:rFonts w:hint="default" w:ascii="Times New Roman" w:hAnsi="Times New Roman" w:eastAsia="宋体" w:cs="Times New Roman"/>
                <w:color w:val="auto"/>
                <w:kern w:val="0"/>
                <w:sz w:val="24"/>
              </w:rPr>
              <w:t>2</w:t>
            </w:r>
            <w:r>
              <w:rPr>
                <w:rFonts w:hint="default" w:ascii="Times New Roman" w:hAnsi="Times New Roman" w:eastAsia="宋体" w:cs="Times New Roman"/>
                <w:color w:val="auto"/>
                <w:kern w:val="0"/>
                <w:sz w:val="24"/>
                <w:lang w:val="en-US" w:eastAsia="zh-CN"/>
              </w:rPr>
              <w:t>7</w:t>
            </w:r>
            <w:r>
              <w:rPr>
                <w:rFonts w:hint="default" w:ascii="Times New Roman" w:hAnsi="Times New Roman" w:eastAsia="宋体" w:cs="Times New Roman"/>
                <w:color w:val="auto"/>
                <w:kern w:val="0"/>
                <w:sz w:val="24"/>
              </w:rPr>
              <w:t>号）</w:t>
            </w:r>
            <w:r>
              <w:rPr>
                <w:rFonts w:hint="eastAsia" w:ascii="Times New Roman" w:hAnsi="Times New Roman" w:eastAsia="宋体" w:cs="Times New Roman"/>
                <w:color w:val="auto"/>
                <w:sz w:val="24"/>
                <w:lang w:eastAsia="zh-CN"/>
              </w:rPr>
              <w:t>不冲突</w:t>
            </w:r>
            <w:r>
              <w:rPr>
                <w:rFonts w:hint="default" w:ascii="Times New Roman" w:hAnsi="Times New Roman" w:eastAsia="宋体" w:cs="Times New Roman"/>
                <w:color w:val="auto"/>
                <w:sz w:val="24"/>
              </w:rPr>
              <w:t>。</w:t>
            </w:r>
          </w:p>
        </w:tc>
      </w:tr>
      <w:tr w14:paraId="421020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724" w:type="dxa"/>
            <w:vAlign w:val="center"/>
          </w:tcPr>
          <w:p w14:paraId="501167EC">
            <w:pPr>
              <w:autoSpaceDE w:val="0"/>
              <w:autoSpaceDN w:val="0"/>
              <w:adjustRightInd w:val="0"/>
              <w:snapToGrid w:val="0"/>
              <w:jc w:val="center"/>
              <w:rPr>
                <w:color w:val="auto"/>
                <w:kern w:val="0"/>
                <w:sz w:val="24"/>
              </w:rPr>
            </w:pPr>
            <w:r>
              <w:rPr>
                <w:color w:val="auto"/>
                <w:kern w:val="0"/>
                <w:sz w:val="24"/>
              </w:rPr>
              <w:t>其他符合性分析</w:t>
            </w:r>
          </w:p>
        </w:tc>
        <w:tc>
          <w:tcPr>
            <w:tcW w:w="8105" w:type="dxa"/>
            <w:gridSpan w:val="4"/>
            <w:vAlign w:val="center"/>
          </w:tcPr>
          <w:p w14:paraId="28199C3D">
            <w:pPr>
              <w:pStyle w:val="85"/>
              <w:numPr>
                <w:ilvl w:val="0"/>
                <w:numId w:val="4"/>
              </w:numPr>
              <w:rPr>
                <w:rFonts w:ascii="Times New Roman" w:hAnsi="Times New Roman"/>
                <w:b/>
                <w:color w:val="auto"/>
                <w:sz w:val="24"/>
              </w:rPr>
            </w:pPr>
            <w:bookmarkStart w:id="10" w:name="_Toc1839"/>
            <w:bookmarkStart w:id="11" w:name="_Toc14631_WPSOffice_Level2"/>
            <w:bookmarkStart w:id="12" w:name="_Toc11005"/>
            <w:r>
              <w:rPr>
                <w:rFonts w:hint="eastAsia" w:ascii="Times New Roman" w:hAnsi="Times New Roman"/>
                <w:b/>
                <w:color w:val="auto"/>
                <w:sz w:val="24"/>
              </w:rPr>
              <w:t>项目与</w:t>
            </w:r>
            <w:r>
              <w:rPr>
                <w:rFonts w:hint="default" w:ascii="Times New Roman" w:hAnsi="Times New Roman" w:eastAsia="宋体" w:cs="宋体"/>
                <w:b/>
                <w:color w:val="auto"/>
                <w:sz w:val="24"/>
                <w:lang w:val="en-US" w:eastAsia="zh-CN"/>
              </w:rPr>
              <w:t>《</w:t>
            </w:r>
            <w:r>
              <w:rPr>
                <w:rFonts w:hint="eastAsia" w:ascii="Times New Roman" w:hAnsi="Times New Roman" w:eastAsia="宋体" w:cs="宋体"/>
                <w:b/>
                <w:color w:val="auto"/>
                <w:sz w:val="24"/>
                <w:lang w:val="en-US" w:eastAsia="zh-CN"/>
              </w:rPr>
              <w:t>玉溪市</w:t>
            </w:r>
            <w:r>
              <w:rPr>
                <w:rFonts w:hint="default" w:ascii="Times New Roman" w:hAnsi="Times New Roman" w:eastAsia="宋体" w:cs="宋体"/>
                <w:b/>
                <w:color w:val="auto"/>
                <w:sz w:val="24"/>
                <w:lang w:val="en-US" w:eastAsia="zh-CN"/>
              </w:rPr>
              <w:t>生态环境分区管控动态更新调整方案（2023年）》</w:t>
            </w:r>
            <w:r>
              <w:rPr>
                <w:rFonts w:hint="eastAsia" w:ascii="Times New Roman" w:hAnsi="Times New Roman" w:eastAsia="宋体" w:cs="宋体"/>
                <w:b/>
                <w:color w:val="auto"/>
                <w:sz w:val="24"/>
              </w:rPr>
              <w:t>相符性分析</w:t>
            </w:r>
          </w:p>
          <w:p w14:paraId="49D2D0A4">
            <w:pPr>
              <w:pStyle w:val="85"/>
              <w:numPr>
                <w:ilvl w:val="0"/>
                <w:numId w:val="0"/>
              </w:numPr>
              <w:ind w:firstLine="480" w:firstLineChars="200"/>
              <w:rPr>
                <w:rFonts w:hint="eastAsia" w:ascii="Times New Roman" w:hAnsi="Times New Roman" w:eastAsia="宋体"/>
                <w:b w:val="0"/>
                <w:bCs/>
                <w:color w:val="auto"/>
                <w:sz w:val="24"/>
                <w:lang w:eastAsia="zh-CN"/>
              </w:rPr>
            </w:pPr>
            <w:r>
              <w:rPr>
                <w:rFonts w:hint="eastAsia" w:ascii="Times New Roman" w:hAnsi="Times New Roman"/>
                <w:b w:val="0"/>
                <w:bCs/>
                <w:color w:val="auto"/>
                <w:sz w:val="24"/>
              </w:rPr>
              <w:t>2024年</w:t>
            </w:r>
            <w:r>
              <w:rPr>
                <w:rFonts w:hint="eastAsia" w:ascii="Times New Roman" w:hAnsi="Times New Roman"/>
                <w:b w:val="0"/>
                <w:bCs/>
                <w:color w:val="auto"/>
                <w:sz w:val="24"/>
                <w:lang w:val="en-US" w:eastAsia="zh-CN"/>
              </w:rPr>
              <w:t>0</w:t>
            </w:r>
            <w:r>
              <w:rPr>
                <w:rFonts w:hint="eastAsia"/>
                <w:b w:val="0"/>
                <w:bCs/>
                <w:color w:val="auto"/>
                <w:sz w:val="24"/>
                <w:lang w:val="en-US" w:eastAsia="zh-CN"/>
              </w:rPr>
              <w:t>6</w:t>
            </w:r>
            <w:r>
              <w:rPr>
                <w:rFonts w:hint="eastAsia" w:ascii="Times New Roman" w:hAnsi="Times New Roman"/>
                <w:b w:val="0"/>
                <w:bCs/>
                <w:color w:val="auto"/>
                <w:sz w:val="24"/>
              </w:rPr>
              <w:t>月</w:t>
            </w:r>
            <w:r>
              <w:rPr>
                <w:rFonts w:hint="eastAsia" w:ascii="Times New Roman" w:hAnsi="Times New Roman"/>
                <w:b w:val="0"/>
                <w:bCs/>
                <w:color w:val="auto"/>
                <w:sz w:val="24"/>
                <w:lang w:val="en-US" w:eastAsia="zh-CN"/>
              </w:rPr>
              <w:t>07</w:t>
            </w:r>
            <w:r>
              <w:rPr>
                <w:rFonts w:hint="eastAsia" w:ascii="Times New Roman" w:hAnsi="Times New Roman"/>
                <w:b w:val="0"/>
                <w:bCs/>
                <w:color w:val="auto"/>
                <w:sz w:val="24"/>
              </w:rPr>
              <w:t>日，</w:t>
            </w:r>
            <w:r>
              <w:rPr>
                <w:rFonts w:hint="eastAsia"/>
                <w:b w:val="0"/>
                <w:bCs/>
                <w:color w:val="auto"/>
                <w:sz w:val="24"/>
                <w:lang w:eastAsia="zh-CN"/>
              </w:rPr>
              <w:t>玉溪市</w:t>
            </w:r>
            <w:r>
              <w:rPr>
                <w:rFonts w:hint="eastAsia" w:ascii="Times New Roman" w:hAnsi="Times New Roman"/>
                <w:b w:val="0"/>
                <w:bCs/>
                <w:color w:val="auto"/>
                <w:sz w:val="24"/>
              </w:rPr>
              <w:t>生态环境局发布了关于印发《</w:t>
            </w:r>
            <w:r>
              <w:rPr>
                <w:rFonts w:hint="eastAsia" w:ascii="Times New Roman" w:hAnsi="Times New Roman"/>
                <w:b w:val="0"/>
                <w:bCs/>
                <w:color w:val="auto"/>
                <w:sz w:val="24"/>
                <w:lang w:val="en-US" w:eastAsia="zh-CN"/>
              </w:rPr>
              <w:t>玉溪市</w:t>
            </w:r>
            <w:r>
              <w:rPr>
                <w:rFonts w:hint="default" w:ascii="Times New Roman" w:hAnsi="Times New Roman"/>
                <w:b w:val="0"/>
                <w:bCs/>
                <w:color w:val="auto"/>
                <w:sz w:val="24"/>
                <w:lang w:val="en-US" w:eastAsia="zh-CN"/>
              </w:rPr>
              <w:t>生态环境分区管控动态更新调整方案（2023年）</w:t>
            </w:r>
            <w:r>
              <w:rPr>
                <w:rFonts w:hint="eastAsia" w:ascii="Times New Roman" w:hAnsi="Times New Roman"/>
                <w:b w:val="0"/>
                <w:bCs/>
                <w:color w:val="auto"/>
                <w:sz w:val="24"/>
              </w:rPr>
              <w:t>》的通知。对照《</w:t>
            </w:r>
            <w:r>
              <w:rPr>
                <w:rFonts w:hint="eastAsia" w:ascii="Times New Roman" w:hAnsi="Times New Roman"/>
                <w:b w:val="0"/>
                <w:bCs/>
                <w:color w:val="auto"/>
                <w:sz w:val="24"/>
                <w:lang w:val="en-US" w:eastAsia="zh-CN"/>
              </w:rPr>
              <w:t>玉溪市</w:t>
            </w:r>
            <w:r>
              <w:rPr>
                <w:rFonts w:hint="default" w:ascii="Times New Roman" w:hAnsi="Times New Roman"/>
                <w:b w:val="0"/>
                <w:bCs/>
                <w:color w:val="auto"/>
                <w:sz w:val="24"/>
                <w:lang w:val="en-US" w:eastAsia="zh-CN"/>
              </w:rPr>
              <w:t>生态环境分区管控动态更新调整方案（2023年）</w:t>
            </w:r>
            <w:r>
              <w:rPr>
                <w:rFonts w:hint="eastAsia" w:ascii="Times New Roman" w:hAnsi="Times New Roman"/>
                <w:b w:val="0"/>
                <w:bCs/>
                <w:color w:val="auto"/>
                <w:sz w:val="24"/>
              </w:rPr>
              <w:t>》，与本项目相关内容的符合性分析如下</w:t>
            </w:r>
            <w:r>
              <w:rPr>
                <w:rFonts w:hint="eastAsia"/>
                <w:b w:val="0"/>
                <w:bCs/>
                <w:color w:val="auto"/>
                <w:sz w:val="24"/>
                <w:lang w:eastAsia="zh-CN"/>
              </w:rPr>
              <w:t>：</w:t>
            </w:r>
          </w:p>
          <w:bookmarkEnd w:id="10"/>
          <w:bookmarkEnd w:id="11"/>
          <w:bookmarkEnd w:id="12"/>
          <w:p w14:paraId="449E32B0">
            <w:pPr>
              <w:pStyle w:val="85"/>
              <w:numPr>
                <w:ilvl w:val="0"/>
                <w:numId w:val="0"/>
              </w:numPr>
              <w:ind w:firstLine="480" w:firstLineChars="200"/>
              <w:rPr>
                <w:rFonts w:hint="eastAsia" w:ascii="Times New Roman" w:hAnsi="Times New Roman" w:eastAsia="宋体"/>
                <w:b w:val="0"/>
                <w:bCs/>
                <w:color w:val="auto"/>
                <w:sz w:val="24"/>
                <w:lang w:eastAsia="zh-CN"/>
              </w:rPr>
            </w:pPr>
            <w:r>
              <w:rPr>
                <w:rFonts w:hint="eastAsia" w:ascii="Times New Roman" w:hAnsi="Times New Roman"/>
                <w:b w:val="0"/>
                <w:bCs/>
                <w:color w:val="auto"/>
                <w:sz w:val="24"/>
              </w:rPr>
              <w:t>与本项目相关内容的符合性分析如下</w:t>
            </w:r>
            <w:r>
              <w:rPr>
                <w:rFonts w:hint="eastAsia"/>
                <w:b w:val="0"/>
                <w:bCs/>
                <w:color w:val="auto"/>
                <w:sz w:val="24"/>
                <w:lang w:eastAsia="zh-CN"/>
              </w:rPr>
              <w:t>：</w:t>
            </w:r>
          </w:p>
          <w:p w14:paraId="2C37FD09">
            <w:pPr>
              <w:tabs>
                <w:tab w:val="left" w:pos="611"/>
              </w:tabs>
              <w:jc w:val="center"/>
              <w:rPr>
                <w:b/>
                <w:color w:val="auto"/>
              </w:rPr>
            </w:pPr>
            <w:r>
              <w:rPr>
                <w:rFonts w:hint="eastAsia" w:ascii="Times New Roman" w:hAnsi="Times New Roman" w:eastAsia="宋体" w:cs="Times New Roman"/>
                <w:b/>
                <w:bCs/>
                <w:snapToGrid w:val="0"/>
                <w:color w:val="auto"/>
                <w:kern w:val="0"/>
                <w:sz w:val="21"/>
                <w:szCs w:val="21"/>
                <w:highlight w:val="none"/>
                <w:lang w:val="en-US" w:eastAsia="zh-CN" w:bidi="ar-SA"/>
              </w:rPr>
              <w:t>表1-</w:t>
            </w:r>
            <w:r>
              <w:rPr>
                <w:rFonts w:hint="eastAsia" w:cs="Times New Roman"/>
                <w:b/>
                <w:bCs/>
                <w:snapToGrid w:val="0"/>
                <w:color w:val="auto"/>
                <w:kern w:val="0"/>
                <w:sz w:val="21"/>
                <w:szCs w:val="21"/>
                <w:highlight w:val="none"/>
                <w:lang w:val="en-US" w:eastAsia="zh-CN" w:bidi="ar-SA"/>
              </w:rPr>
              <w:t>4</w:t>
            </w:r>
            <w:r>
              <w:rPr>
                <w:rFonts w:hint="eastAsia" w:ascii="Times New Roman" w:hAnsi="Times New Roman" w:eastAsia="宋体" w:cs="Times New Roman"/>
                <w:b/>
                <w:bCs/>
                <w:snapToGrid w:val="0"/>
                <w:color w:val="auto"/>
                <w:kern w:val="0"/>
                <w:sz w:val="21"/>
                <w:szCs w:val="21"/>
                <w:highlight w:val="none"/>
                <w:lang w:val="en-US" w:eastAsia="zh-CN" w:bidi="ar-SA"/>
              </w:rPr>
              <w:t xml:space="preserve">  项目与《玉溪市生态环境分区管控动态更新调整方案（2023年）》符合性分析</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7"/>
              <w:gridCol w:w="718"/>
              <w:gridCol w:w="3098"/>
              <w:gridCol w:w="2778"/>
              <w:gridCol w:w="808"/>
            </w:tblGrid>
            <w:tr w14:paraId="78B8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218" w:type="dxa"/>
                  <w:gridSpan w:val="2"/>
                  <w:noWrap w:val="0"/>
                  <w:vAlign w:val="center"/>
                </w:tcPr>
                <w:p w14:paraId="56EFCEDE">
                  <w:pPr>
                    <w:autoSpaceDE w:val="0"/>
                    <w:jc w:val="center"/>
                    <w:rPr>
                      <w:b/>
                      <w:color w:val="auto"/>
                      <w:sz w:val="21"/>
                      <w:szCs w:val="21"/>
                    </w:rPr>
                  </w:pPr>
                  <w:r>
                    <w:rPr>
                      <w:b/>
                      <w:color w:val="auto"/>
                      <w:sz w:val="21"/>
                      <w:szCs w:val="21"/>
                      <w:lang w:bidi="ar"/>
                    </w:rPr>
                    <w:t>类别</w:t>
                  </w:r>
                </w:p>
              </w:tc>
              <w:tc>
                <w:tcPr>
                  <w:tcW w:w="3225" w:type="dxa"/>
                  <w:noWrap w:val="0"/>
                  <w:vAlign w:val="center"/>
                </w:tcPr>
                <w:p w14:paraId="0962B7A1">
                  <w:pPr>
                    <w:autoSpaceDE w:val="0"/>
                    <w:jc w:val="center"/>
                    <w:rPr>
                      <w:b/>
                      <w:color w:val="auto"/>
                      <w:sz w:val="21"/>
                      <w:szCs w:val="21"/>
                    </w:rPr>
                  </w:pPr>
                  <w:r>
                    <w:rPr>
                      <w:b/>
                      <w:color w:val="auto"/>
                      <w:sz w:val="21"/>
                      <w:szCs w:val="21"/>
                      <w:lang w:bidi="ar"/>
                    </w:rPr>
                    <w:t>内容要求</w:t>
                  </w:r>
                </w:p>
              </w:tc>
              <w:tc>
                <w:tcPr>
                  <w:tcW w:w="2880" w:type="dxa"/>
                  <w:noWrap w:val="0"/>
                  <w:vAlign w:val="center"/>
                </w:tcPr>
                <w:p w14:paraId="3C5E415D">
                  <w:pPr>
                    <w:autoSpaceDE w:val="0"/>
                    <w:jc w:val="center"/>
                    <w:rPr>
                      <w:b/>
                      <w:color w:val="auto"/>
                      <w:sz w:val="21"/>
                      <w:szCs w:val="21"/>
                    </w:rPr>
                  </w:pPr>
                  <w:r>
                    <w:rPr>
                      <w:b/>
                      <w:color w:val="auto"/>
                      <w:sz w:val="21"/>
                      <w:szCs w:val="21"/>
                      <w:lang w:bidi="ar"/>
                    </w:rPr>
                    <w:t>项目情况</w:t>
                  </w:r>
                </w:p>
              </w:tc>
              <w:tc>
                <w:tcPr>
                  <w:tcW w:w="833" w:type="dxa"/>
                  <w:noWrap w:val="0"/>
                  <w:vAlign w:val="center"/>
                </w:tcPr>
                <w:p w14:paraId="5C20CF35">
                  <w:pPr>
                    <w:autoSpaceDE w:val="0"/>
                    <w:jc w:val="center"/>
                    <w:rPr>
                      <w:b/>
                      <w:color w:val="auto"/>
                      <w:sz w:val="21"/>
                      <w:szCs w:val="21"/>
                    </w:rPr>
                  </w:pPr>
                  <w:r>
                    <w:rPr>
                      <w:b/>
                      <w:color w:val="auto"/>
                      <w:sz w:val="21"/>
                      <w:szCs w:val="21"/>
                      <w:lang w:bidi="ar"/>
                    </w:rPr>
                    <w:t>符合性</w:t>
                  </w:r>
                </w:p>
              </w:tc>
            </w:tr>
            <w:tr w14:paraId="769E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81" w:type="dxa"/>
                  <w:vMerge w:val="restart"/>
                  <w:noWrap w:val="0"/>
                  <w:vAlign w:val="center"/>
                </w:tcPr>
                <w:p w14:paraId="00BA41FE">
                  <w:pPr>
                    <w:autoSpaceDE w:val="0"/>
                    <w:jc w:val="center"/>
                    <w:rPr>
                      <w:color w:val="auto"/>
                      <w:sz w:val="21"/>
                      <w:szCs w:val="21"/>
                    </w:rPr>
                  </w:pPr>
                  <w:r>
                    <w:rPr>
                      <w:color w:val="auto"/>
                      <w:sz w:val="21"/>
                      <w:szCs w:val="21"/>
                      <w:lang w:bidi="ar"/>
                    </w:rPr>
                    <w:t>红河州生态环境管控总体要求</w:t>
                  </w:r>
                </w:p>
              </w:tc>
              <w:tc>
                <w:tcPr>
                  <w:tcW w:w="737" w:type="dxa"/>
                  <w:noWrap w:val="0"/>
                  <w:vAlign w:val="center"/>
                </w:tcPr>
                <w:p w14:paraId="74195755">
                  <w:pPr>
                    <w:autoSpaceDE w:val="0"/>
                    <w:jc w:val="center"/>
                    <w:rPr>
                      <w:color w:val="auto"/>
                      <w:sz w:val="21"/>
                      <w:szCs w:val="21"/>
                    </w:rPr>
                  </w:pPr>
                  <w:r>
                    <w:rPr>
                      <w:color w:val="auto"/>
                      <w:sz w:val="21"/>
                      <w:szCs w:val="21"/>
                    </w:rPr>
                    <w:t>空间布局约束</w:t>
                  </w:r>
                </w:p>
              </w:tc>
              <w:tc>
                <w:tcPr>
                  <w:tcW w:w="3225" w:type="dxa"/>
                  <w:noWrap w:val="0"/>
                  <w:vAlign w:val="center"/>
                </w:tcPr>
                <w:p w14:paraId="33BEFFD9">
                  <w:pPr>
                    <w:autoSpaceDE w:val="0"/>
                    <w:rPr>
                      <w:rFonts w:hint="eastAsia"/>
                      <w:color w:val="auto"/>
                      <w:sz w:val="21"/>
                      <w:szCs w:val="21"/>
                    </w:rPr>
                  </w:pPr>
                  <w:r>
                    <w:rPr>
                      <w:rFonts w:hint="eastAsia"/>
                      <w:color w:val="auto"/>
                      <w:sz w:val="21"/>
                      <w:szCs w:val="21"/>
                    </w:rPr>
                    <w:t>1.严格落实国家产业政策、国家产业结构调整指导目录。坚决遏制高耗能、高排放、低水平项目盲目发展，项目审批严格落实国家和云南省相关政策要求。严格落实钢铁、水泥、平板玻璃、电解铝等行业产能置换相关政策，严管严控新增电解铝和工业硅产能。</w:t>
                  </w:r>
                </w:p>
                <w:p w14:paraId="2C31DCD1">
                  <w:pPr>
                    <w:autoSpaceDE w:val="0"/>
                    <w:rPr>
                      <w:rFonts w:hint="eastAsia"/>
                      <w:color w:val="auto"/>
                      <w:sz w:val="21"/>
                      <w:szCs w:val="21"/>
                    </w:rPr>
                  </w:pPr>
                  <w:r>
                    <w:rPr>
                      <w:rFonts w:hint="eastAsia"/>
                      <w:color w:val="auto"/>
                      <w:sz w:val="21"/>
                      <w:szCs w:val="21"/>
                    </w:rPr>
                    <w:t>2.加强河湖水域岸线空间管控，严格落实九大高原湖泊（抚仙湖、星云湖、杞麓湖）“两线三区”相关管控要求。加快推动重点区域、重点流域落后和过剩产能退出。依法加快城市建成区重污染企业搬迁改造或关闭退出。</w:t>
                  </w:r>
                </w:p>
                <w:p w14:paraId="2DBFC76F">
                  <w:pPr>
                    <w:autoSpaceDE w:val="0"/>
                    <w:rPr>
                      <w:rFonts w:hint="eastAsia"/>
                      <w:color w:val="auto"/>
                      <w:sz w:val="21"/>
                      <w:szCs w:val="21"/>
                    </w:rPr>
                  </w:pPr>
                  <w:r>
                    <w:rPr>
                      <w:rFonts w:hint="eastAsia"/>
                      <w:color w:val="auto"/>
                      <w:sz w:val="21"/>
                      <w:szCs w:val="21"/>
                    </w:rPr>
                    <w:t>3.禁止在合规园区外新建、扩建钢铁、石化、化工、焦化、建材、有色、制浆造纸行业中的高污染项目。禁止新建、扩建不符合国家石化、现代煤化工等产业布局规划的项目。禁止列入《云南省城镇人口密集区危险化学品生产企业搬迁改造名单》的搬迁改造企业在原址新建、扩建危险化学品生产项目。新建、改建、扩建“两高”项目须符合生态环境保护法律法规和相关法定规划，满足重点污染物排放总量控制、碳排放达峰目标、生态环境准入清单、相关规划环评和相应行业建设项目环境准入条件、环评文件审批原则要求。</w:t>
                  </w:r>
                </w:p>
                <w:p w14:paraId="26776AAF">
                  <w:pPr>
                    <w:autoSpaceDE w:val="0"/>
                    <w:rPr>
                      <w:rFonts w:hint="eastAsia"/>
                      <w:color w:val="auto"/>
                      <w:sz w:val="21"/>
                      <w:szCs w:val="21"/>
                    </w:rPr>
                  </w:pPr>
                  <w:r>
                    <w:rPr>
                      <w:rFonts w:hint="eastAsia"/>
                      <w:color w:val="auto"/>
                      <w:sz w:val="21"/>
                      <w:szCs w:val="21"/>
                    </w:rPr>
                    <w:t>4.禁止在九大高原湖泊（抚仙湖、星云湖、杞麓湖）流域内新建、改建、扩建污染环境、高耗水、高耗能、破坏生态平衡和自然景观的项目。</w:t>
                  </w:r>
                </w:p>
                <w:p w14:paraId="12A5DAC6">
                  <w:pPr>
                    <w:autoSpaceDE w:val="0"/>
                    <w:rPr>
                      <w:color w:val="auto"/>
                      <w:sz w:val="21"/>
                      <w:szCs w:val="21"/>
                    </w:rPr>
                  </w:pPr>
                  <w:r>
                    <w:rPr>
                      <w:rFonts w:hint="eastAsia"/>
                      <w:color w:val="auto"/>
                      <w:sz w:val="21"/>
                      <w:szCs w:val="21"/>
                    </w:rPr>
                    <w:t>5.落实云南省碳达峰碳中和相关要求，处理好发展和减排、整体和局部、长远目标和短期目标、政府和市场的关系，坚定不移走生态优先、绿色低碳的高质量发展道路</w:t>
                  </w:r>
                  <w:r>
                    <w:rPr>
                      <w:color w:val="auto"/>
                      <w:sz w:val="21"/>
                      <w:szCs w:val="21"/>
                    </w:rPr>
                    <w:t>。</w:t>
                  </w:r>
                </w:p>
              </w:tc>
              <w:tc>
                <w:tcPr>
                  <w:tcW w:w="2880" w:type="dxa"/>
                  <w:noWrap w:val="0"/>
                  <w:vAlign w:val="center"/>
                </w:tcPr>
                <w:p w14:paraId="613DA59F">
                  <w:pPr>
                    <w:autoSpaceDE w:val="0"/>
                    <w:rPr>
                      <w:color w:val="auto"/>
                      <w:sz w:val="21"/>
                      <w:szCs w:val="21"/>
                    </w:rPr>
                  </w:pPr>
                  <w:r>
                    <w:rPr>
                      <w:rFonts w:hint="eastAsia"/>
                      <w:color w:val="auto"/>
                      <w:sz w:val="21"/>
                      <w:szCs w:val="21"/>
                      <w:lang w:val="en-US" w:eastAsia="zh-CN"/>
                    </w:rPr>
                    <w:t>1.</w:t>
                  </w:r>
                  <w:r>
                    <w:rPr>
                      <w:rFonts w:hint="eastAsia"/>
                      <w:color w:val="auto"/>
                      <w:sz w:val="21"/>
                      <w:szCs w:val="21"/>
                    </w:rPr>
                    <w:t>本项目</w:t>
                  </w:r>
                  <w:r>
                    <w:rPr>
                      <w:rFonts w:hint="eastAsia" w:ascii="Times New Roman" w:hAnsi="Times New Roman" w:eastAsia="宋体" w:cs="Times New Roman"/>
                      <w:color w:val="auto"/>
                      <w:sz w:val="21"/>
                      <w:szCs w:val="21"/>
                    </w:rPr>
                    <w:t>属于</w:t>
                  </w:r>
                  <w:r>
                    <w:rPr>
                      <w:rFonts w:hint="default" w:ascii="Times New Roman" w:hAnsi="Times New Roman" w:eastAsia="宋体" w:cs="Times New Roman"/>
                      <w:color w:val="auto"/>
                      <w:sz w:val="21"/>
                      <w:szCs w:val="21"/>
                    </w:rPr>
                    <w:t>塑料包装箱及容器制造</w:t>
                  </w:r>
                  <w:r>
                    <w:rPr>
                      <w:rFonts w:hint="eastAsia" w:ascii="Times New Roman" w:hAnsi="Times New Roman" w:eastAsia="宋体" w:cs="Times New Roman"/>
                      <w:color w:val="auto"/>
                      <w:sz w:val="21"/>
                      <w:szCs w:val="21"/>
                    </w:rPr>
                    <w:t>，</w:t>
                  </w:r>
                  <w:r>
                    <w:rPr>
                      <w:rFonts w:hint="eastAsia"/>
                      <w:color w:val="auto"/>
                      <w:sz w:val="21"/>
                      <w:szCs w:val="21"/>
                    </w:rPr>
                    <w:t>项目的建设符合国家、地方现行的产业政策的要求，不属于高耗能、高排放、低水平项目</w:t>
                  </w:r>
                  <w:r>
                    <w:rPr>
                      <w:rFonts w:hint="eastAsia"/>
                      <w:color w:val="auto"/>
                      <w:sz w:val="21"/>
                      <w:szCs w:val="21"/>
                      <w:lang w:eastAsia="zh-CN"/>
                    </w:rPr>
                    <w:t>，</w:t>
                  </w:r>
                  <w:r>
                    <w:rPr>
                      <w:rFonts w:cs="Times New Roman"/>
                      <w:b w:val="0"/>
                      <w:bCs/>
                      <w:color w:val="auto"/>
                      <w:sz w:val="21"/>
                      <w:szCs w:val="21"/>
                    </w:rPr>
                    <w:t>不属于钢铁、水泥、平板玻璃、电解铝等行业</w:t>
                  </w:r>
                  <w:r>
                    <w:rPr>
                      <w:rFonts w:hint="eastAsia"/>
                      <w:color w:val="auto"/>
                      <w:sz w:val="21"/>
                      <w:szCs w:val="21"/>
                    </w:rPr>
                    <w:t>。</w:t>
                  </w:r>
                </w:p>
                <w:p w14:paraId="6CAB9D1D">
                  <w:pPr>
                    <w:autoSpaceDE w:val="0"/>
                    <w:rPr>
                      <w:rFonts w:hint="eastAsia"/>
                      <w:color w:val="auto"/>
                      <w:sz w:val="21"/>
                      <w:szCs w:val="21"/>
                    </w:rPr>
                  </w:pPr>
                  <w:r>
                    <w:rPr>
                      <w:rFonts w:hint="eastAsia"/>
                      <w:color w:val="auto"/>
                      <w:sz w:val="21"/>
                      <w:szCs w:val="21"/>
                      <w:lang w:val="en-US" w:eastAsia="zh-CN"/>
                    </w:rPr>
                    <w:t>2.</w:t>
                  </w:r>
                  <w:r>
                    <w:rPr>
                      <w:rFonts w:cs="Times New Roman"/>
                      <w:b w:val="0"/>
                      <w:bCs/>
                      <w:color w:val="auto"/>
                      <w:sz w:val="21"/>
                      <w:szCs w:val="21"/>
                    </w:rPr>
                    <w:t>本项目不位于抚仙湖水域岸线；项目不属于落后产能。</w:t>
                  </w:r>
                </w:p>
                <w:p w14:paraId="210C1E65">
                  <w:pPr>
                    <w:autoSpaceDE w:val="0"/>
                    <w:rPr>
                      <w:color w:val="auto"/>
                      <w:sz w:val="21"/>
                      <w:szCs w:val="21"/>
                    </w:rPr>
                  </w:pPr>
                  <w:r>
                    <w:rPr>
                      <w:rFonts w:hint="eastAsia"/>
                      <w:color w:val="auto"/>
                      <w:sz w:val="21"/>
                      <w:szCs w:val="21"/>
                      <w:lang w:val="en-US" w:eastAsia="zh-CN"/>
                    </w:rPr>
                    <w:t>3.</w:t>
                  </w:r>
                  <w:r>
                    <w:rPr>
                      <w:rFonts w:hint="eastAsia" w:cs="Times New Roman"/>
                      <w:b w:val="0"/>
                      <w:bCs/>
                      <w:color w:val="auto"/>
                      <w:sz w:val="21"/>
                      <w:szCs w:val="21"/>
                      <w:lang w:val="en-US" w:eastAsia="zh-CN"/>
                    </w:rPr>
                    <w:t>本</w:t>
                  </w:r>
                  <w:r>
                    <w:rPr>
                      <w:rFonts w:hint="default" w:cs="Times New Roman"/>
                      <w:b w:val="0"/>
                      <w:bCs/>
                      <w:color w:val="auto"/>
                      <w:sz w:val="21"/>
                      <w:szCs w:val="21"/>
                    </w:rPr>
                    <w:t>项目位于澄江</w:t>
                  </w:r>
                  <w:r>
                    <w:rPr>
                      <w:rFonts w:hint="eastAsia" w:cs="Times New Roman"/>
                      <w:b w:val="0"/>
                      <w:bCs/>
                      <w:color w:val="auto"/>
                      <w:sz w:val="21"/>
                      <w:szCs w:val="21"/>
                      <w:lang w:eastAsia="zh-CN"/>
                    </w:rPr>
                    <w:t>市</w:t>
                  </w:r>
                  <w:r>
                    <w:rPr>
                      <w:rFonts w:hint="default" w:cs="Times New Roman"/>
                      <w:b w:val="0"/>
                      <w:bCs/>
                      <w:color w:val="auto"/>
                      <w:sz w:val="21"/>
                      <w:szCs w:val="21"/>
                    </w:rPr>
                    <w:t>产业园区</w:t>
                  </w:r>
                  <w:r>
                    <w:rPr>
                      <w:rFonts w:hint="eastAsia" w:cs="Times New Roman"/>
                      <w:b w:val="0"/>
                      <w:bCs/>
                      <w:color w:val="auto"/>
                      <w:sz w:val="21"/>
                      <w:szCs w:val="21"/>
                      <w:lang w:val="en-US" w:eastAsia="zh-CN"/>
                    </w:rPr>
                    <w:t>提古</w:t>
                  </w:r>
                  <w:r>
                    <w:rPr>
                      <w:rFonts w:hint="default" w:cs="Times New Roman"/>
                      <w:b w:val="0"/>
                      <w:bCs/>
                      <w:color w:val="auto"/>
                      <w:sz w:val="21"/>
                      <w:szCs w:val="21"/>
                    </w:rPr>
                    <w:t>片区，属于合规园区内建设，不涉及在园区外新建或扩建钢铁、石化、化工等高污染项目。项目不属于高污染行业，且严格遵守国家产业布局规划，不涉及列入《云南省城镇人口密集区危险化学品生产企业搬迁改造名单》的搬迁改造企业在原址的新建或扩建活动。在新建过程中，项目</w:t>
                  </w:r>
                  <w:r>
                    <w:rPr>
                      <w:rFonts w:hint="eastAsia" w:cs="Times New Roman"/>
                      <w:b w:val="0"/>
                      <w:bCs/>
                      <w:color w:val="auto"/>
                      <w:sz w:val="21"/>
                      <w:szCs w:val="21"/>
                      <w:lang w:val="en-US" w:eastAsia="zh-CN"/>
                    </w:rPr>
                    <w:t>将</w:t>
                  </w:r>
                  <w:r>
                    <w:rPr>
                      <w:rFonts w:hint="default" w:cs="Times New Roman"/>
                      <w:b w:val="0"/>
                      <w:bCs/>
                      <w:color w:val="auto"/>
                      <w:sz w:val="21"/>
                      <w:szCs w:val="21"/>
                    </w:rPr>
                    <w:t>充分考虑了生态环境保护的要求，确保了与生态环境准入清单、相关规划环评以及行业建设项目环境准入条件的一致性。</w:t>
                  </w:r>
                </w:p>
                <w:p w14:paraId="53DA1918">
                  <w:pPr>
                    <w:autoSpaceDE w:val="0"/>
                    <w:rPr>
                      <w:rFonts w:hint="eastAsia" w:cs="Times New Roman"/>
                      <w:b w:val="0"/>
                      <w:bCs/>
                      <w:color w:val="auto"/>
                      <w:sz w:val="21"/>
                      <w:szCs w:val="21"/>
                      <w:lang w:val="en-US" w:eastAsia="zh-CN"/>
                    </w:rPr>
                  </w:pPr>
                  <w:r>
                    <w:rPr>
                      <w:rFonts w:hint="eastAsia" w:ascii="Times New Roman" w:hAnsi="Times New Roman" w:eastAsia="宋体" w:cs="Times New Roman"/>
                      <w:b w:val="0"/>
                      <w:bCs w:val="0"/>
                      <w:color w:val="auto"/>
                      <w:sz w:val="21"/>
                      <w:szCs w:val="21"/>
                      <w:highlight w:val="none"/>
                      <w:lang w:val="en-US" w:eastAsia="zh-CN"/>
                    </w:rPr>
                    <w:t>4.</w:t>
                  </w:r>
                  <w:r>
                    <w:rPr>
                      <w:rFonts w:hint="eastAsia" w:cs="Times New Roman"/>
                      <w:b w:val="0"/>
                      <w:bCs/>
                      <w:color w:val="auto"/>
                      <w:sz w:val="21"/>
                      <w:szCs w:val="21"/>
                      <w:lang w:val="en-US" w:eastAsia="zh-CN"/>
                    </w:rPr>
                    <w:t>根据《玉溪市人民政府关于抚仙湖、星云湖、杞麓湖生态保护核心区生态保护缓冲区绿色发展区划定公告》，本项目不在抚仙湖保护区范围内。</w:t>
                  </w:r>
                </w:p>
                <w:p w14:paraId="75D7F10F">
                  <w:pPr>
                    <w:autoSpaceDE w:val="0"/>
                    <w:rPr>
                      <w:rFonts w:hint="default" w:cs="Times New Roman"/>
                      <w:b w:val="0"/>
                      <w:bCs/>
                      <w:color w:val="auto"/>
                      <w:sz w:val="21"/>
                      <w:szCs w:val="21"/>
                      <w:lang w:val="en-US" w:eastAsia="zh-CN"/>
                    </w:rPr>
                  </w:pPr>
                  <w:r>
                    <w:rPr>
                      <w:rFonts w:hint="eastAsia" w:cs="Times New Roman"/>
                      <w:b w:val="0"/>
                      <w:bCs/>
                      <w:color w:val="auto"/>
                      <w:sz w:val="21"/>
                      <w:szCs w:val="21"/>
                      <w:lang w:val="en-US" w:eastAsia="zh-CN"/>
                    </w:rPr>
                    <w:t>5.本项目生产过程中采用电能，</w:t>
                  </w:r>
                  <w:r>
                    <w:rPr>
                      <w:rFonts w:hint="default" w:ascii="Times New Roman" w:hAnsi="Times New Roman" w:cs="Times New Roman"/>
                      <w:b w:val="0"/>
                      <w:bCs w:val="0"/>
                      <w:color w:val="auto"/>
                      <w:sz w:val="21"/>
                      <w:szCs w:val="21"/>
                      <w:lang w:val="en-US" w:eastAsia="zh-CN"/>
                    </w:rPr>
                    <w:t>项目的生产过程中水和固体废物均得到</w:t>
                  </w:r>
                  <w:r>
                    <w:rPr>
                      <w:rFonts w:hint="eastAsia" w:ascii="Times New Roman" w:hAnsi="Times New Roman" w:cs="Times New Roman"/>
                      <w:b w:val="0"/>
                      <w:bCs w:val="0"/>
                      <w:color w:val="auto"/>
                      <w:sz w:val="21"/>
                      <w:szCs w:val="21"/>
                      <w:lang w:val="en-US" w:eastAsia="zh-CN"/>
                    </w:rPr>
                    <w:t>循环使用</w:t>
                  </w:r>
                  <w:r>
                    <w:rPr>
                      <w:rFonts w:hint="default" w:ascii="Times New Roman" w:hAnsi="Times New Roman" w:cs="Times New Roman"/>
                      <w:b w:val="0"/>
                      <w:bCs w:val="0"/>
                      <w:color w:val="auto"/>
                      <w:sz w:val="21"/>
                      <w:szCs w:val="21"/>
                      <w:lang w:val="en-US" w:eastAsia="zh-CN"/>
                    </w:rPr>
                    <w:t>和</w:t>
                  </w:r>
                  <w:r>
                    <w:rPr>
                      <w:rFonts w:hint="eastAsia" w:ascii="Times New Roman" w:hAnsi="Times New Roman" w:cs="Times New Roman"/>
                      <w:b w:val="0"/>
                      <w:bCs w:val="0"/>
                      <w:color w:val="auto"/>
                      <w:sz w:val="21"/>
                      <w:szCs w:val="21"/>
                      <w:lang w:val="en-US" w:eastAsia="zh-CN"/>
                    </w:rPr>
                    <w:t>100%处置</w:t>
                  </w:r>
                  <w:r>
                    <w:rPr>
                      <w:rFonts w:hint="default" w:ascii="Times New Roman" w:hAnsi="Times New Roman" w:cs="Times New Roman"/>
                      <w:b w:val="0"/>
                      <w:bCs w:val="0"/>
                      <w:color w:val="auto"/>
                      <w:sz w:val="21"/>
                      <w:szCs w:val="21"/>
                      <w:lang w:val="en-US" w:eastAsia="zh-CN"/>
                    </w:rPr>
                    <w:t>，符合云南省推动绿色低碳发展的政策方向。</w:t>
                  </w:r>
                </w:p>
              </w:tc>
              <w:tc>
                <w:tcPr>
                  <w:tcW w:w="833" w:type="dxa"/>
                  <w:noWrap w:val="0"/>
                  <w:vAlign w:val="center"/>
                </w:tcPr>
                <w:p w14:paraId="1C9DFE0F">
                  <w:pPr>
                    <w:autoSpaceDE w:val="0"/>
                    <w:jc w:val="center"/>
                    <w:rPr>
                      <w:color w:val="auto"/>
                      <w:sz w:val="21"/>
                      <w:szCs w:val="21"/>
                    </w:rPr>
                  </w:pPr>
                  <w:r>
                    <w:rPr>
                      <w:color w:val="auto"/>
                      <w:sz w:val="21"/>
                      <w:szCs w:val="21"/>
                      <w:lang w:bidi="ar"/>
                    </w:rPr>
                    <w:t>符合</w:t>
                  </w:r>
                </w:p>
              </w:tc>
            </w:tr>
            <w:tr w14:paraId="7279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81" w:type="dxa"/>
                  <w:vMerge w:val="continue"/>
                  <w:noWrap w:val="0"/>
                  <w:vAlign w:val="center"/>
                </w:tcPr>
                <w:p w14:paraId="6363BB90">
                  <w:pPr>
                    <w:jc w:val="center"/>
                    <w:rPr>
                      <w:color w:val="auto"/>
                      <w:sz w:val="21"/>
                      <w:szCs w:val="21"/>
                    </w:rPr>
                  </w:pPr>
                </w:p>
              </w:tc>
              <w:tc>
                <w:tcPr>
                  <w:tcW w:w="737" w:type="dxa"/>
                  <w:noWrap w:val="0"/>
                  <w:vAlign w:val="center"/>
                </w:tcPr>
                <w:p w14:paraId="0CC2851C">
                  <w:pPr>
                    <w:autoSpaceDE w:val="0"/>
                    <w:jc w:val="center"/>
                    <w:rPr>
                      <w:color w:val="auto"/>
                      <w:sz w:val="21"/>
                      <w:szCs w:val="21"/>
                    </w:rPr>
                  </w:pPr>
                  <w:r>
                    <w:rPr>
                      <w:color w:val="auto"/>
                      <w:sz w:val="21"/>
                      <w:szCs w:val="21"/>
                    </w:rPr>
                    <w:t>污染物排放管控</w:t>
                  </w:r>
                </w:p>
              </w:tc>
              <w:tc>
                <w:tcPr>
                  <w:tcW w:w="3225" w:type="dxa"/>
                  <w:noWrap w:val="0"/>
                  <w:vAlign w:val="center"/>
                </w:tcPr>
                <w:p w14:paraId="28CE53A6">
                  <w:pPr>
                    <w:autoSpaceDE w:val="0"/>
                    <w:rPr>
                      <w:rFonts w:hint="eastAsia"/>
                      <w:color w:val="auto"/>
                      <w:sz w:val="21"/>
                      <w:szCs w:val="21"/>
                    </w:rPr>
                  </w:pPr>
                  <w:r>
                    <w:rPr>
                      <w:rFonts w:hint="eastAsia"/>
                      <w:color w:val="auto"/>
                      <w:sz w:val="21"/>
                      <w:szCs w:val="21"/>
                    </w:rPr>
                    <w:t>1.严格落实强制性清洁生产审核要求，引导重点行业实施清洁生产改造，到2025年底，重点行业企业基本达到国内清洁生产先进水平。</w:t>
                  </w:r>
                </w:p>
                <w:p w14:paraId="5DAFA608">
                  <w:pPr>
                    <w:autoSpaceDE w:val="0"/>
                    <w:rPr>
                      <w:rFonts w:hint="eastAsia"/>
                      <w:color w:val="auto"/>
                      <w:sz w:val="21"/>
                      <w:szCs w:val="21"/>
                    </w:rPr>
                  </w:pPr>
                  <w:r>
                    <w:rPr>
                      <w:rFonts w:hint="eastAsia"/>
                      <w:color w:val="auto"/>
                      <w:sz w:val="21"/>
                      <w:szCs w:val="21"/>
                    </w:rPr>
                    <w:t>2.加大“三湖”（抚仙湖、星云湖、杞麓湖）及“两江”（南盘江干流、红河水系玉溪段）流域的保护和治理，推进流域环湖截污治污，加强湖泊内源污染风险防范，开展污水处理提质增效、农业面源污染治理、入河排污口整治、开发区污染治理、“三磷”和重金属行业排查等专项行动，建立水环境质量管理长效机制，持续巩固治理成效。持续打好城市黑臭水体治理攻坚战，有效控制入河污染物排放，强化溯源整治，推进城镇污水管网全覆盖。</w:t>
                  </w:r>
                </w:p>
                <w:p w14:paraId="0CA499B2">
                  <w:pPr>
                    <w:autoSpaceDE w:val="0"/>
                    <w:rPr>
                      <w:rFonts w:hint="eastAsia"/>
                      <w:color w:val="auto"/>
                      <w:sz w:val="21"/>
                      <w:szCs w:val="21"/>
                    </w:rPr>
                  </w:pPr>
                  <w:r>
                    <w:rPr>
                      <w:rFonts w:hint="eastAsia"/>
                      <w:color w:val="auto"/>
                      <w:sz w:val="21"/>
                      <w:szCs w:val="21"/>
                    </w:rPr>
                    <w:t>3.严格保护城乡饮用水水源地，整治饮用水水源保护区内的污染源，确保饮水安全。</w:t>
                  </w:r>
                </w:p>
                <w:p w14:paraId="7BE961E7">
                  <w:pPr>
                    <w:autoSpaceDE w:val="0"/>
                    <w:rPr>
                      <w:rFonts w:hint="eastAsia"/>
                      <w:color w:val="auto"/>
                      <w:sz w:val="21"/>
                      <w:szCs w:val="21"/>
                    </w:rPr>
                  </w:pPr>
                  <w:r>
                    <w:rPr>
                      <w:rFonts w:hint="eastAsia"/>
                      <w:color w:val="auto"/>
                      <w:sz w:val="21"/>
                      <w:szCs w:val="21"/>
                    </w:rPr>
                    <w:t>4.开展细颗粒物和臭氧协同控制、挥发性有机物和氮氧化物协同减排。石化、化工、包装印刷、工业涂装等VOCs排放重点源，纳入重点排污单位名录，推进挥发性有机物综合治理，实施原辅材料和产品源头替代工程，排污口安装自动监控设施。推进运输结构调整，开展清洁柴油车（机）、清洁油品、车用尿素等专项行动，开展建筑施工工地扬尘专项治理；加大餐饮油烟污染、恶臭异味治理力度，强化秸秆综合利用和禁烧管控。推动有色金属、钢铁、磷化工、建材等重点行业节能降碳升级改造，淘汰落后工艺技术和生产装置，实施煤电、水泥、焦化企业超低排放改造，到2025年，钢铁行业全面完成超低排放改造。</w:t>
                  </w:r>
                </w:p>
                <w:p w14:paraId="32A9C083">
                  <w:pPr>
                    <w:autoSpaceDE w:val="0"/>
                    <w:rPr>
                      <w:rFonts w:hint="eastAsia"/>
                      <w:color w:val="auto"/>
                      <w:sz w:val="21"/>
                      <w:szCs w:val="21"/>
                    </w:rPr>
                  </w:pPr>
                  <w:r>
                    <w:rPr>
                      <w:rFonts w:hint="eastAsia"/>
                      <w:color w:val="auto"/>
                      <w:sz w:val="21"/>
                      <w:szCs w:val="21"/>
                    </w:rPr>
                    <w:t>5.加大环境污染物减排力度，到2025年，实现氮氧化物减排1224吨，挥发性有机物减排1393吨，化学需氧量减排2461吨，氨氮减排230吨。</w:t>
                  </w:r>
                </w:p>
                <w:p w14:paraId="656D808C">
                  <w:pPr>
                    <w:autoSpaceDE w:val="0"/>
                    <w:rPr>
                      <w:rFonts w:hint="eastAsia"/>
                      <w:color w:val="auto"/>
                      <w:sz w:val="21"/>
                      <w:szCs w:val="21"/>
                    </w:rPr>
                  </w:pPr>
                  <w:r>
                    <w:rPr>
                      <w:rFonts w:hint="eastAsia"/>
                      <w:color w:val="auto"/>
                      <w:sz w:val="21"/>
                      <w:szCs w:val="21"/>
                    </w:rPr>
                    <w:t>6.严格管控农用地，不得在特定农产品禁止生产区域种植食用农产品；安全利用农用地，制定受污染耕地安全利用方案，降低农产品超标风险。合理规划污染地块土地用途，从严管控农药、化工、有色金属等行业企业重度污染地块开发利用，对列入建设用地土壤污染风险管控和修复名录的地块不得作为住宅、公共管理与公共服务用地，不得办理土地征收、收回、收购、土地供应以及改变土地用途等手续，应当依法开展土壤污染状况调查、治理与修复，并符合相应规划用地土壤环境质量要求后，方可进入用地程序。</w:t>
                  </w:r>
                </w:p>
                <w:p w14:paraId="0649A23D">
                  <w:pPr>
                    <w:autoSpaceDE w:val="0"/>
                    <w:rPr>
                      <w:rFonts w:hint="eastAsia"/>
                      <w:color w:val="auto"/>
                      <w:sz w:val="21"/>
                      <w:szCs w:val="21"/>
                    </w:rPr>
                  </w:pPr>
                  <w:r>
                    <w:rPr>
                      <w:rFonts w:hint="eastAsia"/>
                      <w:color w:val="auto"/>
                      <w:sz w:val="21"/>
                      <w:szCs w:val="21"/>
                    </w:rPr>
                    <w:t>7.加快“无废城市”建设，产生工业固体废物的单位应当建立健全工业固体废物产生、收集、贮存、运输、利用、处置全过程的污染环境防治责任制度，按照国家有关规定建立工业固体废物管理台账，加强重金属污染物排放管理，落实区域“减量替代”和“等量替代”要求，重金属污染物排放量2025年比2020年削减4%。</w:t>
                  </w:r>
                </w:p>
                <w:p w14:paraId="3623E14A">
                  <w:pPr>
                    <w:autoSpaceDE w:val="0"/>
                    <w:rPr>
                      <w:color w:val="auto"/>
                      <w:sz w:val="21"/>
                      <w:szCs w:val="21"/>
                    </w:rPr>
                  </w:pPr>
                  <w:r>
                    <w:rPr>
                      <w:rFonts w:hint="eastAsia"/>
                      <w:color w:val="auto"/>
                      <w:sz w:val="21"/>
                      <w:szCs w:val="21"/>
                    </w:rPr>
                    <w:t>8.到2025年，中心城区细颗粒物（PM2.5）平均浓度控制在21微克/立方米以内，城市空气质量优良天数比率达到98.5%以上，坚决防范重度及以上污染天气发生，全市地表水国控断面优良水体比例达80%，消除城市黑臭水体，消除劣Ⅴ类水体。</w:t>
                  </w:r>
                </w:p>
              </w:tc>
              <w:tc>
                <w:tcPr>
                  <w:tcW w:w="2880" w:type="dxa"/>
                  <w:noWrap w:val="0"/>
                  <w:vAlign w:val="center"/>
                </w:tcPr>
                <w:p w14:paraId="468F8D39">
                  <w:pPr>
                    <w:autoSpaceDE w:val="0"/>
                    <w:rPr>
                      <w:color w:val="auto"/>
                      <w:sz w:val="21"/>
                      <w:szCs w:val="21"/>
                      <w:lang w:bidi="ar"/>
                    </w:rPr>
                  </w:pPr>
                  <w:r>
                    <w:rPr>
                      <w:rFonts w:hint="eastAsia"/>
                      <w:color w:val="auto"/>
                      <w:sz w:val="21"/>
                      <w:szCs w:val="21"/>
                      <w:lang w:val="en-US" w:eastAsia="zh-CN" w:bidi="ar"/>
                    </w:rPr>
                    <w:t>1.</w:t>
                  </w:r>
                  <w:r>
                    <w:rPr>
                      <w:rFonts w:hint="eastAsia" w:ascii="Times New Roman" w:hAnsi="Times New Roman" w:eastAsia="宋体" w:cs="Times New Roman"/>
                      <w:b w:val="0"/>
                      <w:bCs/>
                      <w:color w:val="auto"/>
                      <w:kern w:val="2"/>
                      <w:sz w:val="21"/>
                      <w:szCs w:val="21"/>
                      <w:lang w:val="en-US" w:eastAsia="zh-CN" w:bidi="ar-SA"/>
                    </w:rPr>
                    <w:t>本项目采用先进的生</w:t>
                  </w:r>
                  <w:r>
                    <w:rPr>
                      <w:rFonts w:hint="default" w:ascii="Times New Roman" w:hAnsi="Times New Roman" w:eastAsia="宋体" w:cs="Times New Roman"/>
                      <w:b w:val="0"/>
                      <w:bCs w:val="0"/>
                      <w:color w:val="auto"/>
                      <w:sz w:val="21"/>
                      <w:szCs w:val="21"/>
                      <w:lang w:val="en-US" w:eastAsia="zh-CN"/>
                    </w:rPr>
                    <w:t>生产工艺及设备</w:t>
                  </w:r>
                  <w:r>
                    <w:rPr>
                      <w:rFonts w:hint="eastAsia" w:ascii="Times New Roman" w:hAnsi="Times New Roman" w:eastAsia="宋体" w:cs="Times New Roman"/>
                      <w:b w:val="0"/>
                      <w:bCs w:val="0"/>
                      <w:color w:val="auto"/>
                      <w:sz w:val="21"/>
                      <w:szCs w:val="21"/>
                      <w:lang w:val="en-US" w:eastAsia="zh-CN"/>
                    </w:rPr>
                    <w:t>，</w:t>
                  </w:r>
                  <w:r>
                    <w:rPr>
                      <w:rFonts w:hint="default" w:ascii="Times New Roman" w:hAnsi="Times New Roman" w:eastAsia="宋体" w:cs="Times New Roman"/>
                      <w:b w:val="0"/>
                      <w:bCs w:val="0"/>
                      <w:color w:val="auto"/>
                      <w:sz w:val="21"/>
                      <w:szCs w:val="21"/>
                      <w:lang w:val="en-US" w:eastAsia="zh-CN"/>
                    </w:rPr>
                    <w:t>满足清洁生产要求，符合清洁生产改造方向</w:t>
                  </w:r>
                  <w:r>
                    <w:rPr>
                      <w:rFonts w:hint="eastAsia"/>
                      <w:color w:val="auto"/>
                      <w:sz w:val="21"/>
                      <w:szCs w:val="21"/>
                      <w:lang w:bidi="ar"/>
                    </w:rPr>
                    <w:t>。</w:t>
                  </w:r>
                </w:p>
                <w:p w14:paraId="4ADE1EA9">
                  <w:pPr>
                    <w:autoSpaceDE w:val="0"/>
                    <w:rPr>
                      <w:color w:val="auto"/>
                      <w:sz w:val="21"/>
                      <w:szCs w:val="21"/>
                      <w:lang w:bidi="ar"/>
                    </w:rPr>
                  </w:pPr>
                  <w:r>
                    <w:rPr>
                      <w:rFonts w:hint="eastAsia"/>
                      <w:color w:val="auto"/>
                      <w:sz w:val="21"/>
                      <w:szCs w:val="21"/>
                      <w:lang w:val="en-US" w:eastAsia="zh-CN" w:bidi="ar"/>
                    </w:rPr>
                    <w:t>2.</w:t>
                  </w:r>
                  <w:r>
                    <w:rPr>
                      <w:rFonts w:hint="eastAsia" w:ascii="Times New Roman" w:hAnsi="Times New Roman" w:eastAsia="宋体" w:cs="Times New Roman"/>
                      <w:b w:val="0"/>
                      <w:bCs/>
                      <w:color w:val="auto"/>
                      <w:kern w:val="2"/>
                      <w:sz w:val="21"/>
                      <w:szCs w:val="21"/>
                      <w:lang w:val="en-US" w:eastAsia="zh-CN" w:bidi="ar-SA"/>
                    </w:rPr>
                    <w:t>本</w:t>
                  </w:r>
                  <w:r>
                    <w:rPr>
                      <w:rFonts w:hint="default" w:ascii="Times New Roman" w:hAnsi="Times New Roman" w:eastAsia="宋体" w:cs="Times New Roman"/>
                      <w:b w:val="0"/>
                      <w:bCs w:val="0"/>
                      <w:color w:val="auto"/>
                      <w:sz w:val="21"/>
                      <w:szCs w:val="21"/>
                      <w:lang w:val="en-US" w:eastAsia="zh-CN"/>
                    </w:rPr>
                    <w:t>项目运营期无废水外排，不会对</w:t>
                  </w:r>
                  <w:r>
                    <w:rPr>
                      <w:rFonts w:hint="default" w:ascii="Times New Roman" w:hAnsi="Times New Roman" w:eastAsia="宋体" w:cs="Times New Roman"/>
                      <w:b w:val="0"/>
                      <w:bCs w:val="0"/>
                      <w:color w:val="auto"/>
                      <w:kern w:val="0"/>
                      <w:sz w:val="21"/>
                      <w:szCs w:val="21"/>
                      <w:lang w:val="en-US" w:eastAsia="zh-CN" w:bidi="ar"/>
                    </w:rPr>
                    <w:t>“三湖”及“两江”及周边地表水环境造成影响</w:t>
                  </w:r>
                  <w:r>
                    <w:rPr>
                      <w:rFonts w:hint="eastAsia"/>
                      <w:color w:val="auto"/>
                      <w:sz w:val="21"/>
                      <w:szCs w:val="21"/>
                      <w:lang w:bidi="ar"/>
                    </w:rPr>
                    <w:t>。</w:t>
                  </w:r>
                </w:p>
                <w:p w14:paraId="3176280E">
                  <w:pPr>
                    <w:autoSpaceDE w:val="0"/>
                    <w:rPr>
                      <w:color w:val="auto"/>
                      <w:sz w:val="21"/>
                      <w:szCs w:val="21"/>
                      <w:lang w:bidi="ar"/>
                    </w:rPr>
                  </w:pPr>
                  <w:r>
                    <w:rPr>
                      <w:rFonts w:hint="eastAsia"/>
                      <w:color w:val="auto"/>
                      <w:sz w:val="21"/>
                      <w:szCs w:val="21"/>
                      <w:lang w:val="en-US" w:eastAsia="zh-CN" w:bidi="ar"/>
                    </w:rPr>
                    <w:t>3.</w:t>
                  </w:r>
                  <w:r>
                    <w:rPr>
                      <w:rFonts w:hint="eastAsia" w:ascii="Times New Roman" w:hAnsi="Times New Roman" w:eastAsia="宋体" w:cs="Times New Roman"/>
                      <w:b w:val="0"/>
                      <w:bCs/>
                      <w:color w:val="auto"/>
                      <w:kern w:val="2"/>
                      <w:sz w:val="21"/>
                      <w:szCs w:val="21"/>
                      <w:lang w:val="en-US" w:eastAsia="zh-CN" w:bidi="ar-SA"/>
                    </w:rPr>
                    <w:t>本</w:t>
                  </w:r>
                  <w:r>
                    <w:rPr>
                      <w:rFonts w:hint="default" w:ascii="Times New Roman" w:hAnsi="Times New Roman" w:eastAsia="宋体" w:cs="Times New Roman"/>
                      <w:b w:val="0"/>
                      <w:bCs w:val="0"/>
                      <w:color w:val="auto"/>
                      <w:sz w:val="21"/>
                      <w:szCs w:val="21"/>
                      <w:lang w:val="en-US"/>
                    </w:rPr>
                    <w:t>项目不涉及饮用水水源保护区，不会造成饮用水水源地污染，</w:t>
                  </w:r>
                  <w:r>
                    <w:rPr>
                      <w:rFonts w:hint="eastAsia" w:ascii="Times New Roman" w:hAnsi="Times New Roman" w:eastAsia="宋体" w:cs="Times New Roman"/>
                      <w:b w:val="0"/>
                      <w:bCs w:val="0"/>
                      <w:color w:val="auto"/>
                      <w:sz w:val="21"/>
                      <w:szCs w:val="21"/>
                      <w:lang w:val="en-US" w:eastAsia="zh-CN"/>
                    </w:rPr>
                    <w:t>能够</w:t>
                  </w:r>
                  <w:r>
                    <w:rPr>
                      <w:rFonts w:hint="default" w:ascii="Times New Roman" w:hAnsi="Times New Roman" w:eastAsia="宋体" w:cs="Times New Roman"/>
                      <w:b w:val="0"/>
                      <w:bCs w:val="0"/>
                      <w:color w:val="auto"/>
                      <w:sz w:val="21"/>
                      <w:szCs w:val="21"/>
                      <w:lang w:val="en-US"/>
                    </w:rPr>
                    <w:t>确保饮水安</w:t>
                  </w:r>
                  <w:r>
                    <w:rPr>
                      <w:rFonts w:hint="eastAsia" w:ascii="Times New Roman" w:hAnsi="Times New Roman" w:eastAsia="宋体" w:cs="Times New Roman"/>
                      <w:b w:val="0"/>
                      <w:bCs w:val="0"/>
                      <w:color w:val="auto"/>
                      <w:sz w:val="21"/>
                      <w:szCs w:val="21"/>
                      <w:lang w:val="en-US" w:eastAsia="zh-CN"/>
                    </w:rPr>
                    <w:t>全</w:t>
                  </w:r>
                  <w:r>
                    <w:rPr>
                      <w:rFonts w:hint="eastAsia"/>
                      <w:color w:val="auto"/>
                      <w:sz w:val="21"/>
                      <w:szCs w:val="21"/>
                      <w:lang w:bidi="ar"/>
                    </w:rPr>
                    <w:t>。</w:t>
                  </w:r>
                </w:p>
                <w:p w14:paraId="07542386">
                  <w:pPr>
                    <w:autoSpaceDE w:val="0"/>
                    <w:rPr>
                      <w:color w:val="auto"/>
                      <w:sz w:val="21"/>
                      <w:szCs w:val="21"/>
                      <w:lang w:bidi="ar"/>
                    </w:rPr>
                  </w:pPr>
                  <w:r>
                    <w:rPr>
                      <w:rFonts w:hint="eastAsia"/>
                      <w:color w:val="auto"/>
                      <w:sz w:val="21"/>
                      <w:szCs w:val="21"/>
                      <w:lang w:val="en-US" w:eastAsia="zh-CN" w:bidi="ar"/>
                    </w:rPr>
                    <w:t>4.</w:t>
                  </w:r>
                  <w:r>
                    <w:rPr>
                      <w:rFonts w:hint="eastAsia" w:cs="Times New Roman"/>
                      <w:b w:val="0"/>
                      <w:bCs/>
                      <w:color w:val="auto"/>
                      <w:sz w:val="21"/>
                      <w:szCs w:val="21"/>
                      <w:lang w:val="en-US" w:eastAsia="zh-CN"/>
                    </w:rPr>
                    <w:t>本项目</w:t>
                  </w:r>
                  <w:r>
                    <w:rPr>
                      <w:rFonts w:hint="eastAsia" w:ascii="Times New Roman" w:hAnsi="Times New Roman" w:eastAsia="宋体" w:cs="Times New Roman"/>
                      <w:b w:val="0"/>
                      <w:bCs/>
                      <w:color w:val="auto"/>
                      <w:sz w:val="21"/>
                      <w:szCs w:val="21"/>
                      <w:lang w:val="en-US" w:eastAsia="zh-CN"/>
                    </w:rPr>
                    <w:t>属于</w:t>
                  </w:r>
                  <w:r>
                    <w:rPr>
                      <w:rFonts w:hint="default" w:ascii="Times New Roman" w:hAnsi="Times New Roman" w:eastAsia="宋体" w:cs="Times New Roman"/>
                      <w:b w:val="0"/>
                      <w:bCs/>
                      <w:color w:val="auto"/>
                      <w:sz w:val="21"/>
                      <w:szCs w:val="21"/>
                      <w:lang w:val="en-US" w:eastAsia="zh-CN"/>
                    </w:rPr>
                    <w:t>塑料包装箱及容器制造</w:t>
                  </w:r>
                  <w:r>
                    <w:rPr>
                      <w:rFonts w:hint="eastAsia" w:cs="Times New Roman"/>
                      <w:b w:val="0"/>
                      <w:bCs/>
                      <w:color w:val="auto"/>
                      <w:sz w:val="21"/>
                      <w:szCs w:val="21"/>
                      <w:lang w:val="en-US" w:eastAsia="zh-CN"/>
                    </w:rPr>
                    <w:t>，本项目</w:t>
                  </w:r>
                  <w:r>
                    <w:rPr>
                      <w:rFonts w:hint="default" w:ascii="Times New Roman" w:hAnsi="Times New Roman" w:eastAsia="宋体" w:cs="Times New Roman"/>
                      <w:color w:val="auto"/>
                      <w:sz w:val="21"/>
                      <w:szCs w:val="21"/>
                      <w:lang w:val="en-US" w:eastAsia="zh-CN"/>
                    </w:rPr>
                    <w:t>生产过程</w:t>
                  </w:r>
                  <w:r>
                    <w:rPr>
                      <w:rFonts w:hint="eastAsia" w:ascii="Times New Roman" w:hAnsi="Times New Roman" w:eastAsia="宋体" w:cs="Times New Roman"/>
                      <w:color w:val="auto"/>
                      <w:sz w:val="21"/>
                      <w:szCs w:val="21"/>
                      <w:lang w:val="en-US" w:eastAsia="zh-CN"/>
                    </w:rPr>
                    <w:t>产生的</w:t>
                  </w:r>
                  <w:r>
                    <w:rPr>
                      <w:rFonts w:hint="eastAsia" w:ascii="Times New Roman" w:cs="Times New Roman"/>
                      <w:color w:val="auto"/>
                      <w:sz w:val="21"/>
                      <w:szCs w:val="21"/>
                      <w:lang w:val="en-US" w:eastAsia="zh-CN"/>
                    </w:rPr>
                    <w:t>注塑</w:t>
                  </w:r>
                  <w:r>
                    <w:rPr>
                      <w:rFonts w:hint="eastAsia" w:ascii="Times New Roman" w:hAnsi="Times New Roman" w:eastAsia="宋体" w:cs="Times New Roman"/>
                      <w:color w:val="auto"/>
                      <w:sz w:val="21"/>
                      <w:szCs w:val="21"/>
                      <w:lang w:val="en-US" w:eastAsia="zh-CN"/>
                    </w:rPr>
                    <w:t>废气采用</w:t>
                  </w:r>
                  <w:r>
                    <w:rPr>
                      <w:rFonts w:hint="eastAsia" w:ascii="Times New Roman" w:cs="Times New Roman"/>
                      <w:color w:val="auto"/>
                      <w:sz w:val="21"/>
                      <w:szCs w:val="21"/>
                      <w:lang w:val="en-US" w:eastAsia="zh-CN"/>
                    </w:rPr>
                    <w:t>三</w:t>
                  </w:r>
                  <w:r>
                    <w:rPr>
                      <w:rFonts w:hint="eastAsia" w:ascii="Times New Roman" w:hAnsi="Times New Roman" w:eastAsia="宋体" w:cs="Times New Roman"/>
                      <w:color w:val="auto"/>
                      <w:sz w:val="21"/>
                      <w:szCs w:val="21"/>
                      <w:lang w:val="en-US" w:eastAsia="zh-CN"/>
                    </w:rPr>
                    <w:t>级活性炭吸附</w:t>
                  </w:r>
                  <w:r>
                    <w:rPr>
                      <w:rFonts w:hint="eastAsia" w:ascii="Times New Roman" w:cs="Times New Roman"/>
                      <w:color w:val="auto"/>
                      <w:sz w:val="21"/>
                      <w:szCs w:val="21"/>
                      <w:lang w:val="en-US" w:eastAsia="zh-CN"/>
                    </w:rPr>
                    <w:t>装置</w:t>
                  </w:r>
                  <w:r>
                    <w:rPr>
                      <w:rFonts w:hint="eastAsia" w:ascii="Times New Roman" w:hAnsi="Times New Roman" w:eastAsia="宋体" w:cs="Times New Roman"/>
                      <w:color w:val="auto"/>
                      <w:sz w:val="21"/>
                      <w:szCs w:val="21"/>
                      <w:lang w:val="en-US" w:eastAsia="zh-CN"/>
                    </w:rPr>
                    <w:t>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通过15m高排气筒（DA001）排放；破碎废气</w:t>
                  </w:r>
                  <w:r>
                    <w:rPr>
                      <w:rFonts w:hint="eastAsia" w:ascii="Times New Roman" w:hAnsi="Times New Roman" w:eastAsia="宋体" w:cs="Times New Roman"/>
                      <w:color w:val="auto"/>
                      <w:sz w:val="21"/>
                      <w:szCs w:val="21"/>
                      <w:lang w:val="en-US" w:eastAsia="zh-CN"/>
                    </w:rPr>
                    <w:t>采用布袋除尘器进行处理达标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通过15m高排气筒（DA002）排放</w:t>
                  </w:r>
                  <w:r>
                    <w:rPr>
                      <w:rFonts w:hint="eastAsia" w:cs="Times New Roman"/>
                      <w:b w:val="0"/>
                      <w:bCs/>
                      <w:color w:val="auto"/>
                      <w:sz w:val="21"/>
                      <w:szCs w:val="21"/>
                      <w:lang w:val="en-US" w:eastAsia="zh-CN"/>
                    </w:rPr>
                    <w:t>。项目食堂油烟经油烟净化设施处理后排放。</w:t>
                  </w:r>
                </w:p>
                <w:p w14:paraId="33C6099B">
                  <w:pPr>
                    <w:autoSpaceDE w:val="0"/>
                    <w:rPr>
                      <w:color w:val="auto"/>
                      <w:sz w:val="21"/>
                      <w:szCs w:val="21"/>
                      <w:lang w:bidi="ar"/>
                    </w:rPr>
                  </w:pPr>
                  <w:r>
                    <w:rPr>
                      <w:rFonts w:hint="eastAsia"/>
                      <w:color w:val="auto"/>
                      <w:sz w:val="21"/>
                      <w:szCs w:val="21"/>
                      <w:lang w:val="en-US" w:eastAsia="zh-CN" w:bidi="ar"/>
                    </w:rPr>
                    <w:t>5.</w:t>
                  </w:r>
                  <w:r>
                    <w:rPr>
                      <w:rFonts w:hint="eastAsia" w:cs="Times New Roman"/>
                      <w:b w:val="0"/>
                      <w:bCs/>
                      <w:color w:val="auto"/>
                      <w:sz w:val="21"/>
                      <w:szCs w:val="21"/>
                      <w:lang w:val="en-US" w:eastAsia="zh-CN"/>
                    </w:rPr>
                    <w:t>本项目</w:t>
                  </w:r>
                  <w:r>
                    <w:rPr>
                      <w:rFonts w:hint="eastAsia" w:ascii="Times New Roman" w:hAnsi="Times New Roman" w:eastAsia="宋体" w:cs="Times New Roman"/>
                      <w:b w:val="0"/>
                      <w:bCs/>
                      <w:color w:val="auto"/>
                      <w:sz w:val="21"/>
                      <w:szCs w:val="21"/>
                      <w:lang w:val="en-US" w:eastAsia="zh-CN"/>
                    </w:rPr>
                    <w:t>属于</w:t>
                  </w:r>
                  <w:r>
                    <w:rPr>
                      <w:rFonts w:hint="default" w:ascii="Times New Roman" w:hAnsi="Times New Roman" w:eastAsia="宋体" w:cs="Times New Roman"/>
                      <w:b w:val="0"/>
                      <w:bCs/>
                      <w:color w:val="auto"/>
                      <w:sz w:val="21"/>
                      <w:szCs w:val="21"/>
                      <w:lang w:val="en-US" w:eastAsia="zh-CN"/>
                    </w:rPr>
                    <w:t>塑料包装箱及容器制造</w:t>
                  </w:r>
                  <w:r>
                    <w:rPr>
                      <w:rFonts w:hint="eastAsia" w:cs="Times New Roman"/>
                      <w:b w:val="0"/>
                      <w:bCs/>
                      <w:color w:val="auto"/>
                      <w:sz w:val="21"/>
                      <w:szCs w:val="21"/>
                      <w:lang w:val="en-US" w:eastAsia="zh-CN"/>
                    </w:rPr>
                    <w:t>，本项目</w:t>
                  </w:r>
                  <w:r>
                    <w:rPr>
                      <w:rFonts w:hint="default" w:ascii="Times New Roman" w:hAnsi="Times New Roman" w:eastAsia="宋体" w:cs="Times New Roman"/>
                      <w:color w:val="auto"/>
                      <w:sz w:val="21"/>
                      <w:szCs w:val="21"/>
                      <w:lang w:val="en-US" w:eastAsia="zh-CN"/>
                    </w:rPr>
                    <w:t>生产过程</w:t>
                  </w:r>
                  <w:r>
                    <w:rPr>
                      <w:rFonts w:hint="eastAsia" w:ascii="Times New Roman" w:hAnsi="Times New Roman" w:eastAsia="宋体" w:cs="Times New Roman"/>
                      <w:color w:val="auto"/>
                      <w:sz w:val="21"/>
                      <w:szCs w:val="21"/>
                      <w:lang w:val="en-US" w:eastAsia="zh-CN"/>
                    </w:rPr>
                    <w:t>产生的</w:t>
                  </w:r>
                  <w:r>
                    <w:rPr>
                      <w:rFonts w:hint="eastAsia" w:ascii="Times New Roman" w:cs="Times New Roman"/>
                      <w:color w:val="auto"/>
                      <w:sz w:val="21"/>
                      <w:szCs w:val="21"/>
                      <w:lang w:val="en-US" w:eastAsia="zh-CN"/>
                    </w:rPr>
                    <w:t>注塑</w:t>
                  </w:r>
                  <w:r>
                    <w:rPr>
                      <w:rFonts w:hint="eastAsia" w:ascii="Times New Roman" w:hAnsi="Times New Roman" w:eastAsia="宋体" w:cs="Times New Roman"/>
                      <w:color w:val="auto"/>
                      <w:sz w:val="21"/>
                      <w:szCs w:val="21"/>
                      <w:lang w:val="en-US" w:eastAsia="zh-CN"/>
                    </w:rPr>
                    <w:t>废气采用</w:t>
                  </w:r>
                  <w:r>
                    <w:rPr>
                      <w:rFonts w:hint="eastAsia" w:ascii="Times New Roman" w:cs="Times New Roman"/>
                      <w:color w:val="auto"/>
                      <w:sz w:val="21"/>
                      <w:szCs w:val="21"/>
                      <w:lang w:val="en-US" w:eastAsia="zh-CN"/>
                    </w:rPr>
                    <w:t>三</w:t>
                  </w:r>
                  <w:r>
                    <w:rPr>
                      <w:rFonts w:hint="eastAsia" w:ascii="Times New Roman" w:hAnsi="Times New Roman" w:eastAsia="宋体" w:cs="Times New Roman"/>
                      <w:color w:val="auto"/>
                      <w:sz w:val="21"/>
                      <w:szCs w:val="21"/>
                      <w:lang w:val="en-US" w:eastAsia="zh-CN"/>
                    </w:rPr>
                    <w:t>级活性炭吸附</w:t>
                  </w:r>
                  <w:r>
                    <w:rPr>
                      <w:rFonts w:hint="eastAsia" w:ascii="Times New Roman" w:cs="Times New Roman"/>
                      <w:color w:val="auto"/>
                      <w:sz w:val="21"/>
                      <w:szCs w:val="21"/>
                      <w:lang w:val="en-US" w:eastAsia="zh-CN"/>
                    </w:rPr>
                    <w:t>装置</w:t>
                  </w:r>
                  <w:r>
                    <w:rPr>
                      <w:rFonts w:hint="eastAsia" w:ascii="Times New Roman" w:hAnsi="Times New Roman" w:eastAsia="宋体" w:cs="Times New Roman"/>
                      <w:color w:val="auto"/>
                      <w:sz w:val="21"/>
                      <w:szCs w:val="21"/>
                      <w:lang w:val="en-US" w:eastAsia="zh-CN"/>
                    </w:rPr>
                    <w:t>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通过15m高排气筒（DA001）排放；破碎废气</w:t>
                  </w:r>
                  <w:r>
                    <w:rPr>
                      <w:rFonts w:hint="eastAsia" w:ascii="Times New Roman" w:hAnsi="Times New Roman" w:eastAsia="宋体" w:cs="Times New Roman"/>
                      <w:color w:val="auto"/>
                      <w:sz w:val="21"/>
                      <w:szCs w:val="21"/>
                      <w:lang w:val="en-US" w:eastAsia="zh-CN"/>
                    </w:rPr>
                    <w:t>采用布袋除尘器进行处理达标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通过15m高排气筒（DA002）排放</w:t>
                  </w:r>
                  <w:r>
                    <w:rPr>
                      <w:rFonts w:hint="eastAsia" w:cs="Times New Roman"/>
                      <w:b w:val="0"/>
                      <w:bCs/>
                      <w:color w:val="auto"/>
                      <w:sz w:val="21"/>
                      <w:szCs w:val="21"/>
                      <w:lang w:val="en-US" w:eastAsia="zh-CN"/>
                    </w:rPr>
                    <w:t>。项目食堂油烟经油烟净化设施处理后排放；本项目</w:t>
                  </w:r>
                  <w:r>
                    <w:rPr>
                      <w:rFonts w:hint="eastAsia"/>
                      <w:color w:val="auto"/>
                      <w:sz w:val="21"/>
                      <w:szCs w:val="21"/>
                      <w:lang w:bidi="ar"/>
                    </w:rPr>
                    <w:t>无废水</w:t>
                  </w:r>
                  <w:r>
                    <w:rPr>
                      <w:rFonts w:hint="eastAsia"/>
                      <w:color w:val="auto"/>
                      <w:sz w:val="21"/>
                      <w:szCs w:val="21"/>
                      <w:lang w:eastAsia="zh-CN" w:bidi="ar"/>
                    </w:rPr>
                    <w:t>排放。</w:t>
                  </w:r>
                </w:p>
                <w:p w14:paraId="58951221">
                  <w:pPr>
                    <w:autoSpaceDE w:val="0"/>
                    <w:rPr>
                      <w:color w:val="auto"/>
                      <w:sz w:val="21"/>
                      <w:szCs w:val="21"/>
                      <w:lang w:bidi="ar"/>
                    </w:rPr>
                  </w:pPr>
                  <w:r>
                    <w:rPr>
                      <w:rFonts w:hint="eastAsia"/>
                      <w:color w:val="auto"/>
                      <w:sz w:val="21"/>
                      <w:szCs w:val="21"/>
                      <w:lang w:val="en-US" w:eastAsia="zh-CN" w:bidi="ar"/>
                    </w:rPr>
                    <w:t>6.</w:t>
                  </w:r>
                  <w:r>
                    <w:rPr>
                      <w:rFonts w:hint="eastAsia" w:cs="Times New Roman"/>
                      <w:b w:val="0"/>
                      <w:bCs/>
                      <w:color w:val="auto"/>
                      <w:sz w:val="21"/>
                      <w:szCs w:val="21"/>
                      <w:lang w:val="en-US" w:eastAsia="zh-CN"/>
                    </w:rPr>
                    <w:t>本项目不涉及。</w:t>
                  </w:r>
                </w:p>
                <w:p w14:paraId="383672FE">
                  <w:pPr>
                    <w:autoSpaceDE w:val="0"/>
                    <w:rPr>
                      <w:color w:val="auto"/>
                      <w:sz w:val="21"/>
                      <w:szCs w:val="21"/>
                      <w:lang w:bidi="ar"/>
                    </w:rPr>
                  </w:pPr>
                  <w:r>
                    <w:rPr>
                      <w:rFonts w:hint="eastAsia"/>
                      <w:color w:val="auto"/>
                      <w:sz w:val="21"/>
                      <w:szCs w:val="21"/>
                      <w:lang w:val="en-US" w:eastAsia="zh-CN" w:bidi="ar"/>
                    </w:rPr>
                    <w:t>7.</w:t>
                  </w:r>
                  <w:r>
                    <w:rPr>
                      <w:rFonts w:hint="default" w:ascii="Times New Roman" w:hAnsi="Times New Roman" w:cs="Times New Roman"/>
                      <w:b w:val="0"/>
                      <w:bCs/>
                      <w:color w:val="auto"/>
                      <w:sz w:val="21"/>
                      <w:szCs w:val="21"/>
                    </w:rPr>
                    <w:t>项目产生的固体废物均通过建立污染环境防治责任制度进行管理，按照国家规定建立工业固体废物管理台账。</w:t>
                  </w:r>
                  <w:r>
                    <w:rPr>
                      <w:rFonts w:hint="default" w:ascii="Times New Roman" w:hAnsi="Times New Roman" w:cs="Times New Roman"/>
                      <w:b w:val="0"/>
                      <w:bCs/>
                      <w:color w:val="auto"/>
                      <w:sz w:val="21"/>
                      <w:szCs w:val="21"/>
                      <w:lang w:val="en-US" w:eastAsia="zh-CN"/>
                    </w:rPr>
                    <w:t>产生的固体废物均得到100%处置</w:t>
                  </w:r>
                  <w:r>
                    <w:rPr>
                      <w:rFonts w:hint="eastAsia"/>
                      <w:color w:val="auto"/>
                      <w:sz w:val="21"/>
                      <w:szCs w:val="21"/>
                      <w:lang w:bidi="ar"/>
                    </w:rPr>
                    <w:t>。</w:t>
                  </w:r>
                </w:p>
                <w:p w14:paraId="072B1DF6">
                  <w:pPr>
                    <w:rPr>
                      <w:color w:val="auto"/>
                    </w:rPr>
                  </w:pPr>
                  <w:r>
                    <w:rPr>
                      <w:rFonts w:hint="eastAsia"/>
                      <w:color w:val="auto"/>
                      <w:sz w:val="21"/>
                      <w:szCs w:val="21"/>
                      <w:lang w:val="en-US" w:eastAsia="zh-CN" w:bidi="ar"/>
                    </w:rPr>
                    <w:t>8.</w:t>
                  </w:r>
                  <w:r>
                    <w:rPr>
                      <w:rFonts w:hint="default" w:ascii="Times New Roman" w:hAnsi="Times New Roman" w:cs="Times New Roman"/>
                      <w:color w:val="auto"/>
                      <w:kern w:val="0"/>
                      <w:sz w:val="21"/>
                      <w:szCs w:val="21"/>
                      <w:lang w:bidi="ar"/>
                    </w:rPr>
                    <w:t>项目在施工和运营期间采取了严格的环境保护措施，包括废气治理、废水</w:t>
                  </w:r>
                  <w:r>
                    <w:rPr>
                      <w:rFonts w:hint="eastAsia" w:ascii="Times New Roman" w:hAnsi="Times New Roman" w:cs="Times New Roman"/>
                      <w:color w:val="auto"/>
                      <w:kern w:val="0"/>
                      <w:sz w:val="21"/>
                      <w:szCs w:val="21"/>
                      <w:lang w:val="en-US" w:eastAsia="zh-CN" w:bidi="ar"/>
                    </w:rPr>
                    <w:t>处理</w:t>
                  </w:r>
                  <w:r>
                    <w:rPr>
                      <w:rFonts w:hint="default" w:ascii="Times New Roman" w:hAnsi="Times New Roman" w:cs="Times New Roman"/>
                      <w:color w:val="auto"/>
                      <w:kern w:val="0"/>
                      <w:sz w:val="21"/>
                      <w:szCs w:val="21"/>
                      <w:lang w:bidi="ar"/>
                    </w:rPr>
                    <w:t>、固体废物回收利用等，有效控制了污染物的排放。</w:t>
                  </w:r>
                  <w:r>
                    <w:rPr>
                      <w:rFonts w:hint="default" w:ascii="Times New Roman" w:hAnsi="Times New Roman" w:cs="Times New Roman"/>
                      <w:color w:val="auto"/>
                      <w:sz w:val="21"/>
                      <w:szCs w:val="21"/>
                      <w:shd w:val="clear" w:color="auto" w:fill="auto"/>
                      <w:lang w:eastAsia="zh-CN"/>
                    </w:rPr>
                    <w:t>项目</w:t>
                  </w:r>
                  <w:r>
                    <w:rPr>
                      <w:rFonts w:ascii="Times New Roman" w:hAnsi="Times New Roman" w:eastAsia="宋体" w:cs="Times New Roman"/>
                      <w:b w:val="0"/>
                      <w:bCs/>
                      <w:color w:val="auto"/>
                      <w:kern w:val="0"/>
                      <w:sz w:val="21"/>
                      <w:szCs w:val="21"/>
                      <w:lang w:val="en-US" w:eastAsia="zh-CN" w:bidi="ar-SA"/>
                    </w:rPr>
                    <w:t>冷却水</w:t>
                  </w:r>
                  <w:r>
                    <w:rPr>
                      <w:rFonts w:ascii="Times New Roman" w:hAnsi="Times New Roman" w:eastAsia="宋体" w:cs="Times New Roman"/>
                      <w:color w:val="auto"/>
                      <w:kern w:val="0"/>
                      <w:sz w:val="21"/>
                      <w:szCs w:val="21"/>
                      <w:lang w:val="en-US" w:eastAsia="zh-CN" w:bidi="ar-SA"/>
                    </w:rPr>
                    <w:t>经冷却循环</w:t>
                  </w:r>
                  <w:r>
                    <w:rPr>
                      <w:rFonts w:hint="eastAsia" w:ascii="Times New Roman" w:hAnsi="Times New Roman" w:eastAsia="宋体" w:cs="Times New Roman"/>
                      <w:color w:val="auto"/>
                      <w:kern w:val="0"/>
                      <w:sz w:val="21"/>
                      <w:szCs w:val="21"/>
                      <w:lang w:val="en-US" w:eastAsia="zh-CN" w:bidi="ar-SA"/>
                    </w:rPr>
                    <w:t>水箱</w:t>
                  </w:r>
                  <w:r>
                    <w:rPr>
                      <w:rFonts w:ascii="Times New Roman" w:hAnsi="Times New Roman" w:eastAsia="宋体" w:cs="Times New Roman"/>
                      <w:color w:val="auto"/>
                      <w:kern w:val="0"/>
                      <w:sz w:val="21"/>
                      <w:szCs w:val="21"/>
                      <w:lang w:val="en-US" w:eastAsia="zh-CN" w:bidi="ar-SA"/>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w:t>
                  </w:r>
                  <w:r>
                    <w:rPr>
                      <w:rFonts w:hint="default" w:ascii="Times New Roman" w:hAnsi="Times New Roman" w:eastAsia="宋体" w:cs="Times New Roman"/>
                      <w:b w:val="0"/>
                      <w:bCs w:val="0"/>
                      <w:color w:val="auto"/>
                      <w:sz w:val="21"/>
                      <w:szCs w:val="21"/>
                      <w:highlight w:val="none"/>
                      <w:lang w:val="en-US" w:eastAsia="zh-CN"/>
                    </w:rPr>
                    <w:t>标后，用于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p w14:paraId="438C5BA8">
                  <w:pPr>
                    <w:autoSpaceDE w:val="0"/>
                    <w:rPr>
                      <w:rFonts w:hint="default" w:eastAsia="宋体"/>
                      <w:color w:val="auto"/>
                      <w:sz w:val="21"/>
                      <w:szCs w:val="21"/>
                      <w:lang w:val="en-US" w:eastAsia="zh-CN" w:bidi="ar"/>
                    </w:rPr>
                  </w:pPr>
                </w:p>
              </w:tc>
              <w:tc>
                <w:tcPr>
                  <w:tcW w:w="833" w:type="dxa"/>
                  <w:noWrap w:val="0"/>
                  <w:vAlign w:val="center"/>
                </w:tcPr>
                <w:p w14:paraId="7958F5CB">
                  <w:pPr>
                    <w:autoSpaceDE w:val="0"/>
                    <w:jc w:val="center"/>
                    <w:rPr>
                      <w:color w:val="auto"/>
                      <w:sz w:val="21"/>
                      <w:szCs w:val="21"/>
                    </w:rPr>
                  </w:pPr>
                  <w:r>
                    <w:rPr>
                      <w:color w:val="auto"/>
                      <w:sz w:val="21"/>
                      <w:szCs w:val="21"/>
                      <w:lang w:bidi="ar"/>
                    </w:rPr>
                    <w:t>符合</w:t>
                  </w:r>
                </w:p>
              </w:tc>
            </w:tr>
            <w:tr w14:paraId="66FE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81" w:type="dxa"/>
                  <w:vMerge w:val="continue"/>
                  <w:noWrap w:val="0"/>
                  <w:vAlign w:val="center"/>
                </w:tcPr>
                <w:p w14:paraId="28689DFD">
                  <w:pPr>
                    <w:jc w:val="center"/>
                    <w:rPr>
                      <w:color w:val="auto"/>
                      <w:sz w:val="21"/>
                      <w:szCs w:val="21"/>
                    </w:rPr>
                  </w:pPr>
                </w:p>
              </w:tc>
              <w:tc>
                <w:tcPr>
                  <w:tcW w:w="737" w:type="dxa"/>
                  <w:noWrap w:val="0"/>
                  <w:vAlign w:val="center"/>
                </w:tcPr>
                <w:p w14:paraId="708B499A">
                  <w:pPr>
                    <w:autoSpaceDE w:val="0"/>
                    <w:jc w:val="center"/>
                    <w:rPr>
                      <w:color w:val="auto"/>
                      <w:sz w:val="21"/>
                      <w:szCs w:val="21"/>
                    </w:rPr>
                  </w:pPr>
                  <w:r>
                    <w:rPr>
                      <w:color w:val="auto"/>
                      <w:sz w:val="21"/>
                      <w:szCs w:val="21"/>
                    </w:rPr>
                    <w:t>环境风险防控</w:t>
                  </w:r>
                </w:p>
              </w:tc>
              <w:tc>
                <w:tcPr>
                  <w:tcW w:w="3225" w:type="dxa"/>
                  <w:noWrap w:val="0"/>
                  <w:vAlign w:val="center"/>
                </w:tcPr>
                <w:p w14:paraId="262C8A4F">
                  <w:pPr>
                    <w:autoSpaceDE w:val="0"/>
                    <w:rPr>
                      <w:rFonts w:hint="eastAsia"/>
                      <w:color w:val="auto"/>
                      <w:sz w:val="21"/>
                      <w:szCs w:val="21"/>
                    </w:rPr>
                  </w:pPr>
                  <w:r>
                    <w:rPr>
                      <w:rFonts w:hint="eastAsia"/>
                      <w:color w:val="auto"/>
                      <w:sz w:val="21"/>
                      <w:szCs w:val="21"/>
                    </w:rPr>
                    <w:t>1.强化与其他滇中城市的大气、水污染防治联防联控协作机制，加强区域内重污染天气和跨界水体风险应急联动。</w:t>
                  </w:r>
                </w:p>
                <w:p w14:paraId="78B6B308">
                  <w:pPr>
                    <w:autoSpaceDE w:val="0"/>
                    <w:rPr>
                      <w:color w:val="auto"/>
                      <w:sz w:val="21"/>
                      <w:szCs w:val="21"/>
                    </w:rPr>
                  </w:pPr>
                  <w:r>
                    <w:rPr>
                      <w:rFonts w:hint="eastAsia"/>
                      <w:color w:val="auto"/>
                      <w:sz w:val="21"/>
                      <w:szCs w:val="21"/>
                    </w:rPr>
                    <w:t>2.开展涉危险废物涉重金属企业、化工园区等重点领域环境风险调查评估，加强危险化学品运输全链条安全监管。完善环境应急管理体系，提升市县两级环境应急响应能力，推进应急物资库建设。开展涉铊企业排查整治行动。建立“平战结合”医疗废物应急处置体系。</w:t>
                  </w:r>
                </w:p>
              </w:tc>
              <w:tc>
                <w:tcPr>
                  <w:tcW w:w="2880" w:type="dxa"/>
                  <w:noWrap w:val="0"/>
                  <w:vAlign w:val="center"/>
                </w:tcPr>
                <w:p w14:paraId="30764E33">
                  <w:pPr>
                    <w:autoSpaceDE w:val="0"/>
                    <w:rPr>
                      <w:color w:val="auto"/>
                      <w:sz w:val="21"/>
                      <w:szCs w:val="21"/>
                    </w:rPr>
                  </w:pPr>
                  <w:r>
                    <w:rPr>
                      <w:rFonts w:hint="eastAsia"/>
                      <w:color w:val="auto"/>
                      <w:sz w:val="21"/>
                      <w:szCs w:val="21"/>
                      <w:lang w:val="en-US" w:eastAsia="zh-CN"/>
                    </w:rPr>
                    <w:t>1.</w:t>
                  </w:r>
                  <w:r>
                    <w:rPr>
                      <w:rFonts w:hint="default" w:ascii="Times New Roman" w:hAnsi="Times New Roman" w:eastAsia="宋体" w:cs="Times New Roman"/>
                      <w:b w:val="0"/>
                      <w:bCs w:val="0"/>
                      <w:color w:val="auto"/>
                      <w:sz w:val="21"/>
                      <w:szCs w:val="21"/>
                      <w:lang w:val="en-US" w:eastAsia="zh-CN"/>
                    </w:rPr>
                    <w:t>项目建成后，企业将积极配合环保主管部门与其他滇中城市的大气污染防治联防联控协作，加强区域内重污染天气和跨界水体风险应急联动</w:t>
                  </w:r>
                  <w:r>
                    <w:rPr>
                      <w:rFonts w:hint="eastAsia"/>
                      <w:color w:val="auto"/>
                      <w:sz w:val="21"/>
                      <w:szCs w:val="21"/>
                    </w:rPr>
                    <w:t>。</w:t>
                  </w:r>
                </w:p>
                <w:p w14:paraId="36CBDFAC">
                  <w:pPr>
                    <w:autoSpaceDE w:val="0"/>
                    <w:rPr>
                      <w:color w:val="auto"/>
                      <w:sz w:val="21"/>
                      <w:szCs w:val="21"/>
                    </w:rPr>
                  </w:pPr>
                  <w:r>
                    <w:rPr>
                      <w:rFonts w:hint="eastAsia"/>
                      <w:color w:val="auto"/>
                      <w:sz w:val="21"/>
                      <w:szCs w:val="21"/>
                      <w:lang w:val="en-US" w:eastAsia="zh-CN"/>
                    </w:rPr>
                    <w:t>2.</w:t>
                  </w:r>
                  <w:r>
                    <w:rPr>
                      <w:rFonts w:cs="Times New Roman"/>
                      <w:b w:val="0"/>
                      <w:bCs/>
                      <w:color w:val="auto"/>
                      <w:sz w:val="21"/>
                      <w:szCs w:val="21"/>
                    </w:rPr>
                    <w:t>本项目</w:t>
                  </w:r>
                  <w:r>
                    <w:rPr>
                      <w:rFonts w:hint="eastAsia" w:cs="Times New Roman"/>
                      <w:b w:val="0"/>
                      <w:bCs/>
                      <w:color w:val="auto"/>
                      <w:sz w:val="21"/>
                      <w:szCs w:val="21"/>
                      <w:lang w:val="en-US" w:eastAsia="zh-CN"/>
                    </w:rPr>
                    <w:t>不涉及</w:t>
                  </w:r>
                  <w:r>
                    <w:rPr>
                      <w:rFonts w:hint="eastAsia"/>
                      <w:color w:val="auto"/>
                      <w:sz w:val="21"/>
                      <w:szCs w:val="21"/>
                    </w:rPr>
                    <w:t>。</w:t>
                  </w:r>
                </w:p>
                <w:p w14:paraId="2863146A">
                  <w:pPr>
                    <w:autoSpaceDE w:val="0"/>
                    <w:rPr>
                      <w:color w:val="auto"/>
                      <w:sz w:val="21"/>
                      <w:szCs w:val="21"/>
                    </w:rPr>
                  </w:pPr>
                </w:p>
              </w:tc>
              <w:tc>
                <w:tcPr>
                  <w:tcW w:w="833" w:type="dxa"/>
                  <w:noWrap w:val="0"/>
                  <w:vAlign w:val="center"/>
                </w:tcPr>
                <w:p w14:paraId="2A4F8B3B">
                  <w:pPr>
                    <w:autoSpaceDE w:val="0"/>
                    <w:jc w:val="center"/>
                    <w:rPr>
                      <w:color w:val="auto"/>
                      <w:sz w:val="21"/>
                      <w:szCs w:val="21"/>
                    </w:rPr>
                  </w:pPr>
                  <w:r>
                    <w:rPr>
                      <w:color w:val="auto"/>
                      <w:sz w:val="21"/>
                      <w:szCs w:val="21"/>
                    </w:rPr>
                    <w:t>符合</w:t>
                  </w:r>
                </w:p>
              </w:tc>
            </w:tr>
            <w:tr w14:paraId="167B2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81" w:type="dxa"/>
                  <w:vMerge w:val="continue"/>
                  <w:noWrap w:val="0"/>
                  <w:vAlign w:val="center"/>
                </w:tcPr>
                <w:p w14:paraId="1043F2B6">
                  <w:pPr>
                    <w:jc w:val="center"/>
                    <w:rPr>
                      <w:color w:val="auto"/>
                      <w:sz w:val="21"/>
                      <w:szCs w:val="21"/>
                    </w:rPr>
                  </w:pPr>
                </w:p>
              </w:tc>
              <w:tc>
                <w:tcPr>
                  <w:tcW w:w="737" w:type="dxa"/>
                  <w:noWrap w:val="0"/>
                  <w:vAlign w:val="center"/>
                </w:tcPr>
                <w:p w14:paraId="325AA224">
                  <w:pPr>
                    <w:autoSpaceDE w:val="0"/>
                    <w:jc w:val="center"/>
                    <w:rPr>
                      <w:color w:val="auto"/>
                      <w:sz w:val="21"/>
                      <w:szCs w:val="21"/>
                    </w:rPr>
                  </w:pPr>
                  <w:r>
                    <w:rPr>
                      <w:color w:val="auto"/>
                      <w:sz w:val="21"/>
                      <w:szCs w:val="21"/>
                    </w:rPr>
                    <w:t>资源开发效率要求</w:t>
                  </w:r>
                </w:p>
              </w:tc>
              <w:tc>
                <w:tcPr>
                  <w:tcW w:w="3225" w:type="dxa"/>
                  <w:noWrap w:val="0"/>
                  <w:vAlign w:val="center"/>
                </w:tcPr>
                <w:p w14:paraId="182A8794">
                  <w:pPr>
                    <w:autoSpaceDE w:val="0"/>
                    <w:rPr>
                      <w:rFonts w:hint="eastAsia"/>
                      <w:color w:val="auto"/>
                      <w:sz w:val="21"/>
                      <w:szCs w:val="21"/>
                    </w:rPr>
                  </w:pPr>
                  <w:r>
                    <w:rPr>
                      <w:rFonts w:hint="eastAsia"/>
                      <w:color w:val="auto"/>
                      <w:sz w:val="21"/>
                      <w:szCs w:val="21"/>
                    </w:rPr>
                    <w:t>1.降低水、土地、能源、矿产资源消耗强度，强化约束性指标管理。</w:t>
                  </w:r>
                </w:p>
                <w:p w14:paraId="66E43C84">
                  <w:pPr>
                    <w:autoSpaceDE w:val="0"/>
                    <w:rPr>
                      <w:rFonts w:hint="eastAsia"/>
                      <w:color w:val="auto"/>
                      <w:sz w:val="21"/>
                      <w:szCs w:val="21"/>
                    </w:rPr>
                  </w:pPr>
                  <w:r>
                    <w:rPr>
                      <w:rFonts w:hint="eastAsia"/>
                      <w:color w:val="auto"/>
                      <w:sz w:val="21"/>
                      <w:szCs w:val="21"/>
                    </w:rPr>
                    <w:t>2.实行最严格的水资源管理制度，严格用水总量、强度指标管理，严格取水管控，建立重点监控取水单位名录，强化重点监控取水单位管理。全市年用水总量、万元工业增加值用水量降幅等指标达到省考核要求。</w:t>
                  </w:r>
                </w:p>
                <w:p w14:paraId="4F5F436E">
                  <w:pPr>
                    <w:autoSpaceDE w:val="0"/>
                    <w:rPr>
                      <w:rFonts w:hint="eastAsia"/>
                      <w:color w:val="auto"/>
                      <w:sz w:val="21"/>
                      <w:szCs w:val="21"/>
                    </w:rPr>
                  </w:pPr>
                  <w:r>
                    <w:rPr>
                      <w:rFonts w:hint="eastAsia"/>
                      <w:color w:val="auto"/>
                      <w:sz w:val="21"/>
                      <w:szCs w:val="21"/>
                    </w:rPr>
                    <w:t>3.坚持最严格的耕地保护制度，守住耕地保护红线。坚持节约用地，严格执行耕地占补平衡等制度，提高土地投资强度和单位面积产出水平。</w:t>
                  </w:r>
                </w:p>
                <w:p w14:paraId="6C98D293">
                  <w:pPr>
                    <w:autoSpaceDE w:val="0"/>
                    <w:rPr>
                      <w:rFonts w:hint="default" w:eastAsia="宋体"/>
                      <w:color w:val="auto"/>
                      <w:sz w:val="21"/>
                      <w:szCs w:val="21"/>
                      <w:lang w:val="en-US" w:eastAsia="zh-CN"/>
                    </w:rPr>
                  </w:pPr>
                  <w:r>
                    <w:rPr>
                      <w:rFonts w:hint="eastAsia"/>
                      <w:color w:val="auto"/>
                      <w:sz w:val="21"/>
                      <w:szCs w:val="21"/>
                    </w:rPr>
                    <w:t>4.全市单位GDP二氧化碳排放累计下降率完成云南省下达的指标；单位GDP能耗持续下降，到2025年，全市单位GDP能耗累计下降率14%。</w:t>
                  </w:r>
                </w:p>
                <w:p w14:paraId="06E044A4">
                  <w:pPr>
                    <w:autoSpaceDE w:val="0"/>
                    <w:rPr>
                      <w:rFonts w:hint="eastAsia"/>
                      <w:color w:val="auto"/>
                      <w:sz w:val="21"/>
                      <w:szCs w:val="21"/>
                    </w:rPr>
                  </w:pPr>
                  <w:r>
                    <w:rPr>
                      <w:rFonts w:hint="eastAsia"/>
                      <w:color w:val="auto"/>
                      <w:sz w:val="21"/>
                      <w:szCs w:val="21"/>
                    </w:rPr>
                    <w:t>5.高污染燃料禁燃区按照《高污染燃料目录》及当地有关禁燃区管理规定执行。</w:t>
                  </w:r>
                </w:p>
                <w:p w14:paraId="232FB1F9">
                  <w:pPr>
                    <w:autoSpaceDE w:val="0"/>
                    <w:rPr>
                      <w:color w:val="auto"/>
                      <w:sz w:val="21"/>
                      <w:szCs w:val="21"/>
                    </w:rPr>
                  </w:pPr>
                  <w:r>
                    <w:rPr>
                      <w:rFonts w:hint="eastAsia"/>
                      <w:color w:val="auto"/>
                      <w:sz w:val="21"/>
                      <w:szCs w:val="21"/>
                    </w:rPr>
                    <w:t>6.实施高效节水灌溉工程，大力推广高效节水灌溉措施，到2025年，农田灌溉水有效利用系数达到0.55。</w:t>
                  </w:r>
                </w:p>
              </w:tc>
              <w:tc>
                <w:tcPr>
                  <w:tcW w:w="2880" w:type="dxa"/>
                  <w:noWrap w:val="0"/>
                  <w:vAlign w:val="center"/>
                </w:tcPr>
                <w:p w14:paraId="53F8BAED">
                  <w:pPr>
                    <w:autoSpaceDE w:val="0"/>
                    <w:rPr>
                      <w:color w:val="auto"/>
                      <w:sz w:val="21"/>
                      <w:szCs w:val="21"/>
                    </w:rPr>
                  </w:pPr>
                  <w:r>
                    <w:rPr>
                      <w:rFonts w:hint="eastAsia"/>
                      <w:color w:val="auto"/>
                      <w:sz w:val="21"/>
                      <w:szCs w:val="21"/>
                      <w:lang w:val="en-US" w:eastAsia="zh-CN"/>
                    </w:rPr>
                    <w:t>1.</w:t>
                  </w:r>
                  <w:r>
                    <w:rPr>
                      <w:rFonts w:hint="eastAsia"/>
                      <w:color w:val="auto"/>
                      <w:sz w:val="21"/>
                      <w:szCs w:val="21"/>
                    </w:rPr>
                    <w:t>本项目用水主要为办公生活用水</w:t>
                  </w:r>
                  <w:r>
                    <w:rPr>
                      <w:rFonts w:hint="eastAsia"/>
                      <w:color w:val="auto"/>
                      <w:sz w:val="21"/>
                      <w:szCs w:val="21"/>
                      <w:lang w:eastAsia="zh-CN"/>
                    </w:rPr>
                    <w:t>及冷却用水</w:t>
                  </w:r>
                  <w:r>
                    <w:rPr>
                      <w:rFonts w:hint="eastAsia"/>
                      <w:color w:val="auto"/>
                      <w:sz w:val="21"/>
                      <w:szCs w:val="21"/>
                    </w:rPr>
                    <w:t>，用水量很小。</w:t>
                  </w:r>
                </w:p>
                <w:p w14:paraId="7F6A0FB0">
                  <w:pPr>
                    <w:autoSpaceDE w:val="0"/>
                    <w:rPr>
                      <w:color w:val="auto"/>
                      <w:sz w:val="21"/>
                      <w:szCs w:val="21"/>
                    </w:rPr>
                  </w:pPr>
                  <w:r>
                    <w:rPr>
                      <w:rFonts w:hint="eastAsia"/>
                      <w:color w:val="auto"/>
                      <w:sz w:val="21"/>
                      <w:szCs w:val="21"/>
                      <w:lang w:val="en-US" w:eastAsia="zh-CN"/>
                    </w:rPr>
                    <w:t>2.</w:t>
                  </w:r>
                  <w:r>
                    <w:rPr>
                      <w:rFonts w:hint="default" w:ascii="Times New Roman" w:hAnsi="Times New Roman" w:eastAsia="宋体" w:cs="Times New Roman"/>
                      <w:b w:val="0"/>
                      <w:bCs/>
                      <w:color w:val="auto"/>
                      <w:kern w:val="2"/>
                      <w:sz w:val="21"/>
                      <w:szCs w:val="21"/>
                      <w:lang w:val="en-US" w:eastAsia="zh-CN" w:bidi="ar-SA"/>
                    </w:rPr>
                    <w:t>本项目不属于重点监控取水单位，用水量不触及资源利用上线，符合资源利用上线要求</w:t>
                  </w:r>
                  <w:r>
                    <w:rPr>
                      <w:rFonts w:hint="eastAsia"/>
                      <w:color w:val="auto"/>
                      <w:sz w:val="21"/>
                      <w:szCs w:val="21"/>
                    </w:rPr>
                    <w:t>。</w:t>
                  </w:r>
                </w:p>
                <w:p w14:paraId="45924289">
                  <w:pPr>
                    <w:autoSpaceDE w:val="0"/>
                    <w:rPr>
                      <w:color w:val="auto"/>
                      <w:sz w:val="21"/>
                      <w:szCs w:val="21"/>
                    </w:rPr>
                  </w:pPr>
                  <w:r>
                    <w:rPr>
                      <w:rFonts w:hint="eastAsia"/>
                      <w:color w:val="auto"/>
                      <w:sz w:val="21"/>
                      <w:szCs w:val="21"/>
                      <w:lang w:val="en-US" w:eastAsia="zh-CN"/>
                    </w:rPr>
                    <w:t>3.</w:t>
                  </w:r>
                  <w:r>
                    <w:rPr>
                      <w:rFonts w:hint="eastAsia"/>
                      <w:color w:val="auto"/>
                      <w:sz w:val="21"/>
                      <w:szCs w:val="21"/>
                    </w:rPr>
                    <w:t>本项目用地性质为工业用地，不涉及占用耕地。</w:t>
                  </w:r>
                </w:p>
                <w:p w14:paraId="24B714A0">
                  <w:pPr>
                    <w:autoSpaceDE w:val="0"/>
                    <w:rPr>
                      <w:rFonts w:hint="eastAsia"/>
                      <w:color w:val="auto"/>
                      <w:sz w:val="21"/>
                      <w:szCs w:val="21"/>
                    </w:rPr>
                  </w:pPr>
                  <w:r>
                    <w:rPr>
                      <w:rFonts w:hint="eastAsia"/>
                      <w:color w:val="auto"/>
                      <w:sz w:val="21"/>
                      <w:szCs w:val="21"/>
                      <w:lang w:val="en-US" w:eastAsia="zh-CN"/>
                    </w:rPr>
                    <w:t>4.</w:t>
                  </w:r>
                  <w:r>
                    <w:rPr>
                      <w:rFonts w:hint="eastAsia"/>
                      <w:color w:val="auto"/>
                      <w:sz w:val="21"/>
                      <w:szCs w:val="21"/>
                    </w:rPr>
                    <w:t>本项目不涉及。</w:t>
                  </w:r>
                </w:p>
                <w:p w14:paraId="71BB335F">
                  <w:pPr>
                    <w:autoSpaceDE w:val="0"/>
                    <w:rPr>
                      <w:rFonts w:hint="eastAsia"/>
                      <w:color w:val="auto"/>
                      <w:sz w:val="21"/>
                      <w:szCs w:val="21"/>
                      <w:lang w:val="en-US" w:eastAsia="zh-CN"/>
                    </w:rPr>
                  </w:pPr>
                  <w:r>
                    <w:rPr>
                      <w:rFonts w:hint="eastAsia"/>
                      <w:color w:val="auto"/>
                      <w:sz w:val="21"/>
                      <w:szCs w:val="21"/>
                      <w:lang w:val="en-US" w:eastAsia="zh-CN"/>
                    </w:rPr>
                    <w:t>5.本项目不涉及。</w:t>
                  </w:r>
                </w:p>
                <w:p w14:paraId="15861B97">
                  <w:pPr>
                    <w:autoSpaceDE w:val="0"/>
                    <w:rPr>
                      <w:rFonts w:hint="default"/>
                      <w:color w:val="auto"/>
                      <w:sz w:val="21"/>
                      <w:szCs w:val="21"/>
                      <w:lang w:val="en-US" w:eastAsia="zh-CN"/>
                    </w:rPr>
                  </w:pPr>
                  <w:r>
                    <w:rPr>
                      <w:rFonts w:hint="eastAsia"/>
                      <w:color w:val="auto"/>
                      <w:sz w:val="21"/>
                      <w:szCs w:val="21"/>
                      <w:lang w:val="en-US" w:eastAsia="zh-CN"/>
                    </w:rPr>
                    <w:t>6.本项目不涉及。</w:t>
                  </w:r>
                </w:p>
              </w:tc>
              <w:tc>
                <w:tcPr>
                  <w:tcW w:w="833" w:type="dxa"/>
                  <w:noWrap w:val="0"/>
                  <w:vAlign w:val="center"/>
                </w:tcPr>
                <w:p w14:paraId="4785F28E">
                  <w:pPr>
                    <w:autoSpaceDE w:val="0"/>
                    <w:jc w:val="center"/>
                    <w:rPr>
                      <w:color w:val="auto"/>
                      <w:sz w:val="21"/>
                      <w:szCs w:val="21"/>
                    </w:rPr>
                  </w:pPr>
                  <w:r>
                    <w:rPr>
                      <w:color w:val="auto"/>
                      <w:sz w:val="21"/>
                      <w:szCs w:val="21"/>
                    </w:rPr>
                    <w:t>符合</w:t>
                  </w:r>
                </w:p>
              </w:tc>
            </w:tr>
          </w:tbl>
          <w:p w14:paraId="153FE1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项目位于</w:t>
            </w:r>
            <w:r>
              <w:rPr>
                <w:rFonts w:hint="eastAsia" w:ascii="Times New Roman" w:hAnsi="Times New Roman" w:eastAsia="宋体" w:cs="Times New Roman"/>
                <w:color w:val="auto"/>
                <w:sz w:val="24"/>
                <w:szCs w:val="24"/>
                <w:highlight w:val="none"/>
                <w:lang w:val="en-US" w:eastAsia="zh-CN"/>
              </w:rPr>
              <w:t>云南省</w:t>
            </w:r>
            <w:r>
              <w:rPr>
                <w:rFonts w:hint="eastAsia" w:cs="Times New Roman"/>
                <w:color w:val="auto"/>
                <w:sz w:val="24"/>
                <w:szCs w:val="24"/>
                <w:highlight w:val="none"/>
                <w:lang w:val="en-US" w:eastAsia="zh-CN"/>
              </w:rPr>
              <w:t>玉溪市澄江市产业园区提古片区</w:t>
            </w:r>
            <w:r>
              <w:rPr>
                <w:rFonts w:hint="eastAsia" w:ascii="Times New Roman" w:hAnsi="Times New Roman" w:eastAsia="宋体" w:cs="Times New Roman"/>
                <w:color w:val="auto"/>
                <w:kern w:val="2"/>
                <w:sz w:val="24"/>
                <w:szCs w:val="24"/>
                <w:lang w:val="en-US" w:eastAsia="zh-CN" w:bidi="ar-SA"/>
              </w:rPr>
              <w:t>，根据云南省生态环境分区管控公共服务查询平台查询，本项目主要涉及《玉溪市生态环境分区管控动态更新调整方案（2023年）》中的</w:t>
            </w:r>
            <w:r>
              <w:rPr>
                <w:rFonts w:hint="eastAsia" w:cs="Times New Roman"/>
                <w:color w:val="auto"/>
                <w:kern w:val="2"/>
                <w:sz w:val="24"/>
                <w:szCs w:val="24"/>
                <w:lang w:val="en-US" w:eastAsia="zh-CN" w:bidi="ar-SA"/>
              </w:rPr>
              <w:t>澄江</w:t>
            </w:r>
            <w:r>
              <w:rPr>
                <w:rFonts w:hint="eastAsia" w:ascii="Times New Roman" w:hAnsi="Times New Roman" w:eastAsia="宋体" w:cs="Times New Roman"/>
                <w:color w:val="auto"/>
                <w:kern w:val="2"/>
                <w:sz w:val="24"/>
                <w:szCs w:val="24"/>
                <w:lang w:val="en-US" w:eastAsia="zh-CN" w:bidi="ar-SA"/>
              </w:rPr>
              <w:t>市产业园区重点管控单元（ZH53</w:t>
            </w:r>
            <w:r>
              <w:rPr>
                <w:rFonts w:hint="eastAsia" w:cs="Times New Roman"/>
                <w:color w:val="auto"/>
                <w:kern w:val="2"/>
                <w:sz w:val="24"/>
                <w:szCs w:val="24"/>
                <w:lang w:val="en-US" w:eastAsia="zh-CN" w:bidi="ar-SA"/>
              </w:rPr>
              <w:t>048120001</w:t>
            </w:r>
            <w:r>
              <w:rPr>
                <w:rFonts w:hint="eastAsia" w:ascii="Times New Roman" w:hAnsi="Times New Roman" w:eastAsia="宋体" w:cs="Times New Roman"/>
                <w:color w:val="auto"/>
                <w:kern w:val="2"/>
                <w:sz w:val="24"/>
                <w:szCs w:val="24"/>
                <w:lang w:val="en-US" w:eastAsia="zh-CN" w:bidi="ar-SA"/>
              </w:rPr>
              <w:t>），本项目与</w:t>
            </w:r>
            <w:r>
              <w:rPr>
                <w:rFonts w:hint="eastAsia" w:cs="Times New Roman"/>
                <w:color w:val="auto"/>
                <w:kern w:val="2"/>
                <w:sz w:val="24"/>
                <w:szCs w:val="24"/>
                <w:lang w:val="en-US" w:eastAsia="zh-CN" w:bidi="ar-SA"/>
              </w:rPr>
              <w:t>澄江</w:t>
            </w:r>
            <w:r>
              <w:rPr>
                <w:rFonts w:hint="eastAsia" w:ascii="Times New Roman" w:hAnsi="Times New Roman" w:eastAsia="宋体" w:cs="Times New Roman"/>
                <w:color w:val="auto"/>
                <w:kern w:val="2"/>
                <w:sz w:val="24"/>
                <w:szCs w:val="24"/>
                <w:lang w:val="en-US" w:eastAsia="zh-CN" w:bidi="ar-SA"/>
              </w:rPr>
              <w:t>市产业园区重点管控单元管控要求符合性分析见下表1-</w:t>
            </w:r>
            <w:r>
              <w:rPr>
                <w:rFonts w:hint="eastAsia" w:cs="Times New Roman"/>
                <w:color w:val="auto"/>
                <w:kern w:val="2"/>
                <w:sz w:val="24"/>
                <w:szCs w:val="24"/>
                <w:lang w:val="en-US" w:eastAsia="zh-CN" w:bidi="ar-SA"/>
              </w:rPr>
              <w:t>5</w:t>
            </w:r>
            <w:r>
              <w:rPr>
                <w:rFonts w:hint="eastAsia" w:ascii="Times New Roman" w:hAnsi="Times New Roman" w:eastAsia="宋体" w:cs="Times New Roman"/>
                <w:color w:val="auto"/>
                <w:kern w:val="2"/>
                <w:sz w:val="24"/>
                <w:szCs w:val="24"/>
                <w:lang w:val="en-US" w:eastAsia="zh-CN" w:bidi="ar-SA"/>
              </w:rPr>
              <w:t>。</w:t>
            </w:r>
          </w:p>
          <w:p w14:paraId="49EAF090">
            <w:pPr>
              <w:pStyle w:val="102"/>
              <w:keepNext w:val="0"/>
              <w:keepLines w:val="0"/>
              <w:pageBreakBefore w:val="0"/>
              <w:widowControl w:val="0"/>
              <w:shd w:val="clear" w:color="auto" w:fill="auto"/>
              <w:kinsoku/>
              <w:wordWrap/>
              <w:overflowPunct/>
              <w:topLinePunct w:val="0"/>
              <w:autoSpaceDE/>
              <w:autoSpaceDN/>
              <w:bidi w:val="0"/>
              <w:adjustRightInd w:val="0"/>
              <w:snapToGrid w:val="0"/>
              <w:spacing w:beforeLines="0" w:afterLines="0" w:line="360" w:lineRule="auto"/>
              <w:textAlignment w:val="auto"/>
              <w:outlineLvl w:val="9"/>
              <w:rPr>
                <w:rFonts w:hint="default" w:ascii="Times New Roman" w:hAnsi="Times New Roman" w:eastAsia="宋体" w:cs="Times New Roman"/>
                <w:bCs/>
                <w:snapToGrid w:val="0"/>
                <w:color w:val="auto"/>
                <w:kern w:val="0"/>
                <w:szCs w:val="21"/>
                <w:highlight w:val="none"/>
              </w:rPr>
            </w:pPr>
          </w:p>
          <w:p w14:paraId="07F33E6F">
            <w:pPr>
              <w:pStyle w:val="102"/>
              <w:keepNext w:val="0"/>
              <w:keepLines w:val="0"/>
              <w:pageBreakBefore w:val="0"/>
              <w:widowControl w:val="0"/>
              <w:shd w:val="clear" w:color="auto" w:fill="auto"/>
              <w:kinsoku/>
              <w:wordWrap/>
              <w:overflowPunct/>
              <w:topLinePunct w:val="0"/>
              <w:autoSpaceDE/>
              <w:autoSpaceDN/>
              <w:bidi w:val="0"/>
              <w:adjustRightInd w:val="0"/>
              <w:snapToGrid w:val="0"/>
              <w:spacing w:beforeLines="0" w:afterLines="0" w:line="360" w:lineRule="auto"/>
              <w:textAlignment w:val="auto"/>
              <w:outlineLvl w:val="9"/>
              <w:rPr>
                <w:rFonts w:hint="default" w:ascii="Times New Roman" w:hAnsi="Times New Roman" w:eastAsia="宋体" w:cs="Times New Roman"/>
                <w:bCs/>
                <w:snapToGrid w:val="0"/>
                <w:color w:val="auto"/>
                <w:kern w:val="0"/>
                <w:szCs w:val="21"/>
                <w:highlight w:val="none"/>
              </w:rPr>
            </w:pPr>
          </w:p>
          <w:p w14:paraId="695CEF2F">
            <w:pPr>
              <w:pStyle w:val="102"/>
              <w:keepNext w:val="0"/>
              <w:keepLines w:val="0"/>
              <w:pageBreakBefore w:val="0"/>
              <w:widowControl w:val="0"/>
              <w:shd w:val="clear" w:color="auto" w:fill="auto"/>
              <w:kinsoku/>
              <w:wordWrap/>
              <w:overflowPunct/>
              <w:topLinePunct w:val="0"/>
              <w:autoSpaceDE/>
              <w:autoSpaceDN/>
              <w:bidi w:val="0"/>
              <w:adjustRightInd w:val="0"/>
              <w:snapToGrid w:val="0"/>
              <w:spacing w:beforeLines="0" w:afterLines="0" w:line="360" w:lineRule="auto"/>
              <w:textAlignment w:val="auto"/>
              <w:outlineLvl w:val="9"/>
              <w:rPr>
                <w:rFonts w:hint="default" w:ascii="Times New Roman" w:hAnsi="Times New Roman" w:eastAsia="宋体" w:cs="Times New Roman"/>
                <w:bCs/>
                <w:snapToGrid w:val="0"/>
                <w:color w:val="auto"/>
                <w:kern w:val="0"/>
                <w:szCs w:val="21"/>
                <w:highlight w:val="none"/>
              </w:rPr>
            </w:pPr>
          </w:p>
          <w:p w14:paraId="7CCA1F79">
            <w:pPr>
              <w:pStyle w:val="102"/>
              <w:keepNext w:val="0"/>
              <w:keepLines w:val="0"/>
              <w:pageBreakBefore w:val="0"/>
              <w:widowControl w:val="0"/>
              <w:shd w:val="clear" w:color="auto" w:fill="auto"/>
              <w:kinsoku/>
              <w:wordWrap/>
              <w:overflowPunct/>
              <w:topLinePunct w:val="0"/>
              <w:autoSpaceDE/>
              <w:autoSpaceDN/>
              <w:bidi w:val="0"/>
              <w:adjustRightInd w:val="0"/>
              <w:snapToGrid w:val="0"/>
              <w:spacing w:beforeLines="0" w:afterLines="0" w:line="360" w:lineRule="auto"/>
              <w:textAlignment w:val="auto"/>
              <w:outlineLvl w:val="9"/>
              <w:rPr>
                <w:rFonts w:hint="default" w:ascii="Times New Roman" w:hAnsi="Times New Roman" w:eastAsia="宋体" w:cs="Times New Roman"/>
                <w:bCs/>
                <w:snapToGrid w:val="0"/>
                <w:color w:val="auto"/>
                <w:kern w:val="0"/>
                <w:szCs w:val="21"/>
                <w:highlight w:val="none"/>
              </w:rPr>
            </w:pPr>
          </w:p>
          <w:p w14:paraId="0BD02869">
            <w:pPr>
              <w:pStyle w:val="102"/>
              <w:keepNext w:val="0"/>
              <w:keepLines w:val="0"/>
              <w:pageBreakBefore w:val="0"/>
              <w:widowControl w:val="0"/>
              <w:shd w:val="clear" w:color="auto" w:fill="auto"/>
              <w:kinsoku/>
              <w:wordWrap/>
              <w:overflowPunct/>
              <w:topLinePunct w:val="0"/>
              <w:autoSpaceDE/>
              <w:autoSpaceDN/>
              <w:bidi w:val="0"/>
              <w:adjustRightInd w:val="0"/>
              <w:snapToGrid w:val="0"/>
              <w:spacing w:beforeLines="0" w:afterLines="0" w:line="360" w:lineRule="auto"/>
              <w:textAlignment w:val="auto"/>
              <w:outlineLvl w:val="9"/>
              <w:rPr>
                <w:rFonts w:hint="default" w:ascii="Times New Roman" w:hAnsi="Times New Roman" w:eastAsia="宋体" w:cs="Times New Roman"/>
                <w:bCs/>
                <w:snapToGrid w:val="0"/>
                <w:color w:val="auto"/>
                <w:kern w:val="0"/>
                <w:szCs w:val="21"/>
                <w:highlight w:val="none"/>
              </w:rPr>
            </w:pPr>
            <w:r>
              <w:rPr>
                <w:rFonts w:hint="default" w:ascii="Times New Roman" w:hAnsi="Times New Roman" w:eastAsia="宋体" w:cs="Times New Roman"/>
                <w:bCs/>
                <w:snapToGrid w:val="0"/>
                <w:color w:val="auto"/>
                <w:kern w:val="0"/>
                <w:szCs w:val="21"/>
                <w:highlight w:val="none"/>
              </w:rPr>
              <w:t>表</w:t>
            </w:r>
            <w:r>
              <w:rPr>
                <w:rFonts w:hint="default" w:ascii="Times New Roman" w:hAnsi="Times New Roman" w:eastAsia="宋体" w:cs="Times New Roman"/>
                <w:bCs/>
                <w:snapToGrid w:val="0"/>
                <w:color w:val="auto"/>
                <w:kern w:val="0"/>
                <w:szCs w:val="21"/>
                <w:highlight w:val="none"/>
                <w:lang w:val="en-US" w:eastAsia="zh-CN"/>
              </w:rPr>
              <w:t>1-</w:t>
            </w:r>
            <w:r>
              <w:rPr>
                <w:rFonts w:hint="eastAsia" w:cs="Times New Roman"/>
                <w:bCs/>
                <w:snapToGrid w:val="0"/>
                <w:color w:val="auto"/>
                <w:kern w:val="0"/>
                <w:szCs w:val="21"/>
                <w:highlight w:val="none"/>
                <w:lang w:val="en-US" w:eastAsia="zh-CN"/>
              </w:rPr>
              <w:t>5</w:t>
            </w:r>
            <w:r>
              <w:rPr>
                <w:rFonts w:hint="default" w:ascii="Times New Roman" w:hAnsi="Times New Roman" w:eastAsia="宋体" w:cs="Times New Roman"/>
                <w:bCs/>
                <w:snapToGrid w:val="0"/>
                <w:color w:val="auto"/>
                <w:kern w:val="0"/>
                <w:szCs w:val="21"/>
                <w:highlight w:val="none"/>
                <w:lang w:val="en-US" w:eastAsia="zh-CN"/>
              </w:rPr>
              <w:t xml:space="preserve"> </w:t>
            </w:r>
            <w:r>
              <w:rPr>
                <w:rFonts w:hint="default" w:ascii="Times New Roman" w:hAnsi="Times New Roman" w:eastAsia="宋体" w:cs="Times New Roman"/>
                <w:bCs/>
                <w:snapToGrid w:val="0"/>
                <w:color w:val="auto"/>
                <w:kern w:val="0"/>
                <w:szCs w:val="21"/>
                <w:highlight w:val="none"/>
              </w:rPr>
              <w:t xml:space="preserve"> 项目</w:t>
            </w:r>
            <w:r>
              <w:rPr>
                <w:rFonts w:hint="eastAsia" w:ascii="Times New Roman" w:hAnsi="Times New Roman" w:eastAsia="宋体" w:cs="Times New Roman"/>
                <w:bCs/>
                <w:snapToGrid w:val="0"/>
                <w:color w:val="auto"/>
                <w:kern w:val="0"/>
                <w:szCs w:val="21"/>
                <w:highlight w:val="none"/>
                <w:lang w:eastAsia="zh-CN"/>
              </w:rPr>
              <w:t>与</w:t>
            </w:r>
            <w:r>
              <w:rPr>
                <w:rFonts w:hint="eastAsia" w:cs="Times New Roman"/>
                <w:bCs/>
                <w:snapToGrid w:val="0"/>
                <w:color w:val="auto"/>
                <w:kern w:val="0"/>
                <w:szCs w:val="21"/>
                <w:highlight w:val="none"/>
                <w:lang w:eastAsia="zh-CN"/>
              </w:rPr>
              <w:t>澄江</w:t>
            </w:r>
            <w:r>
              <w:rPr>
                <w:rFonts w:hint="eastAsia" w:ascii="Times New Roman" w:hAnsi="Times New Roman" w:eastAsia="宋体" w:cs="Times New Roman"/>
                <w:bCs/>
                <w:snapToGrid w:val="0"/>
                <w:color w:val="auto"/>
                <w:kern w:val="0"/>
                <w:szCs w:val="21"/>
                <w:highlight w:val="none"/>
                <w:lang w:val="en-US" w:eastAsia="zh-CN"/>
              </w:rPr>
              <w:t>市产业园区重点管控单元管控要求</w:t>
            </w:r>
            <w:r>
              <w:rPr>
                <w:rFonts w:hint="default" w:ascii="Times New Roman" w:hAnsi="Times New Roman" w:eastAsia="宋体" w:cs="Times New Roman"/>
                <w:bCs/>
                <w:snapToGrid w:val="0"/>
                <w:color w:val="auto"/>
                <w:kern w:val="0"/>
                <w:szCs w:val="21"/>
                <w:highlight w:val="none"/>
              </w:rPr>
              <w:t>相符性分析</w:t>
            </w:r>
          </w:p>
          <w:tbl>
            <w:tblPr>
              <w:tblStyle w:val="30"/>
              <w:tblW w:w="4982"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638"/>
              <w:gridCol w:w="3004"/>
              <w:gridCol w:w="2626"/>
              <w:gridCol w:w="651"/>
            </w:tblGrid>
            <w:tr w14:paraId="0830C28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596" w:type="pct"/>
                  <w:tcBorders>
                    <w:tl2br w:val="nil"/>
                    <w:tr2bl w:val="nil"/>
                  </w:tcBorders>
                  <w:noWrap w:val="0"/>
                  <w:vAlign w:val="center"/>
                </w:tcPr>
                <w:p w14:paraId="40163F4B">
                  <w:pPr>
                    <w:shd w:val="clear" w:color="auto" w:fill="auto"/>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类别</w:t>
                  </w:r>
                </w:p>
              </w:tc>
              <w:tc>
                <w:tcPr>
                  <w:tcW w:w="2317" w:type="pct"/>
                  <w:gridSpan w:val="2"/>
                  <w:tcBorders>
                    <w:tl2br w:val="nil"/>
                    <w:tr2bl w:val="nil"/>
                  </w:tcBorders>
                  <w:noWrap w:val="0"/>
                  <w:vAlign w:val="center"/>
                </w:tcPr>
                <w:p w14:paraId="334A3A66">
                  <w:pPr>
                    <w:shd w:val="clear" w:color="auto" w:fill="auto"/>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文件要求</w:t>
                  </w:r>
                </w:p>
              </w:tc>
              <w:tc>
                <w:tcPr>
                  <w:tcW w:w="1671" w:type="pct"/>
                  <w:tcBorders>
                    <w:tl2br w:val="nil"/>
                    <w:tr2bl w:val="nil"/>
                  </w:tcBorders>
                  <w:noWrap w:val="0"/>
                  <w:vAlign w:val="center"/>
                </w:tcPr>
                <w:p w14:paraId="2CE9CC53">
                  <w:pPr>
                    <w:shd w:val="clear" w:color="auto" w:fill="auto"/>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相符性分析</w:t>
                  </w:r>
                </w:p>
              </w:tc>
              <w:tc>
                <w:tcPr>
                  <w:tcW w:w="414" w:type="pct"/>
                  <w:tcBorders>
                    <w:tl2br w:val="nil"/>
                    <w:tr2bl w:val="nil"/>
                  </w:tcBorders>
                  <w:noWrap w:val="0"/>
                  <w:vAlign w:val="center"/>
                </w:tcPr>
                <w:p w14:paraId="7BE720DA">
                  <w:pPr>
                    <w:shd w:val="clear" w:color="auto" w:fill="auto"/>
                    <w:jc w:val="center"/>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符合性</w:t>
                  </w:r>
                </w:p>
              </w:tc>
            </w:tr>
            <w:tr w14:paraId="0F30FE1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vMerge w:val="restart"/>
                  <w:tcBorders>
                    <w:tl2br w:val="nil"/>
                    <w:tr2bl w:val="nil"/>
                  </w:tcBorders>
                  <w:noWrap w:val="0"/>
                  <w:vAlign w:val="center"/>
                </w:tcPr>
                <w:p w14:paraId="7D5449CD">
                  <w:pPr>
                    <w:shd w:val="clear" w:color="auto" w:fill="auto"/>
                    <w:bidi w:val="0"/>
                    <w:jc w:val="center"/>
                    <w:outlineLvl w:val="9"/>
                    <w:rPr>
                      <w:rFonts w:hint="eastAsia" w:ascii="Times New Roman" w:hAnsi="Times New Roman" w:eastAsia="宋体" w:cs="Times New Roman"/>
                      <w:color w:val="auto"/>
                      <w:kern w:val="0"/>
                      <w:sz w:val="21"/>
                      <w:szCs w:val="21"/>
                      <w:lang w:val="en-US" w:eastAsia="zh-CN" w:bidi="ar"/>
                    </w:rPr>
                  </w:pPr>
                </w:p>
                <w:p w14:paraId="0556D662">
                  <w:pPr>
                    <w:shd w:val="clear" w:color="auto" w:fill="auto"/>
                    <w:bidi w:val="0"/>
                    <w:jc w:val="center"/>
                    <w:outlineLvl w:val="9"/>
                    <w:rPr>
                      <w:rFonts w:hint="eastAsia" w:ascii="Times New Roman" w:hAnsi="Times New Roman" w:eastAsia="宋体" w:cs="Times New Roman"/>
                      <w:color w:val="auto"/>
                      <w:kern w:val="0"/>
                      <w:sz w:val="21"/>
                      <w:szCs w:val="21"/>
                      <w:lang w:val="en-US" w:eastAsia="zh-CN" w:bidi="ar"/>
                    </w:rPr>
                  </w:pPr>
                </w:p>
                <w:p w14:paraId="6290EC65">
                  <w:pPr>
                    <w:shd w:val="clear" w:color="auto" w:fill="auto"/>
                    <w:bidi w:val="0"/>
                    <w:jc w:val="center"/>
                    <w:outlineLvl w:val="9"/>
                    <w:rPr>
                      <w:rFonts w:hint="eastAsia" w:ascii="Times New Roman" w:hAnsi="Times New Roman" w:eastAsia="宋体" w:cs="Times New Roman"/>
                      <w:color w:val="auto"/>
                      <w:kern w:val="0"/>
                      <w:sz w:val="21"/>
                      <w:szCs w:val="21"/>
                      <w:lang w:val="en-US" w:eastAsia="zh-CN" w:bidi="ar"/>
                    </w:rPr>
                  </w:pPr>
                </w:p>
                <w:p w14:paraId="06BB2941">
                  <w:pPr>
                    <w:shd w:val="clear" w:color="auto" w:fill="auto"/>
                    <w:bidi w:val="0"/>
                    <w:jc w:val="center"/>
                    <w:outlineLvl w:val="9"/>
                    <w:rPr>
                      <w:rFonts w:hint="eastAsia" w:ascii="Times New Roman" w:hAnsi="Times New Roman" w:eastAsia="宋体" w:cs="Times New Roman"/>
                      <w:color w:val="auto"/>
                      <w:kern w:val="0"/>
                      <w:sz w:val="21"/>
                      <w:szCs w:val="21"/>
                      <w:lang w:val="en-US" w:eastAsia="zh-CN" w:bidi="ar"/>
                    </w:rPr>
                  </w:pPr>
                </w:p>
                <w:p w14:paraId="4FFE8298">
                  <w:pPr>
                    <w:shd w:val="clear" w:color="auto" w:fill="auto"/>
                    <w:bidi w:val="0"/>
                    <w:jc w:val="center"/>
                    <w:outlineLvl w:val="9"/>
                    <w:rPr>
                      <w:rFonts w:hint="default" w:ascii="Times New Roman" w:hAnsi="Times New Roman" w:eastAsia="宋体" w:cs="Times New Roman"/>
                      <w:color w:val="auto"/>
                      <w:kern w:val="0"/>
                      <w:sz w:val="21"/>
                      <w:szCs w:val="21"/>
                      <w:lang w:val="zh-CN" w:eastAsia="zh-CN" w:bidi="ar"/>
                    </w:rPr>
                  </w:pPr>
                  <w:r>
                    <w:rPr>
                      <w:rFonts w:hint="eastAsia" w:cs="Times New Roman"/>
                      <w:color w:val="auto"/>
                      <w:kern w:val="0"/>
                      <w:sz w:val="21"/>
                      <w:szCs w:val="21"/>
                      <w:lang w:val="en-US" w:eastAsia="zh-CN" w:bidi="ar"/>
                    </w:rPr>
                    <w:t>玉溪</w:t>
                  </w:r>
                  <w:r>
                    <w:rPr>
                      <w:rFonts w:hint="eastAsia" w:ascii="Times New Roman" w:hAnsi="Times New Roman" w:eastAsia="宋体" w:cs="Times New Roman"/>
                      <w:color w:val="auto"/>
                      <w:kern w:val="0"/>
                      <w:sz w:val="21"/>
                      <w:szCs w:val="21"/>
                      <w:lang w:val="en-US" w:eastAsia="zh-CN" w:bidi="ar"/>
                    </w:rPr>
                    <w:t>市产业园区重点管控单元</w:t>
                  </w:r>
                </w:p>
              </w:tc>
              <w:tc>
                <w:tcPr>
                  <w:tcW w:w="406" w:type="pct"/>
                  <w:tcBorders>
                    <w:tl2br w:val="nil"/>
                    <w:tr2bl w:val="nil"/>
                  </w:tcBorders>
                  <w:noWrap w:val="0"/>
                  <w:vAlign w:val="center"/>
                </w:tcPr>
                <w:p w14:paraId="74C20B23">
                  <w:pPr>
                    <w:shd w:val="clear" w:color="auto" w:fill="auto"/>
                    <w:bidi w:val="0"/>
                    <w:jc w:val="center"/>
                    <w:outlineLvl w:val="9"/>
                    <w:rPr>
                      <w:rFonts w:hint="default" w:ascii="Times New Roman" w:hAnsi="Times New Roman" w:eastAsia="宋体" w:cs="Times New Roman"/>
                      <w:color w:val="auto"/>
                      <w:kern w:val="0"/>
                      <w:sz w:val="21"/>
                      <w:szCs w:val="21"/>
                      <w:lang w:val="zh-CN" w:eastAsia="zh-CN" w:bidi="ar"/>
                    </w:rPr>
                  </w:pPr>
                  <w:r>
                    <w:rPr>
                      <w:rFonts w:hint="default" w:ascii="Times New Roman" w:hAnsi="Times New Roman" w:eastAsia="宋体" w:cs="Times New Roman"/>
                      <w:color w:val="auto"/>
                      <w:kern w:val="0"/>
                      <w:sz w:val="21"/>
                      <w:szCs w:val="21"/>
                      <w:lang w:val="zh-CN" w:eastAsia="zh-CN" w:bidi="ar"/>
                    </w:rPr>
                    <w:t>空间布局</w:t>
                  </w:r>
                </w:p>
                <w:p w14:paraId="47FAEDB6">
                  <w:pPr>
                    <w:shd w:val="clear" w:color="auto" w:fill="auto"/>
                    <w:bidi w:val="0"/>
                    <w:jc w:val="center"/>
                    <w:outlineLvl w:val="9"/>
                    <w:rPr>
                      <w:rFonts w:hint="default" w:ascii="Times New Roman" w:hAnsi="Times New Roman" w:eastAsia="宋体" w:cs="Times New Roman"/>
                      <w:color w:val="auto"/>
                      <w:kern w:val="0"/>
                      <w:sz w:val="21"/>
                      <w:szCs w:val="21"/>
                      <w:lang w:val="zh-CN" w:eastAsia="zh-CN" w:bidi="ar"/>
                    </w:rPr>
                  </w:pPr>
                  <w:r>
                    <w:rPr>
                      <w:rFonts w:hint="default" w:ascii="Times New Roman" w:hAnsi="Times New Roman" w:eastAsia="宋体" w:cs="Times New Roman"/>
                      <w:color w:val="auto"/>
                      <w:kern w:val="0"/>
                      <w:sz w:val="21"/>
                      <w:szCs w:val="21"/>
                      <w:lang w:val="zh-CN" w:eastAsia="zh-CN" w:bidi="ar"/>
                    </w:rPr>
                    <w:t>约束</w:t>
                  </w:r>
                </w:p>
              </w:tc>
              <w:tc>
                <w:tcPr>
                  <w:tcW w:w="1910" w:type="pct"/>
                  <w:tcBorders>
                    <w:tl2br w:val="nil"/>
                    <w:tr2bl w:val="nil"/>
                  </w:tcBorders>
                  <w:noWrap w:val="0"/>
                  <w:vAlign w:val="center"/>
                </w:tcPr>
                <w:p w14:paraId="17AD1ADA">
                  <w:pPr>
                    <w:numPr>
                      <w:ilvl w:val="0"/>
                      <w:numId w:val="0"/>
                    </w:numPr>
                    <w:shd w:val="clear" w:color="auto" w:fill="auto"/>
                    <w:bidi w:val="0"/>
                    <w:jc w:val="both"/>
                    <w:outlineLvl w:val="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1.合理规划产业分区和功能定位，禁止不符合产业政策、产业结构调整指导目录和园区规划要求的项目入园区，禁止高污染、高耗能产业发展，严格控制“两高”行业产能。</w:t>
                  </w:r>
                </w:p>
                <w:p w14:paraId="7A3B8BE1">
                  <w:pPr>
                    <w:numPr>
                      <w:ilvl w:val="0"/>
                      <w:numId w:val="0"/>
                    </w:numPr>
                    <w:shd w:val="clear" w:color="auto" w:fill="auto"/>
                    <w:bidi w:val="0"/>
                    <w:jc w:val="both"/>
                    <w:outlineLvl w:val="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2.园区现有的黄磷行业控制并稳定产能，不新增黄磷产能。</w:t>
                  </w:r>
                </w:p>
                <w:p w14:paraId="348C80E4">
                  <w:pPr>
                    <w:numPr>
                      <w:ilvl w:val="0"/>
                      <w:numId w:val="0"/>
                    </w:numPr>
                    <w:shd w:val="clear" w:color="auto" w:fill="auto"/>
                    <w:bidi w:val="0"/>
                    <w:jc w:val="both"/>
                    <w:outlineLvl w:val="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3.九村片区靠近澄江动物化石群省级自然保护区园区一侧设置不小于10米的生态隔离带，减轻对敏感区的影响。</w:t>
                  </w:r>
                </w:p>
                <w:p w14:paraId="059226F1">
                  <w:pPr>
                    <w:numPr>
                      <w:ilvl w:val="0"/>
                      <w:numId w:val="0"/>
                    </w:numPr>
                    <w:shd w:val="clear" w:color="auto" w:fill="auto"/>
                    <w:bidi w:val="0"/>
                    <w:jc w:val="both"/>
                    <w:outlineLvl w:val="9"/>
                    <w:rPr>
                      <w:rFonts w:hint="eastAsia" w:ascii="Times New Roman" w:hAnsi="Times New Roman" w:eastAsia="宋体" w:cs="Times New Roman"/>
                      <w:color w:val="auto"/>
                      <w:lang w:val="zh-CN" w:eastAsia="zh-CN"/>
                    </w:rPr>
                  </w:pPr>
                  <w:r>
                    <w:rPr>
                      <w:rFonts w:hint="eastAsia" w:ascii="Times New Roman" w:hAnsi="Times New Roman" w:eastAsia="宋体" w:cs="Times New Roman"/>
                      <w:color w:val="auto"/>
                      <w:lang w:val="en-US" w:eastAsia="zh-CN"/>
                    </w:rPr>
                    <w:t>4.开发建设活动必须符合《云南省抚仙湖保护条例》要求。</w:t>
                  </w:r>
                </w:p>
              </w:tc>
              <w:tc>
                <w:tcPr>
                  <w:tcW w:w="2729" w:type="dxa"/>
                  <w:tcBorders>
                    <w:tl2br w:val="nil"/>
                    <w:tr2bl w:val="nil"/>
                  </w:tcBorders>
                  <w:noWrap w:val="0"/>
                  <w:vAlign w:val="center"/>
                </w:tcPr>
                <w:p w14:paraId="716A18A2">
                  <w:pPr>
                    <w:numPr>
                      <w:ilvl w:val="0"/>
                      <w:numId w:val="0"/>
                    </w:numPr>
                    <w:shd w:val="clear" w:color="auto" w:fill="auto"/>
                    <w:bidi w:val="0"/>
                    <w:jc w:val="both"/>
                    <w:outlineLvl w:val="9"/>
                    <w:rPr>
                      <w:rFonts w:hint="eastAsia"/>
                      <w:color w:val="auto"/>
                    </w:rPr>
                  </w:pPr>
                  <w:r>
                    <w:rPr>
                      <w:rFonts w:hint="eastAsia"/>
                      <w:color w:val="auto"/>
                    </w:rPr>
                    <w:t>1.</w:t>
                  </w:r>
                  <w:r>
                    <w:rPr>
                      <w:rFonts w:hint="default" w:ascii="Times New Roman" w:hAnsi="Times New Roman" w:eastAsia="宋体" w:cs="Times New Roman"/>
                      <w:color w:val="auto"/>
                      <w:kern w:val="0"/>
                      <w:sz w:val="21"/>
                      <w:szCs w:val="21"/>
                      <w:highlight w:val="none"/>
                    </w:rPr>
                    <w:t>项目</w:t>
                  </w:r>
                  <w:r>
                    <w:rPr>
                      <w:rFonts w:hint="eastAsia" w:ascii="Times New Roman" w:hAnsi="Times New Roman" w:eastAsia="宋体" w:cs="Times New Roman"/>
                      <w:color w:val="auto"/>
                      <w:kern w:val="0"/>
                      <w:sz w:val="21"/>
                      <w:szCs w:val="21"/>
                      <w:highlight w:val="none"/>
                      <w:lang w:val="en-US" w:eastAsia="zh-CN"/>
                    </w:rPr>
                    <w:t>属于</w:t>
                  </w:r>
                  <w:r>
                    <w:rPr>
                      <w:rFonts w:hint="default" w:ascii="Times New Roman" w:hAnsi="Times New Roman" w:eastAsia="宋体" w:cs="Times New Roman"/>
                      <w:color w:val="auto"/>
                      <w:sz w:val="21"/>
                      <w:szCs w:val="21"/>
                      <w:lang w:val="en-US" w:eastAsia="zh-CN"/>
                    </w:rPr>
                    <w:t>塑料包装箱及容器制造</w:t>
                  </w:r>
                  <w:r>
                    <w:rPr>
                      <w:rFonts w:hint="eastAsia"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kern w:val="0"/>
                      <w:sz w:val="21"/>
                      <w:szCs w:val="21"/>
                      <w:highlight w:val="none"/>
                      <w:lang w:val="en-US" w:eastAsia="zh-CN"/>
                    </w:rPr>
                    <w:t>对照</w:t>
                  </w:r>
                  <w:r>
                    <w:rPr>
                      <w:rFonts w:hint="eastAsia" w:ascii="Times New Roman" w:hAnsi="Times New Roman" w:cs="Times New Roman"/>
                      <w:color w:val="auto"/>
                      <w:sz w:val="21"/>
                      <w:szCs w:val="21"/>
                      <w:lang w:val="en-US" w:eastAsia="zh-CN"/>
                    </w:rPr>
                    <w:t>《产业结构调整指导目录》（2024年本），项目</w:t>
                  </w:r>
                  <w:r>
                    <w:rPr>
                      <w:rFonts w:hint="default" w:ascii="Times New Roman" w:hAnsi="Times New Roman" w:cs="Times New Roman"/>
                      <w:color w:val="auto"/>
                      <w:sz w:val="21"/>
                      <w:szCs w:val="21"/>
                      <w:lang w:val="en-US" w:eastAsia="zh-CN"/>
                    </w:rPr>
                    <w:t>符合国家产业政策</w:t>
                  </w:r>
                  <w:r>
                    <w:rPr>
                      <w:rFonts w:hint="eastAsia" w:ascii="Times New Roman" w:hAnsi="Times New Roman" w:cs="Times New Roman"/>
                      <w:color w:val="auto"/>
                      <w:sz w:val="21"/>
                      <w:szCs w:val="21"/>
                      <w:lang w:val="en-US" w:eastAsia="zh-CN"/>
                    </w:rPr>
                    <w:t>，项目位于澄江市产业园区提古片区，符合园区规划</w:t>
                  </w:r>
                  <w:r>
                    <w:rPr>
                      <w:rFonts w:hint="eastAsia" w:ascii="Times New Roman" w:hAnsi="Times New Roman" w:eastAsia="宋体" w:cs="Times New Roman"/>
                      <w:color w:val="auto"/>
                      <w:kern w:val="0"/>
                      <w:sz w:val="21"/>
                      <w:szCs w:val="21"/>
                      <w:highlight w:val="none"/>
                    </w:rPr>
                    <w:t>。</w:t>
                  </w:r>
                  <w:r>
                    <w:rPr>
                      <w:rFonts w:hint="eastAsia" w:ascii="Times New Roman" w:hAnsi="Times New Roman" w:eastAsia="宋体" w:cs="Times New Roman"/>
                      <w:color w:val="auto"/>
                      <w:kern w:val="0"/>
                      <w:sz w:val="21"/>
                      <w:szCs w:val="21"/>
                      <w:highlight w:val="none"/>
                      <w:lang w:val="en-US" w:eastAsia="zh-CN"/>
                    </w:rPr>
                    <w:t>本项目不属于“两高”行业</w:t>
                  </w:r>
                  <w:r>
                    <w:rPr>
                      <w:rFonts w:hint="eastAsia" w:ascii="Times New Roman" w:hAnsi="Times New Roman" w:eastAsia="宋体" w:cs="Times New Roman"/>
                      <w:color w:val="auto"/>
                    </w:rPr>
                    <w:t>。</w:t>
                  </w:r>
                </w:p>
                <w:p w14:paraId="4D27487D">
                  <w:pPr>
                    <w:numPr>
                      <w:ilvl w:val="0"/>
                      <w:numId w:val="0"/>
                    </w:numPr>
                    <w:shd w:val="clear" w:color="auto" w:fill="auto"/>
                    <w:bidi w:val="0"/>
                    <w:jc w:val="both"/>
                    <w:outlineLvl w:val="9"/>
                    <w:rPr>
                      <w:rFonts w:hint="eastAsia"/>
                      <w:color w:val="auto"/>
                    </w:rPr>
                  </w:pPr>
                  <w:r>
                    <w:rPr>
                      <w:rFonts w:hint="eastAsia"/>
                      <w:color w:val="auto"/>
                    </w:rPr>
                    <w:t>2.</w:t>
                  </w:r>
                  <w:r>
                    <w:rPr>
                      <w:rFonts w:hint="default" w:ascii="Times New Roman" w:hAnsi="Times New Roman" w:eastAsia="宋体" w:cs="Times New Roman"/>
                      <w:color w:val="auto"/>
                      <w:kern w:val="0"/>
                      <w:sz w:val="21"/>
                      <w:szCs w:val="21"/>
                      <w:highlight w:val="none"/>
                    </w:rPr>
                    <w:t>项目</w:t>
                  </w:r>
                  <w:r>
                    <w:rPr>
                      <w:rFonts w:hint="eastAsia" w:ascii="Times New Roman" w:hAnsi="Times New Roman" w:eastAsia="宋体" w:cs="Times New Roman"/>
                      <w:color w:val="auto"/>
                      <w:kern w:val="0"/>
                      <w:sz w:val="21"/>
                      <w:szCs w:val="21"/>
                      <w:highlight w:val="none"/>
                      <w:lang w:val="en-US" w:eastAsia="zh-CN"/>
                    </w:rPr>
                    <w:t>属于</w:t>
                  </w:r>
                  <w:r>
                    <w:rPr>
                      <w:rFonts w:hint="default" w:ascii="Times New Roman" w:hAnsi="Times New Roman" w:eastAsia="宋体" w:cs="Times New Roman"/>
                      <w:color w:val="auto"/>
                      <w:sz w:val="21"/>
                      <w:szCs w:val="21"/>
                      <w:lang w:val="en-US" w:eastAsia="zh-CN"/>
                    </w:rPr>
                    <w:t>塑料包装箱及容器制造</w:t>
                  </w:r>
                  <w:r>
                    <w:rPr>
                      <w:rFonts w:hint="eastAsia" w:ascii="Times New Roman" w:hAnsi="Times New Roman" w:eastAsia="宋体" w:cs="Times New Roman"/>
                      <w:color w:val="auto"/>
                      <w:sz w:val="21"/>
                      <w:szCs w:val="21"/>
                      <w:lang w:val="en-US" w:eastAsia="zh-CN"/>
                    </w:rPr>
                    <w:t>，</w:t>
                  </w:r>
                  <w:r>
                    <w:rPr>
                      <w:rFonts w:hint="eastAsia" w:cs="Times New Roman"/>
                      <w:b w:val="0"/>
                      <w:bCs w:val="0"/>
                      <w:color w:val="auto"/>
                      <w:sz w:val="21"/>
                      <w:szCs w:val="21"/>
                      <w:highlight w:val="none"/>
                      <w:u w:val="none"/>
                      <w:lang w:val="en-US" w:eastAsia="zh-CN"/>
                    </w:rPr>
                    <w:t>不涉及黄磷行业</w:t>
                  </w:r>
                  <w:r>
                    <w:rPr>
                      <w:rFonts w:hint="eastAsia"/>
                      <w:color w:val="auto"/>
                    </w:rPr>
                    <w:t>。</w:t>
                  </w:r>
                </w:p>
                <w:p w14:paraId="7F2EE351">
                  <w:pPr>
                    <w:numPr>
                      <w:ilvl w:val="0"/>
                      <w:numId w:val="0"/>
                    </w:numPr>
                    <w:shd w:val="clear" w:color="auto" w:fill="auto"/>
                    <w:bidi w:val="0"/>
                    <w:jc w:val="both"/>
                    <w:outlineLvl w:val="9"/>
                    <w:rPr>
                      <w:rFonts w:hint="eastAsia"/>
                      <w:color w:val="auto"/>
                    </w:rPr>
                  </w:pPr>
                  <w:r>
                    <w:rPr>
                      <w:rFonts w:hint="eastAsia"/>
                      <w:color w:val="auto"/>
                    </w:rPr>
                    <w:t>3.</w:t>
                  </w:r>
                  <w:r>
                    <w:rPr>
                      <w:rFonts w:hint="eastAsia" w:ascii="Times New Roman" w:hAnsi="Times New Roman" w:cs="Times New Roman"/>
                      <w:color w:val="auto"/>
                      <w:sz w:val="21"/>
                      <w:szCs w:val="21"/>
                      <w:lang w:val="en-US" w:eastAsia="zh-CN"/>
                    </w:rPr>
                    <w:t>项目位于澄江市产业园区提古片区，</w:t>
                  </w:r>
                  <w:r>
                    <w:rPr>
                      <w:rFonts w:hint="eastAsia" w:ascii="Times New Roman" w:hAnsi="Times New Roman" w:eastAsia="宋体" w:cs="Times New Roman"/>
                      <w:color w:val="auto"/>
                      <w:kern w:val="0"/>
                      <w:sz w:val="21"/>
                      <w:szCs w:val="21"/>
                      <w:highlight w:val="none"/>
                      <w:lang w:val="en-US" w:eastAsia="zh-CN"/>
                    </w:rPr>
                    <w:t>将严格遵守</w:t>
                  </w:r>
                  <w:r>
                    <w:rPr>
                      <w:rFonts w:hint="default" w:ascii="Times New Roman" w:hAnsi="Times New Roman" w:eastAsia="宋体" w:cs="Times New Roman"/>
                      <w:color w:val="auto"/>
                      <w:kern w:val="0"/>
                      <w:sz w:val="21"/>
                      <w:szCs w:val="21"/>
                      <w:highlight w:val="none"/>
                      <w:lang w:val="en-US" w:eastAsia="zh-CN"/>
                    </w:rPr>
                    <w:t>《云南省滇池保护条例》</w:t>
                  </w:r>
                  <w:r>
                    <w:rPr>
                      <w:rFonts w:hint="eastAsia" w:ascii="Times New Roman" w:hAnsi="Times New Roman" w:eastAsia="宋体" w:cs="Times New Roman"/>
                      <w:color w:val="auto"/>
                      <w:kern w:val="0"/>
                      <w:sz w:val="21"/>
                      <w:szCs w:val="21"/>
                      <w:highlight w:val="none"/>
                      <w:lang w:val="en-US" w:eastAsia="zh-CN"/>
                    </w:rPr>
                    <w:t>，项目</w:t>
                  </w:r>
                  <w:r>
                    <w:rPr>
                      <w:rFonts w:hint="default" w:ascii="Times New Roman" w:hAnsi="Times New Roman" w:eastAsia="宋体" w:cs="Times New Roman"/>
                      <w:color w:val="auto"/>
                      <w:kern w:val="0"/>
                      <w:sz w:val="21"/>
                      <w:szCs w:val="21"/>
                      <w:highlight w:val="none"/>
                      <w:lang w:val="en-US" w:eastAsia="zh-CN"/>
                    </w:rPr>
                    <w:t>不涉及澄江动物化石群省级自然保护区</w:t>
                  </w:r>
                  <w:r>
                    <w:rPr>
                      <w:rFonts w:hint="default" w:ascii="Times New Roman" w:hAnsi="Times New Roman" w:eastAsia="宋体" w:cs="Times New Roman"/>
                      <w:color w:val="auto"/>
                      <w:highlight w:val="none"/>
                      <w:lang w:eastAsia="zh-CN"/>
                    </w:rPr>
                    <w:t>。</w:t>
                  </w:r>
                </w:p>
                <w:p w14:paraId="489273C0">
                  <w:pPr>
                    <w:numPr>
                      <w:ilvl w:val="0"/>
                      <w:numId w:val="0"/>
                    </w:numPr>
                    <w:shd w:val="clear" w:color="auto" w:fill="auto"/>
                    <w:bidi w:val="0"/>
                    <w:ind w:left="0" w:leftChars="0" w:firstLine="0" w:firstLineChars="0"/>
                    <w:jc w:val="both"/>
                    <w:outlineLvl w:val="9"/>
                    <w:rPr>
                      <w:rStyle w:val="103"/>
                      <w:rFonts w:hint="default" w:ascii="Times New Roman" w:hAnsi="Times New Roman" w:eastAsia="宋体" w:cs="Times New Roman"/>
                      <w:color w:val="auto"/>
                      <w:kern w:val="0"/>
                      <w:sz w:val="21"/>
                      <w:szCs w:val="21"/>
                      <w:highlight w:val="none"/>
                    </w:rPr>
                  </w:pPr>
                  <w:r>
                    <w:rPr>
                      <w:rFonts w:hint="eastAsia"/>
                      <w:color w:val="auto"/>
                    </w:rPr>
                    <w:t>4.</w:t>
                  </w:r>
                  <w:r>
                    <w:rPr>
                      <w:rFonts w:hint="eastAsia" w:ascii="Times New Roman" w:hAnsi="Times New Roman" w:eastAsia="宋体" w:cs="Times New Roman"/>
                      <w:color w:val="auto"/>
                      <w:kern w:val="0"/>
                      <w:sz w:val="21"/>
                      <w:szCs w:val="21"/>
                      <w:highlight w:val="none"/>
                      <w:lang w:val="en-US" w:eastAsia="zh-CN"/>
                    </w:rPr>
                    <w:t>根据《玉溪市人民政府关于抚仙湖、星云湖、杞麓湖生态保护核心区生态保护缓冲区绿色发展区划定公告》，本项目不在抚仙湖保护区范围内</w:t>
                  </w:r>
                  <w:r>
                    <w:rPr>
                      <w:rFonts w:hint="default" w:ascii="Times New Roman" w:hAnsi="Times New Roman" w:eastAsia="宋体" w:cs="Times New Roman"/>
                      <w:b w:val="0"/>
                      <w:bCs w:val="0"/>
                      <w:color w:val="auto"/>
                      <w:kern w:val="0"/>
                      <w:sz w:val="21"/>
                      <w:szCs w:val="21"/>
                      <w:highlight w:val="none"/>
                      <w:lang w:val="en-US" w:eastAsia="zh-CN"/>
                    </w:rPr>
                    <w:t>。</w:t>
                  </w:r>
                </w:p>
              </w:tc>
              <w:tc>
                <w:tcPr>
                  <w:tcW w:w="414" w:type="pct"/>
                  <w:tcBorders>
                    <w:tl2br w:val="nil"/>
                    <w:tr2bl w:val="nil"/>
                  </w:tcBorders>
                  <w:noWrap w:val="0"/>
                  <w:vAlign w:val="center"/>
                </w:tcPr>
                <w:p w14:paraId="3129D71F">
                  <w:pPr>
                    <w:shd w:val="clear" w:color="auto" w:fill="auto"/>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符合</w:t>
                  </w:r>
                </w:p>
              </w:tc>
            </w:tr>
            <w:tr w14:paraId="224D13A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vMerge w:val="continue"/>
                  <w:tcBorders>
                    <w:tl2br w:val="nil"/>
                    <w:tr2bl w:val="nil"/>
                  </w:tcBorders>
                  <w:noWrap w:val="0"/>
                  <w:vAlign w:val="center"/>
                </w:tcPr>
                <w:p w14:paraId="722E5696">
                  <w:pPr>
                    <w:shd w:val="clear" w:color="auto" w:fill="auto"/>
                    <w:bidi w:val="0"/>
                    <w:jc w:val="center"/>
                    <w:outlineLvl w:val="9"/>
                    <w:rPr>
                      <w:rFonts w:hint="default" w:ascii="Times New Roman" w:hAnsi="Times New Roman" w:eastAsia="宋体" w:cs="Times New Roman"/>
                      <w:color w:val="auto"/>
                      <w:kern w:val="0"/>
                      <w:sz w:val="21"/>
                      <w:szCs w:val="21"/>
                      <w:lang w:val="zh-CN" w:eastAsia="zh-CN" w:bidi="ar"/>
                    </w:rPr>
                  </w:pPr>
                </w:p>
              </w:tc>
              <w:tc>
                <w:tcPr>
                  <w:tcW w:w="406" w:type="pct"/>
                  <w:tcBorders>
                    <w:tl2br w:val="nil"/>
                    <w:tr2bl w:val="nil"/>
                  </w:tcBorders>
                  <w:noWrap w:val="0"/>
                  <w:vAlign w:val="center"/>
                </w:tcPr>
                <w:p w14:paraId="4544D26F">
                  <w:pPr>
                    <w:pStyle w:val="5"/>
                    <w:pageBreakBefore w:val="0"/>
                    <w:kinsoku/>
                    <w:wordWrap/>
                    <w:overflowPunct/>
                    <w:topLinePunct w:val="0"/>
                    <w:autoSpaceDE/>
                    <w:autoSpaceDN/>
                    <w:bidi w:val="0"/>
                    <w:spacing w:before="0" w:after="0" w:line="240" w:lineRule="auto"/>
                    <w:rPr>
                      <w:rFonts w:hint="default" w:ascii="Times New Roman" w:hAnsi="Times New Roman" w:eastAsia="宋体" w:cs="Times New Roman"/>
                      <w:b w:val="0"/>
                      <w:color w:val="auto"/>
                      <w:kern w:val="0"/>
                      <w:sz w:val="21"/>
                      <w:szCs w:val="21"/>
                      <w:lang w:val="zh-CN" w:eastAsia="zh-CN" w:bidi="ar"/>
                    </w:rPr>
                  </w:pPr>
                  <w:r>
                    <w:rPr>
                      <w:rFonts w:hint="default" w:ascii="Times New Roman" w:hAnsi="Times New Roman" w:eastAsia="宋体" w:cs="Times New Roman"/>
                      <w:b w:val="0"/>
                      <w:color w:val="auto"/>
                      <w:kern w:val="0"/>
                      <w:sz w:val="21"/>
                      <w:szCs w:val="21"/>
                      <w:lang w:val="zh-CN" w:eastAsia="zh-CN" w:bidi="ar"/>
                    </w:rPr>
                    <w:t>污染物排放管控</w:t>
                  </w:r>
                </w:p>
              </w:tc>
              <w:tc>
                <w:tcPr>
                  <w:tcW w:w="1910" w:type="pct"/>
                  <w:tcBorders>
                    <w:tl2br w:val="nil"/>
                    <w:tr2bl w:val="nil"/>
                  </w:tcBorders>
                  <w:noWrap w:val="0"/>
                  <w:vAlign w:val="center"/>
                </w:tcPr>
                <w:p w14:paraId="3D244324">
                  <w:pPr>
                    <w:numPr>
                      <w:ilvl w:val="0"/>
                      <w:numId w:val="0"/>
                    </w:numPr>
                    <w:shd w:val="clear" w:color="auto" w:fill="auto"/>
                    <w:bidi w:val="0"/>
                    <w:jc w:val="both"/>
                    <w:outlineLvl w:val="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1.能源供应系统以煤气、液化气为主，其他清洁能源为辅，园区内禁止新增原煤作燃料的企业，九村片区已建成企业应加大废气污染物的治理效率。</w:t>
                  </w:r>
                </w:p>
                <w:p w14:paraId="0B3BEF2E">
                  <w:pPr>
                    <w:numPr>
                      <w:ilvl w:val="0"/>
                      <w:numId w:val="0"/>
                    </w:numPr>
                    <w:shd w:val="clear" w:color="auto" w:fill="auto"/>
                    <w:bidi w:val="0"/>
                    <w:jc w:val="both"/>
                    <w:outlineLvl w:val="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园区内工业废水必须经预处理达到要求，方可进入污水集中处理设施，完善园区污水厂配套污水管网的建设和处理规模的扩容。牛场片区和九村片区废污水处理达标后，可排入南盘江，禁止排入抚仙湖径流区；提古片区废水须进行综合利用、封闭循环使用，不外排。</w:t>
                  </w:r>
                </w:p>
                <w:p w14:paraId="2AD8FED2">
                  <w:pPr>
                    <w:numPr>
                      <w:ilvl w:val="0"/>
                      <w:numId w:val="0"/>
                    </w:numPr>
                    <w:shd w:val="clear" w:color="auto" w:fill="auto"/>
                    <w:bidi w:val="0"/>
                    <w:jc w:val="both"/>
                    <w:outlineLvl w:val="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3.全面巩固最严格水资源管理制度，全面禁止向抚仙湖取水，特殊情况下确需取水须遵守《云南省抚仙湖保护条例》相关要求。</w:t>
                  </w:r>
                </w:p>
                <w:p w14:paraId="3FDE1C5F">
                  <w:pPr>
                    <w:numPr>
                      <w:ilvl w:val="0"/>
                      <w:numId w:val="0"/>
                    </w:numPr>
                    <w:shd w:val="clear" w:color="auto" w:fill="auto"/>
                    <w:bidi w:val="0"/>
                    <w:jc w:val="both"/>
                    <w:outlineLvl w:val="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4.新入园企业如涉及重金属重点行业须遵循重点重金属污染物排放“减量置换”或“等量替换”的原则，在玉溪市内有明确具体的重金属污染物排放总量来源。</w:t>
                  </w:r>
                </w:p>
              </w:tc>
              <w:tc>
                <w:tcPr>
                  <w:tcW w:w="2729" w:type="dxa"/>
                  <w:tcBorders>
                    <w:tl2br w:val="nil"/>
                    <w:tr2bl w:val="nil"/>
                  </w:tcBorders>
                  <w:noWrap w:val="0"/>
                  <w:vAlign w:val="center"/>
                </w:tcPr>
                <w:p w14:paraId="537BF356">
                  <w:pPr>
                    <w:pageBreakBefore w:val="0"/>
                    <w:numPr>
                      <w:ilvl w:val="0"/>
                      <w:numId w:val="0"/>
                    </w:numPr>
                    <w:kinsoku/>
                    <w:wordWrap/>
                    <w:overflowPunct/>
                    <w:topLinePunct w:val="0"/>
                    <w:autoSpaceDE/>
                    <w:autoSpaceDN/>
                    <w:bidi w:val="0"/>
                    <w:spacing w:line="240" w:lineRule="auto"/>
                    <w:rPr>
                      <w:rFonts w:hint="eastAsia"/>
                      <w:color w:val="auto"/>
                    </w:rPr>
                  </w:pPr>
                  <w:r>
                    <w:rPr>
                      <w:rFonts w:hint="eastAsia"/>
                      <w:color w:val="auto"/>
                      <w:lang w:val="en-US" w:eastAsia="zh-CN"/>
                    </w:rPr>
                    <w:t>1.</w:t>
                  </w:r>
                  <w:r>
                    <w:rPr>
                      <w:rFonts w:hint="eastAsia" w:ascii="Times New Roman" w:hAnsi="Times New Roman" w:eastAsia="宋体" w:cs="Times New Roman"/>
                      <w:color w:val="auto"/>
                      <w:kern w:val="0"/>
                      <w:sz w:val="21"/>
                      <w:szCs w:val="21"/>
                      <w:highlight w:val="none"/>
                      <w:lang w:val="en-US" w:eastAsia="zh-CN"/>
                    </w:rPr>
                    <w:t>本项目耗能仅涉及电能，不使用原煤；</w:t>
                  </w:r>
                  <w:r>
                    <w:rPr>
                      <w:rFonts w:hint="eastAsia" w:ascii="Times New Roman" w:hAnsi="Times New Roman" w:cs="Times New Roman"/>
                      <w:color w:val="auto"/>
                      <w:sz w:val="21"/>
                      <w:szCs w:val="21"/>
                      <w:lang w:val="en-US" w:eastAsia="zh-CN"/>
                    </w:rPr>
                    <w:t>项目位于澄江市产业园区提古片区。</w:t>
                  </w:r>
                </w:p>
                <w:p w14:paraId="2CF2448A">
                  <w:pPr>
                    <w:rPr>
                      <w:rFonts w:hint="eastAsia" w:eastAsia="宋体"/>
                      <w:color w:val="auto"/>
                      <w:highlight w:val="yellow"/>
                      <w:lang w:eastAsia="zh-CN"/>
                    </w:rPr>
                  </w:pPr>
                  <w:r>
                    <w:rPr>
                      <w:rFonts w:hint="eastAsia"/>
                      <w:color w:val="auto"/>
                    </w:rPr>
                    <w:t>2.</w:t>
                  </w:r>
                  <w:r>
                    <w:rPr>
                      <w:rFonts w:hint="eastAsia" w:ascii="Times New Roman" w:hAnsi="Times New Roman" w:eastAsia="宋体" w:cs="Times New Roman"/>
                      <w:color w:val="auto"/>
                      <w:kern w:val="0"/>
                      <w:sz w:val="21"/>
                      <w:szCs w:val="21"/>
                      <w:highlight w:val="none"/>
                      <w:lang w:val="en-US" w:eastAsia="zh-CN"/>
                    </w:rPr>
                    <w:t>本项目位于提古片区，</w:t>
                  </w:r>
                  <w:r>
                    <w:rPr>
                      <w:rFonts w:hint="default" w:ascii="Times New Roman" w:hAnsi="Times New Roman" w:cs="Times New Roman"/>
                      <w:color w:val="auto"/>
                      <w:sz w:val="21"/>
                      <w:szCs w:val="21"/>
                      <w:shd w:val="clear" w:color="auto" w:fill="auto"/>
                      <w:lang w:eastAsia="zh-CN"/>
                    </w:rPr>
                    <w:t>项目</w:t>
                  </w:r>
                  <w:r>
                    <w:rPr>
                      <w:rFonts w:ascii="Times New Roman" w:hAnsi="Times New Roman" w:eastAsia="宋体" w:cs="Times New Roman"/>
                      <w:b w:val="0"/>
                      <w:bCs/>
                      <w:color w:val="auto"/>
                      <w:kern w:val="0"/>
                      <w:sz w:val="21"/>
                      <w:szCs w:val="21"/>
                      <w:lang w:val="en-US" w:eastAsia="zh-CN" w:bidi="ar-SA"/>
                    </w:rPr>
                    <w:t>冷却水</w:t>
                  </w:r>
                  <w:r>
                    <w:rPr>
                      <w:rFonts w:ascii="Times New Roman" w:hAnsi="Times New Roman" w:eastAsia="宋体" w:cs="Times New Roman"/>
                      <w:color w:val="auto"/>
                      <w:kern w:val="0"/>
                      <w:sz w:val="21"/>
                      <w:szCs w:val="21"/>
                      <w:lang w:val="en-US" w:eastAsia="zh-CN" w:bidi="ar-SA"/>
                    </w:rPr>
                    <w:t>经冷却循环</w:t>
                  </w:r>
                  <w:r>
                    <w:rPr>
                      <w:rFonts w:hint="eastAsia" w:ascii="Times New Roman" w:hAnsi="Times New Roman" w:eastAsia="宋体" w:cs="Times New Roman"/>
                      <w:color w:val="auto"/>
                      <w:kern w:val="0"/>
                      <w:sz w:val="21"/>
                      <w:szCs w:val="21"/>
                      <w:lang w:val="en-US" w:eastAsia="zh-CN" w:bidi="ar-SA"/>
                    </w:rPr>
                    <w:t>水箱</w:t>
                  </w:r>
                  <w:r>
                    <w:rPr>
                      <w:rFonts w:ascii="Times New Roman" w:hAnsi="Times New Roman" w:eastAsia="宋体" w:cs="Times New Roman"/>
                      <w:color w:val="auto"/>
                      <w:kern w:val="0"/>
                      <w:sz w:val="21"/>
                      <w:szCs w:val="21"/>
                      <w:lang w:val="en-US" w:eastAsia="zh-CN" w:bidi="ar-SA"/>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w:t>
                  </w:r>
                  <w:r>
                    <w:rPr>
                      <w:rFonts w:hint="default" w:ascii="Times New Roman" w:hAnsi="Times New Roman" w:eastAsia="宋体" w:cs="Times New Roman"/>
                      <w:b w:val="0"/>
                      <w:bCs w:val="0"/>
                      <w:color w:val="auto"/>
                      <w:sz w:val="21"/>
                      <w:szCs w:val="21"/>
                      <w:highlight w:val="none"/>
                      <w:lang w:val="en-US" w:eastAsia="zh-CN"/>
                    </w:rPr>
                    <w:t>标后，用于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p w14:paraId="5956DAF2">
                  <w:pPr>
                    <w:pageBreakBefore w:val="0"/>
                    <w:kinsoku/>
                    <w:wordWrap/>
                    <w:overflowPunct/>
                    <w:topLinePunct w:val="0"/>
                    <w:autoSpaceDE/>
                    <w:autoSpaceDN/>
                    <w:bidi w:val="0"/>
                    <w:spacing w:line="240" w:lineRule="auto"/>
                    <w:rPr>
                      <w:rFonts w:hint="eastAsia"/>
                      <w:color w:val="auto"/>
                    </w:rPr>
                  </w:pPr>
                  <w:r>
                    <w:rPr>
                      <w:rFonts w:hint="eastAsia"/>
                      <w:color w:val="auto"/>
                      <w:lang w:val="en-US" w:eastAsia="zh-CN"/>
                    </w:rPr>
                    <w:t>3.</w:t>
                  </w:r>
                  <w:r>
                    <w:rPr>
                      <w:rFonts w:hint="eastAsia" w:ascii="Times New Roman" w:hAnsi="Times New Roman" w:eastAsia="宋体" w:cs="Times New Roman"/>
                      <w:color w:val="auto"/>
                      <w:kern w:val="0"/>
                      <w:sz w:val="21"/>
                      <w:szCs w:val="21"/>
                      <w:highlight w:val="none"/>
                      <w:lang w:val="en-US" w:eastAsia="zh-CN"/>
                    </w:rPr>
                    <w:t>本项目用水来源于园区供水管网，不向抚仙湖取水</w:t>
                  </w:r>
                  <w:r>
                    <w:rPr>
                      <w:rFonts w:hint="eastAsia"/>
                      <w:color w:val="auto"/>
                    </w:rPr>
                    <w:t>。</w:t>
                  </w:r>
                </w:p>
                <w:p w14:paraId="7BF991F1">
                  <w:pPr>
                    <w:pageBreakBefore w:val="0"/>
                    <w:kinsoku/>
                    <w:wordWrap/>
                    <w:overflowPunct/>
                    <w:topLinePunct w:val="0"/>
                    <w:autoSpaceDE/>
                    <w:autoSpaceDN/>
                    <w:bidi w:val="0"/>
                    <w:spacing w:line="240" w:lineRule="auto"/>
                    <w:rPr>
                      <w:rFonts w:hint="eastAsia" w:eastAsia="宋体"/>
                      <w:color w:val="auto"/>
                      <w:lang w:val="en-US" w:eastAsia="zh-CN"/>
                    </w:rPr>
                  </w:pPr>
                  <w:r>
                    <w:rPr>
                      <w:rFonts w:hint="eastAsia"/>
                      <w:color w:val="auto"/>
                    </w:rPr>
                    <w:t>4.</w:t>
                  </w:r>
                  <w:r>
                    <w:rPr>
                      <w:rFonts w:hint="eastAsia"/>
                      <w:color w:val="auto"/>
                      <w:lang w:eastAsia="zh-CN"/>
                    </w:rPr>
                    <w:t>本项目不涉及</w:t>
                  </w:r>
                  <w:r>
                    <w:rPr>
                      <w:rFonts w:hint="eastAsia" w:ascii="Times New Roman" w:hAnsi="Times New Roman" w:eastAsia="宋体" w:cs="Times New Roman"/>
                      <w:color w:val="auto"/>
                      <w:kern w:val="0"/>
                      <w:sz w:val="21"/>
                      <w:szCs w:val="21"/>
                      <w:highlight w:val="none"/>
                      <w:lang w:val="en-US" w:eastAsia="zh-CN"/>
                    </w:rPr>
                    <w:t>重金属重点行业。</w:t>
                  </w:r>
                </w:p>
              </w:tc>
              <w:tc>
                <w:tcPr>
                  <w:tcW w:w="414" w:type="pct"/>
                  <w:tcBorders>
                    <w:tl2br w:val="nil"/>
                    <w:tr2bl w:val="nil"/>
                  </w:tcBorders>
                  <w:noWrap w:val="0"/>
                  <w:vAlign w:val="center"/>
                </w:tcPr>
                <w:p w14:paraId="7F37C93E">
                  <w:pPr>
                    <w:shd w:val="clear" w:color="auto" w:fill="auto"/>
                    <w:jc w:val="center"/>
                    <w:rPr>
                      <w:rFonts w:hint="default" w:ascii="Times New Roman" w:hAnsi="Times New Roman" w:eastAsia="宋体" w:cs="Times New Roman"/>
                      <w:color w:val="auto"/>
                      <w:szCs w:val="21"/>
                      <w:highlight w:val="none"/>
                    </w:rPr>
                  </w:pPr>
                </w:p>
                <w:p w14:paraId="182D4080">
                  <w:pPr>
                    <w:shd w:val="clear" w:color="auto" w:fill="auto"/>
                    <w:jc w:val="center"/>
                    <w:rPr>
                      <w:rFonts w:hint="default" w:ascii="Times New Roman" w:hAnsi="Times New Roman" w:eastAsia="宋体" w:cs="Times New Roman"/>
                      <w:color w:val="auto"/>
                      <w:szCs w:val="21"/>
                      <w:highlight w:val="none"/>
                    </w:rPr>
                  </w:pPr>
                </w:p>
                <w:p w14:paraId="3B9E9A09">
                  <w:pPr>
                    <w:shd w:val="clear" w:color="auto" w:fill="auto"/>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符合</w:t>
                  </w:r>
                </w:p>
              </w:tc>
            </w:tr>
            <w:tr w14:paraId="777F217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vMerge w:val="continue"/>
                  <w:tcBorders>
                    <w:tl2br w:val="nil"/>
                    <w:tr2bl w:val="nil"/>
                  </w:tcBorders>
                  <w:noWrap w:val="0"/>
                  <w:vAlign w:val="center"/>
                </w:tcPr>
                <w:p w14:paraId="4B52BE70">
                  <w:pPr>
                    <w:shd w:val="clear" w:color="auto" w:fill="auto"/>
                    <w:bidi w:val="0"/>
                    <w:jc w:val="center"/>
                    <w:outlineLvl w:val="9"/>
                    <w:rPr>
                      <w:rFonts w:hint="default" w:ascii="Times New Roman" w:hAnsi="Times New Roman" w:eastAsia="宋体" w:cs="Times New Roman"/>
                      <w:color w:val="auto"/>
                      <w:kern w:val="0"/>
                      <w:sz w:val="21"/>
                      <w:szCs w:val="21"/>
                      <w:lang w:val="zh-CN" w:eastAsia="zh-CN" w:bidi="ar"/>
                    </w:rPr>
                  </w:pPr>
                </w:p>
              </w:tc>
              <w:tc>
                <w:tcPr>
                  <w:tcW w:w="406" w:type="pct"/>
                  <w:tcBorders>
                    <w:tl2br w:val="nil"/>
                    <w:tr2bl w:val="nil"/>
                  </w:tcBorders>
                  <w:noWrap w:val="0"/>
                  <w:vAlign w:val="center"/>
                </w:tcPr>
                <w:p w14:paraId="68D094DE">
                  <w:pPr>
                    <w:pStyle w:val="5"/>
                    <w:pageBreakBefore w:val="0"/>
                    <w:kinsoku/>
                    <w:wordWrap/>
                    <w:overflowPunct/>
                    <w:topLinePunct w:val="0"/>
                    <w:autoSpaceDE/>
                    <w:autoSpaceDN/>
                    <w:bidi w:val="0"/>
                    <w:spacing w:before="0" w:after="0" w:line="240" w:lineRule="auto"/>
                    <w:rPr>
                      <w:rFonts w:hint="default" w:ascii="Times New Roman" w:hAnsi="Times New Roman" w:eastAsia="宋体" w:cs="Times New Roman"/>
                      <w:b w:val="0"/>
                      <w:color w:val="auto"/>
                      <w:kern w:val="0"/>
                      <w:sz w:val="21"/>
                      <w:szCs w:val="21"/>
                      <w:lang w:val="zh-CN" w:eastAsia="zh-CN" w:bidi="ar"/>
                    </w:rPr>
                  </w:pPr>
                  <w:r>
                    <w:rPr>
                      <w:rFonts w:hint="default" w:ascii="Times New Roman" w:hAnsi="Times New Roman" w:eastAsia="宋体" w:cs="Times New Roman"/>
                      <w:b w:val="0"/>
                      <w:color w:val="auto"/>
                      <w:kern w:val="0"/>
                      <w:sz w:val="21"/>
                      <w:szCs w:val="21"/>
                      <w:lang w:val="zh-CN" w:eastAsia="zh-CN" w:bidi="ar"/>
                    </w:rPr>
                    <w:t>环境风险防控</w:t>
                  </w:r>
                </w:p>
              </w:tc>
              <w:tc>
                <w:tcPr>
                  <w:tcW w:w="1910" w:type="pct"/>
                  <w:tcBorders>
                    <w:tl2br w:val="nil"/>
                    <w:tr2bl w:val="nil"/>
                  </w:tcBorders>
                  <w:noWrap w:val="0"/>
                  <w:vAlign w:val="center"/>
                </w:tcPr>
                <w:p w14:paraId="2CD2AB72">
                  <w:pPr>
                    <w:numPr>
                      <w:ilvl w:val="0"/>
                      <w:numId w:val="0"/>
                    </w:numPr>
                    <w:shd w:val="clear" w:color="auto" w:fill="auto"/>
                    <w:bidi w:val="0"/>
                    <w:jc w:val="both"/>
                    <w:outlineLvl w:val="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九村片区不得在岩溶极发育的区域之上新建、改建、扩建可能造成地下水污染的建设项目，不新增建设生活垃圾填埋场、危险废物填埋场、一般工业固体废物填埋场等易造成地下水污染，及防渗措施不易修复和处理的项目和设施。</w:t>
                  </w:r>
                </w:p>
                <w:p w14:paraId="20E54216">
                  <w:pPr>
                    <w:numPr>
                      <w:ilvl w:val="0"/>
                      <w:numId w:val="0"/>
                    </w:numPr>
                    <w:shd w:val="clear" w:color="auto" w:fill="auto"/>
                    <w:bidi w:val="0"/>
                    <w:jc w:val="both"/>
                    <w:outlineLvl w:val="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2.居民分布密集区不宜布置日常储量构成重大危险源的使用危险化学品的项目。</w:t>
                  </w:r>
                </w:p>
                <w:p w14:paraId="7A846489">
                  <w:pPr>
                    <w:numPr>
                      <w:ilvl w:val="0"/>
                      <w:numId w:val="0"/>
                    </w:numPr>
                    <w:shd w:val="clear" w:color="auto" w:fill="auto"/>
                    <w:bidi w:val="0"/>
                    <w:jc w:val="both"/>
                    <w:outlineLvl w:val="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3.注重危险化学品的贮存和风险防范，其最大可信事故半致死浓度范围内不得有居民点存在。</w:t>
                  </w:r>
                </w:p>
                <w:p w14:paraId="4502CB70">
                  <w:pPr>
                    <w:numPr>
                      <w:ilvl w:val="0"/>
                      <w:numId w:val="0"/>
                    </w:numPr>
                    <w:shd w:val="clear" w:color="auto" w:fill="auto"/>
                    <w:bidi w:val="0"/>
                    <w:jc w:val="both"/>
                    <w:outlineLvl w:val="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4.对于进驻园区项目在选址布局时要充分考虑卫生防护距离和安全防护距离的要求。</w:t>
                  </w:r>
                </w:p>
                <w:p w14:paraId="502E59BA">
                  <w:pPr>
                    <w:numPr>
                      <w:ilvl w:val="0"/>
                      <w:numId w:val="0"/>
                    </w:numPr>
                    <w:shd w:val="clear" w:color="auto" w:fill="auto"/>
                    <w:bidi w:val="0"/>
                    <w:jc w:val="both"/>
                    <w:outlineLvl w:val="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5.制定突发环境事件应急预案，完善风险管理机制，加强风险控制防范。建立区域环境监测制度，加强规划实施的跟踪监测与管理。</w:t>
                  </w:r>
                </w:p>
              </w:tc>
              <w:tc>
                <w:tcPr>
                  <w:tcW w:w="2729" w:type="dxa"/>
                  <w:tcBorders>
                    <w:tl2br w:val="nil"/>
                    <w:tr2bl w:val="nil"/>
                  </w:tcBorders>
                  <w:noWrap w:val="0"/>
                  <w:vAlign w:val="center"/>
                </w:tcPr>
                <w:p w14:paraId="2AB3079F">
                  <w:pPr>
                    <w:pageBreakBefore w:val="0"/>
                    <w:numPr>
                      <w:ilvl w:val="0"/>
                      <w:numId w:val="0"/>
                    </w:numPr>
                    <w:kinsoku/>
                    <w:wordWrap/>
                    <w:overflowPunct/>
                    <w:topLinePunct w:val="0"/>
                    <w:autoSpaceDE/>
                    <w:autoSpaceDN/>
                    <w:bidi w:val="0"/>
                    <w:spacing w:line="240" w:lineRule="auto"/>
                    <w:rPr>
                      <w:rFonts w:hint="eastAsia"/>
                      <w:color w:val="auto"/>
                      <w:lang w:eastAsia="zh-CN"/>
                    </w:rPr>
                  </w:pPr>
                  <w:r>
                    <w:rPr>
                      <w:rFonts w:hint="eastAsia"/>
                      <w:color w:val="auto"/>
                      <w:lang w:val="en-US" w:eastAsia="zh-CN"/>
                    </w:rPr>
                    <w:t>1.</w:t>
                  </w:r>
                  <w:r>
                    <w:rPr>
                      <w:rFonts w:hint="eastAsia" w:ascii="Times New Roman" w:hAnsi="Times New Roman" w:eastAsia="宋体" w:cs="Times New Roman"/>
                      <w:color w:val="auto"/>
                      <w:sz w:val="21"/>
                      <w:szCs w:val="21"/>
                      <w:lang w:eastAsia="zh-CN"/>
                    </w:rPr>
                    <w:t>本</w:t>
                  </w:r>
                  <w:r>
                    <w:rPr>
                      <w:rFonts w:hint="eastAsia" w:ascii="Times New Roman" w:hAnsi="Times New Roman" w:eastAsia="宋体" w:cs="Times New Roman"/>
                      <w:color w:val="auto"/>
                      <w:kern w:val="0"/>
                      <w:sz w:val="21"/>
                      <w:szCs w:val="21"/>
                      <w:highlight w:val="none"/>
                      <w:lang w:val="en-US" w:eastAsia="zh-CN"/>
                    </w:rPr>
                    <w:t>项目位于提古片区，属于</w:t>
                  </w:r>
                  <w:r>
                    <w:rPr>
                      <w:rFonts w:hint="default" w:ascii="Times New Roman" w:hAnsi="Times New Roman" w:eastAsia="宋体" w:cs="Times New Roman"/>
                      <w:color w:val="auto"/>
                      <w:kern w:val="0"/>
                      <w:sz w:val="21"/>
                      <w:szCs w:val="21"/>
                      <w:highlight w:val="none"/>
                      <w:lang w:val="en-US" w:eastAsia="zh-CN"/>
                    </w:rPr>
                    <w:t>塑料包装箱及容器制造</w:t>
                  </w:r>
                  <w:r>
                    <w:rPr>
                      <w:rFonts w:hint="eastAsia" w:ascii="Times New Roman" w:hAnsi="Times New Roman" w:eastAsia="宋体" w:cs="Times New Roman"/>
                      <w:color w:val="auto"/>
                      <w:kern w:val="0"/>
                      <w:sz w:val="21"/>
                      <w:szCs w:val="21"/>
                      <w:highlight w:val="none"/>
                      <w:lang w:val="en-US" w:eastAsia="zh-CN"/>
                    </w:rPr>
                    <w:t>，废气合规处理，废水处理不外排，固废100%处置，不会对地下水造成污染。</w:t>
                  </w:r>
                </w:p>
                <w:p w14:paraId="386CF935">
                  <w:pPr>
                    <w:pageBreakBefore w:val="0"/>
                    <w:numPr>
                      <w:ilvl w:val="0"/>
                      <w:numId w:val="0"/>
                    </w:numPr>
                    <w:kinsoku/>
                    <w:wordWrap/>
                    <w:overflowPunct/>
                    <w:topLinePunct w:val="0"/>
                    <w:autoSpaceDE/>
                    <w:autoSpaceDN/>
                    <w:bidi w:val="0"/>
                    <w:spacing w:line="240" w:lineRule="auto"/>
                    <w:rPr>
                      <w:rFonts w:hint="eastAsia"/>
                      <w:color w:val="auto"/>
                    </w:rPr>
                  </w:pPr>
                  <w:r>
                    <w:rPr>
                      <w:rFonts w:hint="eastAsia"/>
                      <w:color w:val="auto"/>
                    </w:rPr>
                    <w:t>2.</w:t>
                  </w:r>
                  <w:r>
                    <w:rPr>
                      <w:rFonts w:hint="eastAsia" w:cs="Times New Roman"/>
                      <w:color w:val="auto"/>
                      <w:sz w:val="21"/>
                      <w:szCs w:val="21"/>
                      <w:highlight w:val="none"/>
                      <w:lang w:val="en-US" w:eastAsia="zh-CN"/>
                    </w:rPr>
                    <w:t>本</w:t>
                  </w:r>
                  <w:r>
                    <w:rPr>
                      <w:rFonts w:hint="eastAsia" w:ascii="Times New Roman" w:hAnsi="Times New Roman" w:eastAsia="宋体" w:cs="Times New Roman"/>
                      <w:color w:val="auto"/>
                      <w:kern w:val="0"/>
                      <w:sz w:val="21"/>
                      <w:szCs w:val="21"/>
                      <w:highlight w:val="none"/>
                      <w:lang w:val="en-US" w:eastAsia="zh-CN"/>
                    </w:rPr>
                    <w:t>项目不位于居民分布密集区且</w:t>
                  </w:r>
                  <w:r>
                    <w:rPr>
                      <w:rFonts w:hint="eastAsia" w:ascii="Times New Roman" w:hAnsi="Times New Roman" w:eastAsia="宋体" w:cs="Times New Roman"/>
                      <w:color w:val="auto"/>
                      <w:lang w:val="en-US" w:eastAsia="zh-CN"/>
                    </w:rPr>
                    <w:t>日常储量不构成重大危险源用</w:t>
                  </w:r>
                  <w:r>
                    <w:rPr>
                      <w:rFonts w:hint="eastAsia"/>
                      <w:color w:val="auto"/>
                    </w:rPr>
                    <w:t>。</w:t>
                  </w:r>
                </w:p>
                <w:p w14:paraId="2221715A">
                  <w:pPr>
                    <w:pageBreakBefore w:val="0"/>
                    <w:kinsoku/>
                    <w:wordWrap/>
                    <w:overflowPunct/>
                    <w:topLinePunct w:val="0"/>
                    <w:autoSpaceDE/>
                    <w:autoSpaceDN/>
                    <w:bidi w:val="0"/>
                    <w:spacing w:line="240" w:lineRule="auto"/>
                    <w:rPr>
                      <w:rFonts w:hint="eastAsia"/>
                      <w:color w:val="auto"/>
                    </w:rPr>
                  </w:pPr>
                  <w:r>
                    <w:rPr>
                      <w:rFonts w:hint="eastAsia"/>
                      <w:color w:val="auto"/>
                    </w:rPr>
                    <w:t>3.</w:t>
                  </w:r>
                  <w:r>
                    <w:rPr>
                      <w:rFonts w:hint="default" w:ascii="Times New Roman" w:hAnsi="Times New Roman" w:eastAsia="宋体" w:cs="Times New Roman"/>
                      <w:color w:val="auto"/>
                      <w:sz w:val="21"/>
                      <w:szCs w:val="21"/>
                      <w:lang w:val="en-US" w:eastAsia="zh-CN"/>
                    </w:rPr>
                    <w:t>项目涉及的</w:t>
                  </w:r>
                  <w:r>
                    <w:rPr>
                      <w:rFonts w:hint="eastAsia" w:ascii="Times New Roman" w:hAnsi="Times New Roman" w:eastAsia="宋体" w:cs="Times New Roman"/>
                      <w:color w:val="auto"/>
                      <w:sz w:val="21"/>
                      <w:szCs w:val="21"/>
                      <w:lang w:val="en-US" w:eastAsia="zh-CN"/>
                    </w:rPr>
                    <w:t>环境风险、</w:t>
                  </w:r>
                  <w:r>
                    <w:rPr>
                      <w:rFonts w:hint="default" w:ascii="Times New Roman" w:hAnsi="Times New Roman" w:eastAsia="宋体" w:cs="Times New Roman"/>
                      <w:color w:val="auto"/>
                      <w:sz w:val="21"/>
                      <w:szCs w:val="21"/>
                      <w:lang w:val="en-US" w:eastAsia="zh-CN"/>
                    </w:rPr>
                    <w:t>易燃易爆物质</w:t>
                  </w:r>
                  <w:r>
                    <w:rPr>
                      <w:rFonts w:hint="eastAsia" w:ascii="Times New Roman" w:hAnsi="Times New Roman" w:eastAsia="宋体" w:cs="Times New Roman"/>
                      <w:color w:val="auto"/>
                      <w:sz w:val="21"/>
                      <w:szCs w:val="21"/>
                      <w:lang w:val="en-US" w:eastAsia="zh-CN"/>
                    </w:rPr>
                    <w:t>为废矿物油（废机油）</w:t>
                  </w:r>
                  <w:r>
                    <w:rPr>
                      <w:rFonts w:hint="eastAsia" w:eastAsia="宋体" w:cs="Times New Roman"/>
                      <w:color w:val="auto"/>
                      <w:sz w:val="21"/>
                      <w:szCs w:val="21"/>
                      <w:lang w:val="en-US" w:eastAsia="zh-CN"/>
                    </w:rPr>
                    <w:t>，厂内储存量均低于临界量</w:t>
                  </w:r>
                  <w:r>
                    <w:rPr>
                      <w:rFonts w:hint="eastAsia"/>
                      <w:color w:val="auto"/>
                    </w:rPr>
                    <w:t>。</w:t>
                  </w:r>
                </w:p>
                <w:p w14:paraId="20C7D3DB">
                  <w:pPr>
                    <w:pageBreakBefore w:val="0"/>
                    <w:kinsoku/>
                    <w:wordWrap/>
                    <w:overflowPunct/>
                    <w:topLinePunct w:val="0"/>
                    <w:autoSpaceDE/>
                    <w:autoSpaceDN/>
                    <w:bidi w:val="0"/>
                    <w:spacing w:line="240" w:lineRule="auto"/>
                    <w:rPr>
                      <w:rFonts w:hint="default" w:eastAsia="宋体"/>
                      <w:color w:val="auto"/>
                      <w:lang w:val="en-US" w:eastAsia="zh-CN"/>
                    </w:rPr>
                  </w:pPr>
                  <w:r>
                    <w:rPr>
                      <w:rFonts w:hint="eastAsia"/>
                      <w:color w:val="auto"/>
                      <w:lang w:val="en-US" w:eastAsia="zh-CN"/>
                    </w:rPr>
                    <w:t>4.</w:t>
                  </w:r>
                  <w:r>
                    <w:rPr>
                      <w:rFonts w:hint="eastAsia" w:ascii="Times New Roman" w:hAnsi="Times New Roman" w:eastAsia="宋体" w:cs="Times New Roman"/>
                      <w:color w:val="auto"/>
                      <w:kern w:val="0"/>
                      <w:sz w:val="21"/>
                      <w:szCs w:val="21"/>
                      <w:highlight w:val="none"/>
                      <w:lang w:val="en-US" w:eastAsia="zh-CN"/>
                    </w:rPr>
                    <w:t>本项目不涉及。</w:t>
                  </w:r>
                </w:p>
                <w:p w14:paraId="68EC4E1E">
                  <w:pPr>
                    <w:pageBreakBefore w:val="0"/>
                    <w:kinsoku/>
                    <w:wordWrap/>
                    <w:overflowPunct/>
                    <w:topLinePunct w:val="0"/>
                    <w:autoSpaceDE/>
                    <w:autoSpaceDN/>
                    <w:bidi w:val="0"/>
                    <w:spacing w:line="240" w:lineRule="auto"/>
                    <w:rPr>
                      <w:rFonts w:hint="default" w:eastAsia="宋体"/>
                      <w:color w:val="auto"/>
                      <w:lang w:val="en-US" w:eastAsia="zh-CN"/>
                    </w:rPr>
                  </w:pPr>
                  <w:r>
                    <w:rPr>
                      <w:rFonts w:hint="eastAsia"/>
                      <w:color w:val="auto"/>
                      <w:lang w:val="en-US" w:eastAsia="zh-CN"/>
                    </w:rPr>
                    <w:t>5.</w:t>
                  </w:r>
                  <w:r>
                    <w:rPr>
                      <w:rFonts w:hint="eastAsia" w:cs="Times New Roman"/>
                      <w:color w:val="auto"/>
                      <w:sz w:val="21"/>
                      <w:szCs w:val="21"/>
                      <w:highlight w:val="none"/>
                      <w:lang w:val="en-US" w:eastAsia="zh-CN"/>
                    </w:rPr>
                    <w:t>本项目</w:t>
                  </w:r>
                  <w:r>
                    <w:rPr>
                      <w:rFonts w:hint="default" w:ascii="Times New Roman" w:hAnsi="Times New Roman" w:eastAsia="宋体" w:cs="Times New Roman"/>
                      <w:b w:val="0"/>
                      <w:bCs w:val="0"/>
                      <w:color w:val="auto"/>
                      <w:kern w:val="0"/>
                      <w:sz w:val="21"/>
                      <w:szCs w:val="21"/>
                      <w:highlight w:val="none"/>
                      <w:lang w:val="en-US" w:eastAsia="zh-CN"/>
                    </w:rPr>
                    <w:t>建成后按照相关要求编制突发环境事件应急预案并报当地生态环境主管部门备案</w:t>
                  </w:r>
                  <w:r>
                    <w:rPr>
                      <w:rFonts w:hint="eastAsia"/>
                      <w:color w:val="auto"/>
                    </w:rPr>
                    <w:t>。</w:t>
                  </w:r>
                </w:p>
              </w:tc>
              <w:tc>
                <w:tcPr>
                  <w:tcW w:w="414" w:type="pct"/>
                  <w:tcBorders>
                    <w:tl2br w:val="nil"/>
                    <w:tr2bl w:val="nil"/>
                  </w:tcBorders>
                  <w:noWrap w:val="0"/>
                  <w:vAlign w:val="center"/>
                </w:tcPr>
                <w:p w14:paraId="39EAF0B4">
                  <w:pPr>
                    <w:shd w:val="clear" w:color="auto" w:fill="auto"/>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符合</w:t>
                  </w:r>
                </w:p>
              </w:tc>
            </w:tr>
            <w:tr w14:paraId="25FBB3F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596" w:type="pct"/>
                  <w:vMerge w:val="continue"/>
                  <w:tcBorders>
                    <w:tl2br w:val="nil"/>
                    <w:tr2bl w:val="nil"/>
                  </w:tcBorders>
                  <w:noWrap w:val="0"/>
                  <w:vAlign w:val="center"/>
                </w:tcPr>
                <w:p w14:paraId="4E4FD703">
                  <w:pPr>
                    <w:shd w:val="clear" w:color="auto" w:fill="auto"/>
                    <w:bidi w:val="0"/>
                    <w:jc w:val="center"/>
                    <w:outlineLvl w:val="9"/>
                    <w:rPr>
                      <w:rFonts w:hint="default" w:ascii="Times New Roman" w:hAnsi="Times New Roman" w:eastAsia="宋体" w:cs="Times New Roman"/>
                      <w:color w:val="auto"/>
                      <w:kern w:val="0"/>
                      <w:sz w:val="21"/>
                      <w:szCs w:val="21"/>
                      <w:lang w:val="zh-CN" w:eastAsia="zh-CN" w:bidi="ar"/>
                    </w:rPr>
                  </w:pPr>
                </w:p>
              </w:tc>
              <w:tc>
                <w:tcPr>
                  <w:tcW w:w="406" w:type="pct"/>
                  <w:tcBorders>
                    <w:tl2br w:val="nil"/>
                    <w:tr2bl w:val="nil"/>
                  </w:tcBorders>
                  <w:noWrap w:val="0"/>
                  <w:vAlign w:val="center"/>
                </w:tcPr>
                <w:p w14:paraId="0326A809">
                  <w:pPr>
                    <w:pStyle w:val="5"/>
                    <w:pageBreakBefore w:val="0"/>
                    <w:kinsoku/>
                    <w:wordWrap/>
                    <w:overflowPunct/>
                    <w:topLinePunct w:val="0"/>
                    <w:autoSpaceDE/>
                    <w:autoSpaceDN/>
                    <w:bidi w:val="0"/>
                    <w:spacing w:before="0" w:after="0" w:line="240" w:lineRule="auto"/>
                    <w:rPr>
                      <w:rFonts w:hint="default" w:ascii="Times New Roman" w:hAnsi="Times New Roman" w:eastAsia="宋体" w:cs="Times New Roman"/>
                      <w:b w:val="0"/>
                      <w:color w:val="auto"/>
                      <w:kern w:val="0"/>
                      <w:sz w:val="21"/>
                      <w:szCs w:val="21"/>
                      <w:lang w:val="zh-CN" w:eastAsia="zh-CN" w:bidi="ar"/>
                    </w:rPr>
                  </w:pPr>
                  <w:r>
                    <w:rPr>
                      <w:rFonts w:hint="default" w:ascii="Times New Roman" w:hAnsi="Times New Roman" w:eastAsia="宋体" w:cs="Times New Roman"/>
                      <w:b w:val="0"/>
                      <w:color w:val="auto"/>
                      <w:kern w:val="0"/>
                      <w:sz w:val="21"/>
                      <w:szCs w:val="21"/>
                      <w:lang w:val="zh-CN" w:eastAsia="zh-CN" w:bidi="ar"/>
                    </w:rPr>
                    <w:t>资源开发效率要求</w:t>
                  </w:r>
                </w:p>
              </w:tc>
              <w:tc>
                <w:tcPr>
                  <w:tcW w:w="1910" w:type="pct"/>
                  <w:tcBorders>
                    <w:tl2br w:val="nil"/>
                    <w:tr2bl w:val="nil"/>
                  </w:tcBorders>
                  <w:noWrap w:val="0"/>
                  <w:vAlign w:val="center"/>
                </w:tcPr>
                <w:p w14:paraId="3640631D">
                  <w:pPr>
                    <w:numPr>
                      <w:ilvl w:val="0"/>
                      <w:numId w:val="0"/>
                    </w:numPr>
                    <w:shd w:val="clear" w:color="auto" w:fill="auto"/>
                    <w:bidi w:val="0"/>
                    <w:jc w:val="both"/>
                    <w:outlineLvl w:val="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生物资源加工产业（除食品生产加工）相关行业工业用水重复利用率达到50%；装备制造产业、新能源新材料产业工业用水重复利用率80%。</w:t>
                  </w:r>
                </w:p>
              </w:tc>
              <w:tc>
                <w:tcPr>
                  <w:tcW w:w="2729" w:type="dxa"/>
                  <w:tcBorders>
                    <w:tl2br w:val="nil"/>
                    <w:tr2bl w:val="nil"/>
                  </w:tcBorders>
                  <w:noWrap w:val="0"/>
                  <w:vAlign w:val="center"/>
                </w:tcPr>
                <w:p w14:paraId="03D49D30">
                  <w:pPr>
                    <w:rPr>
                      <w:rFonts w:hint="eastAsia" w:ascii="Times New Roman" w:hAnsi="Times New Roman" w:eastAsia="宋体" w:cs="Times New Roman"/>
                      <w:color w:val="auto"/>
                      <w:kern w:val="0"/>
                      <w:sz w:val="21"/>
                      <w:szCs w:val="21"/>
                      <w:lang w:val="zh-CN" w:eastAsia="zh-CN" w:bidi="ar"/>
                    </w:rPr>
                  </w:pPr>
                  <w:r>
                    <w:rPr>
                      <w:rFonts w:hint="default" w:ascii="Times New Roman" w:hAnsi="Times New Roman" w:eastAsia="宋体" w:cs="Times New Roman"/>
                      <w:color w:val="auto"/>
                      <w:sz w:val="21"/>
                      <w:szCs w:val="21"/>
                      <w:highlight w:val="none"/>
                      <w:u w:val="none"/>
                      <w:lang w:val="en-US" w:eastAsia="zh-CN"/>
                    </w:rPr>
                    <w:t>本</w:t>
                  </w:r>
                  <w:r>
                    <w:rPr>
                      <w:rFonts w:hint="default" w:ascii="Times New Roman" w:hAnsi="Times New Roman" w:cs="Times New Roman"/>
                      <w:color w:val="auto"/>
                      <w:sz w:val="21"/>
                      <w:szCs w:val="21"/>
                      <w:shd w:val="clear" w:color="auto" w:fill="auto"/>
                      <w:lang w:eastAsia="zh-CN"/>
                    </w:rPr>
                    <w:t>项目</w:t>
                  </w:r>
                  <w:r>
                    <w:rPr>
                      <w:rFonts w:ascii="Times New Roman" w:hAnsi="Times New Roman" w:eastAsia="宋体" w:cs="Times New Roman"/>
                      <w:b w:val="0"/>
                      <w:bCs/>
                      <w:color w:val="auto"/>
                      <w:kern w:val="0"/>
                      <w:sz w:val="21"/>
                      <w:szCs w:val="21"/>
                      <w:lang w:val="en-US" w:eastAsia="zh-CN" w:bidi="ar-SA"/>
                    </w:rPr>
                    <w:t>冷却水</w:t>
                  </w:r>
                  <w:r>
                    <w:rPr>
                      <w:rFonts w:ascii="Times New Roman" w:hAnsi="Times New Roman" w:eastAsia="宋体" w:cs="Times New Roman"/>
                      <w:color w:val="auto"/>
                      <w:kern w:val="0"/>
                      <w:sz w:val="21"/>
                      <w:szCs w:val="21"/>
                      <w:lang w:val="en-US" w:eastAsia="zh-CN" w:bidi="ar-SA"/>
                    </w:rPr>
                    <w:t>经冷却循环</w:t>
                  </w:r>
                  <w:r>
                    <w:rPr>
                      <w:rFonts w:hint="eastAsia" w:ascii="Times New Roman" w:hAnsi="Times New Roman" w:eastAsia="宋体" w:cs="Times New Roman"/>
                      <w:color w:val="auto"/>
                      <w:kern w:val="0"/>
                      <w:sz w:val="21"/>
                      <w:szCs w:val="21"/>
                      <w:lang w:val="en-US" w:eastAsia="zh-CN" w:bidi="ar-SA"/>
                    </w:rPr>
                    <w:t>水箱</w:t>
                  </w:r>
                  <w:r>
                    <w:rPr>
                      <w:rFonts w:ascii="Times New Roman" w:hAnsi="Times New Roman" w:eastAsia="宋体" w:cs="Times New Roman"/>
                      <w:color w:val="auto"/>
                      <w:kern w:val="0"/>
                      <w:sz w:val="21"/>
                      <w:szCs w:val="21"/>
                      <w:lang w:val="en-US" w:eastAsia="zh-CN" w:bidi="ar-SA"/>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w:t>
                  </w:r>
                  <w:r>
                    <w:rPr>
                      <w:rFonts w:hint="default" w:ascii="Times New Roman" w:hAnsi="Times New Roman" w:eastAsia="宋体" w:cs="Times New Roman"/>
                      <w:b w:val="0"/>
                      <w:bCs w:val="0"/>
                      <w:color w:val="auto"/>
                      <w:sz w:val="21"/>
                      <w:szCs w:val="21"/>
                      <w:highlight w:val="none"/>
                      <w:lang w:val="en-US" w:eastAsia="zh-CN"/>
                    </w:rPr>
                    <w:t>标后，用于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tc>
              <w:tc>
                <w:tcPr>
                  <w:tcW w:w="414" w:type="pct"/>
                  <w:tcBorders>
                    <w:tl2br w:val="nil"/>
                    <w:tr2bl w:val="nil"/>
                  </w:tcBorders>
                  <w:noWrap w:val="0"/>
                  <w:vAlign w:val="center"/>
                </w:tcPr>
                <w:p w14:paraId="55E22207">
                  <w:pPr>
                    <w:shd w:val="clear" w:color="auto" w:fill="auto"/>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符合</w:t>
                  </w:r>
                </w:p>
              </w:tc>
            </w:tr>
          </w:tbl>
          <w:p w14:paraId="341B23D9">
            <w:pPr>
              <w:pStyle w:val="85"/>
              <w:shd w:val="clear" w:color="auto" w:fill="auto"/>
              <w:ind w:firstLine="482"/>
              <w:rPr>
                <w:rFonts w:cs="Times New Roman"/>
                <w:color w:val="auto"/>
                <w:szCs w:val="24"/>
              </w:rPr>
            </w:pPr>
            <w:r>
              <w:rPr>
                <w:rFonts w:hint="eastAsia" w:eastAsia="宋体" w:cs="Times New Roman"/>
                <w:color w:val="auto"/>
                <w:sz w:val="24"/>
                <w:highlight w:val="none"/>
                <w:lang w:eastAsia="zh-CN"/>
              </w:rPr>
              <w:t>综上所述，</w:t>
            </w:r>
            <w:r>
              <w:rPr>
                <w:rFonts w:hint="default" w:ascii="Times New Roman" w:hAnsi="Times New Roman" w:eastAsia="宋体" w:cs="Times New Roman"/>
                <w:color w:val="auto"/>
                <w:sz w:val="24"/>
                <w:highlight w:val="none"/>
              </w:rPr>
              <w:t>本项目建设符合</w:t>
            </w:r>
            <w:r>
              <w:rPr>
                <w:rFonts w:hint="eastAsia" w:ascii="Times New Roman" w:hAnsi="Times New Roman" w:eastAsia="宋体" w:cs="Times New Roman"/>
                <w:snapToGrid/>
                <w:color w:val="auto"/>
                <w:kern w:val="2"/>
                <w:sz w:val="24"/>
                <w:szCs w:val="24"/>
                <w:highlight w:val="none"/>
                <w:lang w:val="zh-CN" w:eastAsia="zh-CN" w:bidi="ar-SA"/>
              </w:rPr>
              <w:t>《</w:t>
            </w:r>
            <w:r>
              <w:rPr>
                <w:rFonts w:hint="eastAsia"/>
                <w:b w:val="0"/>
                <w:bCs/>
                <w:color w:val="auto"/>
                <w:sz w:val="24"/>
                <w:lang w:val="en-US" w:eastAsia="zh-CN"/>
              </w:rPr>
              <w:t>玉溪市</w:t>
            </w:r>
            <w:r>
              <w:rPr>
                <w:rFonts w:hint="default" w:ascii="Times New Roman" w:hAnsi="Times New Roman"/>
                <w:b w:val="0"/>
                <w:bCs/>
                <w:color w:val="auto"/>
                <w:sz w:val="24"/>
                <w:lang w:val="en-US" w:eastAsia="zh-CN"/>
              </w:rPr>
              <w:t>生态环境分区管控动态更新调整方案（2023年）</w:t>
            </w:r>
            <w:r>
              <w:rPr>
                <w:rFonts w:hint="eastAsia" w:ascii="Times New Roman" w:hAnsi="Times New Roman" w:eastAsia="宋体" w:cs="Times New Roman"/>
                <w:snapToGrid/>
                <w:color w:val="auto"/>
                <w:kern w:val="2"/>
                <w:sz w:val="24"/>
                <w:szCs w:val="24"/>
                <w:highlight w:val="none"/>
                <w:lang w:val="zh-CN" w:eastAsia="zh-CN" w:bidi="ar-SA"/>
              </w:rPr>
              <w:t>》</w:t>
            </w:r>
            <w:r>
              <w:rPr>
                <w:rFonts w:hint="default" w:ascii="Times New Roman" w:hAnsi="Times New Roman" w:eastAsia="宋体" w:cs="Times New Roman"/>
                <w:color w:val="auto"/>
                <w:sz w:val="24"/>
                <w:highlight w:val="none"/>
              </w:rPr>
              <w:t>中相关要求。</w:t>
            </w:r>
          </w:p>
          <w:p w14:paraId="672EA92C">
            <w:pPr>
              <w:pStyle w:val="17"/>
              <w:adjustRightInd w:val="0"/>
              <w:snapToGrid w:val="0"/>
              <w:spacing w:line="360" w:lineRule="auto"/>
              <w:ind w:firstLine="482" w:firstLineChars="200"/>
              <w:rPr>
                <w:rFonts w:ascii="Times New Roman" w:hAnsi="Times New Roman"/>
                <w:b/>
                <w:color w:val="auto"/>
                <w:sz w:val="24"/>
              </w:rPr>
            </w:pPr>
            <w:r>
              <w:rPr>
                <w:rFonts w:ascii="Times New Roman" w:hAnsi="Times New Roman"/>
                <w:b/>
                <w:color w:val="auto"/>
                <w:sz w:val="24"/>
              </w:rPr>
              <w:t>2、产业政策符合性分析</w:t>
            </w:r>
          </w:p>
          <w:p w14:paraId="54E46975">
            <w:pPr>
              <w:pStyle w:val="27"/>
              <w:adjustRightInd w:val="0"/>
              <w:snapToGrid w:val="0"/>
              <w:spacing w:before="0" w:beforeAutospacing="0" w:after="0" w:afterAutospacing="0" w:line="360" w:lineRule="auto"/>
              <w:ind w:firstLine="480" w:firstLineChars="200"/>
              <w:jc w:val="both"/>
              <w:rPr>
                <w:b/>
                <w:color w:val="auto"/>
                <w:sz w:val="24"/>
              </w:rPr>
            </w:pPr>
            <w:r>
              <w:rPr>
                <w:rFonts w:ascii="Times New Roman" w:hAnsi="Times New Roman"/>
                <w:color w:val="auto"/>
                <w:szCs w:val="24"/>
              </w:rPr>
              <w:t>项目属于</w:t>
            </w:r>
            <w:r>
              <w:rPr>
                <w:rFonts w:hint="default" w:ascii="Times New Roman" w:hAnsi="Times New Roman" w:eastAsia="宋体" w:cs="Times New Roman"/>
                <w:color w:val="auto"/>
                <w:sz w:val="24"/>
                <w:szCs w:val="24"/>
              </w:rPr>
              <w:t>塑料包装箱及容器制造</w:t>
            </w:r>
            <w:r>
              <w:rPr>
                <w:rFonts w:ascii="Times New Roman" w:hAnsi="Times New Roman"/>
                <w:color w:val="auto"/>
                <w:szCs w:val="24"/>
              </w:rPr>
              <w:t>，根据国家发展和改革委员会《产业结构调整指导目录（20</w:t>
            </w:r>
            <w:r>
              <w:rPr>
                <w:rFonts w:hint="eastAsia" w:ascii="Times New Roman" w:hAnsi="Times New Roman"/>
                <w:color w:val="auto"/>
                <w:szCs w:val="24"/>
              </w:rPr>
              <w:t>24</w:t>
            </w:r>
            <w:r>
              <w:rPr>
                <w:rFonts w:ascii="Times New Roman" w:hAnsi="Times New Roman"/>
                <w:color w:val="auto"/>
                <w:szCs w:val="24"/>
              </w:rPr>
              <w:t>年）》，</w:t>
            </w:r>
            <w:r>
              <w:rPr>
                <w:rFonts w:hint="eastAsia" w:ascii="Times New Roman" w:hAnsi="Times New Roman"/>
                <w:color w:val="auto"/>
                <w:szCs w:val="24"/>
              </w:rPr>
              <w:t>项目</w:t>
            </w:r>
            <w:r>
              <w:rPr>
                <w:rFonts w:ascii="Times New Roman" w:hAnsi="Times New Roman"/>
                <w:color w:val="auto"/>
                <w:szCs w:val="24"/>
              </w:rPr>
              <w:t>不在该指导目录所规定的鼓励类、限制类及淘汰类之列，同时根据国务院《促进产业结构调整暂行规定》（国发[2005]40号），第十三条“不属于鼓励类、限制类及淘汰类，且符合国家有关法律、法规和政策规定的，为允许类”</w:t>
            </w:r>
            <w:r>
              <w:rPr>
                <w:rFonts w:hint="eastAsia" w:ascii="Times New Roman" w:hAnsi="Times New Roman"/>
                <w:color w:val="auto"/>
                <w:szCs w:val="24"/>
              </w:rPr>
              <w:t>，</w:t>
            </w:r>
            <w:r>
              <w:rPr>
                <w:rFonts w:ascii="Times New Roman" w:hAnsi="Times New Roman"/>
                <w:color w:val="auto"/>
                <w:spacing w:val="-3"/>
              </w:rPr>
              <w:t>综上，本项目</w:t>
            </w:r>
            <w:r>
              <w:rPr>
                <w:rFonts w:ascii="Times New Roman" w:hAnsi="Times New Roman"/>
                <w:color w:val="auto"/>
                <w:szCs w:val="24"/>
              </w:rPr>
              <w:t>符合国家</w:t>
            </w:r>
            <w:r>
              <w:rPr>
                <w:rFonts w:hint="eastAsia" w:ascii="Times New Roman" w:hAnsi="Times New Roman"/>
                <w:color w:val="auto"/>
                <w:szCs w:val="24"/>
              </w:rPr>
              <w:t>产业</w:t>
            </w:r>
            <w:r>
              <w:rPr>
                <w:rFonts w:ascii="Times New Roman" w:hAnsi="Times New Roman"/>
                <w:color w:val="auto"/>
                <w:szCs w:val="24"/>
              </w:rPr>
              <w:t>政策。</w:t>
            </w:r>
          </w:p>
          <w:p w14:paraId="7598AD8C">
            <w:pPr>
              <w:pStyle w:val="13"/>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b/>
                <w:color w:val="auto"/>
                <w:sz w:val="24"/>
                <w:lang w:val="en-US" w:eastAsia="zh-CN"/>
              </w:rPr>
              <w:t>3</w:t>
            </w:r>
            <w:r>
              <w:rPr>
                <w:b/>
                <w:color w:val="auto"/>
                <w:sz w:val="24"/>
              </w:rPr>
              <w:t>、</w:t>
            </w:r>
            <w:r>
              <w:rPr>
                <w:rFonts w:hint="eastAsia"/>
                <w:b/>
                <w:color w:val="auto"/>
                <w:sz w:val="24"/>
                <w:lang w:val="en-US" w:eastAsia="zh-CN"/>
              </w:rPr>
              <w:t>项目</w:t>
            </w:r>
            <w:r>
              <w:rPr>
                <w:rFonts w:hint="default" w:ascii="Times New Roman" w:hAnsi="Times New Roman" w:eastAsia="宋体" w:cs="Times New Roman"/>
                <w:b/>
                <w:color w:val="auto"/>
                <w:spacing w:val="4"/>
                <w:kern w:val="24"/>
                <w:sz w:val="24"/>
                <w:highlight w:val="none"/>
                <w:lang w:bidi="ar"/>
              </w:rPr>
              <w:t>与</w:t>
            </w:r>
            <w:r>
              <w:rPr>
                <w:rFonts w:hint="default" w:ascii="Times New Roman" w:hAnsi="Times New Roman" w:eastAsia="宋体" w:cs="Times New Roman"/>
                <w:b/>
                <w:bCs w:val="0"/>
                <w:color w:val="auto"/>
                <w:spacing w:val="4"/>
                <w:kern w:val="24"/>
                <w:sz w:val="24"/>
                <w:highlight w:val="none"/>
                <w:lang w:bidi="ar"/>
              </w:rPr>
              <w:t>《</w:t>
            </w:r>
            <w:r>
              <w:rPr>
                <w:rFonts w:hint="default" w:ascii="Times New Roman" w:hAnsi="Times New Roman" w:eastAsia="宋体" w:cs="Times New Roman"/>
                <w:b/>
                <w:bCs w:val="0"/>
                <w:color w:val="auto"/>
                <w:kern w:val="2"/>
                <w:sz w:val="24"/>
                <w:szCs w:val="24"/>
                <w:highlight w:val="none"/>
                <w:lang w:val="en-US" w:eastAsia="zh-CN" w:bidi="ar-SA"/>
              </w:rPr>
              <w:t>云南省主体功能区规划》相符性分析</w:t>
            </w:r>
          </w:p>
          <w:p w14:paraId="12F802F5">
            <w:pPr>
              <w:keepNext w:val="0"/>
              <w:keepLines w:val="0"/>
              <w:pageBreakBefore w:val="0"/>
              <w:widowControl w:val="0"/>
              <w:shd w:val="clear"/>
              <w:kinsoku/>
              <w:wordWrap/>
              <w:overflowPunct/>
              <w:topLinePunct w:val="0"/>
              <w:bidi w:val="0"/>
              <w:adjustRightInd/>
              <w:snapToGrid/>
              <w:spacing w:line="360" w:lineRule="auto"/>
              <w:ind w:leftChars="0" w:firstLine="480" w:firstLineChars="200"/>
              <w:textAlignment w:val="auto"/>
              <w:rPr>
                <w:rFonts w:hint="default" w:ascii="Times New Roman" w:hAnsi="Times New Roman" w:eastAsia="宋体" w:cs="Times New Roman"/>
                <w:bCs/>
                <w:snapToGrid w:val="0"/>
                <w:color w:val="auto"/>
                <w:sz w:val="24"/>
                <w:szCs w:val="24"/>
                <w:highlight w:val="none"/>
              </w:rPr>
            </w:pPr>
            <w:r>
              <w:rPr>
                <w:rFonts w:hint="default" w:ascii="Times New Roman" w:hAnsi="Times New Roman" w:eastAsia="宋体" w:cs="Times New Roman"/>
                <w:color w:val="auto"/>
                <w:kern w:val="2"/>
                <w:sz w:val="24"/>
                <w:szCs w:val="24"/>
                <w:highlight w:val="none"/>
                <w:lang w:val="en-US" w:eastAsia="zh-CN" w:bidi="ar-SA"/>
              </w:rPr>
              <w:t>本项目位于</w:t>
            </w:r>
            <w:r>
              <w:rPr>
                <w:rFonts w:hint="eastAsia" w:ascii="Times New Roman" w:hAnsi="Times New Roman" w:eastAsia="宋体" w:cs="Times New Roman"/>
                <w:color w:val="auto"/>
                <w:kern w:val="2"/>
                <w:sz w:val="24"/>
                <w:szCs w:val="24"/>
                <w:highlight w:val="none"/>
                <w:lang w:val="en-US" w:eastAsia="zh-CN" w:bidi="ar-SA"/>
              </w:rPr>
              <w:t>云南省玉溪市澄江市产业园区提古片区</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属于国家重点开发。区</w:t>
            </w:r>
            <w:r>
              <w:rPr>
                <w:rFonts w:hint="default" w:ascii="Times New Roman" w:hAnsi="Times New Roman" w:eastAsia="宋体" w:cs="Times New Roman"/>
                <w:color w:val="auto"/>
                <w:kern w:val="2"/>
                <w:sz w:val="24"/>
                <w:szCs w:val="24"/>
                <w:highlight w:val="none"/>
                <w:lang w:val="en-US" w:eastAsia="zh-CN" w:bidi="ar-SA"/>
              </w:rPr>
              <w:t>经查阅</w:t>
            </w:r>
            <w:r>
              <w:rPr>
                <w:rFonts w:hint="default" w:ascii="Times New Roman" w:hAnsi="Times New Roman" w:eastAsia="宋体" w:cs="Times New Roman"/>
                <w:color w:val="auto"/>
                <w:sz w:val="24"/>
                <w:highlight w:val="none"/>
              </w:rPr>
              <w:t>《云南省主体功能区规划》，项目所在地不属于《云南省主体功能区规划》附件2云南省限制开发区域名录中的农产品主产区及重点生态功能区。也不涉及《云南省主体功能区规划》附件3云南省禁止开发区域名录中的自</w:t>
            </w:r>
            <w:r>
              <w:rPr>
                <w:rFonts w:hint="default" w:ascii="Times New Roman" w:hAnsi="Times New Roman" w:eastAsia="宋体" w:cs="Times New Roman"/>
                <w:bCs/>
                <w:snapToGrid w:val="0"/>
                <w:color w:val="auto"/>
                <w:sz w:val="24"/>
                <w:szCs w:val="24"/>
                <w:highlight w:val="none"/>
              </w:rPr>
              <w:t>然保护区，世界文化自然遗产，国家级、省级风景名胜区，国家级、省级森林公园，国家地质公园，城市饮用水水源保护区，国家湿地公园，水产种质资源保护区及牛栏江流域上游保护区水源保护核心区。</w:t>
            </w:r>
          </w:p>
          <w:p w14:paraId="10F78F24">
            <w:pPr>
              <w:keepNext w:val="0"/>
              <w:keepLines w:val="0"/>
              <w:pageBreakBefore w:val="0"/>
              <w:widowControl w:val="0"/>
              <w:shd w:val="clear"/>
              <w:kinsoku/>
              <w:wordWrap/>
              <w:overflowPunct/>
              <w:topLinePunct w:val="0"/>
              <w:bidi w:val="0"/>
              <w:adjustRightInd/>
              <w:snapToGrid/>
              <w:spacing w:line="360" w:lineRule="auto"/>
              <w:ind w:leftChars="0" w:firstLine="480" w:firstLineChars="200"/>
              <w:textAlignment w:val="auto"/>
              <w:rPr>
                <w:b/>
                <w:bCs/>
                <w:color w:val="auto"/>
                <w:kern w:val="0"/>
                <w:sz w:val="24"/>
              </w:rPr>
            </w:pPr>
            <w:r>
              <w:rPr>
                <w:rFonts w:hint="default" w:ascii="Times New Roman" w:hAnsi="Times New Roman" w:eastAsia="宋体" w:cs="Times New Roman"/>
                <w:bCs/>
                <w:snapToGrid w:val="0"/>
                <w:color w:val="auto"/>
                <w:sz w:val="24"/>
                <w:szCs w:val="24"/>
                <w:highlight w:val="none"/>
              </w:rPr>
              <w:t>本项目</w:t>
            </w:r>
            <w:r>
              <w:rPr>
                <w:rFonts w:hint="eastAsia" w:ascii="Times New Roman" w:hAnsi="Times New Roman" w:eastAsia="宋体" w:cs="Times New Roman"/>
                <w:bCs/>
                <w:snapToGrid w:val="0"/>
                <w:color w:val="auto"/>
                <w:sz w:val="24"/>
                <w:szCs w:val="24"/>
                <w:highlight w:val="none"/>
                <w:lang w:val="en-US" w:eastAsia="zh-CN"/>
              </w:rPr>
              <w:t>为塑料制品生产建设项目，属于</w:t>
            </w:r>
            <w:r>
              <w:rPr>
                <w:rFonts w:hint="default" w:ascii="Times New Roman" w:hAnsi="Times New Roman" w:eastAsia="宋体" w:cs="Times New Roman"/>
                <w:bCs/>
                <w:snapToGrid w:val="0"/>
                <w:color w:val="auto"/>
                <w:sz w:val="24"/>
                <w:szCs w:val="24"/>
                <w:highlight w:val="none"/>
              </w:rPr>
              <w:t>塑料包装箱及容器制造</w:t>
            </w:r>
            <w:r>
              <w:rPr>
                <w:rFonts w:hint="eastAsia" w:ascii="Times New Roman" w:hAnsi="Times New Roman" w:eastAsia="宋体" w:cs="Times New Roman"/>
                <w:bCs/>
                <w:snapToGrid w:val="0"/>
                <w:color w:val="auto"/>
                <w:sz w:val="24"/>
                <w:szCs w:val="24"/>
                <w:highlight w:val="none"/>
                <w:lang w:val="en-US" w:eastAsia="zh-CN"/>
              </w:rPr>
              <w:t>（</w:t>
            </w:r>
            <w:r>
              <w:rPr>
                <w:rFonts w:hint="default" w:ascii="Times New Roman" w:hAnsi="Times New Roman" w:eastAsia="宋体" w:cs="Times New Roman"/>
                <w:bCs/>
                <w:snapToGrid w:val="0"/>
                <w:color w:val="auto"/>
                <w:sz w:val="24"/>
                <w:szCs w:val="24"/>
                <w:highlight w:val="none"/>
              </w:rPr>
              <w:t>C2926</w:t>
            </w:r>
            <w:r>
              <w:rPr>
                <w:rFonts w:hint="eastAsia" w:ascii="Times New Roman" w:hAnsi="Times New Roman" w:eastAsia="宋体" w:cs="Times New Roman"/>
                <w:bCs/>
                <w:snapToGrid w:val="0"/>
                <w:color w:val="auto"/>
                <w:sz w:val="24"/>
                <w:szCs w:val="24"/>
                <w:highlight w:val="none"/>
                <w:lang w:val="en-US" w:eastAsia="zh-CN"/>
              </w:rPr>
              <w:t>）</w:t>
            </w:r>
            <w:r>
              <w:rPr>
                <w:rFonts w:hint="default" w:ascii="Times New Roman" w:hAnsi="Times New Roman" w:eastAsia="宋体" w:cs="Times New Roman"/>
                <w:bCs/>
                <w:snapToGrid w:val="0"/>
                <w:color w:val="auto"/>
                <w:sz w:val="24"/>
                <w:szCs w:val="24"/>
                <w:highlight w:val="none"/>
              </w:rPr>
              <w:t>，位于国家重点开发区，</w:t>
            </w:r>
            <w:r>
              <w:rPr>
                <w:rFonts w:hint="eastAsia" w:ascii="Times New Roman" w:hAnsi="Times New Roman" w:eastAsia="宋体" w:cs="Times New Roman"/>
                <w:bCs/>
                <w:snapToGrid w:val="0"/>
                <w:color w:val="auto"/>
                <w:sz w:val="24"/>
                <w:szCs w:val="24"/>
                <w:highlight w:val="none"/>
                <w:lang w:val="en-US" w:eastAsia="zh-CN"/>
              </w:rPr>
              <w:t>且</w:t>
            </w:r>
            <w:r>
              <w:rPr>
                <w:rFonts w:hint="default" w:ascii="Times New Roman" w:hAnsi="Times New Roman" w:eastAsia="宋体" w:cs="Times New Roman"/>
                <w:bCs/>
                <w:snapToGrid w:val="0"/>
                <w:color w:val="auto"/>
                <w:sz w:val="24"/>
                <w:szCs w:val="24"/>
                <w:highlight w:val="none"/>
              </w:rPr>
              <w:t>属于促进农业发展的配套项目，且项目用地未占用基本农田及耕地。因此，本项目与《云南省主体功能区规划》</w:t>
            </w:r>
            <w:r>
              <w:rPr>
                <w:rFonts w:hint="default" w:ascii="Times New Roman" w:hAnsi="Times New Roman" w:eastAsia="宋体" w:cs="Times New Roman"/>
                <w:bCs/>
                <w:snapToGrid w:val="0"/>
                <w:color w:val="auto"/>
                <w:sz w:val="24"/>
                <w:szCs w:val="24"/>
                <w:highlight w:val="none"/>
                <w:lang w:val="en-US" w:eastAsia="zh-CN"/>
              </w:rPr>
              <w:t>中</w:t>
            </w:r>
            <w:r>
              <w:rPr>
                <w:rFonts w:hint="default" w:ascii="Times New Roman" w:hAnsi="Times New Roman" w:eastAsia="宋体" w:cs="Times New Roman"/>
                <w:bCs/>
                <w:snapToGrid w:val="0"/>
                <w:color w:val="auto"/>
                <w:sz w:val="24"/>
                <w:szCs w:val="24"/>
                <w:highlight w:val="none"/>
                <w:lang w:eastAsia="zh-CN"/>
              </w:rPr>
              <w:t>相关</w:t>
            </w:r>
            <w:r>
              <w:rPr>
                <w:rFonts w:hint="default" w:ascii="Times New Roman" w:hAnsi="Times New Roman" w:eastAsia="宋体" w:cs="Times New Roman"/>
                <w:bCs/>
                <w:snapToGrid w:val="0"/>
                <w:color w:val="auto"/>
                <w:sz w:val="24"/>
                <w:szCs w:val="24"/>
                <w:highlight w:val="none"/>
              </w:rPr>
              <w:t>规划要求</w:t>
            </w:r>
            <w:r>
              <w:rPr>
                <w:rFonts w:hint="default" w:ascii="Times New Roman" w:hAnsi="Times New Roman" w:eastAsia="宋体" w:cs="Times New Roman"/>
                <w:bCs/>
                <w:snapToGrid w:val="0"/>
                <w:color w:val="auto"/>
                <w:sz w:val="24"/>
                <w:szCs w:val="24"/>
                <w:highlight w:val="none"/>
                <w:lang w:val="en-US" w:eastAsia="zh-CN"/>
              </w:rPr>
              <w:t>相符</w:t>
            </w:r>
            <w:r>
              <w:rPr>
                <w:rFonts w:hint="default" w:ascii="Times New Roman" w:hAnsi="Times New Roman" w:eastAsia="宋体" w:cs="Times New Roman"/>
                <w:bCs/>
                <w:snapToGrid w:val="0"/>
                <w:color w:val="auto"/>
                <w:sz w:val="24"/>
                <w:szCs w:val="24"/>
                <w:highlight w:val="none"/>
              </w:rPr>
              <w:t>。</w:t>
            </w:r>
          </w:p>
          <w:p w14:paraId="4AF6A3AE">
            <w:pPr>
              <w:adjustRightInd w:val="0"/>
              <w:snapToGrid w:val="0"/>
              <w:spacing w:line="360" w:lineRule="auto"/>
              <w:ind w:firstLine="482" w:firstLineChars="200"/>
              <w:rPr>
                <w:b/>
                <w:color w:val="auto"/>
                <w:kern w:val="0"/>
                <w:sz w:val="24"/>
              </w:rPr>
            </w:pPr>
            <w:r>
              <w:rPr>
                <w:rFonts w:hint="eastAsia"/>
                <w:b/>
                <w:bCs/>
                <w:color w:val="auto"/>
                <w:sz w:val="24"/>
                <w:lang w:val="en-US" w:eastAsia="zh-CN"/>
              </w:rPr>
              <w:t>4、</w:t>
            </w:r>
            <w:r>
              <w:rPr>
                <w:rFonts w:hint="eastAsia"/>
                <w:b/>
                <w:bCs/>
                <w:color w:val="auto"/>
                <w:sz w:val="24"/>
              </w:rPr>
              <w:t>项目</w:t>
            </w:r>
            <w:r>
              <w:rPr>
                <w:b/>
                <w:color w:val="auto"/>
                <w:kern w:val="0"/>
                <w:sz w:val="24"/>
              </w:rPr>
              <w:t>与</w:t>
            </w:r>
            <w:r>
              <w:rPr>
                <w:b/>
                <w:bCs/>
                <w:color w:val="auto"/>
                <w:sz w:val="24"/>
              </w:rPr>
              <w:t>《长江经济带发展负面清单指南》（试行，2022年版）的符合性分析</w:t>
            </w:r>
          </w:p>
          <w:p w14:paraId="688204C8">
            <w:pPr>
              <w:pStyle w:val="17"/>
              <w:spacing w:line="360" w:lineRule="auto"/>
              <w:ind w:firstLine="480" w:firstLineChars="200"/>
              <w:rPr>
                <w:rFonts w:ascii="Times New Roman" w:hAnsi="Times New Roman"/>
                <w:b/>
                <w:bCs/>
                <w:color w:val="auto"/>
                <w:kern w:val="0"/>
              </w:rPr>
            </w:pPr>
            <w:r>
              <w:rPr>
                <w:rFonts w:ascii="Times New Roman" w:hAnsi="Times New Roman"/>
                <w:color w:val="auto"/>
                <w:sz w:val="24"/>
              </w:rPr>
              <w:t>项目与《长江经济带发展负面清单指南》（试行，2022年版）对比分析情况见下表1-</w:t>
            </w:r>
            <w:r>
              <w:rPr>
                <w:rFonts w:hint="eastAsia" w:ascii="Times New Roman" w:hAnsi="Times New Roman"/>
                <w:color w:val="auto"/>
                <w:sz w:val="24"/>
                <w:lang w:val="en-US" w:eastAsia="zh-CN"/>
              </w:rPr>
              <w:t>6</w:t>
            </w:r>
            <w:r>
              <w:rPr>
                <w:rFonts w:ascii="Times New Roman" w:hAnsi="Times New Roman"/>
                <w:color w:val="auto"/>
                <w:sz w:val="24"/>
              </w:rPr>
              <w:t>。</w:t>
            </w:r>
          </w:p>
          <w:p w14:paraId="1240C459">
            <w:pPr>
              <w:widowControl/>
              <w:jc w:val="center"/>
              <w:rPr>
                <w:b/>
                <w:bCs/>
                <w:color w:val="auto"/>
                <w:kern w:val="0"/>
              </w:rPr>
            </w:pPr>
            <w:r>
              <w:rPr>
                <w:b/>
                <w:bCs/>
                <w:color w:val="auto"/>
                <w:kern w:val="0"/>
              </w:rPr>
              <w:t>表1-</w:t>
            </w:r>
            <w:r>
              <w:rPr>
                <w:rFonts w:hint="eastAsia"/>
                <w:b/>
                <w:bCs/>
                <w:color w:val="auto"/>
                <w:kern w:val="0"/>
                <w:lang w:val="en-US" w:eastAsia="zh-CN"/>
              </w:rPr>
              <w:t>6</w:t>
            </w:r>
            <w:r>
              <w:rPr>
                <w:b/>
                <w:bCs/>
                <w:color w:val="auto"/>
                <w:kern w:val="0"/>
              </w:rPr>
              <w:t xml:space="preserve">  </w:t>
            </w:r>
            <w:r>
              <w:rPr>
                <w:rFonts w:hint="eastAsia"/>
                <w:b/>
                <w:bCs/>
                <w:color w:val="auto"/>
                <w:kern w:val="0"/>
              </w:rPr>
              <w:t>项目</w:t>
            </w:r>
            <w:r>
              <w:rPr>
                <w:b/>
                <w:bCs/>
                <w:color w:val="auto"/>
                <w:kern w:val="0"/>
              </w:rPr>
              <w:t>与《长江经济带发展负面清单指南（试行）》相符性分析</w:t>
            </w:r>
          </w:p>
          <w:tbl>
            <w:tblPr>
              <w:tblStyle w:val="30"/>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364"/>
              <w:gridCol w:w="2609"/>
              <w:gridCol w:w="903"/>
            </w:tblGrid>
            <w:tr w14:paraId="78E5B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1" w:hRule="atLeast"/>
                <w:jc w:val="center"/>
              </w:trPr>
              <w:tc>
                <w:tcPr>
                  <w:tcW w:w="2770" w:type="pct"/>
                  <w:vAlign w:val="center"/>
                </w:tcPr>
                <w:p w14:paraId="1EB28F82">
                  <w:pPr>
                    <w:widowControl/>
                    <w:jc w:val="center"/>
                    <w:rPr>
                      <w:b/>
                      <w:bCs/>
                      <w:color w:val="auto"/>
                      <w:kern w:val="0"/>
                      <w:szCs w:val="21"/>
                    </w:rPr>
                  </w:pPr>
                  <w:r>
                    <w:rPr>
                      <w:b/>
                      <w:bCs/>
                      <w:color w:val="auto"/>
                      <w:kern w:val="0"/>
                      <w:szCs w:val="21"/>
                    </w:rPr>
                    <w:t>长江经济带发展负面清单指南（试行）</w:t>
                  </w:r>
                </w:p>
              </w:tc>
              <w:tc>
                <w:tcPr>
                  <w:tcW w:w="1656" w:type="pct"/>
                  <w:vAlign w:val="center"/>
                </w:tcPr>
                <w:p w14:paraId="0C6F306B">
                  <w:pPr>
                    <w:widowControl/>
                    <w:jc w:val="center"/>
                    <w:rPr>
                      <w:b/>
                      <w:bCs/>
                      <w:color w:val="auto"/>
                      <w:kern w:val="0"/>
                      <w:szCs w:val="21"/>
                    </w:rPr>
                  </w:pPr>
                  <w:r>
                    <w:rPr>
                      <w:b/>
                      <w:bCs/>
                      <w:color w:val="auto"/>
                      <w:kern w:val="0"/>
                      <w:szCs w:val="21"/>
                    </w:rPr>
                    <w:t>本项目</w:t>
                  </w:r>
                </w:p>
              </w:tc>
              <w:tc>
                <w:tcPr>
                  <w:tcW w:w="573" w:type="pct"/>
                  <w:vAlign w:val="center"/>
                </w:tcPr>
                <w:p w14:paraId="346E736C">
                  <w:pPr>
                    <w:widowControl/>
                    <w:jc w:val="center"/>
                    <w:rPr>
                      <w:b/>
                      <w:bCs/>
                      <w:color w:val="auto"/>
                      <w:kern w:val="0"/>
                      <w:szCs w:val="21"/>
                    </w:rPr>
                  </w:pPr>
                  <w:r>
                    <w:rPr>
                      <w:b/>
                      <w:bCs/>
                      <w:color w:val="auto"/>
                      <w:kern w:val="0"/>
                      <w:szCs w:val="21"/>
                    </w:rPr>
                    <w:t>符合性</w:t>
                  </w:r>
                </w:p>
              </w:tc>
            </w:tr>
            <w:tr w14:paraId="1BEA0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5" w:hRule="atLeast"/>
                <w:jc w:val="center"/>
              </w:trPr>
              <w:tc>
                <w:tcPr>
                  <w:tcW w:w="2770" w:type="pct"/>
                  <w:vAlign w:val="center"/>
                </w:tcPr>
                <w:p w14:paraId="55F85BD9">
                  <w:pPr>
                    <w:rPr>
                      <w:color w:val="auto"/>
                      <w:szCs w:val="21"/>
                    </w:rPr>
                  </w:pPr>
                  <w:r>
                    <w:rPr>
                      <w:color w:val="auto"/>
                      <w:szCs w:val="21"/>
                    </w:rPr>
                    <w:t>（一）</w:t>
                  </w:r>
                  <w:r>
                    <w:rPr>
                      <w:color w:val="auto"/>
                      <w:szCs w:val="21"/>
                      <w:lang w:val="zh-CN"/>
                    </w:rPr>
                    <w:t>禁止建设不符合全国和省级港口布局规划以及港口总体夫划的码头项目，禁止建设不符合《长江于线过江通道布局规划》的过长江通道项目。</w:t>
                  </w:r>
                </w:p>
              </w:tc>
              <w:tc>
                <w:tcPr>
                  <w:tcW w:w="1656" w:type="pct"/>
                  <w:vAlign w:val="center"/>
                </w:tcPr>
                <w:p w14:paraId="7D1067FF">
                  <w:pPr>
                    <w:jc w:val="center"/>
                    <w:rPr>
                      <w:color w:val="auto"/>
                      <w:szCs w:val="21"/>
                    </w:rPr>
                  </w:pPr>
                  <w:r>
                    <w:rPr>
                      <w:rFonts w:hint="eastAsia"/>
                      <w:color w:val="auto"/>
                      <w:szCs w:val="21"/>
                      <w:lang w:val="zh-CN"/>
                    </w:rPr>
                    <w:t>项目不属于</w:t>
                  </w:r>
                  <w:r>
                    <w:rPr>
                      <w:color w:val="auto"/>
                      <w:szCs w:val="21"/>
                      <w:lang w:val="zh-CN"/>
                    </w:rPr>
                    <w:t>码头及过江通道</w:t>
                  </w:r>
                  <w:r>
                    <w:rPr>
                      <w:rFonts w:hint="eastAsia"/>
                      <w:color w:val="auto"/>
                      <w:szCs w:val="21"/>
                      <w:lang w:val="zh-CN"/>
                    </w:rPr>
                    <w:t>项目</w:t>
                  </w:r>
                  <w:r>
                    <w:rPr>
                      <w:color w:val="auto"/>
                      <w:szCs w:val="21"/>
                      <w:lang w:val="zh-CN"/>
                    </w:rPr>
                    <w:t>。</w:t>
                  </w:r>
                </w:p>
              </w:tc>
              <w:tc>
                <w:tcPr>
                  <w:tcW w:w="573" w:type="pct"/>
                  <w:vAlign w:val="center"/>
                </w:tcPr>
                <w:p w14:paraId="369E1B7A">
                  <w:pPr>
                    <w:jc w:val="center"/>
                    <w:rPr>
                      <w:color w:val="auto"/>
                      <w:szCs w:val="21"/>
                    </w:rPr>
                  </w:pPr>
                  <w:r>
                    <w:rPr>
                      <w:color w:val="auto"/>
                      <w:szCs w:val="21"/>
                    </w:rPr>
                    <w:t>符合</w:t>
                  </w:r>
                </w:p>
              </w:tc>
            </w:tr>
            <w:tr w14:paraId="14C2F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66" w:hRule="atLeast"/>
                <w:jc w:val="center"/>
              </w:trPr>
              <w:tc>
                <w:tcPr>
                  <w:tcW w:w="2770" w:type="pct"/>
                  <w:vAlign w:val="center"/>
                </w:tcPr>
                <w:p w14:paraId="6ADA01DC">
                  <w:pPr>
                    <w:rPr>
                      <w:color w:val="auto"/>
                      <w:szCs w:val="21"/>
                    </w:rPr>
                  </w:pPr>
                  <w:r>
                    <w:rPr>
                      <w:color w:val="auto"/>
                      <w:szCs w:val="21"/>
                    </w:rPr>
                    <w:t>（二）</w:t>
                  </w:r>
                  <w:r>
                    <w:rPr>
                      <w:color w:val="auto"/>
                      <w:szCs w:val="21"/>
                      <w:lang w:val="zh-CN"/>
                    </w:rPr>
                    <w:t>禁止在自然保护区核心区、缓冲区的岸线和河段范围内投资建设旅游和生产经营项目。禁止在风景名胜区核心景区的岸线和河段范围内投资建设与风景名胜资源保护无关的项目。</w:t>
                  </w:r>
                </w:p>
              </w:tc>
              <w:tc>
                <w:tcPr>
                  <w:tcW w:w="1656" w:type="pct"/>
                  <w:vAlign w:val="center"/>
                </w:tcPr>
                <w:p w14:paraId="54696253">
                  <w:pPr>
                    <w:jc w:val="center"/>
                    <w:rPr>
                      <w:color w:val="auto"/>
                      <w:szCs w:val="21"/>
                    </w:rPr>
                  </w:pPr>
                  <w:r>
                    <w:rPr>
                      <w:color w:val="auto"/>
                      <w:szCs w:val="21"/>
                      <w:lang w:val="zh-CN"/>
                    </w:rPr>
                    <w:t>本项目不涉及自然保护区核心区、风景名胜区等特殊敏感区。</w:t>
                  </w:r>
                </w:p>
              </w:tc>
              <w:tc>
                <w:tcPr>
                  <w:tcW w:w="573" w:type="pct"/>
                  <w:vAlign w:val="center"/>
                </w:tcPr>
                <w:p w14:paraId="4021CDA9">
                  <w:pPr>
                    <w:jc w:val="center"/>
                    <w:rPr>
                      <w:color w:val="auto"/>
                      <w:szCs w:val="21"/>
                    </w:rPr>
                  </w:pPr>
                  <w:r>
                    <w:rPr>
                      <w:color w:val="auto"/>
                      <w:szCs w:val="21"/>
                    </w:rPr>
                    <w:t>符合</w:t>
                  </w:r>
                </w:p>
              </w:tc>
            </w:tr>
            <w:tr w14:paraId="417BB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179" w:hRule="atLeast"/>
                <w:jc w:val="center"/>
              </w:trPr>
              <w:tc>
                <w:tcPr>
                  <w:tcW w:w="2770" w:type="pct"/>
                  <w:vAlign w:val="center"/>
                </w:tcPr>
                <w:p w14:paraId="28E2F292">
                  <w:pPr>
                    <w:rPr>
                      <w:color w:val="auto"/>
                      <w:szCs w:val="21"/>
                    </w:rPr>
                  </w:pPr>
                  <w:r>
                    <w:rPr>
                      <w:color w:val="auto"/>
                      <w:szCs w:val="21"/>
                    </w:rPr>
                    <w:t>（三）</w:t>
                  </w:r>
                  <w:r>
                    <w:rPr>
                      <w:color w:val="auto"/>
                      <w:szCs w:val="21"/>
                      <w:lang w:val="zh-CN"/>
                    </w:rPr>
                    <w:t>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w:t>
                  </w:r>
                </w:p>
              </w:tc>
              <w:tc>
                <w:tcPr>
                  <w:tcW w:w="1656" w:type="pct"/>
                  <w:vAlign w:val="center"/>
                </w:tcPr>
                <w:p w14:paraId="26EB5D23">
                  <w:pPr>
                    <w:jc w:val="center"/>
                    <w:rPr>
                      <w:color w:val="auto"/>
                      <w:szCs w:val="21"/>
                    </w:rPr>
                  </w:pPr>
                  <w:r>
                    <w:rPr>
                      <w:color w:val="auto"/>
                      <w:szCs w:val="21"/>
                      <w:lang w:val="zh-CN"/>
                    </w:rPr>
                    <w:t>本项目不涉及饮用水水源地。</w:t>
                  </w:r>
                </w:p>
              </w:tc>
              <w:tc>
                <w:tcPr>
                  <w:tcW w:w="573" w:type="pct"/>
                  <w:vAlign w:val="center"/>
                </w:tcPr>
                <w:p w14:paraId="4FCF7539">
                  <w:pPr>
                    <w:jc w:val="center"/>
                    <w:rPr>
                      <w:color w:val="auto"/>
                      <w:szCs w:val="21"/>
                    </w:rPr>
                  </w:pPr>
                  <w:r>
                    <w:rPr>
                      <w:color w:val="auto"/>
                      <w:szCs w:val="21"/>
                    </w:rPr>
                    <w:t>符合</w:t>
                  </w:r>
                </w:p>
              </w:tc>
            </w:tr>
            <w:tr w14:paraId="35672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908" w:hRule="atLeast"/>
                <w:jc w:val="center"/>
              </w:trPr>
              <w:tc>
                <w:tcPr>
                  <w:tcW w:w="2770" w:type="pct"/>
                  <w:vAlign w:val="center"/>
                </w:tcPr>
                <w:p w14:paraId="4FC6E2DE">
                  <w:pPr>
                    <w:rPr>
                      <w:color w:val="auto"/>
                      <w:szCs w:val="21"/>
                    </w:rPr>
                  </w:pPr>
                  <w:r>
                    <w:rPr>
                      <w:color w:val="auto"/>
                    </w:rPr>
                    <w:t>（四）</w:t>
                  </w:r>
                  <w:r>
                    <w:rPr>
                      <w:color w:val="auto"/>
                      <w:lang w:val="zh-CN"/>
                    </w:rPr>
                    <w:t>禁止在水产种质资源保护区的岸线和河段范围内新建围湖造田、围海造地或围填海等投资建设项目。禁止在国家湿地公园的岸线和河段范围内挖沙、采矿，以及任何不符合主体功能定位的投资建设项目。</w:t>
                  </w:r>
                </w:p>
              </w:tc>
              <w:tc>
                <w:tcPr>
                  <w:tcW w:w="1656" w:type="pct"/>
                  <w:vAlign w:val="center"/>
                </w:tcPr>
                <w:p w14:paraId="769F6E73">
                  <w:pPr>
                    <w:jc w:val="center"/>
                    <w:rPr>
                      <w:color w:val="auto"/>
                      <w:szCs w:val="21"/>
                    </w:rPr>
                  </w:pPr>
                  <w:r>
                    <w:rPr>
                      <w:color w:val="auto"/>
                      <w:szCs w:val="21"/>
                      <w:lang w:val="zh-CN"/>
                    </w:rPr>
                    <w:t>本项目不</w:t>
                  </w:r>
                  <w:r>
                    <w:rPr>
                      <w:rFonts w:hint="eastAsia"/>
                      <w:color w:val="auto"/>
                      <w:szCs w:val="21"/>
                    </w:rPr>
                    <w:t>在</w:t>
                  </w:r>
                  <w:r>
                    <w:rPr>
                      <w:color w:val="auto"/>
                      <w:szCs w:val="21"/>
                      <w:lang w:val="zh-CN"/>
                    </w:rPr>
                    <w:t>水产种植资源保护区的岸线和河段范围</w:t>
                  </w:r>
                  <w:r>
                    <w:rPr>
                      <w:rFonts w:hint="eastAsia"/>
                      <w:color w:val="auto"/>
                      <w:szCs w:val="21"/>
                      <w:lang w:val="zh-CN"/>
                    </w:rPr>
                    <w:t>、</w:t>
                  </w:r>
                  <w:r>
                    <w:rPr>
                      <w:color w:val="auto"/>
                      <w:lang w:val="zh-CN"/>
                    </w:rPr>
                    <w:t>国家湿地公园的岸线和河段范围</w:t>
                  </w:r>
                  <w:r>
                    <w:rPr>
                      <w:color w:val="auto"/>
                      <w:szCs w:val="21"/>
                      <w:lang w:val="zh-CN"/>
                    </w:rPr>
                    <w:t>。</w:t>
                  </w:r>
                </w:p>
              </w:tc>
              <w:tc>
                <w:tcPr>
                  <w:tcW w:w="573" w:type="pct"/>
                  <w:vAlign w:val="center"/>
                </w:tcPr>
                <w:p w14:paraId="1777AE2A">
                  <w:pPr>
                    <w:jc w:val="center"/>
                    <w:rPr>
                      <w:color w:val="auto"/>
                      <w:szCs w:val="21"/>
                    </w:rPr>
                  </w:pPr>
                  <w:r>
                    <w:rPr>
                      <w:color w:val="auto"/>
                      <w:szCs w:val="21"/>
                    </w:rPr>
                    <w:t>符合</w:t>
                  </w:r>
                </w:p>
              </w:tc>
            </w:tr>
            <w:tr w14:paraId="12EC1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08" w:hRule="atLeast"/>
                <w:jc w:val="center"/>
              </w:trPr>
              <w:tc>
                <w:tcPr>
                  <w:tcW w:w="2770" w:type="pct"/>
                  <w:vAlign w:val="center"/>
                </w:tcPr>
                <w:p w14:paraId="3844B6B8">
                  <w:pPr>
                    <w:rPr>
                      <w:color w:val="auto"/>
                      <w:szCs w:val="21"/>
                    </w:rPr>
                  </w:pPr>
                  <w:r>
                    <w:rPr>
                      <w:color w:val="auto"/>
                      <w:szCs w:val="21"/>
                    </w:rPr>
                    <w:t>（五）</w:t>
                  </w:r>
                  <w:r>
                    <w:rPr>
                      <w:color w:val="auto"/>
                      <w:szCs w:val="21"/>
                      <w:lang w:val="zh-CN"/>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禁止在《全国重要江河湖泊水功能区划》划定的河段及湖泊保护区、保留区内投资建设不利于水资源及自然生态保护的项目。</w:t>
                  </w:r>
                </w:p>
              </w:tc>
              <w:tc>
                <w:tcPr>
                  <w:tcW w:w="1656" w:type="pct"/>
                  <w:vAlign w:val="center"/>
                </w:tcPr>
                <w:p w14:paraId="5AC1632C">
                  <w:pPr>
                    <w:jc w:val="center"/>
                    <w:rPr>
                      <w:color w:val="auto"/>
                      <w:szCs w:val="21"/>
                    </w:rPr>
                  </w:pPr>
                  <w:r>
                    <w:rPr>
                      <w:color w:val="auto"/>
                      <w:szCs w:val="21"/>
                      <w:lang w:val="zh-CN"/>
                    </w:rPr>
                    <w:t>本项目不</w:t>
                  </w:r>
                  <w:r>
                    <w:rPr>
                      <w:rFonts w:hint="eastAsia"/>
                      <w:color w:val="auto"/>
                      <w:szCs w:val="21"/>
                    </w:rPr>
                    <w:t>在</w:t>
                  </w:r>
                  <w:r>
                    <w:rPr>
                      <w:color w:val="auto"/>
                      <w:szCs w:val="21"/>
                      <w:lang w:val="zh-CN"/>
                    </w:rPr>
                    <w:t>《长江岸线保护和开发利用总体规划》划定的岸线保护区，也不</w:t>
                  </w:r>
                  <w:r>
                    <w:rPr>
                      <w:rFonts w:hint="eastAsia"/>
                      <w:color w:val="auto"/>
                      <w:szCs w:val="21"/>
                    </w:rPr>
                    <w:t>在</w:t>
                  </w:r>
                  <w:r>
                    <w:rPr>
                      <w:color w:val="auto"/>
                      <w:szCs w:val="21"/>
                      <w:lang w:val="zh-CN"/>
                    </w:rPr>
                    <w:t>《全国重要江河湖泊水功能区》划定的河段保护区、保留区。</w:t>
                  </w:r>
                </w:p>
              </w:tc>
              <w:tc>
                <w:tcPr>
                  <w:tcW w:w="573" w:type="pct"/>
                  <w:vAlign w:val="center"/>
                </w:tcPr>
                <w:p w14:paraId="02343C1E">
                  <w:pPr>
                    <w:jc w:val="center"/>
                    <w:rPr>
                      <w:color w:val="auto"/>
                      <w:szCs w:val="21"/>
                    </w:rPr>
                  </w:pPr>
                  <w:r>
                    <w:rPr>
                      <w:color w:val="auto"/>
                      <w:szCs w:val="21"/>
                    </w:rPr>
                    <w:t>符合</w:t>
                  </w:r>
                </w:p>
              </w:tc>
            </w:tr>
            <w:tr w14:paraId="129E1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2770" w:type="pct"/>
                  <w:vAlign w:val="center"/>
                </w:tcPr>
                <w:p w14:paraId="52857055">
                  <w:pPr>
                    <w:rPr>
                      <w:color w:val="auto"/>
                      <w:szCs w:val="21"/>
                    </w:rPr>
                  </w:pPr>
                  <w:r>
                    <w:rPr>
                      <w:color w:val="auto"/>
                      <w:szCs w:val="21"/>
                    </w:rPr>
                    <w:t>（六）</w:t>
                  </w:r>
                  <w:r>
                    <w:rPr>
                      <w:color w:val="auto"/>
                      <w:szCs w:val="21"/>
                      <w:lang w:val="zh-CN"/>
                    </w:rPr>
                    <w:t>禁止未经许可在长江干支流及湖泊新设、改设或扩大排污口。</w:t>
                  </w:r>
                </w:p>
              </w:tc>
              <w:tc>
                <w:tcPr>
                  <w:tcW w:w="1656" w:type="pct"/>
                  <w:vAlign w:val="center"/>
                </w:tcPr>
                <w:p w14:paraId="7825EF19">
                  <w:pPr>
                    <w:jc w:val="center"/>
                    <w:rPr>
                      <w:color w:val="auto"/>
                      <w:szCs w:val="21"/>
                    </w:rPr>
                  </w:pPr>
                  <w:r>
                    <w:rPr>
                      <w:color w:val="auto"/>
                      <w:szCs w:val="21"/>
                      <w:lang w:val="zh-CN"/>
                    </w:rPr>
                    <w:t>本项目</w:t>
                  </w:r>
                  <w:r>
                    <w:rPr>
                      <w:rFonts w:hint="eastAsia"/>
                      <w:color w:val="auto"/>
                      <w:szCs w:val="21"/>
                    </w:rPr>
                    <w:t>不在</w:t>
                  </w:r>
                  <w:r>
                    <w:rPr>
                      <w:color w:val="auto"/>
                      <w:szCs w:val="21"/>
                      <w:lang w:val="zh-CN"/>
                    </w:rPr>
                    <w:t>长江干支流及湖泊新设、改设或扩大排污口。</w:t>
                  </w:r>
                </w:p>
              </w:tc>
              <w:tc>
                <w:tcPr>
                  <w:tcW w:w="573" w:type="pct"/>
                  <w:vAlign w:val="center"/>
                </w:tcPr>
                <w:p w14:paraId="625C9E63">
                  <w:pPr>
                    <w:jc w:val="center"/>
                    <w:rPr>
                      <w:color w:val="auto"/>
                      <w:szCs w:val="21"/>
                    </w:rPr>
                  </w:pPr>
                  <w:r>
                    <w:rPr>
                      <w:color w:val="auto"/>
                      <w:szCs w:val="21"/>
                    </w:rPr>
                    <w:t>符合</w:t>
                  </w:r>
                </w:p>
              </w:tc>
            </w:tr>
            <w:tr w14:paraId="39DC5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2770" w:type="pct"/>
                  <w:vAlign w:val="center"/>
                </w:tcPr>
                <w:p w14:paraId="7B7F4A3D">
                  <w:pPr>
                    <w:rPr>
                      <w:color w:val="auto"/>
                      <w:szCs w:val="21"/>
                    </w:rPr>
                  </w:pPr>
                  <w:r>
                    <w:rPr>
                      <w:color w:val="auto"/>
                      <w:szCs w:val="21"/>
                    </w:rPr>
                    <w:t>（七）</w:t>
                  </w:r>
                  <w:r>
                    <w:rPr>
                      <w:color w:val="auto"/>
                      <w:szCs w:val="21"/>
                      <w:lang w:val="zh-CN"/>
                    </w:rPr>
                    <w:t>禁止在“一江一口两湖七河”和332个水生生物保护区开展生产性捕捞。</w:t>
                  </w:r>
                </w:p>
              </w:tc>
              <w:tc>
                <w:tcPr>
                  <w:tcW w:w="1656" w:type="pct"/>
                  <w:vAlign w:val="center"/>
                </w:tcPr>
                <w:p w14:paraId="7D6F3AE0">
                  <w:pPr>
                    <w:jc w:val="center"/>
                    <w:rPr>
                      <w:color w:val="auto"/>
                      <w:szCs w:val="21"/>
                    </w:rPr>
                  </w:pPr>
                  <w:r>
                    <w:rPr>
                      <w:color w:val="auto"/>
                      <w:szCs w:val="21"/>
                      <w:lang w:val="zh-CN"/>
                    </w:rPr>
                    <w:t>本</w:t>
                  </w:r>
                  <w:r>
                    <w:rPr>
                      <w:color w:val="auto"/>
                      <w:szCs w:val="21"/>
                    </w:rPr>
                    <w:t>项目不涉及捕捞</w:t>
                  </w:r>
                  <w:r>
                    <w:rPr>
                      <w:color w:val="auto"/>
                      <w:szCs w:val="21"/>
                      <w:lang w:val="zh-CN"/>
                    </w:rPr>
                    <w:t>。</w:t>
                  </w:r>
                </w:p>
              </w:tc>
              <w:tc>
                <w:tcPr>
                  <w:tcW w:w="573" w:type="pct"/>
                  <w:vAlign w:val="center"/>
                </w:tcPr>
                <w:p w14:paraId="1C96AFEF">
                  <w:pPr>
                    <w:jc w:val="center"/>
                    <w:rPr>
                      <w:color w:val="auto"/>
                      <w:szCs w:val="21"/>
                    </w:rPr>
                  </w:pPr>
                  <w:r>
                    <w:rPr>
                      <w:color w:val="auto"/>
                      <w:szCs w:val="21"/>
                    </w:rPr>
                    <w:t>符合</w:t>
                  </w:r>
                </w:p>
              </w:tc>
            </w:tr>
            <w:tr w14:paraId="26BEE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08" w:hRule="atLeast"/>
                <w:jc w:val="center"/>
              </w:trPr>
              <w:tc>
                <w:tcPr>
                  <w:tcW w:w="2770" w:type="pct"/>
                  <w:vAlign w:val="center"/>
                </w:tcPr>
                <w:p w14:paraId="0FC802CD">
                  <w:pPr>
                    <w:rPr>
                      <w:color w:val="auto"/>
                      <w:szCs w:val="21"/>
                    </w:rPr>
                  </w:pPr>
                  <w:r>
                    <w:rPr>
                      <w:color w:val="auto"/>
                      <w:szCs w:val="21"/>
                    </w:rPr>
                    <w:t>（八）</w:t>
                  </w:r>
                  <w:r>
                    <w:rPr>
                      <w:color w:val="auto"/>
                      <w:szCs w:val="21"/>
                      <w:lang w:val="zh-CN"/>
                    </w:rPr>
                    <w:t>禁止在长江干支流、重要湖泊岸线一公里范围内新建、扩建化工园区和化工项目。禁止在长江干流岸线三公里范围内和重要支流岸线一公里范围内新建、改建、扩建尾矿库、冶炼渣库和磷石膏库，以提升安全、生态环境保护水平为目的的改建除外。</w:t>
                  </w:r>
                </w:p>
              </w:tc>
              <w:tc>
                <w:tcPr>
                  <w:tcW w:w="1656" w:type="pct"/>
                  <w:vAlign w:val="center"/>
                </w:tcPr>
                <w:p w14:paraId="6DA8C835">
                  <w:pPr>
                    <w:jc w:val="center"/>
                    <w:rPr>
                      <w:color w:val="auto"/>
                      <w:szCs w:val="21"/>
                    </w:rPr>
                  </w:pPr>
                  <w:r>
                    <w:rPr>
                      <w:color w:val="auto"/>
                      <w:szCs w:val="21"/>
                      <w:lang w:val="zh-CN"/>
                    </w:rPr>
                    <w:t>本项目不属于化工项目、不属于尾矿库、冶炼渣库和磷石膏库项目</w:t>
                  </w:r>
                  <w:r>
                    <w:rPr>
                      <w:rFonts w:hint="eastAsia"/>
                      <w:color w:val="auto"/>
                      <w:szCs w:val="21"/>
                      <w:lang w:val="zh-CN"/>
                    </w:rPr>
                    <w:t>，不属于</w:t>
                  </w:r>
                  <w:r>
                    <w:rPr>
                      <w:color w:val="auto"/>
                      <w:szCs w:val="21"/>
                      <w:lang w:val="zh-CN"/>
                    </w:rPr>
                    <w:t>不符合国家石化、现代煤化工等产业布局规划的项目。</w:t>
                  </w:r>
                </w:p>
              </w:tc>
              <w:tc>
                <w:tcPr>
                  <w:tcW w:w="573" w:type="pct"/>
                  <w:vAlign w:val="center"/>
                </w:tcPr>
                <w:p w14:paraId="184F9B13">
                  <w:pPr>
                    <w:jc w:val="center"/>
                    <w:rPr>
                      <w:color w:val="auto"/>
                      <w:szCs w:val="21"/>
                    </w:rPr>
                  </w:pPr>
                  <w:r>
                    <w:rPr>
                      <w:color w:val="auto"/>
                      <w:szCs w:val="21"/>
                    </w:rPr>
                    <w:t>符合</w:t>
                  </w:r>
                </w:p>
              </w:tc>
            </w:tr>
            <w:tr w14:paraId="69880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24" w:hRule="atLeast"/>
                <w:jc w:val="center"/>
              </w:trPr>
              <w:tc>
                <w:tcPr>
                  <w:tcW w:w="2770" w:type="pct"/>
                  <w:vAlign w:val="center"/>
                </w:tcPr>
                <w:p w14:paraId="629B239C">
                  <w:pPr>
                    <w:rPr>
                      <w:color w:val="auto"/>
                      <w:szCs w:val="21"/>
                    </w:rPr>
                  </w:pPr>
                  <w:r>
                    <w:rPr>
                      <w:color w:val="auto"/>
                      <w:szCs w:val="21"/>
                    </w:rPr>
                    <w:t>（九）</w:t>
                  </w:r>
                  <w:r>
                    <w:rPr>
                      <w:color w:val="auto"/>
                      <w:szCs w:val="21"/>
                      <w:lang w:val="zh-CN"/>
                    </w:rPr>
                    <w:t>禁止在合规园区外新建、扩建钢铁、石化、化工、焦化、建材、有色、制浆造纸等高污染项目。</w:t>
                  </w:r>
                </w:p>
              </w:tc>
              <w:tc>
                <w:tcPr>
                  <w:tcW w:w="1656" w:type="pct"/>
                  <w:vAlign w:val="center"/>
                </w:tcPr>
                <w:p w14:paraId="30B29F22">
                  <w:pPr>
                    <w:jc w:val="center"/>
                    <w:rPr>
                      <w:color w:val="auto"/>
                      <w:szCs w:val="21"/>
                    </w:rPr>
                  </w:pPr>
                  <w:r>
                    <w:rPr>
                      <w:color w:val="auto"/>
                      <w:szCs w:val="21"/>
                      <w:lang w:val="zh-CN"/>
                    </w:rPr>
                    <w:t>本项目不属于钢铁、石化、化工、焦化、建材、有色、制浆造纸等高污染项目。</w:t>
                  </w:r>
                </w:p>
              </w:tc>
              <w:tc>
                <w:tcPr>
                  <w:tcW w:w="573" w:type="pct"/>
                  <w:vAlign w:val="center"/>
                </w:tcPr>
                <w:p w14:paraId="1B6C1C7F">
                  <w:pPr>
                    <w:jc w:val="center"/>
                    <w:rPr>
                      <w:color w:val="auto"/>
                      <w:szCs w:val="21"/>
                    </w:rPr>
                  </w:pPr>
                  <w:r>
                    <w:rPr>
                      <w:color w:val="auto"/>
                      <w:szCs w:val="21"/>
                    </w:rPr>
                    <w:t>符合</w:t>
                  </w:r>
                </w:p>
              </w:tc>
            </w:tr>
            <w:tr w14:paraId="055B2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89" w:hRule="atLeast"/>
                <w:jc w:val="center"/>
              </w:trPr>
              <w:tc>
                <w:tcPr>
                  <w:tcW w:w="2770" w:type="pct"/>
                  <w:vAlign w:val="center"/>
                </w:tcPr>
                <w:p w14:paraId="7DBC6E29">
                  <w:pPr>
                    <w:rPr>
                      <w:color w:val="auto"/>
                      <w:szCs w:val="21"/>
                    </w:rPr>
                  </w:pPr>
                  <w:r>
                    <w:rPr>
                      <w:color w:val="auto"/>
                      <w:szCs w:val="21"/>
                    </w:rPr>
                    <w:t>（十）</w:t>
                  </w:r>
                  <w:r>
                    <w:rPr>
                      <w:color w:val="auto"/>
                      <w:szCs w:val="21"/>
                      <w:lang w:val="zh-CN"/>
                    </w:rPr>
                    <w:t>禁止新建、扩建法律法规和相关政策明令禁止的落后产能项目。禁止新建、扩建不符合国家产能置换要求的严重过剩产能行业的项目。禁止新建、扩建不符合要求的高耗能高排放项目。</w:t>
                  </w:r>
                </w:p>
              </w:tc>
              <w:tc>
                <w:tcPr>
                  <w:tcW w:w="1656" w:type="pct"/>
                  <w:vAlign w:val="center"/>
                </w:tcPr>
                <w:p w14:paraId="2CB60045">
                  <w:pPr>
                    <w:jc w:val="center"/>
                    <w:rPr>
                      <w:color w:val="auto"/>
                      <w:szCs w:val="21"/>
                    </w:rPr>
                  </w:pPr>
                  <w:r>
                    <w:rPr>
                      <w:color w:val="auto"/>
                      <w:szCs w:val="21"/>
                      <w:lang w:val="zh-CN"/>
                    </w:rPr>
                    <w:t>本项目</w:t>
                  </w:r>
                  <w:r>
                    <w:rPr>
                      <w:color w:val="auto"/>
                      <w:szCs w:val="21"/>
                    </w:rPr>
                    <w:t>不属于</w:t>
                  </w:r>
                  <w:r>
                    <w:rPr>
                      <w:color w:val="auto"/>
                      <w:szCs w:val="21"/>
                      <w:lang w:val="zh-CN"/>
                    </w:rPr>
                    <w:t>新建、扩建法律法规和相关政策明令禁止的落后产能项目，不属于禁止新建、扩建不符合国家产能置换要求的严重过剩产能行业的项目，不属于禁止新建、扩建不符合要求的高耗能高排放项目</w:t>
                  </w:r>
                  <w:r>
                    <w:rPr>
                      <w:color w:val="auto"/>
                      <w:szCs w:val="21"/>
                    </w:rPr>
                    <w:t>。</w:t>
                  </w:r>
                </w:p>
              </w:tc>
              <w:tc>
                <w:tcPr>
                  <w:tcW w:w="573" w:type="pct"/>
                  <w:vAlign w:val="center"/>
                </w:tcPr>
                <w:p w14:paraId="53682573">
                  <w:pPr>
                    <w:jc w:val="center"/>
                    <w:rPr>
                      <w:color w:val="auto"/>
                      <w:szCs w:val="21"/>
                    </w:rPr>
                  </w:pPr>
                  <w:r>
                    <w:rPr>
                      <w:color w:val="auto"/>
                      <w:szCs w:val="21"/>
                    </w:rPr>
                    <w:t>符合</w:t>
                  </w:r>
                </w:p>
              </w:tc>
            </w:tr>
          </w:tbl>
          <w:p w14:paraId="0EC080F3">
            <w:pPr>
              <w:pStyle w:val="42"/>
              <w:ind w:firstLine="480" w:firstLineChars="200"/>
              <w:jc w:val="both"/>
              <w:rPr>
                <w:b/>
                <w:bCs/>
                <w:color w:val="auto"/>
                <w:kern w:val="0"/>
                <w:sz w:val="24"/>
                <w:szCs w:val="24"/>
              </w:rPr>
            </w:pPr>
            <w:r>
              <w:rPr>
                <w:rFonts w:eastAsia="宋体"/>
                <w:color w:val="auto"/>
                <w:sz w:val="24"/>
              </w:rPr>
              <w:t>综上，本项目建设符合</w:t>
            </w:r>
            <w:r>
              <w:rPr>
                <w:rFonts w:eastAsia="宋体"/>
                <w:bCs/>
                <w:color w:val="auto"/>
                <w:sz w:val="24"/>
              </w:rPr>
              <w:t>《</w:t>
            </w:r>
            <w:r>
              <w:rPr>
                <w:rFonts w:eastAsia="宋体"/>
                <w:bCs/>
                <w:color w:val="auto"/>
                <w:sz w:val="24"/>
                <w:szCs w:val="24"/>
              </w:rPr>
              <w:t>长江经济带发展负面清单指南（试行）</w:t>
            </w:r>
            <w:r>
              <w:rPr>
                <w:rFonts w:eastAsia="宋体"/>
                <w:bCs/>
                <w:color w:val="auto"/>
                <w:sz w:val="24"/>
              </w:rPr>
              <w:t>》相关要求</w:t>
            </w:r>
            <w:r>
              <w:rPr>
                <w:rFonts w:eastAsia="宋体"/>
                <w:color w:val="auto"/>
                <w:sz w:val="24"/>
                <w:szCs w:val="24"/>
              </w:rPr>
              <w:t>。</w:t>
            </w:r>
          </w:p>
          <w:p w14:paraId="615029C4">
            <w:pPr>
              <w:snapToGrid w:val="0"/>
              <w:spacing w:line="360" w:lineRule="auto"/>
              <w:ind w:firstLine="482" w:firstLineChars="200"/>
              <w:outlineLvl w:val="2"/>
              <w:rPr>
                <w:b/>
                <w:bCs/>
                <w:color w:val="auto"/>
                <w:szCs w:val="21"/>
              </w:rPr>
            </w:pPr>
            <w:r>
              <w:rPr>
                <w:rFonts w:hint="eastAsia"/>
                <w:b/>
                <w:bCs/>
                <w:color w:val="auto"/>
                <w:kern w:val="0"/>
                <w:sz w:val="24"/>
                <w:lang w:val="en-US" w:eastAsia="zh-CN"/>
              </w:rPr>
              <w:t>5</w:t>
            </w:r>
            <w:r>
              <w:rPr>
                <w:b/>
                <w:bCs/>
                <w:color w:val="auto"/>
                <w:kern w:val="0"/>
                <w:sz w:val="24"/>
              </w:rPr>
              <w:t>、</w:t>
            </w:r>
            <w:r>
              <w:rPr>
                <w:rFonts w:hint="eastAsia"/>
                <w:b/>
                <w:bCs/>
                <w:color w:val="auto"/>
                <w:kern w:val="0"/>
                <w:sz w:val="24"/>
              </w:rPr>
              <w:t>项目</w:t>
            </w:r>
            <w:r>
              <w:rPr>
                <w:b/>
                <w:bCs/>
                <w:color w:val="auto"/>
                <w:kern w:val="0"/>
                <w:sz w:val="24"/>
              </w:rPr>
              <w:t>与《云南省长江经济带发展负面清单指南实施细则（试行，2022年版）》的符合性分析</w:t>
            </w:r>
          </w:p>
          <w:p w14:paraId="6FDA9C97">
            <w:pPr>
              <w:snapToGrid w:val="0"/>
              <w:jc w:val="center"/>
              <w:rPr>
                <w:b/>
                <w:bCs/>
                <w:color w:val="auto"/>
                <w:szCs w:val="21"/>
              </w:rPr>
            </w:pPr>
          </w:p>
          <w:p w14:paraId="4B9C069A">
            <w:pPr>
              <w:snapToGrid w:val="0"/>
              <w:jc w:val="center"/>
              <w:rPr>
                <w:b/>
                <w:bCs/>
                <w:color w:val="auto"/>
                <w:szCs w:val="21"/>
              </w:rPr>
            </w:pPr>
          </w:p>
          <w:p w14:paraId="4546310A">
            <w:pPr>
              <w:snapToGrid w:val="0"/>
              <w:jc w:val="center"/>
              <w:rPr>
                <w:b/>
                <w:bCs/>
                <w:color w:val="auto"/>
                <w:szCs w:val="21"/>
              </w:rPr>
            </w:pPr>
            <w:r>
              <w:rPr>
                <w:b/>
                <w:bCs/>
                <w:color w:val="auto"/>
                <w:szCs w:val="21"/>
              </w:rPr>
              <w:t>表1-</w:t>
            </w:r>
            <w:r>
              <w:rPr>
                <w:rFonts w:hint="eastAsia"/>
                <w:b/>
                <w:bCs/>
                <w:color w:val="auto"/>
                <w:szCs w:val="21"/>
                <w:lang w:val="en-US" w:eastAsia="zh-CN"/>
              </w:rPr>
              <w:t>7</w:t>
            </w:r>
            <w:r>
              <w:rPr>
                <w:b/>
                <w:bCs/>
                <w:color w:val="auto"/>
                <w:szCs w:val="21"/>
              </w:rPr>
              <w:t xml:space="preserve"> </w:t>
            </w:r>
            <w:r>
              <w:rPr>
                <w:rFonts w:hint="eastAsia"/>
                <w:b/>
                <w:bCs/>
                <w:color w:val="auto"/>
                <w:szCs w:val="21"/>
              </w:rPr>
              <w:t xml:space="preserve"> 项目与</w:t>
            </w:r>
            <w:r>
              <w:rPr>
                <w:b/>
                <w:bCs/>
                <w:color w:val="auto"/>
                <w:szCs w:val="21"/>
              </w:rPr>
              <w:t>《云南省长江经济带发展负面清单指南实施细则（试行，2022年版）》符合性分析</w:t>
            </w:r>
          </w:p>
          <w:tbl>
            <w:tblPr>
              <w:tblStyle w:val="30"/>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967"/>
              <w:gridCol w:w="2164"/>
              <w:gridCol w:w="743"/>
            </w:tblGrid>
            <w:tr w14:paraId="05812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53" w:type="pct"/>
                  <w:vAlign w:val="center"/>
                </w:tcPr>
                <w:p w14:paraId="2E575C75">
                  <w:pPr>
                    <w:adjustRightInd w:val="0"/>
                    <w:snapToGrid w:val="0"/>
                    <w:jc w:val="center"/>
                    <w:rPr>
                      <w:b/>
                      <w:bCs/>
                      <w:color w:val="auto"/>
                      <w:kern w:val="0"/>
                      <w:szCs w:val="21"/>
                    </w:rPr>
                  </w:pPr>
                  <w:r>
                    <w:rPr>
                      <w:b/>
                      <w:bCs/>
                      <w:color w:val="auto"/>
                      <w:szCs w:val="21"/>
                      <w:shd w:val="clear" w:color="auto" w:fill="FFFFFF"/>
                    </w:rPr>
                    <w:t>规范要求</w:t>
                  </w:r>
                </w:p>
              </w:tc>
              <w:tc>
                <w:tcPr>
                  <w:tcW w:w="1374" w:type="pct"/>
                  <w:vAlign w:val="center"/>
                </w:tcPr>
                <w:p w14:paraId="3F9B7394">
                  <w:pPr>
                    <w:adjustRightInd w:val="0"/>
                    <w:snapToGrid w:val="0"/>
                    <w:jc w:val="center"/>
                    <w:rPr>
                      <w:b/>
                      <w:bCs/>
                      <w:color w:val="auto"/>
                      <w:kern w:val="0"/>
                      <w:szCs w:val="21"/>
                    </w:rPr>
                  </w:pPr>
                  <w:r>
                    <w:rPr>
                      <w:b/>
                      <w:bCs/>
                      <w:color w:val="auto"/>
                      <w:szCs w:val="21"/>
                    </w:rPr>
                    <w:t>项目实际情况</w:t>
                  </w:r>
                </w:p>
              </w:tc>
              <w:tc>
                <w:tcPr>
                  <w:tcW w:w="472" w:type="pct"/>
                  <w:vAlign w:val="center"/>
                </w:tcPr>
                <w:p w14:paraId="11F526D9">
                  <w:pPr>
                    <w:adjustRightInd w:val="0"/>
                    <w:snapToGrid w:val="0"/>
                    <w:jc w:val="center"/>
                    <w:rPr>
                      <w:b/>
                      <w:bCs/>
                      <w:color w:val="auto"/>
                      <w:kern w:val="0"/>
                      <w:szCs w:val="21"/>
                    </w:rPr>
                  </w:pPr>
                  <w:r>
                    <w:rPr>
                      <w:b/>
                      <w:bCs/>
                      <w:color w:val="auto"/>
                      <w:szCs w:val="21"/>
                    </w:rPr>
                    <w:t>相符性</w:t>
                  </w:r>
                </w:p>
              </w:tc>
            </w:tr>
            <w:tr w14:paraId="2806F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53" w:type="pct"/>
                  <w:vAlign w:val="center"/>
                </w:tcPr>
                <w:p w14:paraId="7824E405">
                  <w:pPr>
                    <w:adjustRightInd w:val="0"/>
                    <w:snapToGrid w:val="0"/>
                    <w:jc w:val="center"/>
                    <w:rPr>
                      <w:color w:val="auto"/>
                      <w:szCs w:val="21"/>
                    </w:rPr>
                  </w:pPr>
                  <w:r>
                    <w:rPr>
                      <w:color w:val="auto"/>
                      <w:szCs w:val="21"/>
                      <w:shd w:val="clear" w:color="auto" w:fill="FFFFFF"/>
                    </w:rPr>
                    <w:t>禁止新建、改建和扩建不符合《全国内河航道与港口布局规划》等全国港口规划和《昭通市港口码头岸线规划（金沙江段 2019 年—2035年）》、《景洪港总体规划（2019—2035年）》等州（市）级以上港口布局规划以及港口总体规划的码头项目。</w:t>
                  </w:r>
                </w:p>
              </w:tc>
              <w:tc>
                <w:tcPr>
                  <w:tcW w:w="1374" w:type="pct"/>
                  <w:vAlign w:val="center"/>
                </w:tcPr>
                <w:p w14:paraId="2D70D303">
                  <w:pPr>
                    <w:adjustRightInd w:val="0"/>
                    <w:snapToGrid w:val="0"/>
                    <w:jc w:val="center"/>
                    <w:rPr>
                      <w:color w:val="auto"/>
                      <w:szCs w:val="21"/>
                    </w:rPr>
                  </w:pPr>
                  <w:r>
                    <w:rPr>
                      <w:color w:val="auto"/>
                      <w:szCs w:val="21"/>
                    </w:rPr>
                    <w:t>本项目不属于港口布局规划以及港口总体规划的码头项目。</w:t>
                  </w:r>
                </w:p>
              </w:tc>
              <w:tc>
                <w:tcPr>
                  <w:tcW w:w="472" w:type="pct"/>
                  <w:vAlign w:val="center"/>
                </w:tcPr>
                <w:p w14:paraId="1F0FCAA3">
                  <w:pPr>
                    <w:adjustRightInd w:val="0"/>
                    <w:snapToGrid w:val="0"/>
                    <w:jc w:val="center"/>
                    <w:rPr>
                      <w:color w:val="auto"/>
                      <w:szCs w:val="21"/>
                    </w:rPr>
                  </w:pPr>
                  <w:r>
                    <w:rPr>
                      <w:color w:val="auto"/>
                      <w:szCs w:val="21"/>
                    </w:rPr>
                    <w:t>相符</w:t>
                  </w:r>
                </w:p>
              </w:tc>
            </w:tr>
            <w:tr w14:paraId="05247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3153" w:type="pct"/>
                  <w:vAlign w:val="center"/>
                </w:tcPr>
                <w:p w14:paraId="33EC81E4">
                  <w:pPr>
                    <w:adjustRightInd w:val="0"/>
                    <w:snapToGrid w:val="0"/>
                    <w:jc w:val="center"/>
                    <w:rPr>
                      <w:color w:val="auto"/>
                      <w:szCs w:val="21"/>
                    </w:rPr>
                  </w:pPr>
                  <w:r>
                    <w:rPr>
                      <w:color w:val="auto"/>
                      <w:szCs w:val="21"/>
                      <w:shd w:val="clear" w:color="auto" w:fill="FFFFFF"/>
                    </w:rPr>
                    <w:t>禁止在自然保护区核心区、缓冲区的岸线和河段范围内投资建设旅游和生产经营项目。禁止建设与自然保护区保护方向不一致的旅游项目。禁止在自然保护区内进行开矿、采石、挖沙等活动。禁止在自然保护区的核心区和缓冲区内建设任何生产设施，禁止在自然保护区的实验区内建设污染环境、破坏资源或者景观的生产设施。</w:t>
                  </w:r>
                </w:p>
              </w:tc>
              <w:tc>
                <w:tcPr>
                  <w:tcW w:w="1374" w:type="pct"/>
                  <w:vAlign w:val="center"/>
                </w:tcPr>
                <w:p w14:paraId="0E5C3F4D">
                  <w:pPr>
                    <w:adjustRightInd w:val="0"/>
                    <w:snapToGrid w:val="0"/>
                    <w:jc w:val="center"/>
                    <w:rPr>
                      <w:color w:val="auto"/>
                      <w:szCs w:val="21"/>
                    </w:rPr>
                  </w:pPr>
                  <w:r>
                    <w:rPr>
                      <w:color w:val="auto"/>
                      <w:szCs w:val="21"/>
                    </w:rPr>
                    <w:t>本项目不涉及</w:t>
                  </w:r>
                  <w:r>
                    <w:rPr>
                      <w:color w:val="auto"/>
                      <w:szCs w:val="21"/>
                      <w:shd w:val="clear" w:color="auto" w:fill="FFFFFF"/>
                    </w:rPr>
                    <w:t>《长江岸线保护和开发利用总体规划》划定的岸线保护区、《全国重要江河湖泊水功能区划》划定的河段保护区、保留区。本项目不属于旅游项目，不进行开矿、采石、挖沙等活动；本项目</w:t>
                  </w:r>
                  <w:r>
                    <w:rPr>
                      <w:rFonts w:hint="eastAsia"/>
                      <w:color w:val="auto"/>
                      <w:szCs w:val="21"/>
                      <w:shd w:val="clear" w:color="auto" w:fill="FFFFFF"/>
                    </w:rPr>
                    <w:t>不涉及</w:t>
                  </w:r>
                  <w:r>
                    <w:rPr>
                      <w:color w:val="auto"/>
                      <w:szCs w:val="21"/>
                      <w:shd w:val="clear" w:color="auto" w:fill="FFFFFF"/>
                    </w:rPr>
                    <w:t>自然保护区的核心区、缓冲区和试验区内。</w:t>
                  </w:r>
                </w:p>
              </w:tc>
              <w:tc>
                <w:tcPr>
                  <w:tcW w:w="472" w:type="pct"/>
                  <w:vAlign w:val="center"/>
                </w:tcPr>
                <w:p w14:paraId="209E5F25">
                  <w:pPr>
                    <w:adjustRightInd w:val="0"/>
                    <w:snapToGrid w:val="0"/>
                    <w:jc w:val="center"/>
                    <w:rPr>
                      <w:color w:val="auto"/>
                      <w:szCs w:val="21"/>
                    </w:rPr>
                  </w:pPr>
                  <w:r>
                    <w:rPr>
                      <w:color w:val="auto"/>
                      <w:szCs w:val="21"/>
                    </w:rPr>
                    <w:t>相符</w:t>
                  </w:r>
                </w:p>
              </w:tc>
            </w:tr>
            <w:tr w14:paraId="5D288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3153" w:type="pct"/>
                  <w:vAlign w:val="center"/>
                </w:tcPr>
                <w:p w14:paraId="506E2050">
                  <w:pPr>
                    <w:adjustRightInd w:val="0"/>
                    <w:snapToGrid w:val="0"/>
                    <w:jc w:val="center"/>
                    <w:rPr>
                      <w:color w:val="auto"/>
                      <w:szCs w:val="21"/>
                    </w:rPr>
                  </w:pPr>
                  <w:r>
                    <w:rPr>
                      <w:color w:val="auto"/>
                      <w:szCs w:val="21"/>
                      <w:shd w:val="clear" w:color="auto" w:fill="FFFFFF"/>
                    </w:rPr>
                    <w:t>禁止在风景名胜区核心景区的岸线和河段范围内投资建设与风景名胜资源保护无关的项目。禁止在风景名胜区内进行开山、采石、开矿、开荒、修坟立碑等破坏景观、植被和地形地貌的活动以及修建储存爆炸性、易燃性、放射性、毒害性、腐蚀性物品的设施；禁止在风景名胜区内设立开发区和在核心景区内建设宾馆、会所、培训中心、疗养院以及与风景名胜资源保护无关的投资建设项目。</w:t>
                  </w:r>
                </w:p>
              </w:tc>
              <w:tc>
                <w:tcPr>
                  <w:tcW w:w="1374" w:type="pct"/>
                  <w:vAlign w:val="center"/>
                </w:tcPr>
                <w:p w14:paraId="56A551D5">
                  <w:pPr>
                    <w:adjustRightInd w:val="0"/>
                    <w:snapToGrid w:val="0"/>
                    <w:jc w:val="center"/>
                    <w:rPr>
                      <w:color w:val="auto"/>
                      <w:szCs w:val="21"/>
                    </w:rPr>
                  </w:pPr>
                  <w:r>
                    <w:rPr>
                      <w:color w:val="auto"/>
                      <w:szCs w:val="21"/>
                    </w:rPr>
                    <w:t>项目用地不涉及风景名胜区。</w:t>
                  </w:r>
                </w:p>
              </w:tc>
              <w:tc>
                <w:tcPr>
                  <w:tcW w:w="472" w:type="pct"/>
                  <w:vAlign w:val="center"/>
                </w:tcPr>
                <w:p w14:paraId="466E4EA2">
                  <w:pPr>
                    <w:adjustRightInd w:val="0"/>
                    <w:snapToGrid w:val="0"/>
                    <w:jc w:val="center"/>
                    <w:rPr>
                      <w:color w:val="auto"/>
                      <w:szCs w:val="21"/>
                    </w:rPr>
                  </w:pPr>
                  <w:r>
                    <w:rPr>
                      <w:color w:val="auto"/>
                      <w:szCs w:val="21"/>
                    </w:rPr>
                    <w:t>相符</w:t>
                  </w:r>
                </w:p>
              </w:tc>
            </w:tr>
            <w:tr w14:paraId="15DB9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53" w:type="pct"/>
                  <w:vAlign w:val="center"/>
                </w:tcPr>
                <w:p w14:paraId="35462323">
                  <w:pPr>
                    <w:adjustRightInd w:val="0"/>
                    <w:snapToGrid w:val="0"/>
                    <w:jc w:val="center"/>
                    <w:rPr>
                      <w:color w:val="auto"/>
                      <w:szCs w:val="21"/>
                    </w:rPr>
                  </w:pPr>
                  <w:r>
                    <w:rPr>
                      <w:color w:val="auto"/>
                      <w:szCs w:val="21"/>
                      <w:shd w:val="clear" w:color="auto" w:fill="FFFFFF"/>
                    </w:rPr>
                    <w:t>禁止在饮用水水源一级保护区的岸线和河段范围内新建、改建、扩建与供水设施和保护水源无关的投资建设项目，以及网箱养殖、畜禽养殖、旅游等可能污染饮用水水体的投资建设项目。禁止在饮用水水源二级保护区的岸线和河段范围内新建、改建、扩建排放污染物的投资建设项目</w:t>
                  </w:r>
                </w:p>
              </w:tc>
              <w:tc>
                <w:tcPr>
                  <w:tcW w:w="1374" w:type="pct"/>
                  <w:vAlign w:val="center"/>
                </w:tcPr>
                <w:p w14:paraId="6B3B215D">
                  <w:pPr>
                    <w:adjustRightInd w:val="0"/>
                    <w:snapToGrid w:val="0"/>
                    <w:jc w:val="center"/>
                    <w:rPr>
                      <w:color w:val="auto"/>
                      <w:szCs w:val="21"/>
                    </w:rPr>
                  </w:pPr>
                  <w:r>
                    <w:rPr>
                      <w:color w:val="auto"/>
                      <w:szCs w:val="21"/>
                    </w:rPr>
                    <w:t>本项目不涉及饮用水水源一级保护区、</w:t>
                  </w:r>
                  <w:r>
                    <w:rPr>
                      <w:color w:val="auto"/>
                      <w:szCs w:val="21"/>
                      <w:shd w:val="clear" w:color="auto" w:fill="FFFFFF"/>
                    </w:rPr>
                    <w:t>饮用水水源二级保护区</w:t>
                  </w:r>
                  <w:r>
                    <w:rPr>
                      <w:color w:val="auto"/>
                      <w:szCs w:val="21"/>
                    </w:rPr>
                    <w:t>。</w:t>
                  </w:r>
                </w:p>
              </w:tc>
              <w:tc>
                <w:tcPr>
                  <w:tcW w:w="472" w:type="pct"/>
                  <w:vAlign w:val="center"/>
                </w:tcPr>
                <w:p w14:paraId="6C05FE7A">
                  <w:pPr>
                    <w:adjustRightInd w:val="0"/>
                    <w:snapToGrid w:val="0"/>
                    <w:jc w:val="center"/>
                    <w:rPr>
                      <w:color w:val="auto"/>
                      <w:szCs w:val="21"/>
                    </w:rPr>
                  </w:pPr>
                  <w:r>
                    <w:rPr>
                      <w:color w:val="auto"/>
                      <w:szCs w:val="21"/>
                    </w:rPr>
                    <w:t>相符</w:t>
                  </w:r>
                </w:p>
              </w:tc>
            </w:tr>
            <w:tr w14:paraId="54EAC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53" w:type="pct"/>
                  <w:vAlign w:val="center"/>
                </w:tcPr>
                <w:p w14:paraId="19E832C5">
                  <w:pPr>
                    <w:adjustRightInd w:val="0"/>
                    <w:snapToGrid w:val="0"/>
                    <w:jc w:val="center"/>
                    <w:rPr>
                      <w:color w:val="auto"/>
                      <w:szCs w:val="21"/>
                    </w:rPr>
                  </w:pPr>
                  <w:r>
                    <w:rPr>
                      <w:color w:val="auto"/>
                      <w:szCs w:val="21"/>
                      <w:shd w:val="clear" w:color="auto" w:fill="FFFFFF"/>
                    </w:rPr>
                    <w:t>禁止在水产种质资源保护区的岸线和河段范围内新建围湖造田、围湖造地或围填海等投资建设项目。禁止擅自征收、占用国家湿地公园的土地；禁止在国家湿地公园内挖沙、采矿，以及建设度假村、高尔夫球场等任何不符合主体功能定位的投资建设项目。</w:t>
                  </w:r>
                </w:p>
              </w:tc>
              <w:tc>
                <w:tcPr>
                  <w:tcW w:w="1374" w:type="pct"/>
                  <w:vAlign w:val="center"/>
                </w:tcPr>
                <w:p w14:paraId="016ED965">
                  <w:pPr>
                    <w:adjustRightInd w:val="0"/>
                    <w:snapToGrid w:val="0"/>
                    <w:jc w:val="center"/>
                    <w:rPr>
                      <w:color w:val="auto"/>
                      <w:szCs w:val="21"/>
                    </w:rPr>
                  </w:pPr>
                  <w:r>
                    <w:rPr>
                      <w:color w:val="auto"/>
                      <w:szCs w:val="21"/>
                    </w:rPr>
                    <w:t>本项目不涉及水产种质资源保护区的岸线或河段范围；本项目不涉及国家湿地公园的土地。</w:t>
                  </w:r>
                </w:p>
              </w:tc>
              <w:tc>
                <w:tcPr>
                  <w:tcW w:w="472" w:type="pct"/>
                  <w:vAlign w:val="center"/>
                </w:tcPr>
                <w:p w14:paraId="5B0D5616">
                  <w:pPr>
                    <w:adjustRightInd w:val="0"/>
                    <w:snapToGrid w:val="0"/>
                    <w:jc w:val="center"/>
                    <w:rPr>
                      <w:color w:val="auto"/>
                      <w:szCs w:val="21"/>
                    </w:rPr>
                  </w:pPr>
                  <w:r>
                    <w:rPr>
                      <w:color w:val="auto"/>
                      <w:szCs w:val="21"/>
                    </w:rPr>
                    <w:t>相符</w:t>
                  </w:r>
                </w:p>
              </w:tc>
            </w:tr>
            <w:tr w14:paraId="3D7D9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53" w:type="pct"/>
                  <w:vAlign w:val="center"/>
                </w:tcPr>
                <w:p w14:paraId="10D72D9C">
                  <w:pPr>
                    <w:adjustRightInd w:val="0"/>
                    <w:snapToGrid w:val="0"/>
                    <w:jc w:val="center"/>
                    <w:rPr>
                      <w:color w:val="auto"/>
                      <w:szCs w:val="21"/>
                    </w:rPr>
                  </w:pPr>
                  <w:r>
                    <w:rPr>
                      <w:color w:val="auto"/>
                      <w:szCs w:val="21"/>
                      <w:shd w:val="clear" w:color="auto" w:fill="FFFFFF"/>
                    </w:rPr>
                    <w:t>禁止违法利用、占用长江流域河湖岸线。禁止在金沙江岸线保护区和保留区内投资建设除事关公共安全及公众利益的防洪护岸、河道治理、供水、生态环境保护、航道整治、国家重要基础设施以外的项目。禁止在金沙江干流、九大高原湖泊保护区、保留区内投资建设不利于水资源及自然生态保护的项目。</w:t>
                  </w:r>
                </w:p>
              </w:tc>
              <w:tc>
                <w:tcPr>
                  <w:tcW w:w="1374" w:type="pct"/>
                  <w:vAlign w:val="center"/>
                </w:tcPr>
                <w:p w14:paraId="4420FDD1">
                  <w:pPr>
                    <w:adjustRightInd w:val="0"/>
                    <w:snapToGrid w:val="0"/>
                    <w:jc w:val="center"/>
                    <w:rPr>
                      <w:color w:val="auto"/>
                      <w:szCs w:val="21"/>
                    </w:rPr>
                  </w:pPr>
                  <w:r>
                    <w:rPr>
                      <w:color w:val="auto"/>
                      <w:szCs w:val="21"/>
                    </w:rPr>
                    <w:t>本项目不涉及</w:t>
                  </w:r>
                  <w:r>
                    <w:rPr>
                      <w:color w:val="auto"/>
                      <w:szCs w:val="21"/>
                      <w:shd w:val="clear" w:color="auto" w:fill="FFFFFF"/>
                    </w:rPr>
                    <w:t>占用长江流域河湖岸线项目。</w:t>
                  </w:r>
                </w:p>
              </w:tc>
              <w:tc>
                <w:tcPr>
                  <w:tcW w:w="472" w:type="pct"/>
                  <w:vAlign w:val="center"/>
                </w:tcPr>
                <w:p w14:paraId="4A77ED15">
                  <w:pPr>
                    <w:adjustRightInd w:val="0"/>
                    <w:snapToGrid w:val="0"/>
                    <w:jc w:val="center"/>
                    <w:rPr>
                      <w:color w:val="auto"/>
                      <w:szCs w:val="21"/>
                    </w:rPr>
                  </w:pPr>
                  <w:r>
                    <w:rPr>
                      <w:color w:val="auto"/>
                      <w:szCs w:val="21"/>
                    </w:rPr>
                    <w:t>相符</w:t>
                  </w:r>
                </w:p>
              </w:tc>
            </w:tr>
            <w:tr w14:paraId="4FE20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53" w:type="pct"/>
                  <w:vAlign w:val="center"/>
                </w:tcPr>
                <w:p w14:paraId="3052B61D">
                  <w:pPr>
                    <w:adjustRightInd w:val="0"/>
                    <w:snapToGrid w:val="0"/>
                    <w:jc w:val="center"/>
                    <w:rPr>
                      <w:color w:val="auto"/>
                      <w:szCs w:val="21"/>
                    </w:rPr>
                  </w:pPr>
                  <w:r>
                    <w:rPr>
                      <w:color w:val="auto"/>
                      <w:szCs w:val="21"/>
                    </w:rPr>
                    <w:t>禁止在金沙江干流、长江一级支流建设除党中央、国务院、国家投资主管部门、省级有关部门批复同意以外的过江基础设施项目；禁止未经许可在金沙江干流、长江一级支流、九大高原湖泊流域新设、改设或扩大排污口。</w:t>
                  </w:r>
                </w:p>
              </w:tc>
              <w:tc>
                <w:tcPr>
                  <w:tcW w:w="1374" w:type="pct"/>
                  <w:vAlign w:val="center"/>
                </w:tcPr>
                <w:p w14:paraId="681ADD50">
                  <w:pPr>
                    <w:adjustRightInd w:val="0"/>
                    <w:snapToGrid w:val="0"/>
                    <w:jc w:val="center"/>
                    <w:rPr>
                      <w:color w:val="auto"/>
                      <w:szCs w:val="21"/>
                    </w:rPr>
                  </w:pPr>
                  <w:r>
                    <w:rPr>
                      <w:color w:val="auto"/>
                      <w:szCs w:val="21"/>
                    </w:rPr>
                    <w:t>项目不属于过江基础设施项目，项目不涉及新设、改设或扩大排污口。</w:t>
                  </w:r>
                </w:p>
              </w:tc>
              <w:tc>
                <w:tcPr>
                  <w:tcW w:w="472" w:type="pct"/>
                  <w:vAlign w:val="center"/>
                </w:tcPr>
                <w:p w14:paraId="255116DA">
                  <w:pPr>
                    <w:adjustRightInd w:val="0"/>
                    <w:snapToGrid w:val="0"/>
                    <w:jc w:val="center"/>
                    <w:rPr>
                      <w:color w:val="auto"/>
                      <w:szCs w:val="21"/>
                    </w:rPr>
                  </w:pPr>
                  <w:r>
                    <w:rPr>
                      <w:color w:val="auto"/>
                      <w:szCs w:val="21"/>
                    </w:rPr>
                    <w:t>相符</w:t>
                  </w:r>
                </w:p>
              </w:tc>
            </w:tr>
            <w:tr w14:paraId="2B46D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3153" w:type="pct"/>
                  <w:vAlign w:val="center"/>
                </w:tcPr>
                <w:p w14:paraId="0FE7A015">
                  <w:pPr>
                    <w:adjustRightInd w:val="0"/>
                    <w:snapToGrid w:val="0"/>
                    <w:jc w:val="center"/>
                    <w:rPr>
                      <w:color w:val="auto"/>
                      <w:szCs w:val="21"/>
                    </w:rPr>
                  </w:pPr>
                  <w:r>
                    <w:rPr>
                      <w:color w:val="auto"/>
                      <w:szCs w:val="21"/>
                      <w:shd w:val="clear" w:color="auto" w:fill="FFFFFF"/>
                    </w:rPr>
                    <w:t>禁止在金沙江干流、长江一级支流、水生生物保护区和长江流域禁捕水域开展天然渔业资源生产性捕捞。</w:t>
                  </w:r>
                </w:p>
              </w:tc>
              <w:tc>
                <w:tcPr>
                  <w:tcW w:w="1374" w:type="pct"/>
                  <w:vAlign w:val="center"/>
                </w:tcPr>
                <w:p w14:paraId="54EA4F3A">
                  <w:pPr>
                    <w:adjustRightInd w:val="0"/>
                    <w:snapToGrid w:val="0"/>
                    <w:jc w:val="center"/>
                    <w:rPr>
                      <w:color w:val="auto"/>
                      <w:szCs w:val="21"/>
                    </w:rPr>
                  </w:pPr>
                  <w:r>
                    <w:rPr>
                      <w:color w:val="auto"/>
                      <w:szCs w:val="21"/>
                    </w:rPr>
                    <w:t>本项目不涉及</w:t>
                  </w:r>
                  <w:r>
                    <w:rPr>
                      <w:color w:val="auto"/>
                      <w:szCs w:val="21"/>
                      <w:shd w:val="clear" w:color="auto" w:fill="FFFFFF"/>
                    </w:rPr>
                    <w:t>天然渔业资源生产性捕捞</w:t>
                  </w:r>
                  <w:r>
                    <w:rPr>
                      <w:color w:val="auto"/>
                      <w:szCs w:val="21"/>
                    </w:rPr>
                    <w:t>。</w:t>
                  </w:r>
                </w:p>
              </w:tc>
              <w:tc>
                <w:tcPr>
                  <w:tcW w:w="472" w:type="pct"/>
                  <w:vAlign w:val="center"/>
                </w:tcPr>
                <w:p w14:paraId="753B786E">
                  <w:pPr>
                    <w:adjustRightInd w:val="0"/>
                    <w:snapToGrid w:val="0"/>
                    <w:jc w:val="center"/>
                    <w:rPr>
                      <w:color w:val="auto"/>
                      <w:szCs w:val="21"/>
                    </w:rPr>
                  </w:pPr>
                  <w:r>
                    <w:rPr>
                      <w:color w:val="auto"/>
                      <w:szCs w:val="21"/>
                    </w:rPr>
                    <w:t>相符</w:t>
                  </w:r>
                </w:p>
              </w:tc>
            </w:tr>
            <w:tr w14:paraId="5D6F4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53" w:type="pct"/>
                  <w:vAlign w:val="center"/>
                </w:tcPr>
                <w:p w14:paraId="7F82C2DF">
                  <w:pPr>
                    <w:adjustRightInd w:val="0"/>
                    <w:snapToGrid w:val="0"/>
                    <w:jc w:val="center"/>
                    <w:rPr>
                      <w:color w:val="auto"/>
                      <w:szCs w:val="21"/>
                    </w:rPr>
                  </w:pPr>
                  <w:r>
                    <w:rPr>
                      <w:color w:val="auto"/>
                      <w:szCs w:val="21"/>
                      <w:shd w:val="clear" w:color="auto" w:fill="FFFFFF"/>
                    </w:rPr>
                    <w:t>禁止在金沙江干流，长江一级支流和九大高原湖泊岸线一公里范围内新建、扩建化工园区和化工项目。禁止在金沙江干流岸线三公里范围内和长江一级支流岸线一公里范围内新建、改建、扩建尾矿库、冶炼渣库和磷石膏库，以提升安全、生态环境保护水平为目的的改建除外。</w:t>
                  </w:r>
                </w:p>
              </w:tc>
              <w:tc>
                <w:tcPr>
                  <w:tcW w:w="1374" w:type="pct"/>
                  <w:vAlign w:val="center"/>
                </w:tcPr>
                <w:p w14:paraId="2B682140">
                  <w:pPr>
                    <w:adjustRightInd w:val="0"/>
                    <w:snapToGrid w:val="0"/>
                    <w:jc w:val="center"/>
                    <w:rPr>
                      <w:color w:val="auto"/>
                      <w:szCs w:val="21"/>
                    </w:rPr>
                  </w:pPr>
                  <w:r>
                    <w:rPr>
                      <w:color w:val="auto"/>
                      <w:szCs w:val="21"/>
                    </w:rPr>
                    <w:t>本项目所在区域不属于</w:t>
                  </w:r>
                  <w:r>
                    <w:rPr>
                      <w:color w:val="auto"/>
                      <w:szCs w:val="21"/>
                      <w:shd w:val="clear" w:color="auto" w:fill="FFFFFF"/>
                    </w:rPr>
                    <w:t>金沙江干流、长江一级支流、水生生物保护区、九大高原湖泊岸线一公里范围。</w:t>
                  </w:r>
                </w:p>
              </w:tc>
              <w:tc>
                <w:tcPr>
                  <w:tcW w:w="472" w:type="pct"/>
                  <w:vAlign w:val="center"/>
                </w:tcPr>
                <w:p w14:paraId="1EF57FAE">
                  <w:pPr>
                    <w:adjustRightInd w:val="0"/>
                    <w:snapToGrid w:val="0"/>
                    <w:jc w:val="center"/>
                    <w:rPr>
                      <w:color w:val="auto"/>
                      <w:szCs w:val="21"/>
                    </w:rPr>
                  </w:pPr>
                  <w:r>
                    <w:rPr>
                      <w:color w:val="auto"/>
                      <w:szCs w:val="21"/>
                    </w:rPr>
                    <w:t>相符</w:t>
                  </w:r>
                </w:p>
              </w:tc>
            </w:tr>
            <w:tr w14:paraId="06DEA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53" w:type="pct"/>
                  <w:vAlign w:val="center"/>
                </w:tcPr>
                <w:p w14:paraId="20EDBF2B">
                  <w:pPr>
                    <w:adjustRightInd w:val="0"/>
                    <w:snapToGrid w:val="0"/>
                    <w:jc w:val="center"/>
                    <w:rPr>
                      <w:color w:val="auto"/>
                      <w:szCs w:val="21"/>
                    </w:rPr>
                  </w:pPr>
                  <w:r>
                    <w:rPr>
                      <w:color w:val="auto"/>
                      <w:szCs w:val="21"/>
                      <w:shd w:val="clear" w:color="auto" w:fill="FFFFFF"/>
                    </w:rPr>
                    <w:t>禁止在合规园区外新建、扩建钢铁、石化、化工、焦化、建材、有色、制浆造纸行业中的高污染项目。</w:t>
                  </w:r>
                </w:p>
              </w:tc>
              <w:tc>
                <w:tcPr>
                  <w:tcW w:w="1374" w:type="pct"/>
                  <w:vAlign w:val="center"/>
                </w:tcPr>
                <w:p w14:paraId="0E519E9D">
                  <w:pPr>
                    <w:adjustRightInd w:val="0"/>
                    <w:snapToGrid w:val="0"/>
                    <w:jc w:val="center"/>
                    <w:rPr>
                      <w:color w:val="auto"/>
                      <w:szCs w:val="21"/>
                    </w:rPr>
                  </w:pPr>
                  <w:r>
                    <w:rPr>
                      <w:color w:val="auto"/>
                      <w:szCs w:val="21"/>
                    </w:rPr>
                    <w:t>本项目不属于</w:t>
                  </w:r>
                  <w:r>
                    <w:rPr>
                      <w:color w:val="auto"/>
                      <w:szCs w:val="21"/>
                      <w:lang w:val="zh-CN"/>
                    </w:rPr>
                    <w:t>钢铁、石化、化工、焦化、建材、有色、制浆造纸等高污染项目</w:t>
                  </w:r>
                  <w:r>
                    <w:rPr>
                      <w:color w:val="auto"/>
                      <w:szCs w:val="21"/>
                    </w:rPr>
                    <w:t>。</w:t>
                  </w:r>
                </w:p>
              </w:tc>
              <w:tc>
                <w:tcPr>
                  <w:tcW w:w="472" w:type="pct"/>
                  <w:vAlign w:val="center"/>
                </w:tcPr>
                <w:p w14:paraId="05D12DBD">
                  <w:pPr>
                    <w:adjustRightInd w:val="0"/>
                    <w:snapToGrid w:val="0"/>
                    <w:jc w:val="center"/>
                    <w:rPr>
                      <w:color w:val="auto"/>
                      <w:szCs w:val="21"/>
                    </w:rPr>
                  </w:pPr>
                  <w:r>
                    <w:rPr>
                      <w:color w:val="auto"/>
                      <w:szCs w:val="21"/>
                    </w:rPr>
                    <w:t>相符</w:t>
                  </w:r>
                </w:p>
              </w:tc>
            </w:tr>
            <w:tr w14:paraId="55536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53" w:type="pct"/>
                  <w:vAlign w:val="center"/>
                </w:tcPr>
                <w:p w14:paraId="1BE130D1">
                  <w:pPr>
                    <w:adjustRightInd w:val="0"/>
                    <w:snapToGrid w:val="0"/>
                    <w:jc w:val="center"/>
                    <w:rPr>
                      <w:color w:val="auto"/>
                      <w:szCs w:val="21"/>
                    </w:rPr>
                  </w:pPr>
                  <w:r>
                    <w:rPr>
                      <w:color w:val="auto"/>
                      <w:szCs w:val="21"/>
                      <w:shd w:val="clear" w:color="auto" w:fill="FFFFFF"/>
                    </w:rPr>
                    <w:t>禁止新建、扩建不符合国家石化、现代煤化工等产业布局规划的项目。禁止列入《云南省城镇人口密集区危险化学品生产企业搬迁改造名单》的搬迁改造企业在原址新建、扩建危险化学品生产项目。</w:t>
                  </w:r>
                </w:p>
              </w:tc>
              <w:tc>
                <w:tcPr>
                  <w:tcW w:w="1374" w:type="pct"/>
                  <w:vAlign w:val="center"/>
                </w:tcPr>
                <w:p w14:paraId="64905691">
                  <w:pPr>
                    <w:adjustRightInd w:val="0"/>
                    <w:snapToGrid w:val="0"/>
                    <w:jc w:val="center"/>
                    <w:rPr>
                      <w:color w:val="auto"/>
                      <w:szCs w:val="21"/>
                    </w:rPr>
                  </w:pPr>
                  <w:r>
                    <w:rPr>
                      <w:color w:val="auto"/>
                      <w:szCs w:val="21"/>
                    </w:rPr>
                    <w:t>本项目不属于</w:t>
                  </w:r>
                  <w:r>
                    <w:rPr>
                      <w:color w:val="auto"/>
                      <w:szCs w:val="21"/>
                      <w:shd w:val="clear" w:color="auto" w:fill="FFFFFF"/>
                    </w:rPr>
                    <w:t>石化、现代煤化工及危险化学品生产项目。</w:t>
                  </w:r>
                </w:p>
              </w:tc>
              <w:tc>
                <w:tcPr>
                  <w:tcW w:w="472" w:type="pct"/>
                  <w:vAlign w:val="center"/>
                </w:tcPr>
                <w:p w14:paraId="457B0451">
                  <w:pPr>
                    <w:adjustRightInd w:val="0"/>
                    <w:snapToGrid w:val="0"/>
                    <w:jc w:val="center"/>
                    <w:rPr>
                      <w:color w:val="auto"/>
                      <w:szCs w:val="21"/>
                    </w:rPr>
                  </w:pPr>
                  <w:r>
                    <w:rPr>
                      <w:color w:val="auto"/>
                      <w:szCs w:val="21"/>
                    </w:rPr>
                    <w:t>相符</w:t>
                  </w:r>
                </w:p>
              </w:tc>
            </w:tr>
            <w:tr w14:paraId="4DCD0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153" w:type="pct"/>
                  <w:vAlign w:val="center"/>
                </w:tcPr>
                <w:p w14:paraId="0E5EBDEB">
                  <w:pPr>
                    <w:adjustRightInd w:val="0"/>
                    <w:snapToGrid w:val="0"/>
                    <w:jc w:val="center"/>
                    <w:rPr>
                      <w:color w:val="auto"/>
                      <w:szCs w:val="21"/>
                    </w:rPr>
                  </w:pPr>
                  <w:r>
                    <w:rPr>
                      <w:color w:val="auto"/>
                      <w:szCs w:val="21"/>
                      <w:shd w:val="clear" w:color="auto" w:fill="FFFFFF"/>
                    </w:rPr>
                    <w:t>禁止新建、扩建法律法规和相关政策明令禁止的落后产能项目，依法依规关停退出能耗、环保、质量、安全不达标产能和技术落后产能。禁止新建、扩建不符合国家产能置换要求的过剩产能行业的项目。禁止新建、扩建不符合要求的高耗能、高排放项目，推动退出重点高耗能行业“限制类”产能。禁止建设高毒高残留以及对环境影响大的农药原药生产装置，严控尿素、磷铵、电石、焦炭、黄磷、烧碱、纯碱、聚氯乙烯等行业新增产能。</w:t>
                  </w:r>
                </w:p>
              </w:tc>
              <w:tc>
                <w:tcPr>
                  <w:tcW w:w="1374" w:type="pct"/>
                  <w:vAlign w:val="center"/>
                </w:tcPr>
                <w:p w14:paraId="1B08F3F9">
                  <w:pPr>
                    <w:adjustRightInd w:val="0"/>
                    <w:snapToGrid w:val="0"/>
                    <w:jc w:val="center"/>
                    <w:rPr>
                      <w:color w:val="auto"/>
                      <w:szCs w:val="21"/>
                    </w:rPr>
                  </w:pPr>
                  <w:r>
                    <w:rPr>
                      <w:color w:val="auto"/>
                      <w:szCs w:val="21"/>
                    </w:rPr>
                    <w:t>本项目不属于落后产能项目、过剩产能行业的项目、高能耗、高排放项目。本项目不涉及建设</w:t>
                  </w:r>
                  <w:r>
                    <w:rPr>
                      <w:color w:val="auto"/>
                      <w:szCs w:val="21"/>
                      <w:shd w:val="clear" w:color="auto" w:fill="FFFFFF"/>
                    </w:rPr>
                    <w:t>高毒高残留以及对环境影响大的农药原药生产装置，不属于尿素、磷铵、电石、焦炭、黄磷、烧碱、纯碱、聚氯乙烯等行业。</w:t>
                  </w:r>
                </w:p>
              </w:tc>
              <w:tc>
                <w:tcPr>
                  <w:tcW w:w="472" w:type="pct"/>
                  <w:vAlign w:val="center"/>
                </w:tcPr>
                <w:p w14:paraId="5AAF1273">
                  <w:pPr>
                    <w:adjustRightInd w:val="0"/>
                    <w:snapToGrid w:val="0"/>
                    <w:jc w:val="center"/>
                    <w:rPr>
                      <w:color w:val="auto"/>
                      <w:szCs w:val="21"/>
                    </w:rPr>
                  </w:pPr>
                  <w:r>
                    <w:rPr>
                      <w:color w:val="auto"/>
                      <w:szCs w:val="21"/>
                    </w:rPr>
                    <w:t>相符</w:t>
                  </w:r>
                </w:p>
              </w:tc>
            </w:tr>
          </w:tbl>
          <w:p w14:paraId="6045B888">
            <w:pPr>
              <w:adjustRightInd w:val="0"/>
              <w:snapToGrid w:val="0"/>
              <w:spacing w:line="360" w:lineRule="auto"/>
              <w:ind w:firstLine="480" w:firstLineChars="200"/>
              <w:rPr>
                <w:b/>
                <w:bCs/>
                <w:color w:val="auto"/>
                <w:sz w:val="24"/>
              </w:rPr>
            </w:pPr>
            <w:r>
              <w:rPr>
                <w:color w:val="auto"/>
                <w:sz w:val="24"/>
              </w:rPr>
              <w:t>综上，本项目与《云南省长江经济带发展负面清单指南实施细则（试行，2022年版）》规定的内容相符合。</w:t>
            </w:r>
          </w:p>
          <w:p w14:paraId="50AA2233">
            <w:pPr>
              <w:adjustRightInd w:val="0"/>
              <w:snapToGrid w:val="0"/>
              <w:spacing w:line="360" w:lineRule="auto"/>
              <w:ind w:firstLine="482" w:firstLineChars="200"/>
              <w:rPr>
                <w:b/>
                <w:bCs/>
                <w:color w:val="auto"/>
                <w:sz w:val="24"/>
              </w:rPr>
            </w:pPr>
            <w:r>
              <w:rPr>
                <w:rFonts w:hint="eastAsia"/>
                <w:b/>
                <w:bCs/>
                <w:color w:val="auto"/>
                <w:sz w:val="24"/>
                <w:lang w:val="en-US" w:eastAsia="zh-CN"/>
              </w:rPr>
              <w:t>6</w:t>
            </w:r>
            <w:r>
              <w:rPr>
                <w:b/>
                <w:bCs/>
                <w:color w:val="auto"/>
                <w:sz w:val="24"/>
              </w:rPr>
              <w:t>、</w:t>
            </w:r>
            <w:r>
              <w:rPr>
                <w:rFonts w:hint="eastAsia"/>
                <w:b/>
                <w:bCs/>
                <w:color w:val="auto"/>
                <w:sz w:val="24"/>
              </w:rPr>
              <w:t>项目</w:t>
            </w:r>
            <w:r>
              <w:rPr>
                <w:b/>
                <w:bCs/>
                <w:color w:val="auto"/>
                <w:sz w:val="24"/>
              </w:rPr>
              <w:t>与《中华人民共和国长江保护法》相符性分析</w:t>
            </w:r>
          </w:p>
          <w:p w14:paraId="2A0C07AA">
            <w:pPr>
              <w:snapToGrid w:val="0"/>
              <w:spacing w:line="360" w:lineRule="auto"/>
              <w:ind w:firstLine="480" w:firstLineChars="200"/>
              <w:rPr>
                <w:b/>
                <w:bCs/>
                <w:color w:val="auto"/>
                <w:szCs w:val="21"/>
              </w:rPr>
            </w:pPr>
            <w:r>
              <w:rPr>
                <w:color w:val="auto"/>
                <w:sz w:val="24"/>
              </w:rPr>
              <w:t>2020年12月26日第十三届全国人民代表大会常务委员会第二十四次会议通过《中华人民共和国长江保护法》</w:t>
            </w:r>
            <w:r>
              <w:rPr>
                <w:rFonts w:hint="eastAsia"/>
                <w:color w:val="auto"/>
                <w:sz w:val="24"/>
              </w:rPr>
              <w:t>，</w:t>
            </w:r>
            <w:r>
              <w:rPr>
                <w:color w:val="auto"/>
                <w:sz w:val="24"/>
              </w:rPr>
              <w:t>本项目与《中华人民共和国长江保护法》符合性分析见下表所示。</w:t>
            </w:r>
          </w:p>
          <w:p w14:paraId="42FAEB42">
            <w:pPr>
              <w:jc w:val="center"/>
              <w:rPr>
                <w:color w:val="auto"/>
                <w:szCs w:val="21"/>
              </w:rPr>
            </w:pPr>
            <w:r>
              <w:rPr>
                <w:b/>
                <w:bCs/>
                <w:color w:val="auto"/>
                <w:szCs w:val="21"/>
              </w:rPr>
              <w:t>表1-</w:t>
            </w:r>
            <w:r>
              <w:rPr>
                <w:rFonts w:hint="eastAsia"/>
                <w:b/>
                <w:bCs/>
                <w:color w:val="auto"/>
                <w:szCs w:val="21"/>
                <w:lang w:val="en-US" w:eastAsia="zh-CN"/>
              </w:rPr>
              <w:t>8</w:t>
            </w:r>
            <w:r>
              <w:rPr>
                <w:b/>
                <w:bCs/>
                <w:color w:val="auto"/>
                <w:szCs w:val="21"/>
              </w:rPr>
              <w:t xml:space="preserve">  </w:t>
            </w:r>
            <w:r>
              <w:rPr>
                <w:rFonts w:hint="eastAsia"/>
                <w:b/>
                <w:bCs/>
                <w:color w:val="auto"/>
                <w:szCs w:val="21"/>
              </w:rPr>
              <w:t>项目与</w:t>
            </w:r>
            <w:r>
              <w:rPr>
                <w:b/>
                <w:bCs/>
                <w:color w:val="auto"/>
                <w:szCs w:val="21"/>
              </w:rPr>
              <w:t>《中华人民共和国长江保护法》符合性分析</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2"/>
              <w:gridCol w:w="3901"/>
              <w:gridCol w:w="2694"/>
              <w:gridCol w:w="839"/>
            </w:tblGrid>
            <w:tr w14:paraId="1D24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 w:type="pct"/>
                  <w:vAlign w:val="center"/>
                </w:tcPr>
                <w:p w14:paraId="5842ADFE">
                  <w:pPr>
                    <w:adjustRightInd w:val="0"/>
                    <w:snapToGrid w:val="0"/>
                    <w:jc w:val="center"/>
                    <w:rPr>
                      <w:b/>
                      <w:bCs/>
                      <w:color w:val="auto"/>
                      <w:szCs w:val="21"/>
                      <w:shd w:val="clear" w:color="auto" w:fill="FFFFFF"/>
                    </w:rPr>
                  </w:pPr>
                  <w:r>
                    <w:rPr>
                      <w:b/>
                      <w:bCs/>
                      <w:color w:val="auto"/>
                      <w:szCs w:val="21"/>
                      <w:shd w:val="clear" w:color="auto" w:fill="FFFFFF"/>
                    </w:rPr>
                    <w:t>序号</w:t>
                  </w:r>
                </w:p>
              </w:tc>
              <w:tc>
                <w:tcPr>
                  <w:tcW w:w="2475" w:type="pct"/>
                  <w:vAlign w:val="center"/>
                </w:tcPr>
                <w:p w14:paraId="6C5661F1">
                  <w:pPr>
                    <w:adjustRightInd w:val="0"/>
                    <w:snapToGrid w:val="0"/>
                    <w:jc w:val="center"/>
                    <w:rPr>
                      <w:b/>
                      <w:bCs/>
                      <w:color w:val="auto"/>
                      <w:szCs w:val="21"/>
                      <w:shd w:val="clear" w:color="auto" w:fill="FFFFFF"/>
                    </w:rPr>
                  </w:pPr>
                  <w:r>
                    <w:rPr>
                      <w:b/>
                      <w:bCs/>
                      <w:color w:val="auto"/>
                      <w:szCs w:val="21"/>
                      <w:shd w:val="clear" w:color="auto" w:fill="FFFFFF"/>
                    </w:rPr>
                    <w:t>规范要求</w:t>
                  </w:r>
                </w:p>
              </w:tc>
              <w:tc>
                <w:tcPr>
                  <w:tcW w:w="1709" w:type="pct"/>
                  <w:vAlign w:val="center"/>
                </w:tcPr>
                <w:p w14:paraId="7D6088F0">
                  <w:pPr>
                    <w:adjustRightInd w:val="0"/>
                    <w:snapToGrid w:val="0"/>
                    <w:jc w:val="center"/>
                    <w:rPr>
                      <w:b/>
                      <w:bCs/>
                      <w:color w:val="auto"/>
                      <w:szCs w:val="21"/>
                    </w:rPr>
                  </w:pPr>
                  <w:r>
                    <w:rPr>
                      <w:b/>
                      <w:bCs/>
                      <w:color w:val="auto"/>
                      <w:szCs w:val="21"/>
                    </w:rPr>
                    <w:t>项目实际情况</w:t>
                  </w:r>
                </w:p>
              </w:tc>
              <w:tc>
                <w:tcPr>
                  <w:tcW w:w="532" w:type="pct"/>
                  <w:vAlign w:val="center"/>
                </w:tcPr>
                <w:p w14:paraId="31A42AA6">
                  <w:pPr>
                    <w:adjustRightInd w:val="0"/>
                    <w:snapToGrid w:val="0"/>
                    <w:jc w:val="center"/>
                    <w:rPr>
                      <w:b/>
                      <w:bCs/>
                      <w:color w:val="auto"/>
                      <w:szCs w:val="21"/>
                    </w:rPr>
                  </w:pPr>
                  <w:r>
                    <w:rPr>
                      <w:b/>
                      <w:bCs/>
                      <w:color w:val="auto"/>
                      <w:szCs w:val="21"/>
                    </w:rPr>
                    <w:t>相符性</w:t>
                  </w:r>
                </w:p>
              </w:tc>
            </w:tr>
            <w:tr w14:paraId="50FAF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 w:type="pct"/>
                  <w:vAlign w:val="center"/>
                </w:tcPr>
                <w:p w14:paraId="17C110C7">
                  <w:pPr>
                    <w:adjustRightInd w:val="0"/>
                    <w:snapToGrid w:val="0"/>
                    <w:jc w:val="center"/>
                    <w:rPr>
                      <w:color w:val="auto"/>
                      <w:szCs w:val="21"/>
                      <w:shd w:val="clear" w:color="auto" w:fill="FFFFFF"/>
                    </w:rPr>
                  </w:pPr>
                  <w:r>
                    <w:rPr>
                      <w:color w:val="auto"/>
                      <w:szCs w:val="21"/>
                      <w:shd w:val="clear" w:color="auto" w:fill="FFFFFF"/>
                    </w:rPr>
                    <w:t>1</w:t>
                  </w:r>
                </w:p>
              </w:tc>
              <w:tc>
                <w:tcPr>
                  <w:tcW w:w="2475" w:type="pct"/>
                  <w:vAlign w:val="center"/>
                </w:tcPr>
                <w:p w14:paraId="4981C902">
                  <w:pPr>
                    <w:adjustRightInd w:val="0"/>
                    <w:snapToGrid w:val="0"/>
                    <w:jc w:val="center"/>
                    <w:rPr>
                      <w:color w:val="auto"/>
                      <w:szCs w:val="21"/>
                    </w:rPr>
                  </w:pPr>
                  <w:r>
                    <w:rPr>
                      <w:color w:val="auto"/>
                      <w:szCs w:val="21"/>
                      <w:lang w:val="zh-CN"/>
                    </w:rPr>
                    <w:t>禁止在长江干支流岸线一公里范围内新建、扩建化工园区和化工项目。禁止在长江干流岸线三公里范围内和重要支流岸线一公里范围内新建、改建、扩建尾矿库；但是以提升安全、生态环境保护水平为目的的改建除外。</w:t>
                  </w:r>
                </w:p>
              </w:tc>
              <w:tc>
                <w:tcPr>
                  <w:tcW w:w="1709" w:type="pct"/>
                  <w:vAlign w:val="center"/>
                </w:tcPr>
                <w:p w14:paraId="50D564D0">
                  <w:pPr>
                    <w:adjustRightInd w:val="0"/>
                    <w:snapToGrid w:val="0"/>
                    <w:jc w:val="center"/>
                    <w:rPr>
                      <w:color w:val="auto"/>
                      <w:szCs w:val="21"/>
                    </w:rPr>
                  </w:pPr>
                  <w:r>
                    <w:rPr>
                      <w:color w:val="auto"/>
                      <w:szCs w:val="21"/>
                    </w:rPr>
                    <w:t>本项目不属于化工、</w:t>
                  </w:r>
                  <w:r>
                    <w:rPr>
                      <w:color w:val="auto"/>
                      <w:szCs w:val="21"/>
                      <w:lang w:val="zh-CN"/>
                    </w:rPr>
                    <w:t>尾矿库</w:t>
                  </w:r>
                  <w:r>
                    <w:rPr>
                      <w:color w:val="auto"/>
                      <w:szCs w:val="21"/>
                    </w:rPr>
                    <w:t>项目</w:t>
                  </w:r>
                  <w:r>
                    <w:rPr>
                      <w:color w:val="auto"/>
                      <w:szCs w:val="21"/>
                      <w:lang w:val="zh-CN"/>
                    </w:rPr>
                    <w:t>。</w:t>
                  </w:r>
                </w:p>
              </w:tc>
              <w:tc>
                <w:tcPr>
                  <w:tcW w:w="532" w:type="pct"/>
                  <w:vAlign w:val="center"/>
                </w:tcPr>
                <w:p w14:paraId="5BA4874E">
                  <w:pPr>
                    <w:adjustRightInd w:val="0"/>
                    <w:snapToGrid w:val="0"/>
                    <w:jc w:val="center"/>
                    <w:rPr>
                      <w:color w:val="auto"/>
                      <w:szCs w:val="21"/>
                    </w:rPr>
                  </w:pPr>
                  <w:r>
                    <w:rPr>
                      <w:color w:val="auto"/>
                      <w:szCs w:val="21"/>
                    </w:rPr>
                    <w:t>相符</w:t>
                  </w:r>
                </w:p>
              </w:tc>
            </w:tr>
            <w:tr w14:paraId="2095D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 w:type="pct"/>
                  <w:vAlign w:val="center"/>
                </w:tcPr>
                <w:p w14:paraId="291717E9">
                  <w:pPr>
                    <w:adjustRightInd w:val="0"/>
                    <w:snapToGrid w:val="0"/>
                    <w:jc w:val="center"/>
                    <w:rPr>
                      <w:color w:val="auto"/>
                      <w:szCs w:val="21"/>
                      <w:shd w:val="clear" w:color="auto" w:fill="FFFFFF"/>
                    </w:rPr>
                  </w:pPr>
                  <w:r>
                    <w:rPr>
                      <w:color w:val="auto"/>
                      <w:szCs w:val="21"/>
                      <w:shd w:val="clear" w:color="auto" w:fill="FFFFFF"/>
                    </w:rPr>
                    <w:t>2</w:t>
                  </w:r>
                </w:p>
              </w:tc>
              <w:tc>
                <w:tcPr>
                  <w:tcW w:w="2475" w:type="pct"/>
                  <w:vAlign w:val="center"/>
                </w:tcPr>
                <w:p w14:paraId="44256FFB">
                  <w:pPr>
                    <w:adjustRightInd w:val="0"/>
                    <w:snapToGrid w:val="0"/>
                    <w:jc w:val="center"/>
                    <w:rPr>
                      <w:color w:val="auto"/>
                      <w:szCs w:val="21"/>
                    </w:rPr>
                  </w:pPr>
                  <w:r>
                    <w:rPr>
                      <w:color w:val="auto"/>
                      <w:szCs w:val="21"/>
                      <w:lang w:val="zh-CN"/>
                    </w:rPr>
                    <w:t>禁止船舶在划定的禁止航行区域内航行。</w:t>
                  </w:r>
                </w:p>
              </w:tc>
              <w:tc>
                <w:tcPr>
                  <w:tcW w:w="1709" w:type="pct"/>
                  <w:vAlign w:val="center"/>
                </w:tcPr>
                <w:p w14:paraId="5BC569C2">
                  <w:pPr>
                    <w:adjustRightInd w:val="0"/>
                    <w:snapToGrid w:val="0"/>
                    <w:jc w:val="center"/>
                    <w:rPr>
                      <w:color w:val="auto"/>
                      <w:szCs w:val="21"/>
                    </w:rPr>
                  </w:pPr>
                  <w:r>
                    <w:rPr>
                      <w:color w:val="auto"/>
                      <w:szCs w:val="21"/>
                    </w:rPr>
                    <w:t>本项目不属于船舶航行项目，无涉水工程。</w:t>
                  </w:r>
                </w:p>
              </w:tc>
              <w:tc>
                <w:tcPr>
                  <w:tcW w:w="532" w:type="pct"/>
                  <w:vAlign w:val="center"/>
                </w:tcPr>
                <w:p w14:paraId="2ACB4CC3">
                  <w:pPr>
                    <w:adjustRightInd w:val="0"/>
                    <w:snapToGrid w:val="0"/>
                    <w:jc w:val="center"/>
                    <w:rPr>
                      <w:color w:val="auto"/>
                      <w:szCs w:val="21"/>
                    </w:rPr>
                  </w:pPr>
                  <w:r>
                    <w:rPr>
                      <w:color w:val="auto"/>
                      <w:szCs w:val="21"/>
                    </w:rPr>
                    <w:t>相符</w:t>
                  </w:r>
                </w:p>
              </w:tc>
            </w:tr>
            <w:tr w14:paraId="7EF9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 w:type="pct"/>
                  <w:vAlign w:val="center"/>
                </w:tcPr>
                <w:p w14:paraId="23BF7B7B">
                  <w:pPr>
                    <w:adjustRightInd w:val="0"/>
                    <w:snapToGrid w:val="0"/>
                    <w:jc w:val="center"/>
                    <w:rPr>
                      <w:color w:val="auto"/>
                      <w:szCs w:val="21"/>
                      <w:shd w:val="clear" w:color="auto" w:fill="FFFFFF"/>
                    </w:rPr>
                  </w:pPr>
                  <w:r>
                    <w:rPr>
                      <w:color w:val="auto"/>
                      <w:szCs w:val="21"/>
                      <w:shd w:val="clear" w:color="auto" w:fill="FFFFFF"/>
                    </w:rPr>
                    <w:t>3</w:t>
                  </w:r>
                </w:p>
              </w:tc>
              <w:tc>
                <w:tcPr>
                  <w:tcW w:w="2475" w:type="pct"/>
                  <w:vAlign w:val="center"/>
                </w:tcPr>
                <w:p w14:paraId="2331033C">
                  <w:pPr>
                    <w:adjustRightInd w:val="0"/>
                    <w:snapToGrid w:val="0"/>
                    <w:jc w:val="center"/>
                    <w:rPr>
                      <w:color w:val="auto"/>
                      <w:szCs w:val="21"/>
                    </w:rPr>
                  </w:pPr>
                  <w:r>
                    <w:rPr>
                      <w:color w:val="auto"/>
                      <w:szCs w:val="21"/>
                      <w:lang w:val="zh-CN"/>
                    </w:rPr>
                    <w:t>禁止在长江流域禁止采砂区和禁止采砂期从事采砂活动。</w:t>
                  </w:r>
                </w:p>
              </w:tc>
              <w:tc>
                <w:tcPr>
                  <w:tcW w:w="1709" w:type="pct"/>
                  <w:vAlign w:val="center"/>
                </w:tcPr>
                <w:p w14:paraId="4090097D">
                  <w:pPr>
                    <w:adjustRightInd w:val="0"/>
                    <w:snapToGrid w:val="0"/>
                    <w:jc w:val="center"/>
                    <w:rPr>
                      <w:color w:val="auto"/>
                      <w:szCs w:val="21"/>
                    </w:rPr>
                  </w:pPr>
                  <w:r>
                    <w:rPr>
                      <w:color w:val="auto"/>
                      <w:szCs w:val="21"/>
                    </w:rPr>
                    <w:t>本项目不属于采砂项目。</w:t>
                  </w:r>
                </w:p>
              </w:tc>
              <w:tc>
                <w:tcPr>
                  <w:tcW w:w="532" w:type="pct"/>
                  <w:vAlign w:val="center"/>
                </w:tcPr>
                <w:p w14:paraId="214079A3">
                  <w:pPr>
                    <w:adjustRightInd w:val="0"/>
                    <w:snapToGrid w:val="0"/>
                    <w:jc w:val="center"/>
                    <w:rPr>
                      <w:color w:val="auto"/>
                      <w:szCs w:val="21"/>
                    </w:rPr>
                  </w:pPr>
                  <w:r>
                    <w:rPr>
                      <w:color w:val="auto"/>
                      <w:szCs w:val="21"/>
                    </w:rPr>
                    <w:t>相符</w:t>
                  </w:r>
                </w:p>
              </w:tc>
            </w:tr>
            <w:tr w14:paraId="7E37C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 w:type="pct"/>
                  <w:vAlign w:val="center"/>
                </w:tcPr>
                <w:p w14:paraId="5C53B999">
                  <w:pPr>
                    <w:adjustRightInd w:val="0"/>
                    <w:snapToGrid w:val="0"/>
                    <w:jc w:val="center"/>
                    <w:rPr>
                      <w:color w:val="auto"/>
                      <w:szCs w:val="21"/>
                      <w:shd w:val="clear" w:color="auto" w:fill="FFFFFF"/>
                    </w:rPr>
                  </w:pPr>
                  <w:r>
                    <w:rPr>
                      <w:color w:val="auto"/>
                      <w:szCs w:val="21"/>
                      <w:shd w:val="clear" w:color="auto" w:fill="FFFFFF"/>
                    </w:rPr>
                    <w:t>4</w:t>
                  </w:r>
                </w:p>
              </w:tc>
              <w:tc>
                <w:tcPr>
                  <w:tcW w:w="2475" w:type="pct"/>
                  <w:vAlign w:val="center"/>
                </w:tcPr>
                <w:p w14:paraId="64DE77FC">
                  <w:pPr>
                    <w:adjustRightInd w:val="0"/>
                    <w:snapToGrid w:val="0"/>
                    <w:jc w:val="center"/>
                    <w:rPr>
                      <w:color w:val="auto"/>
                      <w:szCs w:val="21"/>
                    </w:rPr>
                  </w:pPr>
                  <w:r>
                    <w:rPr>
                      <w:color w:val="auto"/>
                      <w:szCs w:val="21"/>
                      <w:lang w:val="zh-CN"/>
                    </w:rPr>
                    <w:t>禁止在长江流域河湖管理范围内倾倒、填埋、堆放、弃置、处理固体废物。长江流域县级以上地方人民政府应当加强对固体废物非法转移和倾倒的联防联控。</w:t>
                  </w:r>
                </w:p>
              </w:tc>
              <w:tc>
                <w:tcPr>
                  <w:tcW w:w="1709" w:type="pct"/>
                  <w:vAlign w:val="center"/>
                </w:tcPr>
                <w:p w14:paraId="08E5A409">
                  <w:pPr>
                    <w:adjustRightInd w:val="0"/>
                    <w:snapToGrid w:val="0"/>
                    <w:jc w:val="center"/>
                    <w:rPr>
                      <w:color w:val="auto"/>
                      <w:szCs w:val="21"/>
                    </w:rPr>
                  </w:pPr>
                  <w:r>
                    <w:rPr>
                      <w:color w:val="auto"/>
                      <w:szCs w:val="21"/>
                    </w:rPr>
                    <w:t>本项目产生的固体废物均得到100%合理合法</w:t>
                  </w:r>
                  <w:r>
                    <w:rPr>
                      <w:rFonts w:hint="eastAsia"/>
                      <w:color w:val="auto"/>
                      <w:szCs w:val="21"/>
                    </w:rPr>
                    <w:t>地</w:t>
                  </w:r>
                  <w:r>
                    <w:rPr>
                      <w:color w:val="auto"/>
                      <w:szCs w:val="21"/>
                    </w:rPr>
                    <w:t>处置。</w:t>
                  </w:r>
                </w:p>
              </w:tc>
              <w:tc>
                <w:tcPr>
                  <w:tcW w:w="532" w:type="pct"/>
                  <w:vAlign w:val="center"/>
                </w:tcPr>
                <w:p w14:paraId="59F66512">
                  <w:pPr>
                    <w:adjustRightInd w:val="0"/>
                    <w:snapToGrid w:val="0"/>
                    <w:jc w:val="center"/>
                    <w:rPr>
                      <w:color w:val="auto"/>
                      <w:szCs w:val="21"/>
                    </w:rPr>
                  </w:pPr>
                  <w:r>
                    <w:rPr>
                      <w:color w:val="auto"/>
                      <w:szCs w:val="21"/>
                    </w:rPr>
                    <w:t>相符</w:t>
                  </w:r>
                </w:p>
              </w:tc>
            </w:tr>
            <w:tr w14:paraId="436B8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 w:type="pct"/>
                  <w:vAlign w:val="center"/>
                </w:tcPr>
                <w:p w14:paraId="45ECCB6C">
                  <w:pPr>
                    <w:adjustRightInd w:val="0"/>
                    <w:snapToGrid w:val="0"/>
                    <w:jc w:val="center"/>
                    <w:rPr>
                      <w:color w:val="auto"/>
                      <w:szCs w:val="21"/>
                      <w:shd w:val="clear" w:color="auto" w:fill="FFFFFF"/>
                    </w:rPr>
                  </w:pPr>
                  <w:r>
                    <w:rPr>
                      <w:color w:val="auto"/>
                      <w:szCs w:val="21"/>
                      <w:shd w:val="clear" w:color="auto" w:fill="FFFFFF"/>
                    </w:rPr>
                    <w:t>5</w:t>
                  </w:r>
                </w:p>
              </w:tc>
              <w:tc>
                <w:tcPr>
                  <w:tcW w:w="2475" w:type="pct"/>
                  <w:vAlign w:val="center"/>
                </w:tcPr>
                <w:p w14:paraId="6A29455B">
                  <w:pPr>
                    <w:adjustRightInd w:val="0"/>
                    <w:snapToGrid w:val="0"/>
                    <w:jc w:val="center"/>
                    <w:rPr>
                      <w:color w:val="auto"/>
                      <w:szCs w:val="21"/>
                    </w:rPr>
                  </w:pPr>
                  <w:r>
                    <w:rPr>
                      <w:color w:val="auto"/>
                      <w:szCs w:val="21"/>
                      <w:lang w:val="zh-CN"/>
                    </w:rPr>
                    <w:t>禁止在长江流域水上运输剧毒化学品和国家规定禁止通过内河运输的其他危险化学品。</w:t>
                  </w:r>
                </w:p>
              </w:tc>
              <w:tc>
                <w:tcPr>
                  <w:tcW w:w="1709" w:type="pct"/>
                  <w:vAlign w:val="center"/>
                </w:tcPr>
                <w:p w14:paraId="6D2A75F4">
                  <w:pPr>
                    <w:adjustRightInd w:val="0"/>
                    <w:snapToGrid w:val="0"/>
                    <w:jc w:val="center"/>
                    <w:rPr>
                      <w:color w:val="auto"/>
                      <w:szCs w:val="21"/>
                    </w:rPr>
                  </w:pPr>
                  <w:r>
                    <w:rPr>
                      <w:color w:val="auto"/>
                      <w:szCs w:val="21"/>
                    </w:rPr>
                    <w:t>本项目不涉及运输</w:t>
                  </w:r>
                  <w:r>
                    <w:rPr>
                      <w:color w:val="auto"/>
                      <w:szCs w:val="21"/>
                      <w:lang w:val="zh-CN"/>
                    </w:rPr>
                    <w:t>剧毒化学品和其他危险化学品。</w:t>
                  </w:r>
                </w:p>
              </w:tc>
              <w:tc>
                <w:tcPr>
                  <w:tcW w:w="532" w:type="pct"/>
                  <w:vAlign w:val="center"/>
                </w:tcPr>
                <w:p w14:paraId="6498C439">
                  <w:pPr>
                    <w:adjustRightInd w:val="0"/>
                    <w:snapToGrid w:val="0"/>
                    <w:jc w:val="center"/>
                    <w:rPr>
                      <w:color w:val="auto"/>
                      <w:szCs w:val="21"/>
                    </w:rPr>
                  </w:pPr>
                  <w:r>
                    <w:rPr>
                      <w:color w:val="auto"/>
                      <w:szCs w:val="21"/>
                    </w:rPr>
                    <w:t>相符</w:t>
                  </w:r>
                </w:p>
              </w:tc>
            </w:tr>
            <w:tr w14:paraId="3812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 w:type="pct"/>
                  <w:vAlign w:val="center"/>
                </w:tcPr>
                <w:p w14:paraId="2FDAA57B">
                  <w:pPr>
                    <w:adjustRightInd w:val="0"/>
                    <w:snapToGrid w:val="0"/>
                    <w:jc w:val="center"/>
                    <w:rPr>
                      <w:color w:val="auto"/>
                      <w:szCs w:val="21"/>
                      <w:shd w:val="clear" w:color="auto" w:fill="FFFFFF"/>
                    </w:rPr>
                  </w:pPr>
                  <w:r>
                    <w:rPr>
                      <w:color w:val="auto"/>
                      <w:szCs w:val="21"/>
                      <w:shd w:val="clear" w:color="auto" w:fill="FFFFFF"/>
                    </w:rPr>
                    <w:t>6</w:t>
                  </w:r>
                </w:p>
              </w:tc>
              <w:tc>
                <w:tcPr>
                  <w:tcW w:w="2475" w:type="pct"/>
                  <w:vAlign w:val="center"/>
                </w:tcPr>
                <w:p w14:paraId="167C8352">
                  <w:pPr>
                    <w:adjustRightInd w:val="0"/>
                    <w:snapToGrid w:val="0"/>
                    <w:jc w:val="center"/>
                    <w:rPr>
                      <w:color w:val="auto"/>
                      <w:szCs w:val="21"/>
                    </w:rPr>
                  </w:pPr>
                  <w:r>
                    <w:rPr>
                      <w:color w:val="auto"/>
                      <w:szCs w:val="21"/>
                      <w:lang w:val="zh-CN"/>
                    </w:rPr>
                    <w:t>禁止违法利用、占用长江流域河湖岸线。</w:t>
                  </w:r>
                </w:p>
              </w:tc>
              <w:tc>
                <w:tcPr>
                  <w:tcW w:w="1709" w:type="pct"/>
                  <w:vAlign w:val="center"/>
                </w:tcPr>
                <w:p w14:paraId="76EFC3AF">
                  <w:pPr>
                    <w:adjustRightInd w:val="0"/>
                    <w:snapToGrid w:val="0"/>
                    <w:jc w:val="center"/>
                    <w:rPr>
                      <w:color w:val="auto"/>
                      <w:szCs w:val="21"/>
                    </w:rPr>
                  </w:pPr>
                  <w:r>
                    <w:rPr>
                      <w:color w:val="auto"/>
                      <w:szCs w:val="21"/>
                    </w:rPr>
                    <w:t>本项目不涉及</w:t>
                  </w:r>
                  <w:r>
                    <w:rPr>
                      <w:color w:val="auto"/>
                      <w:szCs w:val="21"/>
                      <w:lang w:val="zh-CN"/>
                    </w:rPr>
                    <w:t>违法利用、占用长江流域河湖岸线。</w:t>
                  </w:r>
                </w:p>
              </w:tc>
              <w:tc>
                <w:tcPr>
                  <w:tcW w:w="532" w:type="pct"/>
                  <w:vAlign w:val="center"/>
                </w:tcPr>
                <w:p w14:paraId="77958D40">
                  <w:pPr>
                    <w:adjustRightInd w:val="0"/>
                    <w:snapToGrid w:val="0"/>
                    <w:jc w:val="center"/>
                    <w:rPr>
                      <w:color w:val="auto"/>
                      <w:szCs w:val="21"/>
                    </w:rPr>
                  </w:pPr>
                  <w:r>
                    <w:rPr>
                      <w:color w:val="auto"/>
                      <w:szCs w:val="21"/>
                    </w:rPr>
                    <w:t>相符</w:t>
                  </w:r>
                </w:p>
              </w:tc>
            </w:tr>
            <w:tr w14:paraId="56CFC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 w:type="pct"/>
                  <w:vAlign w:val="center"/>
                </w:tcPr>
                <w:p w14:paraId="0C867C6F">
                  <w:pPr>
                    <w:adjustRightInd w:val="0"/>
                    <w:snapToGrid w:val="0"/>
                    <w:jc w:val="center"/>
                    <w:rPr>
                      <w:color w:val="auto"/>
                      <w:szCs w:val="21"/>
                      <w:shd w:val="clear" w:color="auto" w:fill="FFFFFF"/>
                    </w:rPr>
                  </w:pPr>
                  <w:r>
                    <w:rPr>
                      <w:color w:val="auto"/>
                      <w:szCs w:val="21"/>
                      <w:shd w:val="clear" w:color="auto" w:fill="FFFFFF"/>
                    </w:rPr>
                    <w:t>7</w:t>
                  </w:r>
                </w:p>
              </w:tc>
              <w:tc>
                <w:tcPr>
                  <w:tcW w:w="2475" w:type="pct"/>
                  <w:vAlign w:val="center"/>
                </w:tcPr>
                <w:p w14:paraId="1FDF4866">
                  <w:pPr>
                    <w:adjustRightInd w:val="0"/>
                    <w:snapToGrid w:val="0"/>
                    <w:jc w:val="center"/>
                    <w:rPr>
                      <w:color w:val="auto"/>
                      <w:szCs w:val="21"/>
                    </w:rPr>
                  </w:pPr>
                  <w:r>
                    <w:rPr>
                      <w:color w:val="auto"/>
                      <w:szCs w:val="21"/>
                      <w:lang w:val="zh-CN"/>
                    </w:rPr>
                    <w:t>禁止在长江流域水土流失严重、生态脆弱的区域开展可能造成水土流失的生产建设活动。</w:t>
                  </w:r>
                </w:p>
              </w:tc>
              <w:tc>
                <w:tcPr>
                  <w:tcW w:w="1709" w:type="pct"/>
                  <w:vAlign w:val="center"/>
                </w:tcPr>
                <w:p w14:paraId="2ECBA153">
                  <w:pPr>
                    <w:adjustRightInd w:val="0"/>
                    <w:snapToGrid w:val="0"/>
                    <w:jc w:val="center"/>
                    <w:rPr>
                      <w:color w:val="auto"/>
                      <w:szCs w:val="21"/>
                    </w:rPr>
                  </w:pPr>
                  <w:r>
                    <w:rPr>
                      <w:color w:val="auto"/>
                      <w:szCs w:val="21"/>
                    </w:rPr>
                    <w:t>本项目不涉及</w:t>
                  </w:r>
                  <w:r>
                    <w:rPr>
                      <w:color w:val="auto"/>
                      <w:szCs w:val="21"/>
                      <w:lang w:val="zh-CN"/>
                    </w:rPr>
                    <w:t>长江流域水土流失严重、生态脆弱的区域。</w:t>
                  </w:r>
                </w:p>
              </w:tc>
              <w:tc>
                <w:tcPr>
                  <w:tcW w:w="532" w:type="pct"/>
                  <w:vAlign w:val="center"/>
                </w:tcPr>
                <w:p w14:paraId="519234E8">
                  <w:pPr>
                    <w:adjustRightInd w:val="0"/>
                    <w:snapToGrid w:val="0"/>
                    <w:jc w:val="center"/>
                    <w:rPr>
                      <w:color w:val="auto"/>
                      <w:szCs w:val="21"/>
                    </w:rPr>
                  </w:pPr>
                  <w:r>
                    <w:rPr>
                      <w:color w:val="auto"/>
                      <w:szCs w:val="21"/>
                    </w:rPr>
                    <w:t>相符</w:t>
                  </w:r>
                </w:p>
              </w:tc>
            </w:tr>
            <w:tr w14:paraId="0CC93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 w:type="pct"/>
                  <w:vAlign w:val="center"/>
                </w:tcPr>
                <w:p w14:paraId="22C85447">
                  <w:pPr>
                    <w:adjustRightInd w:val="0"/>
                    <w:snapToGrid w:val="0"/>
                    <w:jc w:val="center"/>
                    <w:rPr>
                      <w:color w:val="auto"/>
                      <w:szCs w:val="21"/>
                      <w:shd w:val="clear" w:color="auto" w:fill="FFFFFF"/>
                    </w:rPr>
                  </w:pPr>
                  <w:r>
                    <w:rPr>
                      <w:color w:val="auto"/>
                      <w:szCs w:val="21"/>
                      <w:shd w:val="clear" w:color="auto" w:fill="FFFFFF"/>
                    </w:rPr>
                    <w:t>8</w:t>
                  </w:r>
                </w:p>
              </w:tc>
              <w:tc>
                <w:tcPr>
                  <w:tcW w:w="2475" w:type="pct"/>
                  <w:vAlign w:val="center"/>
                </w:tcPr>
                <w:p w14:paraId="6956DC19">
                  <w:pPr>
                    <w:adjustRightInd w:val="0"/>
                    <w:snapToGrid w:val="0"/>
                    <w:jc w:val="center"/>
                    <w:rPr>
                      <w:color w:val="auto"/>
                      <w:szCs w:val="21"/>
                      <w:lang w:val="zh-CN"/>
                    </w:rPr>
                  </w:pPr>
                  <w:r>
                    <w:rPr>
                      <w:color w:val="auto"/>
                      <w:szCs w:val="21"/>
                      <w:lang w:val="zh-CN"/>
                    </w:rPr>
                    <w:t>禁止在长江流域重点生态功能区布局对生态系统有严重影响的产业。禁止重污染企业和项目向长江中上游转移。</w:t>
                  </w:r>
                </w:p>
              </w:tc>
              <w:tc>
                <w:tcPr>
                  <w:tcW w:w="1709" w:type="pct"/>
                  <w:vAlign w:val="center"/>
                </w:tcPr>
                <w:p w14:paraId="2B475904">
                  <w:pPr>
                    <w:adjustRightInd w:val="0"/>
                    <w:snapToGrid w:val="0"/>
                    <w:jc w:val="center"/>
                    <w:rPr>
                      <w:color w:val="auto"/>
                      <w:szCs w:val="21"/>
                    </w:rPr>
                  </w:pPr>
                  <w:r>
                    <w:rPr>
                      <w:color w:val="auto"/>
                      <w:szCs w:val="21"/>
                    </w:rPr>
                    <w:t>本项目不属于重污染企业。</w:t>
                  </w:r>
                </w:p>
              </w:tc>
              <w:tc>
                <w:tcPr>
                  <w:tcW w:w="532" w:type="pct"/>
                  <w:vAlign w:val="center"/>
                </w:tcPr>
                <w:p w14:paraId="56F9052D">
                  <w:pPr>
                    <w:adjustRightInd w:val="0"/>
                    <w:snapToGrid w:val="0"/>
                    <w:jc w:val="center"/>
                    <w:rPr>
                      <w:color w:val="auto"/>
                      <w:szCs w:val="21"/>
                    </w:rPr>
                  </w:pPr>
                  <w:r>
                    <w:rPr>
                      <w:color w:val="auto"/>
                      <w:szCs w:val="21"/>
                    </w:rPr>
                    <w:t>相符</w:t>
                  </w:r>
                </w:p>
              </w:tc>
            </w:tr>
            <w:tr w14:paraId="458EE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81" w:type="pct"/>
                  <w:vAlign w:val="center"/>
                </w:tcPr>
                <w:p w14:paraId="6AFF2F77">
                  <w:pPr>
                    <w:adjustRightInd w:val="0"/>
                    <w:snapToGrid w:val="0"/>
                    <w:jc w:val="center"/>
                    <w:rPr>
                      <w:color w:val="auto"/>
                      <w:szCs w:val="21"/>
                      <w:shd w:val="clear" w:color="auto" w:fill="FFFFFF"/>
                    </w:rPr>
                  </w:pPr>
                  <w:r>
                    <w:rPr>
                      <w:color w:val="auto"/>
                      <w:szCs w:val="21"/>
                      <w:shd w:val="clear" w:color="auto" w:fill="FFFFFF"/>
                    </w:rPr>
                    <w:t>9</w:t>
                  </w:r>
                </w:p>
              </w:tc>
              <w:tc>
                <w:tcPr>
                  <w:tcW w:w="2475" w:type="pct"/>
                  <w:vAlign w:val="center"/>
                </w:tcPr>
                <w:p w14:paraId="6D5B041D">
                  <w:pPr>
                    <w:adjustRightInd w:val="0"/>
                    <w:snapToGrid w:val="0"/>
                    <w:jc w:val="center"/>
                    <w:rPr>
                      <w:color w:val="auto"/>
                      <w:szCs w:val="21"/>
                      <w:lang w:val="zh-CN"/>
                    </w:rPr>
                  </w:pPr>
                  <w:r>
                    <w:rPr>
                      <w:color w:val="auto"/>
                      <w:szCs w:val="21"/>
                      <w:lang w:val="zh-CN"/>
                    </w:rPr>
                    <w:t>加强对高耗水行业、重点用水单位的用水定额管理，严格控制高耗水项目建设。</w:t>
                  </w:r>
                </w:p>
              </w:tc>
              <w:tc>
                <w:tcPr>
                  <w:tcW w:w="1709" w:type="pct"/>
                  <w:vAlign w:val="center"/>
                </w:tcPr>
                <w:p w14:paraId="6782EA4D">
                  <w:pPr>
                    <w:jc w:val="center"/>
                    <w:rPr>
                      <w:color w:val="auto"/>
                      <w:szCs w:val="21"/>
                    </w:rPr>
                  </w:pPr>
                  <w:r>
                    <w:rPr>
                      <w:color w:val="auto"/>
                      <w:szCs w:val="21"/>
                      <w:lang w:val="zh-CN"/>
                    </w:rPr>
                    <w:t>本项目不属于高耗水行业、重点用水单位。</w:t>
                  </w:r>
                </w:p>
              </w:tc>
              <w:tc>
                <w:tcPr>
                  <w:tcW w:w="532" w:type="pct"/>
                  <w:vAlign w:val="center"/>
                </w:tcPr>
                <w:p w14:paraId="7C1C068F">
                  <w:pPr>
                    <w:adjustRightInd w:val="0"/>
                    <w:snapToGrid w:val="0"/>
                    <w:jc w:val="center"/>
                    <w:rPr>
                      <w:color w:val="auto"/>
                      <w:szCs w:val="21"/>
                    </w:rPr>
                  </w:pPr>
                  <w:r>
                    <w:rPr>
                      <w:color w:val="auto"/>
                      <w:szCs w:val="21"/>
                    </w:rPr>
                    <w:t>相符</w:t>
                  </w:r>
                </w:p>
              </w:tc>
            </w:tr>
          </w:tbl>
          <w:p w14:paraId="78BFADDE">
            <w:pPr>
              <w:autoSpaceDN w:val="0"/>
              <w:adjustRightInd w:val="0"/>
              <w:snapToGrid w:val="0"/>
              <w:spacing w:line="360" w:lineRule="auto"/>
              <w:ind w:firstLine="480" w:firstLineChars="200"/>
              <w:rPr>
                <w:color w:val="auto"/>
                <w:sz w:val="24"/>
              </w:rPr>
            </w:pPr>
            <w:r>
              <w:rPr>
                <w:color w:val="auto"/>
                <w:sz w:val="24"/>
              </w:rPr>
              <w:t>综上，本项目与《中华人民共和国长江保护法》规定的内容相符合。</w:t>
            </w:r>
          </w:p>
          <w:p w14:paraId="0E37B58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b/>
                <w:color w:val="auto"/>
                <w:sz w:val="24"/>
                <w:lang w:val="en-US" w:eastAsia="zh-CN"/>
              </w:rPr>
              <w:t>7</w:t>
            </w:r>
            <w:r>
              <w:rPr>
                <w:rFonts w:hint="eastAsia"/>
                <w:b/>
                <w:color w:val="auto"/>
                <w:sz w:val="24"/>
              </w:rPr>
              <w:t>、</w:t>
            </w:r>
            <w:r>
              <w:rPr>
                <w:rFonts w:hint="eastAsia" w:ascii="Times New Roman" w:hAnsi="Times New Roman" w:eastAsia="宋体" w:cs="Times New Roman"/>
                <w:b/>
                <w:bCs/>
                <w:color w:val="auto"/>
                <w:sz w:val="24"/>
                <w:szCs w:val="24"/>
                <w:lang w:val="en-US" w:eastAsia="zh-CN"/>
              </w:rPr>
              <w:t>项目与《中共云南省委 云南省人民政府关于深入打好污染防治攻坚战的实施意见》（2022年）的相符性分析</w:t>
            </w:r>
          </w:p>
          <w:p w14:paraId="464A89A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color w:val="auto"/>
                <w:sz w:val="24"/>
                <w:szCs w:val="24"/>
                <w:lang w:val="en-US" w:eastAsia="zh-CN"/>
              </w:rPr>
            </w:pPr>
            <w:r>
              <w:rPr>
                <w:rFonts w:hint="default"/>
                <w:color w:val="auto"/>
                <w:sz w:val="24"/>
                <w:szCs w:val="24"/>
                <w:lang w:val="en-US" w:eastAsia="zh-CN"/>
              </w:rPr>
              <w:t>项目与《中共云南省委 云南省人民政府关于深入打好污染防治攻坚战的实施意见》</w:t>
            </w:r>
            <w:r>
              <w:rPr>
                <w:rFonts w:hint="eastAsia" w:ascii="Times New Roman" w:hAnsi="Times New Roman" w:eastAsia="宋体" w:cs="Times New Roman"/>
                <w:b w:val="0"/>
                <w:bCs w:val="0"/>
                <w:color w:val="auto"/>
                <w:sz w:val="24"/>
                <w:szCs w:val="24"/>
                <w:lang w:val="en-US" w:eastAsia="zh-CN"/>
              </w:rPr>
              <w:t>（2022年）</w:t>
            </w:r>
            <w:r>
              <w:rPr>
                <w:rFonts w:hint="default"/>
                <w:color w:val="auto"/>
                <w:sz w:val="24"/>
                <w:szCs w:val="24"/>
                <w:lang w:val="en-US" w:eastAsia="zh-CN"/>
              </w:rPr>
              <w:t>符合性分析</w:t>
            </w:r>
            <w:r>
              <w:rPr>
                <w:rFonts w:hint="eastAsia"/>
                <w:color w:val="auto"/>
                <w:sz w:val="24"/>
                <w:szCs w:val="24"/>
                <w:lang w:val="en-US" w:eastAsia="zh-CN"/>
              </w:rPr>
              <w:t>详见下表</w:t>
            </w:r>
            <w:r>
              <w:rPr>
                <w:rFonts w:hint="default"/>
                <w:color w:val="auto"/>
                <w:sz w:val="24"/>
                <w:szCs w:val="24"/>
                <w:lang w:val="en-US" w:eastAsia="zh-CN"/>
              </w:rPr>
              <w:t>。</w:t>
            </w:r>
          </w:p>
          <w:p w14:paraId="2171C6D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auto"/>
                <w:sz w:val="21"/>
                <w:szCs w:val="21"/>
                <w:highlight w:val="none"/>
                <w:lang w:val="en-US" w:eastAsia="zh-CN"/>
              </w:rPr>
            </w:pPr>
            <w:r>
              <w:rPr>
                <w:rFonts w:hint="default"/>
                <w:b/>
                <w:bCs/>
                <w:color w:val="auto"/>
                <w:sz w:val="21"/>
                <w:szCs w:val="21"/>
                <w:highlight w:val="none"/>
                <w:lang w:val="en-US" w:eastAsia="zh-CN"/>
              </w:rPr>
              <w:t>表</w:t>
            </w:r>
            <w:r>
              <w:rPr>
                <w:rFonts w:hint="eastAsia"/>
                <w:b/>
                <w:bCs/>
                <w:color w:val="auto"/>
                <w:sz w:val="21"/>
                <w:szCs w:val="21"/>
                <w:highlight w:val="none"/>
                <w:lang w:val="en-US" w:eastAsia="zh-CN"/>
              </w:rPr>
              <w:t>1-9</w:t>
            </w:r>
            <w:r>
              <w:rPr>
                <w:rFonts w:hint="default"/>
                <w:b/>
                <w:bCs/>
                <w:color w:val="auto"/>
                <w:sz w:val="21"/>
                <w:szCs w:val="21"/>
                <w:highlight w:val="none"/>
                <w:lang w:val="en-US" w:eastAsia="zh-CN"/>
              </w:rPr>
              <w:t xml:space="preserve"> </w:t>
            </w:r>
            <w:r>
              <w:rPr>
                <w:rFonts w:hint="eastAsia"/>
                <w:b/>
                <w:bCs/>
                <w:color w:val="auto"/>
                <w:sz w:val="21"/>
                <w:szCs w:val="21"/>
                <w:highlight w:val="none"/>
                <w:lang w:val="en-US" w:eastAsia="zh-CN"/>
              </w:rPr>
              <w:t xml:space="preserve"> </w:t>
            </w:r>
            <w:r>
              <w:rPr>
                <w:rFonts w:hint="default"/>
                <w:b/>
                <w:bCs/>
                <w:color w:val="auto"/>
                <w:sz w:val="21"/>
                <w:szCs w:val="21"/>
                <w:highlight w:val="none"/>
                <w:lang w:val="en-US" w:eastAsia="zh-CN"/>
              </w:rPr>
              <w:t>项目与《中共云南省委 云南省人民政府关于深入打好污染防治攻坚战的实施意见》（2022年）符合性分析</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1104"/>
              <w:gridCol w:w="2235"/>
              <w:gridCol w:w="3798"/>
              <w:gridCol w:w="739"/>
            </w:tblGrid>
            <w:tr w14:paraId="0E2C6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0" w:hRule="atLeast"/>
                <w:jc w:val="center"/>
              </w:trPr>
              <w:tc>
                <w:tcPr>
                  <w:tcW w:w="1104" w:type="dxa"/>
                  <w:noWrap w:val="0"/>
                  <w:vAlign w:val="center"/>
                </w:tcPr>
                <w:p w14:paraId="6A06F9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条目</w:t>
                  </w:r>
                </w:p>
              </w:tc>
              <w:tc>
                <w:tcPr>
                  <w:tcW w:w="2235" w:type="dxa"/>
                  <w:noWrap w:val="0"/>
                  <w:vAlign w:val="center"/>
                </w:tcPr>
                <w:p w14:paraId="0E67D1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相关要求</w:t>
                  </w:r>
                </w:p>
              </w:tc>
              <w:tc>
                <w:tcPr>
                  <w:tcW w:w="3798" w:type="dxa"/>
                  <w:noWrap w:val="0"/>
                  <w:vAlign w:val="center"/>
                </w:tcPr>
                <w:p w14:paraId="476220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本项目情况</w:t>
                  </w:r>
                </w:p>
              </w:tc>
              <w:tc>
                <w:tcPr>
                  <w:tcW w:w="739" w:type="dxa"/>
                  <w:noWrap w:val="0"/>
                  <w:vAlign w:val="center"/>
                </w:tcPr>
                <w:p w14:paraId="7B0D06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符合性</w:t>
                  </w:r>
                </w:p>
              </w:tc>
            </w:tr>
            <w:tr w14:paraId="6F71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466" w:hRule="atLeast"/>
                <w:jc w:val="center"/>
              </w:trPr>
              <w:tc>
                <w:tcPr>
                  <w:tcW w:w="1104" w:type="dxa"/>
                  <w:vMerge w:val="restart"/>
                  <w:noWrap w:val="0"/>
                  <w:vAlign w:val="center"/>
                </w:tcPr>
                <w:p w14:paraId="720E22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二、加快推动绿色低碳发展</w:t>
                  </w:r>
                </w:p>
              </w:tc>
              <w:tc>
                <w:tcPr>
                  <w:tcW w:w="2235" w:type="dxa"/>
                  <w:noWrap w:val="0"/>
                  <w:vAlign w:val="center"/>
                </w:tcPr>
                <w:p w14:paraId="61D9DF12">
                  <w:pPr>
                    <w:pStyle w:val="127"/>
                    <w:keepNext w:val="0"/>
                    <w:keepLines w:val="0"/>
                    <w:pageBreakBefore w:val="0"/>
                    <w:widowControl w:val="0"/>
                    <w:kinsoku/>
                    <w:wordWrap/>
                    <w:topLinePunct w:val="0"/>
                    <w:autoSpaceDE/>
                    <w:autoSpaceDN/>
                    <w:bidi w:val="0"/>
                    <w:adjustRightInd/>
                    <w:spacing w:before="0" w:after="0" w:afterLines="0" w:line="240" w:lineRule="auto"/>
                    <w:ind w:firstLine="0" w:firstLineChars="0"/>
                    <w:rPr>
                      <w:rFonts w:hint="default"/>
                      <w:color w:val="auto"/>
                      <w:sz w:val="21"/>
                      <w:szCs w:val="21"/>
                      <w:vertAlign w:val="baseline"/>
                      <w:lang w:val="en-US" w:eastAsia="zh-CN"/>
                    </w:rPr>
                  </w:pPr>
                  <w:r>
                    <w:rPr>
                      <w:rFonts w:hint="eastAsia"/>
                      <w:color w:val="auto"/>
                    </w:rPr>
                    <w:t>（三）坚决遏制高耗能高排放项目盲目发展。坚决停批停建不符合规定的项目，深入推进产业补链延链强链、绿色低碳转型。严格落实产能置换和产能控制政策，实施粗钢产能清理整顿。</w:t>
                  </w:r>
                </w:p>
              </w:tc>
              <w:tc>
                <w:tcPr>
                  <w:tcW w:w="3798" w:type="dxa"/>
                  <w:noWrap w:val="0"/>
                  <w:vAlign w:val="center"/>
                </w:tcPr>
                <w:p w14:paraId="174A84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lang w:eastAsia="zh-CN"/>
                    </w:rPr>
                    <w:t>本</w:t>
                  </w:r>
                  <w:r>
                    <w:rPr>
                      <w:rFonts w:hint="eastAsia"/>
                      <w:color w:val="auto"/>
                    </w:rPr>
                    <w:t>项目不属于两高项目。</w:t>
                  </w:r>
                </w:p>
              </w:tc>
              <w:tc>
                <w:tcPr>
                  <w:tcW w:w="739" w:type="dxa"/>
                  <w:noWrap w:val="0"/>
                  <w:vAlign w:val="center"/>
                </w:tcPr>
                <w:p w14:paraId="112C84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符合</w:t>
                  </w:r>
                </w:p>
              </w:tc>
            </w:tr>
            <w:tr w14:paraId="60C1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466" w:hRule="atLeast"/>
                <w:jc w:val="center"/>
              </w:trPr>
              <w:tc>
                <w:tcPr>
                  <w:tcW w:w="1104" w:type="dxa"/>
                  <w:vMerge w:val="continue"/>
                  <w:noWrap w:val="0"/>
                  <w:vAlign w:val="center"/>
                </w:tcPr>
                <w:p w14:paraId="307B40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rPr>
                  </w:pPr>
                </w:p>
              </w:tc>
              <w:tc>
                <w:tcPr>
                  <w:tcW w:w="2235" w:type="dxa"/>
                  <w:noWrap w:val="0"/>
                  <w:vAlign w:val="center"/>
                </w:tcPr>
                <w:p w14:paraId="0D9AA105">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auto"/>
                      <w:sz w:val="21"/>
                      <w:szCs w:val="21"/>
                      <w:vertAlign w:val="baseline"/>
                      <w:lang w:val="en-US" w:eastAsia="zh-CN"/>
                    </w:rPr>
                  </w:pPr>
                  <w:r>
                    <w:rPr>
                      <w:rFonts w:hint="eastAsia"/>
                      <w:color w:val="auto"/>
                    </w:rPr>
                    <w:t>（四）推进清洁生产和能源资源节约高效利用。深入实施清洁生产改造，依法开展清洁生产审核。推进绿色能源与绿色制造融合发展。强化能源和水资源“双控”，加强重点领域节能，实施节水行动。</w:t>
                  </w:r>
                </w:p>
              </w:tc>
              <w:tc>
                <w:tcPr>
                  <w:tcW w:w="3798" w:type="dxa"/>
                  <w:noWrap w:val="0"/>
                  <w:vAlign w:val="center"/>
                </w:tcPr>
                <w:p w14:paraId="13E3D7F9">
                  <w:pPr>
                    <w:rPr>
                      <w:rFonts w:hint="eastAsia"/>
                      <w:color w:val="auto"/>
                      <w:sz w:val="21"/>
                      <w:szCs w:val="21"/>
                      <w:vertAlign w:val="baseline"/>
                      <w:lang w:val="en-US" w:eastAsia="zh-CN"/>
                    </w:rPr>
                  </w:pPr>
                  <w:r>
                    <w:rPr>
                      <w:rFonts w:hint="eastAsia" w:ascii="Times New Roman" w:hAnsi="Times New Roman" w:eastAsia="宋体" w:cs="Times New Roman"/>
                      <w:color w:val="auto"/>
                      <w:lang w:val="en-US" w:eastAsia="zh-CN"/>
                    </w:rPr>
                    <w:t>本项目</w:t>
                  </w:r>
                  <w:r>
                    <w:rPr>
                      <w:rFonts w:hint="default" w:ascii="Times New Roman" w:hAnsi="Times New Roman" w:eastAsia="宋体" w:cs="Times New Roman"/>
                      <w:color w:val="auto"/>
                      <w:lang w:val="en-US" w:eastAsia="zh-CN"/>
                    </w:rPr>
                    <w:t>本项目</w:t>
                  </w:r>
                  <w:r>
                    <w:rPr>
                      <w:rFonts w:hint="eastAsia" w:ascii="Times New Roman" w:hAnsi="Times New Roman" w:eastAsia="宋体" w:cs="Times New Roman"/>
                      <w:color w:val="auto"/>
                      <w:lang w:val="en-US" w:eastAsia="zh-CN"/>
                    </w:rPr>
                    <w:t>为塑料制品生产项目，属于</w:t>
                  </w:r>
                  <w:r>
                    <w:rPr>
                      <w:rFonts w:hint="default" w:ascii="Times New Roman" w:hAnsi="Times New Roman" w:eastAsia="宋体" w:cs="Times New Roman"/>
                      <w:color w:val="auto"/>
                      <w:lang w:val="en-US" w:eastAsia="zh-CN"/>
                    </w:rPr>
                    <w:t>塑料包装箱及容器制</w:t>
                  </w:r>
                  <w:r>
                    <w:rPr>
                      <w:rFonts w:hint="eastAsia" w:ascii="Times New Roman" w:hAnsi="Times New Roman" w:eastAsia="宋体" w:cs="Times New Roman"/>
                      <w:color w:val="auto"/>
                      <w:lang w:val="en-US" w:eastAsia="zh-CN"/>
                    </w:rPr>
                    <w:t>造，耗能仅涉及电能，</w:t>
                  </w:r>
                  <w:r>
                    <w:rPr>
                      <w:rFonts w:hint="default" w:ascii="Times New Roman" w:hAnsi="Times New Roman" w:eastAsia="宋体" w:cs="Times New Roman"/>
                      <w:b w:val="0"/>
                      <w:bCs w:val="0"/>
                      <w:color w:val="auto"/>
                      <w:sz w:val="21"/>
                      <w:szCs w:val="21"/>
                      <w:lang w:val="en-US" w:eastAsia="zh-CN"/>
                    </w:rPr>
                    <w:t>冷却水</w:t>
                  </w:r>
                  <w:r>
                    <w:rPr>
                      <w:rFonts w:ascii="Times New Roman" w:hAnsi="Times New Roman" w:eastAsia="宋体" w:cs="Times New Roman"/>
                      <w:color w:val="auto"/>
                      <w:kern w:val="0"/>
                      <w:sz w:val="21"/>
                      <w:szCs w:val="21"/>
                      <w:lang w:val="en-US" w:eastAsia="zh-CN" w:bidi="ar-SA"/>
                    </w:rPr>
                    <w:t>经冷却循环</w:t>
                  </w:r>
                  <w:r>
                    <w:rPr>
                      <w:rFonts w:hint="eastAsia" w:ascii="Times New Roman" w:hAnsi="Times New Roman" w:eastAsia="宋体" w:cs="Times New Roman"/>
                      <w:color w:val="auto"/>
                      <w:kern w:val="0"/>
                      <w:sz w:val="21"/>
                      <w:szCs w:val="21"/>
                      <w:lang w:val="en-US" w:eastAsia="zh-CN" w:bidi="ar-SA"/>
                    </w:rPr>
                    <w:t>水箱</w:t>
                  </w:r>
                  <w:r>
                    <w:rPr>
                      <w:rFonts w:ascii="Times New Roman" w:hAnsi="Times New Roman" w:eastAsia="宋体" w:cs="Times New Roman"/>
                      <w:color w:val="auto"/>
                      <w:kern w:val="0"/>
                      <w:sz w:val="21"/>
                      <w:szCs w:val="21"/>
                      <w:lang w:val="en-US" w:eastAsia="zh-CN" w:bidi="ar-SA"/>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w:t>
                  </w:r>
                  <w:r>
                    <w:rPr>
                      <w:rFonts w:hint="default" w:ascii="Times New Roman" w:hAnsi="Times New Roman" w:eastAsia="宋体" w:cs="Times New Roman"/>
                      <w:b w:val="0"/>
                      <w:bCs w:val="0"/>
                      <w:color w:val="auto"/>
                      <w:sz w:val="21"/>
                      <w:szCs w:val="21"/>
                      <w:highlight w:val="none"/>
                      <w:lang w:val="en-US" w:eastAsia="zh-CN"/>
                    </w:rPr>
                    <w:t>标后，用于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tc>
              <w:tc>
                <w:tcPr>
                  <w:tcW w:w="739" w:type="dxa"/>
                  <w:noWrap w:val="0"/>
                  <w:vAlign w:val="center"/>
                </w:tcPr>
                <w:p w14:paraId="377B1D6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3993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466" w:hRule="atLeast"/>
                <w:jc w:val="center"/>
              </w:trPr>
              <w:tc>
                <w:tcPr>
                  <w:tcW w:w="1104" w:type="dxa"/>
                  <w:vMerge w:val="continue"/>
                  <w:noWrap w:val="0"/>
                  <w:vAlign w:val="center"/>
                </w:tcPr>
                <w:p w14:paraId="7B5278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vertAlign w:val="baseline"/>
                      <w:lang w:val="en-US" w:eastAsia="zh-CN"/>
                    </w:rPr>
                  </w:pPr>
                </w:p>
              </w:tc>
              <w:tc>
                <w:tcPr>
                  <w:tcW w:w="2235" w:type="dxa"/>
                  <w:noWrap w:val="0"/>
                  <w:vAlign w:val="center"/>
                </w:tcPr>
                <w:p w14:paraId="42DA51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r>
                    <w:rPr>
                      <w:rFonts w:hint="default"/>
                      <w:color w:val="auto"/>
                      <w:sz w:val="21"/>
                      <w:szCs w:val="21"/>
                      <w:vertAlign w:val="baseline"/>
                      <w:lang w:val="en-US" w:eastAsia="zh-CN"/>
                    </w:rPr>
                    <w:t>五</w:t>
                  </w:r>
                  <w:r>
                    <w:rPr>
                      <w:rFonts w:hint="eastAsia"/>
                      <w:color w:val="auto"/>
                      <w:sz w:val="21"/>
                      <w:szCs w:val="21"/>
                      <w:vertAlign w:val="baseline"/>
                      <w:lang w:val="en-US" w:eastAsia="zh-CN"/>
                    </w:rPr>
                    <w:t>）</w:t>
                  </w:r>
                  <w:r>
                    <w:rPr>
                      <w:rFonts w:hint="default"/>
                      <w:color w:val="auto"/>
                      <w:sz w:val="21"/>
                      <w:szCs w:val="21"/>
                      <w:vertAlign w:val="baseline"/>
                      <w:lang w:val="en-US" w:eastAsia="zh-CN"/>
                    </w:rPr>
                    <w:t>加强生态环境分区管控。优化生态环境分区管控格局，不断完善</w:t>
                  </w:r>
                  <w:r>
                    <w:rPr>
                      <w:rFonts w:hint="eastAsia" w:ascii="宋体" w:hAnsi="宋体" w:eastAsia="宋体" w:cs="宋体"/>
                      <w:color w:val="auto"/>
                      <w:sz w:val="21"/>
                      <w:szCs w:val="21"/>
                      <w:vertAlign w:val="baseline"/>
                      <w:lang w:val="en-US" w:eastAsia="zh-CN"/>
                    </w:rPr>
                    <w:t>“</w:t>
                  </w:r>
                  <w:r>
                    <w:rPr>
                      <w:rFonts w:hint="default"/>
                      <w:color w:val="auto"/>
                      <w:sz w:val="21"/>
                      <w:szCs w:val="21"/>
                      <w:vertAlign w:val="baseline"/>
                      <w:lang w:val="en-US" w:eastAsia="zh-CN"/>
                    </w:rPr>
                    <w:t>三线一单</w:t>
                  </w:r>
                  <w:r>
                    <w:rPr>
                      <w:rFonts w:hint="eastAsia" w:ascii="宋体" w:hAnsi="宋体" w:eastAsia="宋体" w:cs="宋体"/>
                      <w:color w:val="auto"/>
                      <w:sz w:val="21"/>
                      <w:szCs w:val="21"/>
                      <w:vertAlign w:val="baseline"/>
                      <w:lang w:val="en-US" w:eastAsia="zh-CN"/>
                    </w:rPr>
                    <w:t>”</w:t>
                  </w:r>
                  <w:r>
                    <w:rPr>
                      <w:rFonts w:hint="default"/>
                      <w:color w:val="auto"/>
                      <w:sz w:val="21"/>
                      <w:szCs w:val="21"/>
                      <w:vertAlign w:val="baseline"/>
                      <w:lang w:val="en-US" w:eastAsia="zh-CN"/>
                    </w:rPr>
                    <w:t>生态环境分区管控体系。开展重大经济技术政策的生态环境影响分析和重大生态环境政策的社会经济影响评估</w:t>
                  </w:r>
                </w:p>
              </w:tc>
              <w:tc>
                <w:tcPr>
                  <w:tcW w:w="3798" w:type="dxa"/>
                  <w:noWrap w:val="0"/>
                  <w:vAlign w:val="center"/>
                </w:tcPr>
                <w:p w14:paraId="5DCDF5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vertAlign w:val="baseline"/>
                      <w:lang w:val="en-US" w:eastAsia="zh-CN"/>
                    </w:rPr>
                  </w:pPr>
                  <w:r>
                    <w:rPr>
                      <w:rFonts w:hint="default" w:ascii="Times New Roman" w:hAnsi="Times New Roman" w:cs="Times New Roman"/>
                      <w:color w:val="auto"/>
                      <w:sz w:val="21"/>
                      <w:szCs w:val="21"/>
                      <w:highlight w:val="none"/>
                      <w:vertAlign w:val="baseline"/>
                      <w:lang w:val="en-US" w:eastAsia="zh-CN"/>
                    </w:rPr>
                    <w:t>本项目建设符合《玉溪市生态环境分区管控动态更新调整方案（2023年）》相关</w:t>
                  </w:r>
                  <w:r>
                    <w:rPr>
                      <w:rFonts w:hint="default" w:ascii="Times New Roman" w:hAnsi="Times New Roman" w:cs="Times New Roman"/>
                      <w:color w:val="auto"/>
                      <w:sz w:val="21"/>
                      <w:szCs w:val="21"/>
                      <w:highlight w:val="none"/>
                      <w:lang w:val="en-US" w:eastAsia="zh-CN" w:bidi="en-US"/>
                    </w:rPr>
                    <w:t>要求。</w:t>
                  </w:r>
                </w:p>
              </w:tc>
              <w:tc>
                <w:tcPr>
                  <w:tcW w:w="739" w:type="dxa"/>
                  <w:noWrap w:val="0"/>
                  <w:vAlign w:val="center"/>
                </w:tcPr>
                <w:p w14:paraId="25BF97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3DA67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1520" w:hRule="atLeast"/>
                <w:jc w:val="center"/>
              </w:trPr>
              <w:tc>
                <w:tcPr>
                  <w:tcW w:w="1104" w:type="dxa"/>
                  <w:vMerge w:val="restart"/>
                  <w:noWrap w:val="0"/>
                  <w:vAlign w:val="center"/>
                </w:tcPr>
                <w:p w14:paraId="3434D7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三、深入打好蓝天保卫战</w:t>
                  </w:r>
                </w:p>
              </w:tc>
              <w:tc>
                <w:tcPr>
                  <w:tcW w:w="2235" w:type="dxa"/>
                  <w:noWrap w:val="0"/>
                  <w:vAlign w:val="center"/>
                </w:tcPr>
                <w:p w14:paraId="0B3A69EF">
                  <w:pPr>
                    <w:pStyle w:val="127"/>
                    <w:keepNext w:val="0"/>
                    <w:keepLines w:val="0"/>
                    <w:pageBreakBefore w:val="0"/>
                    <w:widowControl w:val="0"/>
                    <w:kinsoku/>
                    <w:wordWrap/>
                    <w:topLinePunct w:val="0"/>
                    <w:autoSpaceDE/>
                    <w:autoSpaceDN/>
                    <w:bidi w:val="0"/>
                    <w:adjustRightInd/>
                    <w:spacing w:before="0" w:after="0" w:afterLines="0" w:line="240" w:lineRule="auto"/>
                    <w:ind w:firstLine="0" w:firstLineChars="0"/>
                    <w:rPr>
                      <w:rFonts w:hint="default"/>
                      <w:color w:val="auto"/>
                      <w:sz w:val="21"/>
                      <w:szCs w:val="21"/>
                      <w:vertAlign w:val="baseline"/>
                      <w:lang w:val="en-US" w:eastAsia="zh-CN"/>
                    </w:rPr>
                  </w:pPr>
                  <w:r>
                    <w:rPr>
                      <w:rFonts w:hint="eastAsia"/>
                      <w:color w:val="auto"/>
                    </w:rPr>
                    <w:t>（二）深入打好建筑施工工地扬尘污染治理攻坚战。全面推行绿色施工，落实施工工地“六个百分之百”工作要求，推动扬尘精细化管控。加强建筑渣土运输管理，严格落实密闭运输措施。强化施工、道路、堆场、裸露地面等扬尘管控。</w:t>
                  </w:r>
                </w:p>
              </w:tc>
              <w:tc>
                <w:tcPr>
                  <w:tcW w:w="3798" w:type="dxa"/>
                  <w:noWrap w:val="0"/>
                  <w:vAlign w:val="center"/>
                </w:tcPr>
                <w:p w14:paraId="698E7742">
                  <w:pPr>
                    <w:pStyle w:val="127"/>
                    <w:keepNext w:val="0"/>
                    <w:keepLines w:val="0"/>
                    <w:pageBreakBefore w:val="0"/>
                    <w:widowControl w:val="0"/>
                    <w:kinsoku/>
                    <w:wordWrap/>
                    <w:topLinePunct w:val="0"/>
                    <w:autoSpaceDE/>
                    <w:autoSpaceDN/>
                    <w:bidi w:val="0"/>
                    <w:adjustRightInd/>
                    <w:spacing w:before="0" w:after="0" w:afterLines="0" w:line="240" w:lineRule="auto"/>
                    <w:ind w:firstLine="0" w:firstLineChars="0"/>
                    <w:rPr>
                      <w:rFonts w:hint="default"/>
                      <w:color w:val="auto"/>
                      <w:lang w:val="en-US" w:eastAsia="zh-CN"/>
                    </w:rPr>
                  </w:pPr>
                  <w:r>
                    <w:rPr>
                      <w:rFonts w:hint="eastAsia"/>
                      <w:color w:val="auto"/>
                      <w:lang w:val="en-US" w:eastAsia="zh-CN"/>
                    </w:rPr>
                    <w:t>项目</w:t>
                  </w:r>
                  <w:r>
                    <w:rPr>
                      <w:rFonts w:hint="eastAsia" w:eastAsia="宋体" w:cs="Times New Roman"/>
                      <w:color w:val="auto"/>
                      <w:lang w:val="en-US" w:eastAsia="zh-CN"/>
                    </w:rPr>
                    <w:t>租用已建标准厂房进行建设，</w:t>
                  </w:r>
                  <w:r>
                    <w:rPr>
                      <w:rFonts w:hint="eastAsia" w:cs="Times New Roman"/>
                      <w:color w:val="auto"/>
                      <w:lang w:val="en-US" w:eastAsia="zh-CN"/>
                    </w:rPr>
                    <w:t>生产厂房</w:t>
                  </w:r>
                  <w:r>
                    <w:rPr>
                      <w:rFonts w:hint="eastAsia" w:eastAsia="宋体" w:cs="Times New Roman"/>
                      <w:color w:val="auto"/>
                      <w:lang w:val="en-US" w:eastAsia="zh-CN"/>
                    </w:rPr>
                    <w:t>施工期仅在现有厂房内进行装修改造、设备安装、环保设施建设等</w:t>
                  </w:r>
                  <w:r>
                    <w:rPr>
                      <w:rFonts w:hint="eastAsia" w:cs="Times New Roman"/>
                      <w:color w:val="auto"/>
                      <w:highlight w:val="none"/>
                      <w:lang w:val="en-US" w:eastAsia="zh-CN"/>
                    </w:rPr>
                    <w:t>；</w:t>
                  </w:r>
                  <w:r>
                    <w:rPr>
                      <w:rFonts w:hint="eastAsia"/>
                      <w:color w:val="auto"/>
                      <w:highlight w:val="none"/>
                      <w:lang w:val="en-US" w:eastAsia="zh-CN"/>
                    </w:rPr>
                    <w:t>在施工过程中采取洒水降尘等措施。</w:t>
                  </w:r>
                </w:p>
                <w:p w14:paraId="6551925A">
                  <w:pPr>
                    <w:spacing w:line="240" w:lineRule="auto"/>
                    <w:jc w:val="both"/>
                    <w:rPr>
                      <w:rFonts w:hint="default"/>
                      <w:color w:val="auto"/>
                      <w:sz w:val="21"/>
                      <w:szCs w:val="21"/>
                      <w:vertAlign w:val="baseline"/>
                      <w:lang w:val="en-US" w:eastAsia="zh-CN"/>
                    </w:rPr>
                  </w:pPr>
                </w:p>
              </w:tc>
              <w:tc>
                <w:tcPr>
                  <w:tcW w:w="739" w:type="dxa"/>
                  <w:noWrap w:val="0"/>
                  <w:vAlign w:val="center"/>
                </w:tcPr>
                <w:p w14:paraId="6932B7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符合</w:t>
                  </w:r>
                </w:p>
              </w:tc>
            </w:tr>
            <w:tr w14:paraId="126DA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1520" w:hRule="atLeast"/>
                <w:jc w:val="center"/>
              </w:trPr>
              <w:tc>
                <w:tcPr>
                  <w:tcW w:w="1104" w:type="dxa"/>
                  <w:vMerge w:val="continue"/>
                  <w:noWrap w:val="0"/>
                  <w:vAlign w:val="center"/>
                </w:tcPr>
                <w:p w14:paraId="473D83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rPr>
                  </w:pPr>
                </w:p>
              </w:tc>
              <w:tc>
                <w:tcPr>
                  <w:tcW w:w="2235" w:type="dxa"/>
                  <w:noWrap w:val="0"/>
                  <w:vAlign w:val="center"/>
                </w:tcPr>
                <w:p w14:paraId="51B6FC87">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r>
                    <w:rPr>
                      <w:rFonts w:hint="default"/>
                      <w:color w:val="auto"/>
                      <w:sz w:val="21"/>
                      <w:szCs w:val="21"/>
                      <w:vertAlign w:val="baseline"/>
                      <w:lang w:val="en-US" w:eastAsia="zh-CN"/>
                    </w:rPr>
                    <w:t>三</w:t>
                  </w:r>
                  <w:r>
                    <w:rPr>
                      <w:rFonts w:hint="eastAsia"/>
                      <w:color w:val="auto"/>
                      <w:sz w:val="21"/>
                      <w:szCs w:val="21"/>
                      <w:vertAlign w:val="baseline"/>
                      <w:lang w:val="en-US" w:eastAsia="zh-CN"/>
                    </w:rPr>
                    <w:t>）</w:t>
                  </w:r>
                  <w:r>
                    <w:rPr>
                      <w:rFonts w:hint="default"/>
                      <w:color w:val="auto"/>
                      <w:sz w:val="21"/>
                      <w:szCs w:val="21"/>
                      <w:vertAlign w:val="baseline"/>
                      <w:lang w:val="en-US" w:eastAsia="zh-CN"/>
                    </w:rPr>
                    <w:t>推进挥发性有机物和氮氧化物协同治理。安全高效推进挥发性有机物综合治理，实施原辅材料和产品源头替代工程。推进氮氧化物排放深度治理，完成钢铁企业超低排放改造，实施煤电、水泥、焦化企业超低排放改造</w:t>
                  </w:r>
                  <w:r>
                    <w:rPr>
                      <w:rFonts w:hint="eastAsia"/>
                      <w:color w:val="auto"/>
                      <w:sz w:val="21"/>
                      <w:szCs w:val="21"/>
                      <w:vertAlign w:val="baseline"/>
                      <w:lang w:val="en-US" w:eastAsia="zh-CN"/>
                    </w:rPr>
                    <w:t>。</w:t>
                  </w:r>
                </w:p>
              </w:tc>
              <w:tc>
                <w:tcPr>
                  <w:tcW w:w="3798" w:type="dxa"/>
                  <w:noWrap w:val="0"/>
                  <w:vAlign w:val="center"/>
                </w:tcPr>
                <w:p w14:paraId="5459EE38">
                  <w:pPr>
                    <w:spacing w:line="240" w:lineRule="auto"/>
                    <w:jc w:val="both"/>
                    <w:rPr>
                      <w:rFonts w:hint="eastAsia"/>
                      <w:color w:val="auto"/>
                      <w:sz w:val="21"/>
                      <w:szCs w:val="21"/>
                      <w:vertAlign w:val="baseline"/>
                      <w:lang w:val="en-US" w:eastAsia="zh-CN"/>
                    </w:rPr>
                  </w:pPr>
                  <w:r>
                    <w:rPr>
                      <w:rFonts w:hint="eastAsia" w:ascii="Times New Roman" w:hAnsi="Times New Roman" w:eastAsia="宋体" w:cs="Times New Roman"/>
                      <w:color w:val="auto"/>
                      <w:sz w:val="21"/>
                      <w:szCs w:val="21"/>
                      <w:highlight w:val="none"/>
                      <w:lang w:val="en-US" w:eastAsia="zh-CN"/>
                    </w:rPr>
                    <w:t>项目涉及</w:t>
                  </w:r>
                  <w:r>
                    <w:rPr>
                      <w:rFonts w:hint="default" w:ascii="Times New Roman" w:hAnsi="Times New Roman" w:eastAsia="宋体" w:cs="Times New Roman"/>
                      <w:color w:val="auto"/>
                      <w:sz w:val="21"/>
                      <w:szCs w:val="21"/>
                      <w:highlight w:val="none"/>
                    </w:rPr>
                    <w:t>VOCs</w:t>
                  </w:r>
                  <w:r>
                    <w:rPr>
                      <w:rFonts w:hint="eastAsia" w:ascii="Times New Roman" w:hAnsi="Times New Roman" w:eastAsia="宋体" w:cs="Times New Roman"/>
                      <w:color w:val="auto"/>
                      <w:sz w:val="21"/>
                      <w:szCs w:val="21"/>
                      <w:highlight w:val="none"/>
                      <w:lang w:val="en-US" w:eastAsia="zh-CN"/>
                    </w:rPr>
                    <w:t>产生及排放，</w:t>
                  </w:r>
                  <w:r>
                    <w:rPr>
                      <w:rFonts w:hint="eastAsia" w:ascii="Times New Roman" w:hAnsi="Times New Roman" w:eastAsia="宋体" w:cs="Times New Roman"/>
                      <w:color w:val="auto"/>
                      <w:sz w:val="21"/>
                      <w:szCs w:val="21"/>
                      <w:lang w:val="en-US" w:eastAsia="zh-CN"/>
                    </w:rPr>
                    <w:t>产生的</w:t>
                  </w:r>
                  <w:r>
                    <w:rPr>
                      <w:rFonts w:hint="eastAsia" w:ascii="Times New Roman" w:cs="Times New Roman"/>
                      <w:color w:val="auto"/>
                      <w:sz w:val="21"/>
                      <w:szCs w:val="21"/>
                      <w:lang w:val="en-US" w:eastAsia="zh-CN"/>
                    </w:rPr>
                    <w:t>注塑</w:t>
                  </w:r>
                  <w:r>
                    <w:rPr>
                      <w:rFonts w:hint="eastAsia" w:ascii="Times New Roman" w:hAnsi="Times New Roman" w:eastAsia="宋体" w:cs="Times New Roman"/>
                      <w:color w:val="auto"/>
                      <w:sz w:val="21"/>
                      <w:szCs w:val="21"/>
                      <w:lang w:val="en-US" w:eastAsia="zh-CN"/>
                    </w:rPr>
                    <w:t>废气采用</w:t>
                  </w:r>
                  <w:r>
                    <w:rPr>
                      <w:rFonts w:hint="eastAsia" w:ascii="Times New Roman" w:cs="Times New Roman"/>
                      <w:color w:val="auto"/>
                      <w:sz w:val="21"/>
                      <w:szCs w:val="21"/>
                      <w:lang w:val="en-US" w:eastAsia="zh-CN"/>
                    </w:rPr>
                    <w:t>三</w:t>
                  </w:r>
                  <w:r>
                    <w:rPr>
                      <w:rFonts w:hint="eastAsia" w:ascii="Times New Roman" w:hAnsi="Times New Roman" w:eastAsia="宋体" w:cs="Times New Roman"/>
                      <w:color w:val="auto"/>
                      <w:sz w:val="21"/>
                      <w:szCs w:val="21"/>
                      <w:lang w:val="en-US" w:eastAsia="zh-CN"/>
                    </w:rPr>
                    <w:t>级活性炭吸附</w:t>
                  </w:r>
                  <w:r>
                    <w:rPr>
                      <w:rFonts w:hint="eastAsia" w:ascii="Times New Roman" w:cs="Times New Roman"/>
                      <w:color w:val="auto"/>
                      <w:sz w:val="21"/>
                      <w:szCs w:val="21"/>
                      <w:lang w:val="en-US" w:eastAsia="zh-CN"/>
                    </w:rPr>
                    <w:t>装置</w:t>
                  </w:r>
                  <w:r>
                    <w:rPr>
                      <w:rFonts w:hint="eastAsia" w:ascii="Times New Roman" w:hAnsi="Times New Roman" w:eastAsia="宋体" w:cs="Times New Roman"/>
                      <w:color w:val="auto"/>
                      <w:sz w:val="21"/>
                      <w:szCs w:val="21"/>
                      <w:lang w:val="en-US" w:eastAsia="zh-CN"/>
                    </w:rPr>
                    <w:t>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通过15m高排气筒排放</w:t>
                  </w:r>
                  <w:r>
                    <w:rPr>
                      <w:rFonts w:hint="eastAsia" w:cs="Times New Roman"/>
                      <w:color w:val="auto"/>
                      <w:sz w:val="21"/>
                      <w:szCs w:val="21"/>
                      <w:lang w:val="en-US" w:eastAsia="zh-CN"/>
                    </w:rPr>
                    <w:t>。</w:t>
                  </w:r>
                </w:p>
              </w:tc>
              <w:tc>
                <w:tcPr>
                  <w:tcW w:w="739" w:type="dxa"/>
                  <w:noWrap w:val="0"/>
                  <w:vAlign w:val="center"/>
                </w:tcPr>
                <w:p w14:paraId="360CED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r>
            <w:tr w14:paraId="7F68D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0" w:hRule="atLeast"/>
                <w:jc w:val="center"/>
              </w:trPr>
              <w:tc>
                <w:tcPr>
                  <w:tcW w:w="1104" w:type="dxa"/>
                  <w:vMerge w:val="continue"/>
                  <w:noWrap w:val="0"/>
                  <w:vAlign w:val="center"/>
                </w:tcPr>
                <w:p w14:paraId="7A3FD9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p>
              </w:tc>
              <w:tc>
                <w:tcPr>
                  <w:tcW w:w="2235" w:type="dxa"/>
                  <w:noWrap w:val="0"/>
                  <w:vAlign w:val="center"/>
                </w:tcPr>
                <w:p w14:paraId="7636FD9D">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r>
                    <w:rPr>
                      <w:rFonts w:hint="default"/>
                      <w:color w:val="auto"/>
                      <w:sz w:val="21"/>
                      <w:szCs w:val="21"/>
                      <w:vertAlign w:val="baseline"/>
                      <w:lang w:val="en-US" w:eastAsia="zh-CN"/>
                    </w:rPr>
                    <w:t>四</w:t>
                  </w:r>
                  <w:r>
                    <w:rPr>
                      <w:rFonts w:hint="eastAsia"/>
                      <w:color w:val="auto"/>
                      <w:sz w:val="21"/>
                      <w:szCs w:val="21"/>
                      <w:vertAlign w:val="baseline"/>
                      <w:lang w:val="en-US" w:eastAsia="zh-CN"/>
                    </w:rPr>
                    <w:t>）</w:t>
                  </w:r>
                  <w:r>
                    <w:rPr>
                      <w:rFonts w:hint="default"/>
                      <w:color w:val="auto"/>
                      <w:sz w:val="21"/>
                      <w:szCs w:val="21"/>
                      <w:vertAlign w:val="baseline"/>
                      <w:lang w:val="en-US" w:eastAsia="zh-CN"/>
                    </w:rPr>
                    <w:t>改善区域大气和声环境质量。加大餐饮油烟污染、恶臭异味治理力度。实施噪声污染防治行动，解决群众关心的噪声污染问题</w:t>
                  </w:r>
                  <w:r>
                    <w:rPr>
                      <w:rFonts w:hint="eastAsia"/>
                      <w:color w:val="auto"/>
                      <w:sz w:val="21"/>
                      <w:szCs w:val="21"/>
                      <w:vertAlign w:val="baseline"/>
                      <w:lang w:val="en-US" w:eastAsia="zh-CN"/>
                    </w:rPr>
                    <w:t>。</w:t>
                  </w:r>
                </w:p>
              </w:tc>
              <w:tc>
                <w:tcPr>
                  <w:tcW w:w="3798" w:type="dxa"/>
                  <w:noWrap w:val="0"/>
                  <w:vAlign w:val="center"/>
                </w:tcPr>
                <w:p w14:paraId="3AEEDB4E">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项目位于工业园区，项目废气、噪声均可以实现达标排放，</w:t>
                  </w:r>
                  <w:r>
                    <w:rPr>
                      <w:rFonts w:hint="eastAsia" w:ascii="Times New Roman" w:hAnsi="Times New Roman" w:eastAsia="宋体" w:cs="Times New Roman"/>
                      <w:color w:val="auto"/>
                      <w:sz w:val="21"/>
                      <w:szCs w:val="21"/>
                      <w:lang w:val="en-US" w:eastAsia="zh-CN"/>
                    </w:rPr>
                    <w:t>项目食堂油烟设置油烟净化器处理达标后通过高于食堂屋顶排气管排放</w:t>
                  </w:r>
                  <w:r>
                    <w:rPr>
                      <w:rFonts w:hint="eastAsia"/>
                      <w:color w:val="auto"/>
                      <w:sz w:val="21"/>
                      <w:szCs w:val="21"/>
                      <w:vertAlign w:val="baseline"/>
                      <w:lang w:val="en-US" w:eastAsia="zh-CN"/>
                    </w:rPr>
                    <w:t>。</w:t>
                  </w:r>
                </w:p>
              </w:tc>
              <w:tc>
                <w:tcPr>
                  <w:tcW w:w="739" w:type="dxa"/>
                  <w:noWrap w:val="0"/>
                  <w:vAlign w:val="center"/>
                </w:tcPr>
                <w:p w14:paraId="128F6D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符合</w:t>
                  </w:r>
                </w:p>
              </w:tc>
            </w:tr>
            <w:tr w14:paraId="4F62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0" w:hRule="atLeast"/>
                <w:jc w:val="center"/>
              </w:trPr>
              <w:tc>
                <w:tcPr>
                  <w:tcW w:w="1104" w:type="dxa"/>
                  <w:noWrap w:val="0"/>
                  <w:vAlign w:val="center"/>
                </w:tcPr>
                <w:p w14:paraId="5F84C31A">
                  <w:pPr>
                    <w:pStyle w:val="126"/>
                    <w:keepNext w:val="0"/>
                    <w:keepLines w:val="0"/>
                    <w:pageBreakBefore w:val="0"/>
                    <w:widowControl w:val="0"/>
                    <w:kinsoku/>
                    <w:wordWrap/>
                    <w:topLinePunct w:val="0"/>
                    <w:autoSpaceDE/>
                    <w:autoSpaceDN/>
                    <w:bidi w:val="0"/>
                    <w:adjustRightInd/>
                    <w:spacing w:line="240" w:lineRule="auto"/>
                    <w:ind w:firstLine="0" w:firstLineChars="0"/>
                    <w:rPr>
                      <w:rFonts w:hint="default"/>
                      <w:color w:val="auto"/>
                      <w:sz w:val="21"/>
                      <w:szCs w:val="21"/>
                      <w:vertAlign w:val="baseline"/>
                      <w:lang w:val="en-US" w:eastAsia="zh-CN"/>
                    </w:rPr>
                  </w:pPr>
                  <w:r>
                    <w:rPr>
                      <w:color w:val="auto"/>
                    </w:rPr>
                    <w:t>深入打好碧水保卫战</w:t>
                  </w:r>
                </w:p>
              </w:tc>
              <w:tc>
                <w:tcPr>
                  <w:tcW w:w="2235" w:type="dxa"/>
                  <w:noWrap w:val="0"/>
                  <w:vAlign w:val="center"/>
                </w:tcPr>
                <w:p w14:paraId="78158098">
                  <w:pPr>
                    <w:pStyle w:val="127"/>
                    <w:keepNext w:val="0"/>
                    <w:keepLines w:val="0"/>
                    <w:pageBreakBefore w:val="0"/>
                    <w:widowControl w:val="0"/>
                    <w:kinsoku/>
                    <w:wordWrap/>
                    <w:topLinePunct w:val="0"/>
                    <w:autoSpaceDE/>
                    <w:autoSpaceDN/>
                    <w:bidi w:val="0"/>
                    <w:adjustRightInd/>
                    <w:spacing w:before="0" w:after="0" w:afterLines="0" w:line="240" w:lineRule="auto"/>
                    <w:ind w:firstLine="0" w:firstLineChars="0"/>
                    <w:rPr>
                      <w:rFonts w:hint="eastAsia"/>
                      <w:color w:val="auto"/>
                      <w:sz w:val="21"/>
                      <w:szCs w:val="21"/>
                      <w:vertAlign w:val="baseline"/>
                      <w:lang w:val="en-US" w:eastAsia="zh-CN"/>
                    </w:rPr>
                  </w:pPr>
                  <w:r>
                    <w:rPr>
                      <w:rFonts w:hint="eastAsia"/>
                      <w:color w:val="auto"/>
                    </w:rPr>
                    <w:t>（五）深入打好重度污染水体脱劣攻坚战。以重度污染水体为重点，开展污水处理提质增效、农业面源污染治理、入河排污口整治、开发区污染治理等专项行动。建立水环境质量管理长效机制，持续巩固治理成效。</w:t>
                  </w:r>
                </w:p>
              </w:tc>
              <w:tc>
                <w:tcPr>
                  <w:tcW w:w="3798" w:type="dxa"/>
                  <w:noWrap w:val="0"/>
                  <w:vAlign w:val="center"/>
                </w:tcPr>
                <w:p w14:paraId="3E3960CF">
                  <w:pPr>
                    <w:pStyle w:val="127"/>
                    <w:keepNext w:val="0"/>
                    <w:keepLines w:val="0"/>
                    <w:pageBreakBefore w:val="0"/>
                    <w:widowControl w:val="0"/>
                    <w:kinsoku/>
                    <w:wordWrap/>
                    <w:topLinePunct w:val="0"/>
                    <w:autoSpaceDE/>
                    <w:autoSpaceDN/>
                    <w:bidi w:val="0"/>
                    <w:adjustRightInd/>
                    <w:spacing w:before="0" w:after="0" w:afterLines="0" w:line="240" w:lineRule="auto"/>
                    <w:ind w:firstLine="0" w:firstLineChars="0"/>
                    <w:rPr>
                      <w:rFonts w:hint="eastAsia"/>
                      <w:color w:val="auto"/>
                      <w:sz w:val="21"/>
                      <w:szCs w:val="21"/>
                      <w:vertAlign w:val="baseline"/>
                      <w:lang w:val="en-US" w:eastAsia="zh-CN"/>
                    </w:rPr>
                  </w:pPr>
                  <w:r>
                    <w:rPr>
                      <w:rFonts w:hint="default" w:ascii="Times New Roman" w:hAnsi="Times New Roman" w:cs="Times New Roman"/>
                      <w:color w:val="auto"/>
                      <w:sz w:val="21"/>
                      <w:szCs w:val="21"/>
                      <w:shd w:val="clear" w:color="auto" w:fill="auto"/>
                      <w:lang w:eastAsia="zh-CN"/>
                    </w:rPr>
                    <w:t>项目</w:t>
                  </w:r>
                  <w:r>
                    <w:rPr>
                      <w:rFonts w:hint="default" w:ascii="Times New Roman" w:hAnsi="Times New Roman" w:eastAsia="宋体" w:cs="Times New Roman"/>
                      <w:b w:val="0"/>
                      <w:bCs w:val="0"/>
                      <w:color w:val="auto"/>
                      <w:sz w:val="21"/>
                      <w:szCs w:val="21"/>
                      <w:lang w:val="en-US" w:eastAsia="zh-CN"/>
                    </w:rPr>
                    <w:t>冷却水</w:t>
                  </w:r>
                  <w:r>
                    <w:rPr>
                      <w:rFonts w:ascii="Times New Roman" w:hAnsi="Times New Roman" w:eastAsia="宋体" w:cs="Times New Roman"/>
                      <w:color w:val="auto"/>
                      <w:kern w:val="0"/>
                      <w:sz w:val="21"/>
                      <w:szCs w:val="21"/>
                      <w:lang w:val="en-US" w:eastAsia="zh-CN" w:bidi="ar-SA"/>
                    </w:rPr>
                    <w:t>经冷却循环</w:t>
                  </w:r>
                  <w:r>
                    <w:rPr>
                      <w:rFonts w:hint="eastAsia" w:ascii="Times New Roman" w:hAnsi="Times New Roman" w:eastAsia="宋体" w:cs="Times New Roman"/>
                      <w:color w:val="auto"/>
                      <w:kern w:val="0"/>
                      <w:sz w:val="21"/>
                      <w:szCs w:val="21"/>
                      <w:lang w:val="en-US" w:eastAsia="zh-CN" w:bidi="ar-SA"/>
                    </w:rPr>
                    <w:t>水箱</w:t>
                  </w:r>
                  <w:r>
                    <w:rPr>
                      <w:rFonts w:ascii="Times New Roman" w:hAnsi="Times New Roman" w:eastAsia="宋体" w:cs="Times New Roman"/>
                      <w:color w:val="auto"/>
                      <w:kern w:val="0"/>
                      <w:sz w:val="21"/>
                      <w:szCs w:val="21"/>
                      <w:lang w:val="en-US" w:eastAsia="zh-CN" w:bidi="ar-SA"/>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w:t>
                  </w:r>
                  <w:r>
                    <w:rPr>
                      <w:rFonts w:hint="default" w:ascii="Times New Roman" w:hAnsi="Times New Roman" w:eastAsia="宋体" w:cs="Times New Roman"/>
                      <w:b w:val="0"/>
                      <w:bCs w:val="0"/>
                      <w:color w:val="auto"/>
                      <w:sz w:val="21"/>
                      <w:szCs w:val="21"/>
                      <w:highlight w:val="none"/>
                      <w:lang w:val="en-US" w:eastAsia="zh-CN"/>
                    </w:rPr>
                    <w:t>标后，用于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tc>
              <w:tc>
                <w:tcPr>
                  <w:tcW w:w="739" w:type="dxa"/>
                  <w:noWrap w:val="0"/>
                  <w:vAlign w:val="center"/>
                </w:tcPr>
                <w:p w14:paraId="1CC9382F">
                  <w:pPr>
                    <w:pStyle w:val="17"/>
                    <w:keepNext w:val="0"/>
                    <w:keepLines w:val="0"/>
                    <w:pageBreakBefore w:val="0"/>
                    <w:widowControl w:val="0"/>
                    <w:kinsoku/>
                    <w:wordWrap/>
                    <w:topLinePunct w:val="0"/>
                    <w:autoSpaceDE/>
                    <w:autoSpaceDN/>
                    <w:bidi w:val="0"/>
                    <w:adjustRightInd/>
                    <w:spacing w:beforeLines="0" w:afterLines="0" w:line="240" w:lineRule="auto"/>
                    <w:ind w:firstLine="0" w:firstLineChars="0"/>
                    <w:jc w:val="center"/>
                    <w:rPr>
                      <w:rFonts w:hint="eastAsia"/>
                      <w:color w:val="auto"/>
                      <w:sz w:val="21"/>
                      <w:szCs w:val="21"/>
                      <w:vertAlign w:val="baseline"/>
                      <w:lang w:val="en-US" w:eastAsia="zh-CN"/>
                    </w:rPr>
                  </w:pPr>
                  <w:r>
                    <w:rPr>
                      <w:rFonts w:hint="eastAsia" w:hAnsi="Times New Roman"/>
                      <w:color w:val="auto"/>
                      <w:sz w:val="21"/>
                      <w:lang w:val="en-US" w:eastAsia="zh-CN"/>
                    </w:rPr>
                    <w:t>符合</w:t>
                  </w:r>
                </w:p>
              </w:tc>
            </w:tr>
            <w:tr w14:paraId="45E6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0" w:hRule="atLeast"/>
                <w:jc w:val="center"/>
              </w:trPr>
              <w:tc>
                <w:tcPr>
                  <w:tcW w:w="1104" w:type="dxa"/>
                  <w:noWrap w:val="0"/>
                  <w:vAlign w:val="center"/>
                </w:tcPr>
                <w:p w14:paraId="135E43C9">
                  <w:pPr>
                    <w:pStyle w:val="126"/>
                    <w:keepNext w:val="0"/>
                    <w:keepLines w:val="0"/>
                    <w:pageBreakBefore w:val="0"/>
                    <w:widowControl w:val="0"/>
                    <w:kinsoku/>
                    <w:wordWrap/>
                    <w:topLinePunct w:val="0"/>
                    <w:autoSpaceDE/>
                    <w:autoSpaceDN/>
                    <w:bidi w:val="0"/>
                    <w:adjustRightInd/>
                    <w:spacing w:line="240" w:lineRule="auto"/>
                    <w:ind w:firstLine="0" w:firstLineChars="0"/>
                    <w:rPr>
                      <w:rFonts w:hint="default"/>
                      <w:color w:val="auto"/>
                      <w:sz w:val="21"/>
                      <w:szCs w:val="21"/>
                      <w:vertAlign w:val="baseline"/>
                      <w:lang w:val="en-US" w:eastAsia="zh-CN"/>
                    </w:rPr>
                  </w:pPr>
                  <w:r>
                    <w:rPr>
                      <w:color w:val="auto"/>
                    </w:rPr>
                    <w:t>深入打好净土保卫战</w:t>
                  </w:r>
                </w:p>
              </w:tc>
              <w:tc>
                <w:tcPr>
                  <w:tcW w:w="2235" w:type="dxa"/>
                  <w:noWrap w:val="0"/>
                  <w:vAlign w:val="center"/>
                </w:tcPr>
                <w:p w14:paraId="554A12E4">
                  <w:pPr>
                    <w:pStyle w:val="127"/>
                    <w:keepNext w:val="0"/>
                    <w:keepLines w:val="0"/>
                    <w:pageBreakBefore w:val="0"/>
                    <w:widowControl w:val="0"/>
                    <w:kinsoku/>
                    <w:wordWrap/>
                    <w:topLinePunct w:val="0"/>
                    <w:autoSpaceDE/>
                    <w:autoSpaceDN/>
                    <w:bidi w:val="0"/>
                    <w:adjustRightInd/>
                    <w:spacing w:before="0" w:after="0" w:afterLines="0" w:line="240" w:lineRule="auto"/>
                    <w:ind w:firstLine="0" w:firstLineChars="0"/>
                    <w:rPr>
                      <w:rFonts w:hint="eastAsia"/>
                      <w:color w:val="auto"/>
                      <w:sz w:val="21"/>
                      <w:szCs w:val="21"/>
                      <w:vertAlign w:val="baseline"/>
                      <w:lang w:val="en-US" w:eastAsia="zh-CN"/>
                    </w:rPr>
                  </w:pPr>
                  <w:r>
                    <w:rPr>
                      <w:rFonts w:hint="eastAsia"/>
                      <w:color w:val="auto"/>
                    </w:rPr>
                    <w:t>（七）强化地下水污染协同防治。持续开展地下水环境状况调查评估，加强地下水型饮用水水源补给区保护，开展地下水污染防治重点区划定及污染风险管控。</w:t>
                  </w:r>
                </w:p>
              </w:tc>
              <w:tc>
                <w:tcPr>
                  <w:tcW w:w="3798" w:type="dxa"/>
                  <w:noWrap w:val="0"/>
                  <w:vAlign w:val="center"/>
                </w:tcPr>
                <w:p w14:paraId="6858E6C6">
                  <w:pPr>
                    <w:pStyle w:val="127"/>
                    <w:keepNext w:val="0"/>
                    <w:keepLines w:val="0"/>
                    <w:pageBreakBefore w:val="0"/>
                    <w:widowControl w:val="0"/>
                    <w:kinsoku/>
                    <w:wordWrap/>
                    <w:topLinePunct w:val="0"/>
                    <w:autoSpaceDE/>
                    <w:autoSpaceDN/>
                    <w:bidi w:val="0"/>
                    <w:adjustRightInd/>
                    <w:spacing w:before="0" w:after="0" w:afterLines="0" w:line="240" w:lineRule="auto"/>
                    <w:ind w:firstLine="0" w:firstLineChars="0"/>
                    <w:rPr>
                      <w:rFonts w:hint="eastAsia"/>
                      <w:color w:val="auto"/>
                      <w:sz w:val="21"/>
                      <w:szCs w:val="21"/>
                      <w:vertAlign w:val="baseline"/>
                      <w:lang w:val="en-US" w:eastAsia="zh-CN"/>
                    </w:rPr>
                  </w:pPr>
                  <w:r>
                    <w:rPr>
                      <w:rFonts w:hint="eastAsia"/>
                      <w:color w:val="auto"/>
                    </w:rPr>
                    <w:t>项目按照分区防渗原则建设，</w:t>
                  </w:r>
                  <w:r>
                    <w:rPr>
                      <w:rFonts w:hint="eastAsia" w:ascii="Times New Roman" w:hAnsi="Times New Roman" w:eastAsia="宋体" w:cs="Times New Roman"/>
                      <w:color w:val="auto"/>
                      <w:sz w:val="21"/>
                      <w:szCs w:val="21"/>
                      <w:lang w:val="zh-CN" w:eastAsia="zh-CN"/>
                    </w:rPr>
                    <w:t>危险废物</w:t>
                  </w:r>
                  <w:r>
                    <w:rPr>
                      <w:rFonts w:hint="eastAsia" w:ascii="Times New Roman" w:hAnsi="Times New Roman" w:eastAsia="宋体" w:cs="Times New Roman"/>
                      <w:color w:val="auto"/>
                      <w:sz w:val="21"/>
                      <w:szCs w:val="21"/>
                      <w:lang w:val="en-US" w:eastAsia="zh-CN"/>
                    </w:rPr>
                    <w:t>贮存库按照重点防渗区进行防渗；</w:t>
                  </w:r>
                  <w:r>
                    <w:rPr>
                      <w:rFonts w:hint="eastAsia"/>
                      <w:color w:val="auto"/>
                      <w:sz w:val="21"/>
                      <w:szCs w:val="21"/>
                      <w:highlight w:val="none"/>
                      <w:lang w:val="en-US" w:eastAsia="zh-CN"/>
                    </w:rPr>
                    <w:t>一体化</w:t>
                  </w:r>
                  <w:r>
                    <w:rPr>
                      <w:rFonts w:hint="eastAsia"/>
                      <w:color w:val="auto"/>
                      <w:sz w:val="21"/>
                      <w:szCs w:val="21"/>
                      <w:highlight w:val="none"/>
                    </w:rPr>
                    <w:t>污水处理</w:t>
                  </w:r>
                  <w:r>
                    <w:rPr>
                      <w:rFonts w:hint="eastAsia"/>
                      <w:color w:val="auto"/>
                      <w:sz w:val="21"/>
                      <w:szCs w:val="21"/>
                      <w:highlight w:val="none"/>
                      <w:lang w:val="en-US" w:eastAsia="zh-CN"/>
                    </w:rPr>
                    <w:t>站</w:t>
                  </w:r>
                  <w:r>
                    <w:rPr>
                      <w:rFonts w:hint="eastAsia"/>
                      <w:color w:val="auto"/>
                      <w:sz w:val="21"/>
                      <w:szCs w:val="21"/>
                      <w:highlight w:val="none"/>
                    </w:rPr>
                    <w:t>、</w:t>
                  </w:r>
                  <w:r>
                    <w:rPr>
                      <w:rFonts w:hint="eastAsia" w:ascii="Times New Roman" w:hAnsi="Times New Roman" w:eastAsia="宋体" w:cs="Times New Roman"/>
                      <w:color w:val="auto"/>
                      <w:sz w:val="21"/>
                      <w:szCs w:val="21"/>
                      <w:highlight w:val="none"/>
                      <w:lang w:val="en-US" w:eastAsia="zh-CN"/>
                    </w:rPr>
                    <w:t>化粪池、隔油池、蓄水池、一般固体废物暂存间</w:t>
                  </w:r>
                  <w:r>
                    <w:rPr>
                      <w:rFonts w:hint="eastAsia" w:ascii="Times New Roman" w:hAnsi="Times New Roman" w:eastAsia="宋体" w:cs="Times New Roman"/>
                      <w:color w:val="auto"/>
                      <w:sz w:val="21"/>
                      <w:szCs w:val="21"/>
                      <w:lang w:val="en-US" w:eastAsia="zh-CN"/>
                    </w:rPr>
                    <w:t>按照一般防渗渠进行防渗；</w:t>
                  </w:r>
                  <w:r>
                    <w:rPr>
                      <w:rFonts w:hint="eastAsia" w:ascii="Times New Roman" w:hAnsi="Times New Roman" w:eastAsia="宋体" w:cs="Times New Roman"/>
                      <w:color w:val="auto"/>
                      <w:sz w:val="21"/>
                      <w:szCs w:val="21"/>
                      <w:lang w:val="zh-CN" w:eastAsia="zh-CN"/>
                    </w:rPr>
                    <w:t>生产区、</w:t>
                  </w:r>
                  <w:r>
                    <w:rPr>
                      <w:rFonts w:hint="eastAsia" w:ascii="Times New Roman" w:hAnsi="Times New Roman" w:eastAsia="宋体" w:cs="Times New Roman"/>
                      <w:color w:val="auto"/>
                      <w:sz w:val="21"/>
                      <w:szCs w:val="21"/>
                      <w:lang w:val="en-US" w:eastAsia="zh-CN"/>
                    </w:rPr>
                    <w:t>道路及办公区域（除绿化外）</w:t>
                  </w:r>
                  <w:r>
                    <w:rPr>
                      <w:rFonts w:hint="eastAsia" w:ascii="Times New Roman" w:hAnsi="Times New Roman" w:eastAsia="宋体" w:cs="Times New Roman"/>
                      <w:color w:val="auto"/>
                      <w:sz w:val="21"/>
                      <w:szCs w:val="21"/>
                      <w:lang w:val="zh-CN" w:eastAsia="zh-CN"/>
                    </w:rPr>
                    <w:t>进行一般</w:t>
                  </w:r>
                  <w:r>
                    <w:rPr>
                      <w:rFonts w:hint="eastAsia" w:ascii="Times New Roman" w:hAnsi="Times New Roman" w:eastAsia="宋体" w:cs="Times New Roman"/>
                      <w:color w:val="auto"/>
                      <w:sz w:val="21"/>
                      <w:szCs w:val="21"/>
                      <w:lang w:val="en-US" w:eastAsia="zh-CN"/>
                    </w:rPr>
                    <w:t>硬化处理为简单防渗区。</w:t>
                  </w:r>
                </w:p>
              </w:tc>
              <w:tc>
                <w:tcPr>
                  <w:tcW w:w="739" w:type="dxa"/>
                  <w:noWrap w:val="0"/>
                  <w:vAlign w:val="center"/>
                </w:tcPr>
                <w:p w14:paraId="01DAC0FC">
                  <w:pPr>
                    <w:pStyle w:val="17"/>
                    <w:keepNext w:val="0"/>
                    <w:keepLines w:val="0"/>
                    <w:pageBreakBefore w:val="0"/>
                    <w:widowControl w:val="0"/>
                    <w:kinsoku/>
                    <w:wordWrap/>
                    <w:topLinePunct w:val="0"/>
                    <w:autoSpaceDE/>
                    <w:autoSpaceDN/>
                    <w:bidi w:val="0"/>
                    <w:adjustRightInd/>
                    <w:spacing w:beforeLines="0" w:afterLines="0" w:line="240" w:lineRule="auto"/>
                    <w:ind w:firstLine="0" w:firstLineChars="0"/>
                    <w:jc w:val="center"/>
                    <w:rPr>
                      <w:rFonts w:hint="eastAsia"/>
                      <w:color w:val="auto"/>
                      <w:sz w:val="21"/>
                      <w:szCs w:val="21"/>
                      <w:vertAlign w:val="baseline"/>
                      <w:lang w:val="en-US" w:eastAsia="zh-CN"/>
                    </w:rPr>
                  </w:pPr>
                  <w:r>
                    <w:rPr>
                      <w:rFonts w:hint="eastAsia" w:hAnsi="Times New Roman"/>
                      <w:color w:val="auto"/>
                      <w:sz w:val="21"/>
                      <w:lang w:val="en-US" w:eastAsia="zh-CN"/>
                    </w:rPr>
                    <w:t>符合</w:t>
                  </w:r>
                </w:p>
              </w:tc>
            </w:tr>
          </w:tbl>
          <w:p w14:paraId="0FF7A6C8">
            <w:pPr>
              <w:keepNext w:val="0"/>
              <w:keepLines w:val="0"/>
              <w:pageBreakBefore w:val="0"/>
              <w:widowControl w:val="0"/>
              <w:kinsoku/>
              <w:wordWrap/>
              <w:overflowPunct/>
              <w:topLinePunct w:val="0"/>
              <w:autoSpaceDE/>
              <w:autoSpaceDN/>
              <w:bidi w:val="0"/>
              <w:adjustRightInd/>
              <w:snapToGrid/>
              <w:spacing w:before="157" w:beforeLines="50" w:line="360" w:lineRule="auto"/>
              <w:ind w:left="0" w:firstLine="480" w:firstLineChars="200"/>
              <w:textAlignment w:val="auto"/>
              <w:rPr>
                <w:rFonts w:ascii="Times New Roman" w:hAnsi="Times New Roman"/>
                <w:b/>
                <w:bCs/>
                <w:color w:val="auto"/>
              </w:rPr>
            </w:pPr>
            <w:r>
              <w:rPr>
                <w:rFonts w:hint="default" w:ascii="Times New Roman" w:hAnsi="Times New Roman" w:eastAsia="宋体" w:cs="Times New Roman"/>
                <w:color w:val="auto"/>
                <w:sz w:val="24"/>
                <w:szCs w:val="24"/>
                <w:lang w:val="en-US" w:eastAsia="zh-CN"/>
              </w:rPr>
              <w:t>综上</w:t>
            </w:r>
            <w:r>
              <w:rPr>
                <w:rFonts w:hint="eastAsia" w:ascii="Times New Roman" w:hAnsi="Times New Roman" w:eastAsia="宋体" w:cs="Times New Roman"/>
                <w:color w:val="auto"/>
                <w:sz w:val="24"/>
                <w:szCs w:val="24"/>
                <w:lang w:val="en-US" w:eastAsia="zh-CN"/>
              </w:rPr>
              <w:t>所述</w:t>
            </w:r>
            <w:r>
              <w:rPr>
                <w:rFonts w:hint="default" w:ascii="Times New Roman" w:hAnsi="Times New Roman" w:eastAsia="宋体" w:cs="Times New Roman"/>
                <w:color w:val="auto"/>
                <w:sz w:val="24"/>
                <w:szCs w:val="24"/>
                <w:lang w:val="en-US" w:eastAsia="zh-CN"/>
              </w:rPr>
              <w:t>，本项目符合《中共云南省委 云南省人民政府关于深入打好污染防治攻坚战的实施意见》相关要求。</w:t>
            </w:r>
          </w:p>
          <w:p w14:paraId="5A2DB278">
            <w:pPr>
              <w:pStyle w:val="42"/>
              <w:keepNext w:val="0"/>
              <w:keepLines w:val="0"/>
              <w:pageBreakBefore w:val="0"/>
              <w:widowControl w:val="0"/>
              <w:kinsoku/>
              <w:wordWrap/>
              <w:overflowPunct/>
              <w:topLinePunct w:val="0"/>
              <w:autoSpaceDE/>
              <w:autoSpaceDN/>
              <w:bidi w:val="0"/>
              <w:adjustRightInd/>
              <w:snapToGrid/>
              <w:ind w:left="0" w:leftChars="0" w:firstLine="482" w:firstLineChars="200"/>
              <w:jc w:val="both"/>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8、项目</w:t>
            </w:r>
            <w:r>
              <w:rPr>
                <w:rFonts w:hint="default" w:ascii="Times New Roman" w:hAnsi="Times New Roman" w:eastAsia="宋体" w:cs="Times New Roman"/>
                <w:b/>
                <w:bCs/>
                <w:color w:val="auto"/>
                <w:sz w:val="24"/>
                <w:szCs w:val="24"/>
                <w:lang w:val="en-US" w:eastAsia="zh-CN"/>
              </w:rPr>
              <w:t>与《2025年国家污染防治技术指导目录》的符合性分析</w:t>
            </w:r>
          </w:p>
          <w:p w14:paraId="73C35B95">
            <w:pPr>
              <w:pStyle w:val="42"/>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项目生产过程中产生的废气主要为颗粒物及挥发性有机废气，针对挥发性有机废气及颗粒物的治理，《2025年国家污染防治技术指导目录》中提出了相应的鼓励类技术及低效类技术，对照名录中相关低效类技术，项目所采取的污染治理技术均不属于低效类技术，具体分析见下表。</w:t>
            </w:r>
          </w:p>
          <w:p w14:paraId="6B9DBEDF">
            <w:pPr>
              <w:pStyle w:val="42"/>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lang w:val="en-US" w:eastAsia="zh-CN"/>
              </w:rPr>
              <w:t>表1-</w:t>
            </w:r>
            <w:r>
              <w:rPr>
                <w:rFonts w:hint="eastAsia" w:eastAsia="宋体" w:cs="Times New Roman"/>
                <w:b/>
                <w:bCs/>
                <w:color w:val="auto"/>
                <w:sz w:val="21"/>
                <w:szCs w:val="21"/>
                <w:lang w:val="en-US" w:eastAsia="zh-CN"/>
              </w:rPr>
              <w:t>10</w:t>
            </w:r>
            <w:r>
              <w:rPr>
                <w:rFonts w:hint="default" w:ascii="Times New Roman" w:hAnsi="Times New Roman" w:eastAsia="宋体" w:cs="Times New Roman"/>
                <w:b/>
                <w:bCs/>
                <w:color w:val="auto"/>
                <w:sz w:val="21"/>
                <w:szCs w:val="21"/>
                <w:lang w:val="en-US" w:eastAsia="zh-CN"/>
              </w:rPr>
              <w:t xml:space="preserve"> </w:t>
            </w:r>
            <w:r>
              <w:rPr>
                <w:rFonts w:hint="eastAsia"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lang w:val="en-US" w:eastAsia="zh-CN"/>
              </w:rPr>
              <w:t>项目与《2025年国家污染防治技术指导目录》</w:t>
            </w:r>
            <w:r>
              <w:rPr>
                <w:rFonts w:hint="eastAsia" w:ascii="Times New Roman" w:hAnsi="Times New Roman" w:eastAsia="宋体" w:cs="Times New Roman"/>
                <w:b/>
                <w:bCs/>
                <w:color w:val="auto"/>
                <w:sz w:val="21"/>
                <w:szCs w:val="21"/>
                <w:lang w:val="en-US" w:eastAsia="zh-CN"/>
              </w:rPr>
              <w:t>（部分）符合性分析</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57" w:type="dxa"/>
                <w:bottom w:w="28" w:type="dxa"/>
                <w:right w:w="57" w:type="dxa"/>
              </w:tblCellMar>
            </w:tblPr>
            <w:tblGrid>
              <w:gridCol w:w="732"/>
              <w:gridCol w:w="1700"/>
              <w:gridCol w:w="1923"/>
              <w:gridCol w:w="2183"/>
              <w:gridCol w:w="1338"/>
            </w:tblGrid>
            <w:tr w14:paraId="424A1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49" w:type="dxa"/>
                  <w:noWrap w:val="0"/>
                  <w:vAlign w:val="center"/>
                </w:tcPr>
                <w:p w14:paraId="7D3406F6">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技术</w:t>
                  </w:r>
                </w:p>
                <w:p w14:paraId="7F8F0D1F">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类别</w:t>
                  </w:r>
                </w:p>
              </w:tc>
              <w:tc>
                <w:tcPr>
                  <w:tcW w:w="1744" w:type="dxa"/>
                  <w:noWrap w:val="0"/>
                  <w:vAlign w:val="center"/>
                </w:tcPr>
                <w:p w14:paraId="09DCDF82">
                  <w:pPr>
                    <w:pStyle w:val="4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技术名称</w:t>
                  </w:r>
                </w:p>
              </w:tc>
              <w:tc>
                <w:tcPr>
                  <w:tcW w:w="1968" w:type="dxa"/>
                  <w:noWrap w:val="0"/>
                  <w:vAlign w:val="center"/>
                </w:tcPr>
                <w:p w14:paraId="5E7C278B">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工艺、设施简介</w:t>
                  </w:r>
                </w:p>
              </w:tc>
              <w:tc>
                <w:tcPr>
                  <w:tcW w:w="2248" w:type="dxa"/>
                  <w:noWrap w:val="0"/>
                  <w:vAlign w:val="center"/>
                </w:tcPr>
                <w:p w14:paraId="3F08F543">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技术缺陷</w:t>
                  </w:r>
                </w:p>
              </w:tc>
              <w:tc>
                <w:tcPr>
                  <w:tcW w:w="1346" w:type="dxa"/>
                  <w:noWrap w:val="0"/>
                  <w:vAlign w:val="center"/>
                </w:tcPr>
                <w:p w14:paraId="300ABFB1">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项目情况</w:t>
                  </w:r>
                </w:p>
              </w:tc>
            </w:tr>
            <w:tr w14:paraId="35A4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49" w:type="dxa"/>
                  <w:vMerge w:val="restart"/>
                  <w:noWrap w:val="0"/>
                  <w:vAlign w:val="center"/>
                </w:tcPr>
                <w:p w14:paraId="50C90776">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低效类技术</w:t>
                  </w:r>
                </w:p>
              </w:tc>
              <w:tc>
                <w:tcPr>
                  <w:tcW w:w="1744" w:type="dxa"/>
                  <w:noWrap w:val="0"/>
                  <w:vAlign w:val="center"/>
                </w:tcPr>
                <w:p w14:paraId="681E7493">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正压反吸风类袋式除尘技术</w:t>
                  </w:r>
                </w:p>
              </w:tc>
              <w:tc>
                <w:tcPr>
                  <w:tcW w:w="1968" w:type="dxa"/>
                  <w:noWrap w:val="0"/>
                  <w:vAlign w:val="center"/>
                </w:tcPr>
                <w:p w14:paraId="7593D95E">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该技术为采用正压过滤和反吸风方式清灰，且无排气筒，直接排放的袋式除尘技术。</w:t>
                  </w:r>
                </w:p>
              </w:tc>
              <w:tc>
                <w:tcPr>
                  <w:tcW w:w="2248" w:type="dxa"/>
                  <w:noWrap w:val="0"/>
                  <w:vAlign w:val="center"/>
                </w:tcPr>
                <w:p w14:paraId="687D1591">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易形成无组织排放，清灰能力弱，无法实现连续监测，排空高度不够。</w:t>
                  </w:r>
                </w:p>
              </w:tc>
              <w:tc>
                <w:tcPr>
                  <w:tcW w:w="1346" w:type="dxa"/>
                  <w:noWrap w:val="0"/>
                  <w:vAlign w:val="center"/>
                </w:tcPr>
                <w:p w14:paraId="5748434D">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破碎废气采用负压吸风类布袋除尘器进行处理达标后通过15m高排气筒（DA002）排放，没有使用低效类技术。</w:t>
                  </w:r>
                </w:p>
              </w:tc>
            </w:tr>
            <w:tr w14:paraId="7757A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49" w:type="dxa"/>
                  <w:vMerge w:val="continue"/>
                  <w:noWrap w:val="0"/>
                  <w:vAlign w:val="center"/>
                </w:tcPr>
                <w:p w14:paraId="3B1FB235">
                  <w:pPr>
                    <w:pStyle w:val="4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Times New Roman" w:hAnsi="Times New Roman" w:eastAsia="宋体" w:cs="Times New Roman"/>
                      <w:b w:val="0"/>
                      <w:bCs w:val="0"/>
                      <w:color w:val="auto"/>
                      <w:sz w:val="21"/>
                      <w:szCs w:val="21"/>
                      <w:vertAlign w:val="baseline"/>
                      <w:lang w:val="en-US" w:eastAsia="zh-CN"/>
                    </w:rPr>
                  </w:pPr>
                </w:p>
              </w:tc>
              <w:tc>
                <w:tcPr>
                  <w:tcW w:w="1744" w:type="dxa"/>
                  <w:noWrap w:val="0"/>
                  <w:vAlign w:val="center"/>
                </w:tcPr>
                <w:p w14:paraId="3A5FEE66">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VOCs洗涤吸收净化技术</w:t>
                  </w:r>
                </w:p>
              </w:tc>
              <w:tc>
                <w:tcPr>
                  <w:tcW w:w="1968" w:type="dxa"/>
                  <w:noWrap w:val="0"/>
                  <w:vAlign w:val="center"/>
                </w:tcPr>
                <w:p w14:paraId="10F4F8F6">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该技术仅采用水、酸液、碱液洗涤吸收工业废气中的VOCs。</w:t>
                  </w:r>
                </w:p>
              </w:tc>
              <w:tc>
                <w:tcPr>
                  <w:tcW w:w="2248" w:type="dxa"/>
                  <w:noWrap w:val="0"/>
                  <w:vAlign w:val="center"/>
                </w:tcPr>
                <w:p w14:paraId="08592EA5">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对非水溶性、无酸碱反应性的VOCs无净化效果。</w:t>
                  </w:r>
                </w:p>
              </w:tc>
              <w:tc>
                <w:tcPr>
                  <w:tcW w:w="1346" w:type="dxa"/>
                  <w:noWrap w:val="0"/>
                  <w:vAlign w:val="center"/>
                </w:tcPr>
                <w:p w14:paraId="7463F08D">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项目使用活性炭吸附技术，不使用洗涤吸收净化技术。</w:t>
                  </w:r>
                </w:p>
              </w:tc>
            </w:tr>
            <w:tr w14:paraId="459AD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49" w:type="dxa"/>
                  <w:vMerge w:val="continue"/>
                  <w:noWrap w:val="0"/>
                  <w:vAlign w:val="center"/>
                </w:tcPr>
                <w:p w14:paraId="7D1E7074">
                  <w:pPr>
                    <w:pStyle w:val="4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Times New Roman" w:hAnsi="Times New Roman" w:eastAsia="宋体" w:cs="Times New Roman"/>
                      <w:b w:val="0"/>
                      <w:bCs w:val="0"/>
                      <w:color w:val="auto"/>
                      <w:sz w:val="21"/>
                      <w:szCs w:val="21"/>
                      <w:vertAlign w:val="baseline"/>
                      <w:lang w:val="en-US" w:eastAsia="zh-CN"/>
                    </w:rPr>
                  </w:pPr>
                </w:p>
              </w:tc>
              <w:tc>
                <w:tcPr>
                  <w:tcW w:w="1744" w:type="dxa"/>
                  <w:noWrap w:val="0"/>
                  <w:vAlign w:val="center"/>
                </w:tcPr>
                <w:p w14:paraId="49972417">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VOCs光催化及其组合净化技术</w:t>
                  </w:r>
                </w:p>
              </w:tc>
              <w:tc>
                <w:tcPr>
                  <w:tcW w:w="1968" w:type="dxa"/>
                  <w:noWrap w:val="0"/>
                  <w:vAlign w:val="center"/>
                </w:tcPr>
                <w:p w14:paraId="17BF7074">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该技术利用二氧化钛等光催化剂，通过紫外光、可见光激活并氧化VOCs。</w:t>
                  </w:r>
                </w:p>
              </w:tc>
              <w:tc>
                <w:tcPr>
                  <w:tcW w:w="2248" w:type="dxa"/>
                  <w:noWrap w:val="0"/>
                  <w:vAlign w:val="center"/>
                </w:tcPr>
                <w:p w14:paraId="4F5947D5">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光催化反应速率慢、产物不明，应用于VOCs治理时处理效率低。</w:t>
                  </w:r>
                </w:p>
              </w:tc>
              <w:tc>
                <w:tcPr>
                  <w:tcW w:w="1346" w:type="dxa"/>
                  <w:noWrap w:val="0"/>
                  <w:vAlign w:val="center"/>
                </w:tcPr>
                <w:p w14:paraId="5C215D2F">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项目使用活性炭吸附技术，不使用光催化及其组合净化技术。</w:t>
                  </w:r>
                </w:p>
              </w:tc>
            </w:tr>
            <w:tr w14:paraId="382F4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49" w:type="dxa"/>
                  <w:vMerge w:val="continue"/>
                  <w:noWrap w:val="0"/>
                  <w:vAlign w:val="center"/>
                </w:tcPr>
                <w:p w14:paraId="52C69398">
                  <w:pPr>
                    <w:pStyle w:val="4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Times New Roman" w:hAnsi="Times New Roman" w:eastAsia="宋体" w:cs="Times New Roman"/>
                      <w:b w:val="0"/>
                      <w:bCs w:val="0"/>
                      <w:color w:val="auto"/>
                      <w:sz w:val="21"/>
                      <w:szCs w:val="21"/>
                      <w:vertAlign w:val="baseline"/>
                      <w:lang w:val="en-US" w:eastAsia="zh-CN"/>
                    </w:rPr>
                  </w:pPr>
                </w:p>
              </w:tc>
              <w:tc>
                <w:tcPr>
                  <w:tcW w:w="1744" w:type="dxa"/>
                  <w:noWrap w:val="0"/>
                  <w:vAlign w:val="center"/>
                </w:tcPr>
                <w:p w14:paraId="6806EE4A">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VOCs低温等离子体及其组合净化技术</w:t>
                  </w:r>
                </w:p>
              </w:tc>
              <w:tc>
                <w:tcPr>
                  <w:tcW w:w="1968" w:type="dxa"/>
                  <w:noWrap w:val="0"/>
                  <w:vAlign w:val="center"/>
                </w:tcPr>
                <w:p w14:paraId="0E74A4AB">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该技术利用气体分子在电场作用下产生的激发态分子、电子、离子、原子和自由基等活性物质，降解废气中有机污染物分子。</w:t>
                  </w:r>
                </w:p>
              </w:tc>
              <w:tc>
                <w:tcPr>
                  <w:tcW w:w="2248" w:type="dxa"/>
                  <w:noWrap w:val="0"/>
                  <w:vAlign w:val="center"/>
                </w:tcPr>
                <w:p w14:paraId="5F49BC04">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大部分挥发性有机物分子在低温等离子体场中降解矿化不完全：目前低温等离子体净化设施普遍存在装机功率不足、反应时间不充分、处理效率低等问题：分解产物不明、生成臭氧等二次污染物。</w:t>
                  </w:r>
                </w:p>
              </w:tc>
              <w:tc>
                <w:tcPr>
                  <w:tcW w:w="1346" w:type="dxa"/>
                  <w:noWrap w:val="0"/>
                  <w:vAlign w:val="center"/>
                </w:tcPr>
                <w:p w14:paraId="66C97CC3">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项目使用活性炭吸附技术，不使用低温等离子体及其组合净化技术。</w:t>
                  </w:r>
                </w:p>
              </w:tc>
            </w:tr>
            <w:tr w14:paraId="10CF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jc w:val="center"/>
              </w:trPr>
              <w:tc>
                <w:tcPr>
                  <w:tcW w:w="749" w:type="dxa"/>
                  <w:vMerge w:val="continue"/>
                  <w:noWrap w:val="0"/>
                  <w:vAlign w:val="center"/>
                </w:tcPr>
                <w:p w14:paraId="2BDD068B">
                  <w:pPr>
                    <w:pStyle w:val="4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Times New Roman" w:hAnsi="Times New Roman" w:eastAsia="宋体" w:cs="Times New Roman"/>
                      <w:b w:val="0"/>
                      <w:bCs w:val="0"/>
                      <w:color w:val="auto"/>
                      <w:sz w:val="21"/>
                      <w:szCs w:val="21"/>
                      <w:vertAlign w:val="baseline"/>
                      <w:lang w:val="en-US" w:eastAsia="zh-CN"/>
                    </w:rPr>
                  </w:pPr>
                </w:p>
              </w:tc>
              <w:tc>
                <w:tcPr>
                  <w:tcW w:w="1744" w:type="dxa"/>
                  <w:noWrap w:val="0"/>
                  <w:vAlign w:val="center"/>
                </w:tcPr>
                <w:p w14:paraId="0205B804">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VOCs光解（光氧化）及其组合净化技术</w:t>
                  </w:r>
                </w:p>
              </w:tc>
              <w:tc>
                <w:tcPr>
                  <w:tcW w:w="1968" w:type="dxa"/>
                  <w:noWrap w:val="0"/>
                  <w:vAlign w:val="center"/>
                </w:tcPr>
                <w:p w14:paraId="5512C7D7">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该技术利用污染物分子吸收短波长紫外光，引发污染物分子化学键断裂，同时废气中的氧气或水分子吸收短波长紫外光后，产生包括臭氧和羟基自由基等在内的活性物种与污染物分子发生降解反应。</w:t>
                  </w:r>
                </w:p>
              </w:tc>
              <w:tc>
                <w:tcPr>
                  <w:tcW w:w="2248" w:type="dxa"/>
                  <w:noWrap w:val="0"/>
                  <w:vAlign w:val="center"/>
                </w:tcPr>
                <w:p w14:paraId="0A92FDF2">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光氧化光电转换效率低，反应装置有效光辐射能量普遍不足；应用于工业废气处理时，处理效率低，反应产物不明。</w:t>
                  </w:r>
                </w:p>
              </w:tc>
              <w:tc>
                <w:tcPr>
                  <w:tcW w:w="1346" w:type="dxa"/>
                  <w:noWrap w:val="0"/>
                  <w:vAlign w:val="center"/>
                </w:tcPr>
                <w:p w14:paraId="11829CA7">
                  <w:pPr>
                    <w:pStyle w:val="4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项目使用活性炭吸附技术，不使用光解（光氧化）及其组合净化技术。</w:t>
                  </w:r>
                </w:p>
              </w:tc>
            </w:tr>
          </w:tbl>
          <w:p w14:paraId="1ADDDE5A">
            <w:pPr>
              <w:pStyle w:val="42"/>
              <w:keepNext w:val="0"/>
              <w:keepLines w:val="0"/>
              <w:pageBreakBefore w:val="0"/>
              <w:widowControl w:val="0"/>
              <w:kinsoku/>
              <w:wordWrap/>
              <w:overflowPunct/>
              <w:topLinePunct w:val="0"/>
              <w:autoSpaceDE/>
              <w:autoSpaceDN/>
              <w:bidi w:val="0"/>
              <w:adjustRightInd/>
              <w:snapToGrid/>
              <w:spacing w:before="157" w:beforeLines="50"/>
              <w:ind w:firstLine="480" w:firstLineChars="200"/>
              <w:jc w:val="both"/>
              <w:textAlignment w:val="auto"/>
              <w:rPr>
                <w:rFonts w:ascii="Times New Roman" w:hAnsi="Times New Roman"/>
                <w:color w:val="auto"/>
                <w:sz w:val="24"/>
              </w:rPr>
            </w:pPr>
            <w:r>
              <w:rPr>
                <w:rFonts w:hint="eastAsia" w:ascii="Times New Roman" w:hAnsi="Times New Roman" w:eastAsia="宋体" w:cs="Times New Roman"/>
                <w:b w:val="0"/>
                <w:bCs w:val="0"/>
                <w:color w:val="auto"/>
                <w:sz w:val="24"/>
                <w:szCs w:val="24"/>
                <w:lang w:val="en-US" w:eastAsia="zh-CN"/>
              </w:rPr>
              <w:t>综上分析，项目采用活性炭吸附净化技术</w:t>
            </w:r>
            <w:r>
              <w:rPr>
                <w:rFonts w:hint="eastAsia" w:eastAsia="宋体" w:cs="Times New Roman"/>
                <w:b w:val="0"/>
                <w:bCs w:val="0"/>
                <w:color w:val="auto"/>
                <w:sz w:val="24"/>
                <w:szCs w:val="24"/>
                <w:lang w:val="en-US" w:eastAsia="zh-CN"/>
              </w:rPr>
              <w:t>、负压吸风类布袋除尘器</w:t>
            </w:r>
            <w:r>
              <w:rPr>
                <w:rFonts w:hint="eastAsia" w:ascii="Times New Roman" w:hAnsi="Times New Roman" w:eastAsia="宋体" w:cs="Times New Roman"/>
                <w:b w:val="0"/>
                <w:bCs w:val="0"/>
                <w:color w:val="auto"/>
                <w:sz w:val="24"/>
                <w:szCs w:val="24"/>
                <w:lang w:val="en-US" w:eastAsia="zh-CN"/>
              </w:rPr>
              <w:t>不属于《2025年国家污染防治技术指导目录》中的低效类技术。</w:t>
            </w:r>
          </w:p>
          <w:p w14:paraId="6B8A3927">
            <w:pPr>
              <w:pStyle w:val="11"/>
              <w:spacing w:before="0" w:line="360" w:lineRule="auto"/>
              <w:ind w:firstLine="482" w:firstLineChars="200"/>
              <w:rPr>
                <w:rFonts w:ascii="Times New Roman" w:hAnsi="Times New Roman"/>
                <w:b/>
                <w:bCs/>
                <w:color w:val="auto"/>
              </w:rPr>
            </w:pPr>
            <w:r>
              <w:rPr>
                <w:rFonts w:hint="eastAsia" w:ascii="Times New Roman" w:hAnsi="Times New Roman"/>
                <w:b/>
                <w:bCs/>
                <w:color w:val="auto"/>
                <w:lang w:val="en-US" w:eastAsia="zh-CN"/>
              </w:rPr>
              <w:t>9</w:t>
            </w:r>
            <w:r>
              <w:rPr>
                <w:rFonts w:hint="eastAsia" w:ascii="Times New Roman" w:hAnsi="Times New Roman"/>
                <w:b/>
                <w:bCs/>
                <w:color w:val="auto"/>
              </w:rPr>
              <w:t>、项目与《云南省空气质量持续改善行动实施方案》的符合性分析</w:t>
            </w:r>
          </w:p>
          <w:p w14:paraId="0FD149E1">
            <w:pPr>
              <w:pStyle w:val="11"/>
              <w:spacing w:before="0" w:line="360" w:lineRule="auto"/>
              <w:ind w:firstLine="480" w:firstLineChars="200"/>
              <w:rPr>
                <w:rFonts w:ascii="Times New Roman" w:hAnsi="Times New Roman"/>
                <w:color w:val="auto"/>
              </w:rPr>
            </w:pPr>
            <w:r>
              <w:rPr>
                <w:rFonts w:ascii="Times New Roman" w:hAnsi="Times New Roman"/>
                <w:color w:val="auto"/>
              </w:rPr>
              <w:t>云南省人民政府</w:t>
            </w:r>
            <w:r>
              <w:rPr>
                <w:rFonts w:hint="eastAsia" w:ascii="Times New Roman" w:hAnsi="Times New Roman"/>
                <w:color w:val="auto"/>
              </w:rPr>
              <w:t>于</w:t>
            </w:r>
            <w:r>
              <w:rPr>
                <w:rFonts w:ascii="Times New Roman" w:hAnsi="Times New Roman"/>
                <w:color w:val="auto"/>
              </w:rPr>
              <w:t>20</w:t>
            </w:r>
            <w:r>
              <w:rPr>
                <w:rFonts w:hint="eastAsia" w:ascii="Times New Roman" w:hAnsi="Times New Roman"/>
                <w:color w:val="auto"/>
              </w:rPr>
              <w:t>24</w:t>
            </w:r>
            <w:r>
              <w:rPr>
                <w:rFonts w:ascii="Times New Roman" w:hAnsi="Times New Roman"/>
                <w:color w:val="auto"/>
              </w:rPr>
              <w:t>年</w:t>
            </w:r>
            <w:r>
              <w:rPr>
                <w:rFonts w:hint="eastAsia" w:ascii="Times New Roman" w:hAnsi="Times New Roman"/>
                <w:color w:val="auto"/>
              </w:rPr>
              <w:t>4</w:t>
            </w:r>
            <w:r>
              <w:rPr>
                <w:rFonts w:ascii="Times New Roman" w:hAnsi="Times New Roman"/>
                <w:color w:val="auto"/>
              </w:rPr>
              <w:t>月</w:t>
            </w:r>
            <w:r>
              <w:rPr>
                <w:rFonts w:hint="eastAsia" w:ascii="Times New Roman" w:hAnsi="Times New Roman"/>
                <w:color w:val="auto"/>
              </w:rPr>
              <w:t>23</w:t>
            </w:r>
            <w:r>
              <w:rPr>
                <w:rFonts w:ascii="Times New Roman" w:hAnsi="Times New Roman"/>
                <w:color w:val="auto"/>
              </w:rPr>
              <w:t>日以“云政发〔2024〕14号”下发关于印发《云南省空气质量持续改善行动实施方案》的通知，项目的符合性分析详见表</w:t>
            </w:r>
            <w:r>
              <w:rPr>
                <w:rFonts w:hint="eastAsia" w:ascii="Times New Roman" w:hAnsi="Times New Roman"/>
                <w:color w:val="auto"/>
              </w:rPr>
              <w:t>1-</w:t>
            </w:r>
            <w:r>
              <w:rPr>
                <w:rFonts w:hint="eastAsia" w:ascii="Times New Roman" w:hAnsi="Times New Roman"/>
                <w:color w:val="auto"/>
                <w:lang w:val="en-US" w:eastAsia="zh-CN"/>
              </w:rPr>
              <w:t>11</w:t>
            </w:r>
            <w:r>
              <w:rPr>
                <w:rFonts w:ascii="Times New Roman" w:hAnsi="Times New Roman"/>
                <w:color w:val="auto"/>
              </w:rPr>
              <w:t>。</w:t>
            </w:r>
          </w:p>
          <w:p w14:paraId="4730557D">
            <w:pPr>
              <w:pStyle w:val="39"/>
              <w:adjustRightInd/>
              <w:jc w:val="center"/>
              <w:rPr>
                <w:rStyle w:val="37"/>
                <w:rFonts w:ascii="宋体" w:hAnsi="宋体" w:cs="宋体"/>
                <w:b/>
                <w:bCs/>
                <w:color w:val="auto"/>
                <w:szCs w:val="21"/>
              </w:rPr>
            </w:pPr>
            <w:r>
              <w:rPr>
                <w:rStyle w:val="37"/>
                <w:rFonts w:hint="eastAsia" w:ascii="宋体" w:hAnsi="宋体" w:cs="宋体"/>
                <w:b/>
                <w:bCs/>
                <w:color w:val="auto"/>
                <w:szCs w:val="21"/>
              </w:rPr>
              <w:t>表1-</w:t>
            </w:r>
            <w:r>
              <w:rPr>
                <w:rStyle w:val="37"/>
                <w:rFonts w:hint="eastAsia" w:ascii="宋体" w:hAnsi="宋体" w:cs="宋体"/>
                <w:b/>
                <w:bCs/>
                <w:color w:val="auto"/>
                <w:szCs w:val="21"/>
                <w:lang w:val="en-US" w:eastAsia="zh-CN"/>
              </w:rPr>
              <w:t>11</w:t>
            </w:r>
            <w:r>
              <w:rPr>
                <w:rStyle w:val="37"/>
                <w:rFonts w:hint="eastAsia" w:ascii="宋体" w:hAnsi="宋体" w:cs="宋体"/>
                <w:b/>
                <w:bCs/>
                <w:color w:val="auto"/>
                <w:szCs w:val="21"/>
              </w:rPr>
              <w:t xml:space="preserve"> </w:t>
            </w:r>
            <w:r>
              <w:rPr>
                <w:rStyle w:val="37"/>
                <w:rFonts w:hint="eastAsia" w:ascii="宋体" w:hAnsi="宋体" w:cs="宋体"/>
                <w:b/>
                <w:bCs/>
                <w:color w:val="auto"/>
                <w:szCs w:val="21"/>
                <w:lang w:val="en-US" w:eastAsia="zh-CN"/>
              </w:rPr>
              <w:t xml:space="preserve"> </w:t>
            </w:r>
            <w:r>
              <w:rPr>
                <w:rStyle w:val="37"/>
                <w:rFonts w:hint="eastAsia" w:ascii="宋体" w:hAnsi="宋体" w:cs="宋体"/>
                <w:b/>
                <w:bCs/>
                <w:color w:val="auto"/>
                <w:szCs w:val="21"/>
              </w:rPr>
              <w:t>项目与《云南省空气质量持续改善行动实施方案》符合性分析表</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4096"/>
              <w:gridCol w:w="2233"/>
              <w:gridCol w:w="849"/>
            </w:tblGrid>
            <w:tr w14:paraId="6E9DF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vAlign w:val="center"/>
                </w:tcPr>
                <w:p w14:paraId="2A31F656">
                  <w:pPr>
                    <w:widowControl/>
                    <w:snapToGrid w:val="0"/>
                    <w:jc w:val="center"/>
                    <w:rPr>
                      <w:b/>
                      <w:bCs/>
                      <w:color w:val="auto"/>
                      <w:kern w:val="0"/>
                      <w:szCs w:val="21"/>
                      <w:lang w:bidi="ar"/>
                    </w:rPr>
                  </w:pPr>
                  <w:r>
                    <w:rPr>
                      <w:rFonts w:hint="eastAsia"/>
                      <w:b/>
                      <w:bCs/>
                      <w:color w:val="auto"/>
                      <w:kern w:val="0"/>
                      <w:szCs w:val="21"/>
                      <w:lang w:bidi="ar"/>
                    </w:rPr>
                    <w:t>序号</w:t>
                  </w:r>
                </w:p>
              </w:tc>
              <w:tc>
                <w:tcPr>
                  <w:tcW w:w="2599" w:type="pct"/>
                  <w:vAlign w:val="center"/>
                </w:tcPr>
                <w:p w14:paraId="131E9914">
                  <w:pPr>
                    <w:widowControl/>
                    <w:snapToGrid w:val="0"/>
                    <w:jc w:val="center"/>
                    <w:rPr>
                      <w:b/>
                      <w:bCs/>
                      <w:color w:val="auto"/>
                      <w:kern w:val="0"/>
                      <w:szCs w:val="21"/>
                      <w:lang w:bidi="ar"/>
                    </w:rPr>
                  </w:pPr>
                  <w:r>
                    <w:rPr>
                      <w:rFonts w:hint="eastAsia"/>
                      <w:b/>
                      <w:bCs/>
                      <w:color w:val="auto"/>
                      <w:kern w:val="0"/>
                      <w:szCs w:val="21"/>
                      <w:lang w:bidi="ar"/>
                    </w:rPr>
                    <w:t>云南省空气质量持续改善行动计划的要求</w:t>
                  </w:r>
                </w:p>
              </w:tc>
              <w:tc>
                <w:tcPr>
                  <w:tcW w:w="1417" w:type="pct"/>
                  <w:vAlign w:val="center"/>
                </w:tcPr>
                <w:p w14:paraId="2DCBD56F">
                  <w:pPr>
                    <w:pStyle w:val="17"/>
                    <w:snapToGrid w:val="0"/>
                    <w:jc w:val="center"/>
                    <w:rPr>
                      <w:rFonts w:ascii="Times New Roman" w:hAnsi="Times New Roman"/>
                      <w:b/>
                      <w:bCs/>
                      <w:color w:val="auto"/>
                      <w:kern w:val="0"/>
                      <w:szCs w:val="21"/>
                    </w:rPr>
                  </w:pPr>
                  <w:r>
                    <w:rPr>
                      <w:rFonts w:hint="eastAsia" w:ascii="Times New Roman" w:hAnsi="Times New Roman"/>
                      <w:b/>
                      <w:bCs/>
                      <w:color w:val="auto"/>
                      <w:kern w:val="0"/>
                      <w:szCs w:val="21"/>
                    </w:rPr>
                    <w:t>项目情况</w:t>
                  </w:r>
                </w:p>
              </w:tc>
              <w:tc>
                <w:tcPr>
                  <w:tcW w:w="539" w:type="pct"/>
                  <w:vAlign w:val="center"/>
                </w:tcPr>
                <w:p w14:paraId="32B1F17C">
                  <w:pPr>
                    <w:pStyle w:val="17"/>
                    <w:snapToGrid w:val="0"/>
                    <w:jc w:val="center"/>
                    <w:rPr>
                      <w:rFonts w:ascii="Times New Roman" w:hAnsi="Times New Roman"/>
                      <w:b/>
                      <w:bCs/>
                      <w:color w:val="auto"/>
                      <w:kern w:val="0"/>
                      <w:szCs w:val="21"/>
                    </w:rPr>
                  </w:pPr>
                  <w:r>
                    <w:rPr>
                      <w:rFonts w:hint="eastAsia" w:ascii="Times New Roman" w:hAnsi="Times New Roman"/>
                      <w:b/>
                      <w:bCs/>
                      <w:color w:val="auto"/>
                      <w:kern w:val="0"/>
                      <w:szCs w:val="21"/>
                    </w:rPr>
                    <w:t>符合性</w:t>
                  </w:r>
                </w:p>
              </w:tc>
            </w:tr>
            <w:tr w14:paraId="24C0C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vAlign w:val="center"/>
                </w:tcPr>
                <w:p w14:paraId="4593E266">
                  <w:pPr>
                    <w:widowControl/>
                    <w:adjustRightInd w:val="0"/>
                    <w:snapToGrid w:val="0"/>
                    <w:jc w:val="center"/>
                    <w:rPr>
                      <w:color w:val="auto"/>
                      <w:kern w:val="0"/>
                      <w:szCs w:val="21"/>
                      <w:lang w:bidi="ar"/>
                    </w:rPr>
                  </w:pPr>
                  <w:r>
                    <w:rPr>
                      <w:rFonts w:hint="eastAsia"/>
                      <w:color w:val="auto"/>
                      <w:kern w:val="0"/>
                      <w:szCs w:val="21"/>
                      <w:lang w:bidi="ar"/>
                    </w:rPr>
                    <w:t>1</w:t>
                  </w:r>
                </w:p>
              </w:tc>
              <w:tc>
                <w:tcPr>
                  <w:tcW w:w="2599" w:type="pct"/>
                  <w:vAlign w:val="center"/>
                </w:tcPr>
                <w:p w14:paraId="43F7F3B4">
                  <w:pPr>
                    <w:widowControl/>
                    <w:adjustRightInd w:val="0"/>
                    <w:snapToGrid w:val="0"/>
                    <w:jc w:val="center"/>
                    <w:rPr>
                      <w:color w:val="auto"/>
                      <w:kern w:val="0"/>
                      <w:szCs w:val="21"/>
                      <w:lang w:bidi="ar"/>
                    </w:rPr>
                  </w:pPr>
                  <w:r>
                    <w:rPr>
                      <w:rFonts w:hint="eastAsia"/>
                      <w:color w:val="auto"/>
                      <w:kern w:val="0"/>
                      <w:szCs w:val="21"/>
                      <w:lang w:bidi="ar"/>
                    </w:rPr>
                    <w:t>坚决遏制“两高一低”项目盲目上马。新改扩建项目严格落实国家和省产业规划、产业政策、生态环境分区管控方案、规划环评、项目环评、节能审查、产能置换、重点污染物总量控制、污染物排放区域削减、碳排放达峰目标等相关要求，原则上采用清洁运输方式。加快推进钢铁产业转型升级，鼓励钢铁、焦化、烧结一体化布局，减少独立焦化、烧结、球团和热轧企业及工序。到2025年，短流程炼钢产量占比达15%。</w:t>
                  </w:r>
                </w:p>
              </w:tc>
              <w:tc>
                <w:tcPr>
                  <w:tcW w:w="1417" w:type="pct"/>
                  <w:vAlign w:val="center"/>
                </w:tcPr>
                <w:p w14:paraId="7B014DB0">
                  <w:pPr>
                    <w:pStyle w:val="17"/>
                    <w:snapToGrid w:val="0"/>
                    <w:jc w:val="center"/>
                    <w:rPr>
                      <w:rFonts w:ascii="Times New Roman" w:hAnsi="Times New Roman"/>
                      <w:b/>
                      <w:bCs/>
                      <w:color w:val="auto"/>
                      <w:kern w:val="0"/>
                      <w:szCs w:val="21"/>
                    </w:rPr>
                  </w:pPr>
                  <w:r>
                    <w:rPr>
                      <w:rFonts w:hint="eastAsia" w:ascii="Times New Roman" w:hAnsi="Times New Roman"/>
                      <w:color w:val="auto"/>
                      <w:kern w:val="0"/>
                      <w:szCs w:val="21"/>
                      <w:lang w:bidi="ar"/>
                    </w:rPr>
                    <w:t>本项目不属于两高一低项目。项目的建设符合国家产业政策、生态环境分区管控要求、总量控制要求。项目不属于新增钢铁产能项目。</w:t>
                  </w:r>
                </w:p>
              </w:tc>
              <w:tc>
                <w:tcPr>
                  <w:tcW w:w="539" w:type="pct"/>
                  <w:vAlign w:val="center"/>
                </w:tcPr>
                <w:p w14:paraId="1709E66E">
                  <w:pPr>
                    <w:pStyle w:val="17"/>
                    <w:snapToGrid w:val="0"/>
                    <w:jc w:val="center"/>
                    <w:rPr>
                      <w:rFonts w:ascii="Times New Roman" w:hAnsi="Times New Roman"/>
                      <w:color w:val="auto"/>
                      <w:kern w:val="0"/>
                      <w:szCs w:val="21"/>
                    </w:rPr>
                  </w:pPr>
                  <w:r>
                    <w:rPr>
                      <w:rFonts w:hint="eastAsia" w:ascii="Times New Roman" w:hAnsi="Times New Roman"/>
                      <w:color w:val="auto"/>
                      <w:kern w:val="0"/>
                      <w:szCs w:val="21"/>
                    </w:rPr>
                    <w:t>符合</w:t>
                  </w:r>
                </w:p>
              </w:tc>
            </w:tr>
            <w:tr w14:paraId="2C11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vAlign w:val="center"/>
                </w:tcPr>
                <w:p w14:paraId="55384543">
                  <w:pPr>
                    <w:widowControl/>
                    <w:adjustRightInd w:val="0"/>
                    <w:snapToGrid w:val="0"/>
                    <w:jc w:val="center"/>
                    <w:rPr>
                      <w:color w:val="auto"/>
                      <w:kern w:val="0"/>
                      <w:szCs w:val="21"/>
                      <w:lang w:bidi="ar"/>
                    </w:rPr>
                  </w:pPr>
                  <w:r>
                    <w:rPr>
                      <w:rFonts w:hint="eastAsia"/>
                      <w:color w:val="auto"/>
                      <w:kern w:val="0"/>
                      <w:szCs w:val="21"/>
                      <w:lang w:bidi="ar"/>
                    </w:rPr>
                    <w:t>2</w:t>
                  </w:r>
                </w:p>
              </w:tc>
              <w:tc>
                <w:tcPr>
                  <w:tcW w:w="2599" w:type="pct"/>
                  <w:vAlign w:val="center"/>
                </w:tcPr>
                <w:p w14:paraId="3BA555A0">
                  <w:pPr>
                    <w:widowControl/>
                    <w:adjustRightInd w:val="0"/>
                    <w:snapToGrid w:val="0"/>
                    <w:jc w:val="center"/>
                    <w:rPr>
                      <w:color w:val="auto"/>
                      <w:kern w:val="0"/>
                      <w:szCs w:val="21"/>
                      <w:lang w:bidi="ar"/>
                    </w:rPr>
                  </w:pPr>
                  <w:r>
                    <w:rPr>
                      <w:rFonts w:hint="eastAsia"/>
                      <w:color w:val="auto"/>
                      <w:kern w:val="0"/>
                      <w:szCs w:val="21"/>
                      <w:lang w:bidi="ar"/>
                    </w:rPr>
                    <w:t>推动落后产能退出。推动能耗、环保、质量、安全、技术达不到标准和生产不合格产品或淘汰类产能依法依规关停退出。不予审批限制类新建项目，按照国家要求对属于限制类的现有生产能力进行升级改造。</w:t>
                  </w:r>
                </w:p>
              </w:tc>
              <w:tc>
                <w:tcPr>
                  <w:tcW w:w="1417" w:type="pct"/>
                  <w:vAlign w:val="center"/>
                </w:tcPr>
                <w:p w14:paraId="0374A5B4">
                  <w:pPr>
                    <w:pStyle w:val="17"/>
                    <w:snapToGrid w:val="0"/>
                    <w:jc w:val="center"/>
                    <w:rPr>
                      <w:rFonts w:ascii="Times New Roman" w:hAnsi="Times New Roman"/>
                      <w:b/>
                      <w:bCs/>
                      <w:color w:val="auto"/>
                      <w:kern w:val="0"/>
                      <w:szCs w:val="21"/>
                    </w:rPr>
                  </w:pPr>
                  <w:r>
                    <w:rPr>
                      <w:rFonts w:hint="eastAsia" w:ascii="Times New Roman" w:hAnsi="Times New Roman"/>
                      <w:color w:val="auto"/>
                      <w:kern w:val="0"/>
                      <w:szCs w:val="21"/>
                      <w:lang w:bidi="ar"/>
                    </w:rPr>
                    <w:t>项目不属于重点行业落后产能项目，项目废气达标排放，工艺和装备不在淘汰类和限制类名单内。</w:t>
                  </w:r>
                </w:p>
              </w:tc>
              <w:tc>
                <w:tcPr>
                  <w:tcW w:w="539" w:type="pct"/>
                  <w:vAlign w:val="center"/>
                </w:tcPr>
                <w:p w14:paraId="3F732A98">
                  <w:pPr>
                    <w:snapToGrid w:val="0"/>
                    <w:jc w:val="center"/>
                    <w:rPr>
                      <w:color w:val="auto"/>
                      <w:kern w:val="0"/>
                      <w:szCs w:val="21"/>
                    </w:rPr>
                  </w:pPr>
                  <w:r>
                    <w:rPr>
                      <w:rFonts w:hint="eastAsia"/>
                      <w:color w:val="auto"/>
                      <w:kern w:val="0"/>
                      <w:szCs w:val="21"/>
                    </w:rPr>
                    <w:t>符合</w:t>
                  </w:r>
                </w:p>
              </w:tc>
            </w:tr>
            <w:tr w14:paraId="4DEA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vAlign w:val="center"/>
                </w:tcPr>
                <w:p w14:paraId="5365CD2F">
                  <w:pPr>
                    <w:widowControl/>
                    <w:adjustRightInd w:val="0"/>
                    <w:snapToGrid w:val="0"/>
                    <w:jc w:val="center"/>
                    <w:rPr>
                      <w:color w:val="auto"/>
                      <w:kern w:val="0"/>
                      <w:szCs w:val="21"/>
                      <w:lang w:bidi="ar"/>
                    </w:rPr>
                  </w:pPr>
                  <w:r>
                    <w:rPr>
                      <w:rFonts w:hint="eastAsia"/>
                      <w:color w:val="auto"/>
                      <w:kern w:val="0"/>
                      <w:szCs w:val="21"/>
                      <w:lang w:bidi="ar"/>
                    </w:rPr>
                    <w:t>3</w:t>
                  </w:r>
                </w:p>
              </w:tc>
              <w:tc>
                <w:tcPr>
                  <w:tcW w:w="2599" w:type="pct"/>
                  <w:vAlign w:val="center"/>
                </w:tcPr>
                <w:p w14:paraId="220AB180">
                  <w:pPr>
                    <w:widowControl/>
                    <w:adjustRightInd w:val="0"/>
                    <w:snapToGrid w:val="0"/>
                    <w:jc w:val="center"/>
                    <w:rPr>
                      <w:color w:val="auto"/>
                      <w:kern w:val="0"/>
                      <w:szCs w:val="21"/>
                      <w:lang w:bidi="ar"/>
                    </w:rPr>
                  </w:pPr>
                  <w:r>
                    <w:rPr>
                      <w:rFonts w:hint="eastAsia"/>
                      <w:color w:val="auto"/>
                      <w:kern w:val="0"/>
                      <w:szCs w:val="21"/>
                      <w:lang w:bidi="ar"/>
                    </w:rPr>
                    <w:t>推动传统产业升级改造。中小型传统制造企业集中的城市要制定涉气产业发展规划，针对现有产业集中区域制定专项整治提升方案，依法淘汰关停一批、搬迁入园一批、就地改造一批、做优做强一批。</w:t>
                  </w:r>
                </w:p>
              </w:tc>
              <w:tc>
                <w:tcPr>
                  <w:tcW w:w="1417" w:type="pct"/>
                  <w:vAlign w:val="center"/>
                </w:tcPr>
                <w:p w14:paraId="276FD8FD">
                  <w:pPr>
                    <w:pStyle w:val="17"/>
                    <w:snapToGrid w:val="0"/>
                    <w:jc w:val="center"/>
                    <w:rPr>
                      <w:rFonts w:ascii="Times New Roman" w:hAnsi="Times New Roman"/>
                      <w:color w:val="auto"/>
                      <w:kern w:val="0"/>
                      <w:szCs w:val="21"/>
                      <w:lang w:bidi="ar"/>
                    </w:rPr>
                  </w:pPr>
                  <w:r>
                    <w:rPr>
                      <w:rFonts w:hint="eastAsia" w:ascii="Times New Roman" w:hAnsi="Times New Roman"/>
                      <w:color w:val="auto"/>
                      <w:kern w:val="0"/>
                      <w:szCs w:val="21"/>
                      <w:lang w:bidi="ar"/>
                    </w:rPr>
                    <w:t>项目的建设与周边环境相容，产生的废气经处理后满足达标排放。</w:t>
                  </w:r>
                </w:p>
              </w:tc>
              <w:tc>
                <w:tcPr>
                  <w:tcW w:w="539" w:type="pct"/>
                  <w:vAlign w:val="center"/>
                </w:tcPr>
                <w:p w14:paraId="64877BD3">
                  <w:pPr>
                    <w:snapToGrid w:val="0"/>
                    <w:jc w:val="center"/>
                    <w:rPr>
                      <w:color w:val="auto"/>
                      <w:kern w:val="0"/>
                      <w:szCs w:val="21"/>
                      <w:lang w:bidi="ar"/>
                    </w:rPr>
                  </w:pPr>
                  <w:r>
                    <w:rPr>
                      <w:rFonts w:hint="eastAsia"/>
                      <w:color w:val="auto"/>
                      <w:kern w:val="0"/>
                      <w:szCs w:val="21"/>
                    </w:rPr>
                    <w:t>符合</w:t>
                  </w:r>
                </w:p>
              </w:tc>
            </w:tr>
            <w:tr w14:paraId="58539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vAlign w:val="center"/>
                </w:tcPr>
                <w:p w14:paraId="362110FC">
                  <w:pPr>
                    <w:pStyle w:val="17"/>
                    <w:snapToGrid w:val="0"/>
                    <w:jc w:val="center"/>
                    <w:rPr>
                      <w:rFonts w:ascii="Times New Roman" w:hAnsi="Times New Roman"/>
                      <w:color w:val="auto"/>
                      <w:kern w:val="0"/>
                      <w:szCs w:val="21"/>
                      <w:lang w:bidi="ar"/>
                    </w:rPr>
                  </w:pPr>
                  <w:r>
                    <w:rPr>
                      <w:rFonts w:hint="eastAsia" w:ascii="Times New Roman" w:hAnsi="Times New Roman"/>
                      <w:color w:val="auto"/>
                      <w:kern w:val="0"/>
                      <w:szCs w:val="21"/>
                      <w:lang w:bidi="ar"/>
                    </w:rPr>
                    <w:t>4</w:t>
                  </w:r>
                </w:p>
              </w:tc>
              <w:tc>
                <w:tcPr>
                  <w:tcW w:w="2599" w:type="pct"/>
                  <w:vAlign w:val="center"/>
                </w:tcPr>
                <w:p w14:paraId="5202ABC5">
                  <w:pPr>
                    <w:pStyle w:val="17"/>
                    <w:snapToGrid w:val="0"/>
                    <w:jc w:val="center"/>
                    <w:rPr>
                      <w:rFonts w:ascii="Times New Roman" w:hAnsi="Times New Roman"/>
                      <w:color w:val="auto"/>
                      <w:kern w:val="0"/>
                      <w:szCs w:val="21"/>
                      <w:lang w:bidi="ar"/>
                    </w:rPr>
                  </w:pPr>
                  <w:r>
                    <w:rPr>
                      <w:rFonts w:hint="eastAsia" w:ascii="Times New Roman" w:hAnsi="Times New Roman"/>
                      <w:color w:val="auto"/>
                      <w:kern w:val="0"/>
                      <w:szCs w:val="21"/>
                      <w:lang w:bidi="ar"/>
                    </w:rPr>
                    <w:t>优化含VOCs原辅材料和产品结构。严格控制生产和使用高VOCs含量涂料、油墨、胶粘剂、清洗剂等建设项目，加大工业涂装、包装印刷和电子行业低（无）VOCs含量原辅材料替代力度。严格执行VOCs含量限值标准，室外构筑物防护和城市道路交通标志推广使用低（无）VOCs含量涂料。</w:t>
                  </w:r>
                </w:p>
              </w:tc>
              <w:tc>
                <w:tcPr>
                  <w:tcW w:w="1417" w:type="pct"/>
                  <w:vAlign w:val="center"/>
                </w:tcPr>
                <w:p w14:paraId="00A2D8A9">
                  <w:pPr>
                    <w:pStyle w:val="17"/>
                    <w:snapToGrid w:val="0"/>
                    <w:jc w:val="center"/>
                    <w:rPr>
                      <w:rFonts w:ascii="Times New Roman" w:hAnsi="Times New Roman"/>
                      <w:color w:val="auto"/>
                      <w:kern w:val="0"/>
                      <w:szCs w:val="21"/>
                      <w:lang w:bidi="ar"/>
                    </w:rPr>
                  </w:pPr>
                  <w:r>
                    <w:rPr>
                      <w:rFonts w:hint="eastAsia" w:ascii="Times New Roman" w:hAnsi="Times New Roman"/>
                      <w:color w:val="auto"/>
                      <w:kern w:val="0"/>
                      <w:szCs w:val="21"/>
                      <w:lang w:bidi="ar"/>
                    </w:rPr>
                    <w:t>项目原辅材料符合产品质量要求。</w:t>
                  </w:r>
                </w:p>
              </w:tc>
              <w:tc>
                <w:tcPr>
                  <w:tcW w:w="539" w:type="pct"/>
                  <w:vAlign w:val="center"/>
                </w:tcPr>
                <w:p w14:paraId="0A9419DF">
                  <w:pPr>
                    <w:snapToGrid w:val="0"/>
                    <w:jc w:val="center"/>
                    <w:rPr>
                      <w:color w:val="auto"/>
                      <w:kern w:val="0"/>
                      <w:szCs w:val="21"/>
                      <w:lang w:bidi="ar"/>
                    </w:rPr>
                  </w:pPr>
                  <w:r>
                    <w:rPr>
                      <w:rFonts w:hint="eastAsia"/>
                      <w:color w:val="auto"/>
                      <w:kern w:val="0"/>
                      <w:szCs w:val="21"/>
                    </w:rPr>
                    <w:t>符合</w:t>
                  </w:r>
                </w:p>
              </w:tc>
            </w:tr>
            <w:tr w14:paraId="42CB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vAlign w:val="center"/>
                </w:tcPr>
                <w:p w14:paraId="31CC5162">
                  <w:pPr>
                    <w:pStyle w:val="17"/>
                    <w:snapToGrid w:val="0"/>
                    <w:jc w:val="center"/>
                    <w:rPr>
                      <w:rFonts w:ascii="Times New Roman" w:hAnsi="Times New Roman"/>
                      <w:color w:val="auto"/>
                      <w:kern w:val="0"/>
                      <w:szCs w:val="21"/>
                      <w:lang w:bidi="ar"/>
                    </w:rPr>
                  </w:pPr>
                  <w:r>
                    <w:rPr>
                      <w:rFonts w:hint="eastAsia" w:ascii="Times New Roman" w:hAnsi="Times New Roman"/>
                      <w:color w:val="auto"/>
                      <w:kern w:val="0"/>
                      <w:szCs w:val="21"/>
                      <w:lang w:bidi="ar"/>
                    </w:rPr>
                    <w:t>5</w:t>
                  </w:r>
                </w:p>
              </w:tc>
              <w:tc>
                <w:tcPr>
                  <w:tcW w:w="2599" w:type="pct"/>
                  <w:vAlign w:val="center"/>
                </w:tcPr>
                <w:p w14:paraId="5D601197">
                  <w:pPr>
                    <w:pStyle w:val="17"/>
                    <w:snapToGrid w:val="0"/>
                    <w:jc w:val="center"/>
                    <w:rPr>
                      <w:rFonts w:ascii="Times New Roman" w:hAnsi="Times New Roman"/>
                      <w:color w:val="auto"/>
                      <w:kern w:val="0"/>
                      <w:szCs w:val="21"/>
                      <w:lang w:bidi="ar"/>
                    </w:rPr>
                  </w:pPr>
                  <w:r>
                    <w:rPr>
                      <w:rFonts w:hint="eastAsia" w:ascii="Times New Roman" w:hAnsi="Times New Roman"/>
                      <w:color w:val="auto"/>
                      <w:kern w:val="0"/>
                      <w:szCs w:val="21"/>
                      <w:lang w:bidi="ar"/>
                    </w:rPr>
                    <w:t>推动绿色环保产业健康发展。支持培育一批低（无）VOCs含量原辅材料生产和使用、VOCs污染治理、超低排放、环境和大气成分监测等领域龙头企业。多措并举治理环保领域低价低质中标乱象，营造公平竞争环境，推动产业健康有序发展</w:t>
                  </w:r>
                </w:p>
              </w:tc>
              <w:tc>
                <w:tcPr>
                  <w:tcW w:w="1417" w:type="pct"/>
                  <w:vAlign w:val="center"/>
                </w:tcPr>
                <w:p w14:paraId="1253EE19">
                  <w:pPr>
                    <w:pStyle w:val="17"/>
                    <w:snapToGrid w:val="0"/>
                    <w:jc w:val="center"/>
                    <w:rPr>
                      <w:rFonts w:ascii="Times New Roman" w:hAnsi="Times New Roman"/>
                      <w:color w:val="auto"/>
                      <w:kern w:val="0"/>
                      <w:szCs w:val="21"/>
                      <w:lang w:bidi="ar"/>
                    </w:rPr>
                  </w:pPr>
                  <w:r>
                    <w:rPr>
                      <w:rStyle w:val="37"/>
                      <w:rFonts w:hint="eastAsia" w:ascii="Times New Roman" w:hAnsi="Times New Roman"/>
                      <w:color w:val="auto"/>
                      <w:szCs w:val="21"/>
                    </w:rPr>
                    <w:t>项</w:t>
                  </w:r>
                  <w:r>
                    <w:rPr>
                      <w:rStyle w:val="37"/>
                      <w:rFonts w:hint="eastAsia"/>
                      <w:color w:val="auto"/>
                      <w:szCs w:val="21"/>
                    </w:rPr>
                    <w:t>目</w:t>
                  </w:r>
                  <w:r>
                    <w:rPr>
                      <w:rFonts w:hint="default" w:ascii="Times New Roman" w:hAnsi="Times New Roman" w:eastAsia="宋体" w:cs="Times New Roman"/>
                      <w:color w:val="auto"/>
                      <w:sz w:val="21"/>
                      <w:szCs w:val="21"/>
                      <w:lang w:val="en-US" w:eastAsia="zh-CN"/>
                    </w:rPr>
                    <w:t>生产过程</w:t>
                  </w:r>
                  <w:r>
                    <w:rPr>
                      <w:rFonts w:hint="eastAsia" w:ascii="Times New Roman" w:hAnsi="Times New Roman" w:eastAsia="宋体" w:cs="Times New Roman"/>
                      <w:color w:val="auto"/>
                      <w:sz w:val="21"/>
                      <w:szCs w:val="21"/>
                      <w:lang w:val="en-US" w:eastAsia="zh-CN"/>
                    </w:rPr>
                    <w:t>产生的</w:t>
                  </w:r>
                  <w:r>
                    <w:rPr>
                      <w:rFonts w:hint="eastAsia" w:ascii="Times New Roman" w:cs="Times New Roman"/>
                      <w:color w:val="auto"/>
                      <w:sz w:val="21"/>
                      <w:szCs w:val="21"/>
                      <w:lang w:val="en-US" w:eastAsia="zh-CN"/>
                    </w:rPr>
                    <w:t>注塑</w:t>
                  </w:r>
                  <w:r>
                    <w:rPr>
                      <w:rFonts w:hint="eastAsia" w:ascii="Times New Roman" w:hAnsi="Times New Roman" w:eastAsia="宋体" w:cs="Times New Roman"/>
                      <w:color w:val="auto"/>
                      <w:sz w:val="21"/>
                      <w:szCs w:val="21"/>
                      <w:lang w:val="en-US" w:eastAsia="zh-CN"/>
                    </w:rPr>
                    <w:t>废气采用</w:t>
                  </w:r>
                  <w:r>
                    <w:rPr>
                      <w:rFonts w:hint="eastAsia" w:ascii="Times New Roman" w:cs="Times New Roman"/>
                      <w:color w:val="auto"/>
                      <w:sz w:val="21"/>
                      <w:szCs w:val="21"/>
                      <w:lang w:val="en-US" w:eastAsia="zh-CN"/>
                    </w:rPr>
                    <w:t>三</w:t>
                  </w:r>
                  <w:r>
                    <w:rPr>
                      <w:rFonts w:hint="eastAsia" w:ascii="Times New Roman" w:hAnsi="Times New Roman" w:eastAsia="宋体" w:cs="Times New Roman"/>
                      <w:color w:val="auto"/>
                      <w:sz w:val="21"/>
                      <w:szCs w:val="21"/>
                      <w:lang w:val="en-US" w:eastAsia="zh-CN"/>
                    </w:rPr>
                    <w:t>级活性炭吸附</w:t>
                  </w:r>
                  <w:r>
                    <w:rPr>
                      <w:rFonts w:hint="eastAsia" w:ascii="Times New Roman" w:cs="Times New Roman"/>
                      <w:color w:val="auto"/>
                      <w:sz w:val="21"/>
                      <w:szCs w:val="21"/>
                      <w:lang w:val="en-US" w:eastAsia="zh-CN"/>
                    </w:rPr>
                    <w:t>装置</w:t>
                  </w:r>
                  <w:r>
                    <w:rPr>
                      <w:rFonts w:hint="eastAsia" w:ascii="Times New Roman" w:hAnsi="Times New Roman" w:eastAsia="宋体" w:cs="Times New Roman"/>
                      <w:color w:val="auto"/>
                      <w:sz w:val="21"/>
                      <w:szCs w:val="21"/>
                      <w:lang w:val="en-US" w:eastAsia="zh-CN"/>
                    </w:rPr>
                    <w:t>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通过15m高排气筒（DA001）排放；破碎废气</w:t>
                  </w:r>
                  <w:r>
                    <w:rPr>
                      <w:rFonts w:hint="eastAsia" w:ascii="Times New Roman" w:hAnsi="Times New Roman" w:eastAsia="宋体" w:cs="Times New Roman"/>
                      <w:color w:val="auto"/>
                      <w:sz w:val="21"/>
                      <w:szCs w:val="21"/>
                      <w:lang w:val="en-US" w:eastAsia="zh-CN"/>
                    </w:rPr>
                    <w:t>采用布袋除尘器进行处理达标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通过15m高排气筒（DA002）排放</w:t>
                  </w:r>
                  <w:r>
                    <w:rPr>
                      <w:rFonts w:hint="eastAsia"/>
                      <w:color w:val="auto"/>
                      <w:szCs w:val="21"/>
                      <w:lang w:eastAsia="zh-CN"/>
                    </w:rPr>
                    <w:t>，</w:t>
                  </w:r>
                  <w:r>
                    <w:rPr>
                      <w:rFonts w:hint="eastAsia" w:ascii="Times New Roman" w:hAnsi="Times New Roman"/>
                      <w:color w:val="auto"/>
                      <w:szCs w:val="21"/>
                    </w:rPr>
                    <w:t>对环境影响较小。</w:t>
                  </w:r>
                </w:p>
              </w:tc>
              <w:tc>
                <w:tcPr>
                  <w:tcW w:w="539" w:type="pct"/>
                  <w:vAlign w:val="center"/>
                </w:tcPr>
                <w:p w14:paraId="4AEC009D">
                  <w:pPr>
                    <w:pStyle w:val="17"/>
                    <w:snapToGrid w:val="0"/>
                    <w:jc w:val="center"/>
                    <w:rPr>
                      <w:rFonts w:ascii="Times New Roman" w:hAnsi="Times New Roman"/>
                      <w:color w:val="auto"/>
                      <w:kern w:val="0"/>
                      <w:szCs w:val="21"/>
                      <w:lang w:bidi="ar"/>
                    </w:rPr>
                  </w:pPr>
                  <w:r>
                    <w:rPr>
                      <w:rFonts w:hint="eastAsia" w:ascii="Times New Roman" w:hAnsi="Times New Roman"/>
                      <w:color w:val="auto"/>
                      <w:kern w:val="0"/>
                      <w:szCs w:val="21"/>
                    </w:rPr>
                    <w:t>符合</w:t>
                  </w:r>
                </w:p>
              </w:tc>
            </w:tr>
          </w:tbl>
          <w:p w14:paraId="0FB5F21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b/>
                <w:bCs/>
                <w:color w:val="auto"/>
                <w:sz w:val="24"/>
              </w:rPr>
            </w:pPr>
            <w:r>
              <w:rPr>
                <w:rFonts w:hint="eastAsia"/>
                <w:color w:val="auto"/>
                <w:sz w:val="24"/>
              </w:rPr>
              <w:t>综上所述，项目建设符合《云南省空气质量持续改善行动实施方案》的相关要求。</w:t>
            </w:r>
          </w:p>
          <w:p w14:paraId="2956BD3C">
            <w:pPr>
              <w:keepNext w:val="0"/>
              <w:keepLines w:val="0"/>
              <w:pageBreakBefore w:val="0"/>
              <w:widowControl w:val="0"/>
              <w:kinsoku/>
              <w:wordWrap/>
              <w:overflowPunct/>
              <w:topLinePunct w:val="0"/>
              <w:autoSpaceDE/>
              <w:autoSpaceDN/>
              <w:bidi w:val="0"/>
              <w:adjustRightInd w:val="0"/>
              <w:snapToGrid w:val="0"/>
              <w:spacing w:line="360" w:lineRule="auto"/>
              <w:ind w:firstLine="498" w:firstLineChars="200"/>
              <w:textAlignment w:val="auto"/>
              <w:rPr>
                <w:rFonts w:hint="default"/>
                <w:b/>
                <w:bCs/>
                <w:color w:val="auto"/>
                <w:sz w:val="24"/>
                <w:szCs w:val="24"/>
              </w:rPr>
            </w:pPr>
            <w:r>
              <w:rPr>
                <w:rFonts w:hint="eastAsia"/>
                <w:b/>
                <w:bCs/>
                <w:color w:val="auto"/>
                <w:spacing w:val="4"/>
                <w:kern w:val="24"/>
                <w:sz w:val="24"/>
                <w:lang w:bidi="ar"/>
              </w:rPr>
              <w:t>1</w:t>
            </w:r>
            <w:r>
              <w:rPr>
                <w:rFonts w:hint="eastAsia"/>
                <w:b/>
                <w:bCs/>
                <w:color w:val="auto"/>
                <w:spacing w:val="4"/>
                <w:kern w:val="24"/>
                <w:sz w:val="24"/>
                <w:lang w:val="en-US" w:eastAsia="zh-CN" w:bidi="ar"/>
              </w:rPr>
              <w:t>0</w:t>
            </w:r>
            <w:r>
              <w:rPr>
                <w:b/>
                <w:bCs/>
                <w:color w:val="auto"/>
                <w:spacing w:val="4"/>
                <w:kern w:val="24"/>
                <w:sz w:val="24"/>
                <w:lang w:bidi="ar"/>
              </w:rPr>
              <w:t>、</w:t>
            </w:r>
            <w:r>
              <w:rPr>
                <w:rFonts w:hint="eastAsia"/>
                <w:b/>
                <w:bCs/>
                <w:color w:val="auto"/>
                <w:spacing w:val="4"/>
                <w:kern w:val="24"/>
                <w:sz w:val="24"/>
                <w:lang w:bidi="ar"/>
              </w:rPr>
              <w:t>项目</w:t>
            </w:r>
            <w:r>
              <w:rPr>
                <w:rFonts w:hint="default"/>
                <w:b/>
                <w:bCs/>
                <w:color w:val="auto"/>
                <w:sz w:val="24"/>
                <w:szCs w:val="24"/>
              </w:rPr>
              <w:t>与《</w:t>
            </w:r>
            <w:r>
              <w:rPr>
                <w:rFonts w:hint="eastAsia"/>
                <w:b/>
                <w:bCs/>
                <w:color w:val="auto"/>
                <w:sz w:val="24"/>
                <w:szCs w:val="24"/>
                <w:lang w:eastAsia="zh-CN"/>
              </w:rPr>
              <w:t>玉溪市大气污染防治行动实施方案</w:t>
            </w:r>
            <w:r>
              <w:rPr>
                <w:rFonts w:hint="default"/>
                <w:b/>
                <w:bCs/>
                <w:color w:val="auto"/>
                <w:sz w:val="24"/>
                <w:szCs w:val="24"/>
              </w:rPr>
              <w:t>》符合性分析</w:t>
            </w:r>
          </w:p>
          <w:p w14:paraId="5E800EB8">
            <w:pPr>
              <w:pStyle w:val="8"/>
              <w:keepNext w:val="0"/>
              <w:keepLines w:val="0"/>
              <w:pageBreakBefore w:val="0"/>
              <w:widowControl w:val="0"/>
              <w:tabs>
                <w:tab w:val="left" w:pos="5530"/>
              </w:tabs>
              <w:kinsoku/>
              <w:wordWrap/>
              <w:overflowPunct/>
              <w:topLinePunct w:val="0"/>
              <w:autoSpaceDE/>
              <w:autoSpaceDN/>
              <w:bidi w:val="0"/>
              <w:adjustRightInd w:val="0"/>
              <w:snapToGrid w:val="0"/>
              <w:spacing w:line="360" w:lineRule="auto"/>
              <w:ind w:left="0" w:leftChars="0" w:firstLine="0" w:firstLineChars="0"/>
              <w:jc w:val="center"/>
              <w:textAlignment w:val="auto"/>
              <w:rPr>
                <w:rStyle w:val="37"/>
                <w:rFonts w:hint="default" w:ascii="Times New Roman" w:hAnsi="Times New Roman" w:eastAsia="宋体" w:cs="Times New Roman"/>
                <w:b/>
                <w:bCs/>
                <w:color w:val="auto"/>
                <w:kern w:val="2"/>
                <w:szCs w:val="21"/>
                <w:lang w:val="en-US" w:eastAsia="zh-CN" w:bidi="ar-SA"/>
              </w:rPr>
            </w:pPr>
            <w:r>
              <w:rPr>
                <w:rStyle w:val="37"/>
                <w:rFonts w:hint="default" w:ascii="Times New Roman" w:hAnsi="Times New Roman" w:eastAsia="宋体" w:cs="Times New Roman"/>
                <w:b/>
                <w:bCs/>
                <w:color w:val="auto"/>
                <w:kern w:val="2"/>
                <w:szCs w:val="21"/>
                <w:lang w:val="en-US" w:eastAsia="zh-CN" w:bidi="ar-SA"/>
              </w:rPr>
              <w:t>表1-12  项目与《玉溪市大气污染防治行动实施方案》符合性分析</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8"/>
              <w:gridCol w:w="2264"/>
              <w:gridCol w:w="1192"/>
            </w:tblGrid>
            <w:tr w14:paraId="69D8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2805" w:type="pct"/>
                  <w:noWrap w:val="0"/>
                  <w:vAlign w:val="center"/>
                </w:tcPr>
                <w:p w14:paraId="2B3093E1">
                  <w:pPr>
                    <w:pStyle w:val="47"/>
                    <w:tabs>
                      <w:tab w:val="left" w:pos="5530"/>
                    </w:tabs>
                    <w:bidi w:val="0"/>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文件要求</w:t>
                  </w:r>
                </w:p>
              </w:tc>
              <w:tc>
                <w:tcPr>
                  <w:tcW w:w="1437" w:type="pct"/>
                  <w:noWrap w:val="0"/>
                  <w:vAlign w:val="center"/>
                </w:tcPr>
                <w:p w14:paraId="55960534">
                  <w:pPr>
                    <w:pStyle w:val="47"/>
                    <w:tabs>
                      <w:tab w:val="left" w:pos="5530"/>
                    </w:tabs>
                    <w:bidi w:val="0"/>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项目情况</w:t>
                  </w:r>
                </w:p>
              </w:tc>
              <w:tc>
                <w:tcPr>
                  <w:tcW w:w="757" w:type="pct"/>
                  <w:noWrap w:val="0"/>
                  <w:vAlign w:val="center"/>
                </w:tcPr>
                <w:p w14:paraId="49A205C2">
                  <w:pPr>
                    <w:pStyle w:val="47"/>
                    <w:tabs>
                      <w:tab w:val="left" w:pos="5530"/>
                    </w:tabs>
                    <w:bidi w:val="0"/>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符合性</w:t>
                  </w:r>
                </w:p>
              </w:tc>
            </w:tr>
            <w:tr w14:paraId="1BCC1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805" w:type="pct"/>
                  <w:noWrap w:val="0"/>
                  <w:vAlign w:val="center"/>
                </w:tcPr>
                <w:p w14:paraId="5061F9C7">
                  <w:pPr>
                    <w:pStyle w:val="47"/>
                    <w:tabs>
                      <w:tab w:val="left" w:pos="5530"/>
                    </w:tabs>
                    <w:bidi w:val="0"/>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一）严格节能环保准入。提高高污染、高耗能行业准入门槛，进一步强化节能、环保指标约束，严控高污染、高耗能行业新增产能。对新增用能项目，要实施严格的节能评估审查和环境影响评价制度。把二氧化硫、氮氧化物、烟粉尘和挥发性有机物排放是否符合总量控制要求，作为建设项目环境影响评价审批的主要因素予以审查。未通过能评和环评审查的建设项目，有关部门不得审批、核准、备案。积极发展绿色建筑，新建建筑要严格执行强制性节能标准，大力推广使用太阳能热水系统和光伏建筑一体化等技术和装备。</w:t>
                  </w:r>
                </w:p>
              </w:tc>
              <w:tc>
                <w:tcPr>
                  <w:tcW w:w="1437" w:type="pct"/>
                  <w:noWrap w:val="0"/>
                  <w:vAlign w:val="center"/>
                </w:tcPr>
                <w:p w14:paraId="3DD069C4">
                  <w:pPr>
                    <w:pStyle w:val="47"/>
                    <w:tabs>
                      <w:tab w:val="left" w:pos="5530"/>
                    </w:tabs>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项目不属于高污染、高耗能行业，项目用能较少</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eastAsia="zh-CN"/>
                    </w:rPr>
                    <w:t>根据项目工程分析，项目颗粒物、挥发性有机物的排放量按照</w:t>
                  </w:r>
                  <w:r>
                    <w:rPr>
                      <w:rFonts w:hint="default" w:ascii="Times New Roman" w:hAnsi="Times New Roman" w:eastAsia="宋体" w:cs="Times New Roman"/>
                      <w:color w:val="auto"/>
                      <w:sz w:val="21"/>
                      <w:szCs w:val="21"/>
                      <w:highlight w:val="none"/>
                      <w:lang w:val="en-US" w:eastAsia="zh-CN"/>
                    </w:rPr>
                    <w:t>“十四五”期间主要总量控制指标进行总量控制</w:t>
                  </w:r>
                  <w:r>
                    <w:rPr>
                      <w:rFonts w:hint="default" w:ascii="Times New Roman" w:hAnsi="Times New Roman" w:cs="Times New Roman"/>
                      <w:color w:val="auto"/>
                      <w:sz w:val="21"/>
                      <w:szCs w:val="21"/>
                      <w:lang w:eastAsia="zh-CN"/>
                    </w:rPr>
                    <w:t>。</w:t>
                  </w:r>
                </w:p>
              </w:tc>
              <w:tc>
                <w:tcPr>
                  <w:tcW w:w="757" w:type="pct"/>
                  <w:noWrap w:val="0"/>
                  <w:vAlign w:val="center"/>
                </w:tcPr>
                <w:p w14:paraId="7C09335D">
                  <w:pPr>
                    <w:pStyle w:val="47"/>
                    <w:tabs>
                      <w:tab w:val="left" w:pos="5530"/>
                    </w:tabs>
                    <w:bidi w:val="0"/>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符合</w:t>
                  </w:r>
                </w:p>
              </w:tc>
            </w:tr>
            <w:tr w14:paraId="6696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05" w:type="pct"/>
                  <w:noWrap w:val="0"/>
                  <w:vAlign w:val="center"/>
                </w:tcPr>
                <w:p w14:paraId="67469469">
                  <w:pPr>
                    <w:pStyle w:val="47"/>
                    <w:tabs>
                      <w:tab w:val="left" w:pos="5530"/>
                    </w:tabs>
                    <w:bidi w:val="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（二）加快清洁能源替代利用。优化调整能源结构，加大清洁能源推广使用力度。在做好 生态保护和移民安置的基础上，积极推进水电开发，统筹协调 中小水电发展，规范有序发展风电。积极开发以生物柴油、生物质固体成型燃料为主的生物质能，稳妥推进太阳能发电，加快推进太阳能多元化利用。加快建设和完善天然气管网及配套设施，不断扩大天然气利用规模。认真落实《玉溪市人民政府办公室关于印发玉溪市中心城区天然气利用发展三年行动计划的通知》（玉政办发〔2014〕113 号），从2014 年起，用3年左右的时间，全力推进中心城区天然气利用普及工作。各县区应逐步建设和完善天然气管网及配套设施，加快清洁能源替代，优化调整能源结构。</w:t>
                  </w:r>
                </w:p>
              </w:tc>
              <w:tc>
                <w:tcPr>
                  <w:tcW w:w="1437" w:type="pct"/>
                  <w:noWrap w:val="0"/>
                  <w:vAlign w:val="center"/>
                </w:tcPr>
                <w:p w14:paraId="3842D92D">
                  <w:pPr>
                    <w:pStyle w:val="47"/>
                    <w:tabs>
                      <w:tab w:val="left" w:pos="5530"/>
                    </w:tabs>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项目使用能源为水、电能，属于清洁能源，不使用其他能源</w:t>
                  </w:r>
                </w:p>
              </w:tc>
              <w:tc>
                <w:tcPr>
                  <w:tcW w:w="757" w:type="pct"/>
                  <w:noWrap w:val="0"/>
                  <w:vAlign w:val="center"/>
                </w:tcPr>
                <w:p w14:paraId="4F4EA747">
                  <w:pPr>
                    <w:pStyle w:val="47"/>
                    <w:tabs>
                      <w:tab w:val="left" w:pos="5530"/>
                    </w:tabs>
                    <w:bidi w:val="0"/>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符合</w:t>
                  </w:r>
                </w:p>
              </w:tc>
            </w:tr>
            <w:tr w14:paraId="52D0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05" w:type="pct"/>
                  <w:noWrap w:val="0"/>
                  <w:vAlign w:val="center"/>
                </w:tcPr>
                <w:p w14:paraId="18E349D5">
                  <w:pPr>
                    <w:pStyle w:val="47"/>
                    <w:tabs>
                      <w:tab w:val="left" w:pos="5530"/>
                    </w:tabs>
                    <w:bidi w:val="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三）转变生产、生活方式，逐步取缔高污染燃料。各县区政府所在地建成区全面禁止烧煤、烧柴，取缔燃煤锅炉、炉灶，推广使用天然气、液化石油气、电力、生物燃料等清洁能源。中心城区及各县县城所在地建成区在2016年底前制定并实施高污染燃料禁燃区管理规定。提高煤炭洗选比例， 鼓励建设群矿型和矿区选煤厂，大力发展煤炭洗选加工技术，现有煤矿要加快结构调整和升级改造。发展洁净煤技术，实现煤炭高效洁净燃烧，新建高耗能项目单位产品（产值）能耗要达到国内先进水平。逐步淘汰各县区燃煤锅炉，到2017年底基本淘汰中心城区建成区内每小时10蒸吨及以下燃煤锅炉；原则上不再新建、改建、扩建燃煤锅炉，禁止新建每小时20蒸吨以下燃煤锅炉。其他具备天然气供应和使用条件的地区，不再新建每小时10蒸吨以下燃煤锅炉。2017年底前，县区政府所在地建成区全面禁止使用燃煤锅炉。产业聚集区要集中建设热电联产机组或大型集中供热设施，逐步淘汰分散燃煤锅炉。天然气干、支线可以覆盖的地区原则上不再审批以煤（油）作为燃料的新建、改建、扩建项目。</w:t>
                  </w:r>
                </w:p>
              </w:tc>
              <w:tc>
                <w:tcPr>
                  <w:tcW w:w="1437" w:type="pct"/>
                  <w:noWrap w:val="0"/>
                  <w:vAlign w:val="center"/>
                </w:tcPr>
                <w:p w14:paraId="20407D75">
                  <w:pPr>
                    <w:pStyle w:val="47"/>
                    <w:tabs>
                      <w:tab w:val="left" w:pos="5530"/>
                    </w:tabs>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项目不使用锅炉，使用电能加热。</w:t>
                  </w:r>
                </w:p>
              </w:tc>
              <w:tc>
                <w:tcPr>
                  <w:tcW w:w="757" w:type="pct"/>
                  <w:noWrap w:val="0"/>
                  <w:vAlign w:val="center"/>
                </w:tcPr>
                <w:p w14:paraId="38AFC6D2">
                  <w:pPr>
                    <w:pStyle w:val="47"/>
                    <w:tabs>
                      <w:tab w:val="left" w:pos="5530"/>
                    </w:tabs>
                    <w:bidi w:val="0"/>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eastAsia="zh-CN"/>
                    </w:rPr>
                    <w:t>符合</w:t>
                  </w:r>
                </w:p>
              </w:tc>
            </w:tr>
            <w:tr w14:paraId="6F8D5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05" w:type="pct"/>
                  <w:noWrap w:val="0"/>
                  <w:vAlign w:val="center"/>
                </w:tcPr>
                <w:p w14:paraId="604A0568">
                  <w:pPr>
                    <w:pStyle w:val="47"/>
                    <w:tabs>
                      <w:tab w:val="left" w:pos="5530"/>
                    </w:tabs>
                    <w:bidi w:val="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四）深化城市扬尘污染治理。2014年底前，各县区人民政府要制定并完善工程建设工地扬尘管理措施办法，明确部门职责，加强施工扬尘监管，积极推进绿色施工。城市建成区及周边地区的工程建设施工现场应全封闭设置围挡墙、施工围网、防风抑尘网，严禁敞开式作业，施工现场道路应进行地面硬化。渣土运输车辆进出施工工地要 进行清洗，运输过程采取密闭措施，并按照指定路线运输，2017年底前基本安装卫星定位系统。县级以上城市要加大城市建成 区内洒水等防风抑尘作业力度，推行道路机械化清扫等低尘作业方式；大型煤堆、料堆实现封闭存储或建设防风抑尘设施。</w:t>
                  </w:r>
                </w:p>
              </w:tc>
              <w:tc>
                <w:tcPr>
                  <w:tcW w:w="1437" w:type="pct"/>
                  <w:noWrap w:val="0"/>
                  <w:vAlign w:val="center"/>
                </w:tcPr>
                <w:p w14:paraId="528F5345">
                  <w:pPr>
                    <w:pStyle w:val="127"/>
                    <w:keepNext w:val="0"/>
                    <w:keepLines w:val="0"/>
                    <w:pageBreakBefore w:val="0"/>
                    <w:widowControl w:val="0"/>
                    <w:kinsoku/>
                    <w:wordWrap/>
                    <w:topLinePunct w:val="0"/>
                    <w:autoSpaceDE/>
                    <w:autoSpaceDN/>
                    <w:bidi w:val="0"/>
                    <w:adjustRightInd/>
                    <w:spacing w:before="0" w:after="0" w:afterLines="0" w:line="240" w:lineRule="auto"/>
                    <w:ind w:firstLine="0" w:firstLineChars="0"/>
                    <w:rPr>
                      <w:rFonts w:hint="default" w:ascii="Times New Roman" w:hAnsi="Times New Roman" w:cs="Times New Roman"/>
                      <w:color w:val="auto"/>
                      <w:sz w:val="21"/>
                      <w:szCs w:val="21"/>
                      <w:lang w:val="en-US" w:eastAsia="zh-CN"/>
                    </w:rPr>
                  </w:pPr>
                  <w:r>
                    <w:rPr>
                      <w:rFonts w:hint="eastAsia"/>
                      <w:color w:val="auto"/>
                      <w:lang w:val="en-US" w:eastAsia="zh-CN"/>
                    </w:rPr>
                    <w:t>项目</w:t>
                  </w:r>
                  <w:r>
                    <w:rPr>
                      <w:rFonts w:hint="eastAsia" w:eastAsia="宋体" w:cs="Times New Roman"/>
                      <w:color w:val="auto"/>
                      <w:lang w:val="en-US" w:eastAsia="zh-CN"/>
                    </w:rPr>
                    <w:t>租用已建标准厂房进行建设，</w:t>
                  </w:r>
                  <w:r>
                    <w:rPr>
                      <w:rFonts w:hint="eastAsia" w:cs="Times New Roman"/>
                      <w:color w:val="auto"/>
                      <w:lang w:val="en-US" w:eastAsia="zh-CN"/>
                    </w:rPr>
                    <w:t>生产厂房</w:t>
                  </w:r>
                  <w:r>
                    <w:rPr>
                      <w:rFonts w:hint="eastAsia" w:eastAsia="宋体" w:cs="Times New Roman"/>
                      <w:color w:val="auto"/>
                      <w:lang w:val="en-US" w:eastAsia="zh-CN"/>
                    </w:rPr>
                    <w:t>施工期仅在现有厂房内进行装修改造、设备安装、环保设施建设等</w:t>
                  </w:r>
                  <w:r>
                    <w:rPr>
                      <w:rFonts w:hint="eastAsia" w:cs="Times New Roman"/>
                      <w:color w:val="auto"/>
                      <w:highlight w:val="none"/>
                      <w:lang w:val="en-US" w:eastAsia="zh-CN"/>
                    </w:rPr>
                    <w:t>；</w:t>
                  </w:r>
                  <w:r>
                    <w:rPr>
                      <w:rFonts w:hint="eastAsia"/>
                      <w:color w:val="auto"/>
                      <w:highlight w:val="none"/>
                      <w:lang w:val="en-US" w:eastAsia="zh-CN"/>
                    </w:rPr>
                    <w:t>在施工过程中采取洒水降尘等措施</w:t>
                  </w:r>
                  <w:r>
                    <w:rPr>
                      <w:rFonts w:hint="default" w:ascii="Times New Roman" w:hAnsi="Times New Roman" w:cs="Times New Roman"/>
                      <w:color w:val="auto"/>
                      <w:sz w:val="21"/>
                      <w:szCs w:val="21"/>
                      <w:lang w:val="en-US" w:eastAsia="zh-CN"/>
                    </w:rPr>
                    <w:t>，减少扬尘排放量。</w:t>
                  </w:r>
                </w:p>
              </w:tc>
              <w:tc>
                <w:tcPr>
                  <w:tcW w:w="757" w:type="pct"/>
                  <w:noWrap w:val="0"/>
                  <w:vAlign w:val="center"/>
                </w:tcPr>
                <w:p w14:paraId="4B62558B">
                  <w:pPr>
                    <w:pStyle w:val="47"/>
                    <w:tabs>
                      <w:tab w:val="left" w:pos="5530"/>
                    </w:tabs>
                    <w:bidi w:val="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bl>
          <w:p w14:paraId="5E7DCBB2">
            <w:pPr>
              <w:adjustRightInd w:val="0"/>
              <w:snapToGrid w:val="0"/>
              <w:spacing w:line="360" w:lineRule="auto"/>
              <w:ind w:firstLine="480" w:firstLineChars="200"/>
              <w:rPr>
                <w:rFonts w:hint="default" w:ascii="Times New Roman" w:hAnsi="Times New Roman" w:cs="Times New Roman"/>
                <w:b/>
                <w:color w:val="auto"/>
                <w:sz w:val="24"/>
                <w:lang w:val="en-US" w:eastAsia="zh-CN"/>
              </w:rPr>
            </w:pPr>
            <w:r>
              <w:rPr>
                <w:rFonts w:hint="default" w:ascii="Times New Roman" w:hAnsi="Times New Roman" w:cs="Times New Roman"/>
                <w:color w:val="auto"/>
                <w:sz w:val="24"/>
              </w:rPr>
              <w:t>综上所述</w:t>
            </w:r>
            <w:r>
              <w:rPr>
                <w:rFonts w:hint="default" w:ascii="Times New Roman" w:hAnsi="Times New Roman" w:eastAsia="宋体" w:cs="Times New Roman"/>
                <w:color w:val="auto"/>
                <w:sz w:val="24"/>
              </w:rPr>
              <w:t>，项目建设符合《</w:t>
            </w:r>
            <w:r>
              <w:rPr>
                <w:rFonts w:hint="default" w:ascii="Times New Roman" w:hAnsi="Times New Roman" w:eastAsia="宋体" w:cs="Times New Roman"/>
                <w:color w:val="auto"/>
                <w:sz w:val="24"/>
                <w:lang w:eastAsia="zh-CN"/>
              </w:rPr>
              <w:t>玉溪市大气污染防治行动实施方案</w:t>
            </w:r>
            <w:r>
              <w:rPr>
                <w:rFonts w:hint="default" w:ascii="Times New Roman" w:hAnsi="Times New Roman" w:eastAsia="宋体" w:cs="Times New Roman"/>
                <w:color w:val="auto"/>
                <w:sz w:val="24"/>
              </w:rPr>
              <w:t>》的相关要求。</w:t>
            </w:r>
          </w:p>
          <w:p w14:paraId="2834C0EE">
            <w:pPr>
              <w:widowControl/>
              <w:numPr>
                <w:ilvl w:val="0"/>
                <w:numId w:val="0"/>
              </w:numPr>
              <w:spacing w:line="360" w:lineRule="auto"/>
              <w:ind w:firstLine="482" w:firstLineChars="200"/>
              <w:jc w:val="both"/>
              <w:rPr>
                <w:b/>
                <w:color w:val="auto"/>
                <w:kern w:val="0"/>
                <w:sz w:val="24"/>
                <w:lang w:bidi="ar"/>
              </w:rPr>
            </w:pPr>
            <w:r>
              <w:rPr>
                <w:rFonts w:hint="eastAsia"/>
                <w:b/>
                <w:color w:val="auto"/>
                <w:sz w:val="24"/>
                <w:lang w:val="en-US" w:eastAsia="zh-CN"/>
              </w:rPr>
              <w:t>11、项目</w:t>
            </w:r>
            <w:r>
              <w:rPr>
                <w:b/>
                <w:color w:val="auto"/>
                <w:sz w:val="24"/>
              </w:rPr>
              <w:t>与</w:t>
            </w:r>
            <w:r>
              <w:rPr>
                <w:b/>
                <w:color w:val="auto"/>
                <w:kern w:val="0"/>
                <w:sz w:val="24"/>
                <w:lang w:bidi="ar"/>
              </w:rPr>
              <w:t>国家发展改革委、生态环境部关于印发《“十四五”塑料污染</w:t>
            </w:r>
          </w:p>
          <w:p w14:paraId="0E7B2514">
            <w:pPr>
              <w:widowControl/>
              <w:numPr>
                <w:ilvl w:val="0"/>
                <w:numId w:val="0"/>
              </w:numPr>
              <w:spacing w:line="360" w:lineRule="auto"/>
              <w:jc w:val="both"/>
              <w:rPr>
                <w:b/>
                <w:color w:val="auto"/>
                <w:spacing w:val="4"/>
                <w:kern w:val="24"/>
                <w:lang w:bidi="ar"/>
              </w:rPr>
            </w:pPr>
            <w:r>
              <w:rPr>
                <w:b/>
                <w:color w:val="auto"/>
                <w:kern w:val="0"/>
                <w:sz w:val="24"/>
                <w:lang w:bidi="ar"/>
              </w:rPr>
              <w:t>治理行动方案》的通知》发改环资〔2021〕1298号的符合性分析</w:t>
            </w:r>
            <w:r>
              <w:rPr>
                <w:b/>
                <w:color w:val="auto"/>
                <w:spacing w:val="4"/>
                <w:kern w:val="24"/>
                <w:lang w:bidi="ar"/>
              </w:rPr>
              <w:br w:type="textWrapping"/>
            </w:r>
            <w:r>
              <w:rPr>
                <w:b/>
                <w:color w:val="auto"/>
                <w:spacing w:val="4"/>
                <w:kern w:val="24"/>
                <w:lang w:bidi="ar"/>
              </w:rPr>
              <w:t>表1-1</w:t>
            </w:r>
            <w:r>
              <w:rPr>
                <w:rFonts w:hint="eastAsia"/>
                <w:b/>
                <w:color w:val="auto"/>
                <w:spacing w:val="4"/>
                <w:kern w:val="24"/>
                <w:lang w:val="en-US" w:eastAsia="zh-CN" w:bidi="ar"/>
              </w:rPr>
              <w:t xml:space="preserve">3  </w:t>
            </w:r>
            <w:r>
              <w:rPr>
                <w:b/>
                <w:color w:val="auto"/>
                <w:spacing w:val="4"/>
                <w:kern w:val="24"/>
                <w:lang w:bidi="ar"/>
              </w:rPr>
              <w:t>与国家发展改革委、生态环境部关于印发《“十四五”塑料污染治理行动方案》的通知》发改环资〔2021〕1298号的符合性分析</w:t>
            </w:r>
          </w:p>
          <w:p w14:paraId="0DA45A5D">
            <w:pPr>
              <w:widowControl/>
              <w:jc w:val="center"/>
              <w:rPr>
                <w:bCs/>
                <w:color w:val="auto"/>
                <w:spacing w:val="4"/>
                <w:kern w:val="24"/>
                <w:lang w:bidi="ar"/>
              </w:rPr>
            </w:pP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27"/>
              <w:gridCol w:w="3518"/>
              <w:gridCol w:w="931"/>
            </w:tblGrid>
            <w:tr w14:paraId="2ACE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noWrap w:val="0"/>
                  <w:vAlign w:val="center"/>
                </w:tcPr>
                <w:p w14:paraId="760CF63A">
                  <w:pPr>
                    <w:widowControl/>
                    <w:jc w:val="center"/>
                    <w:rPr>
                      <w:color w:val="auto"/>
                    </w:rPr>
                  </w:pPr>
                  <w:r>
                    <w:rPr>
                      <w:color w:val="auto"/>
                    </w:rPr>
                    <w:t>方案内容</w:t>
                  </w:r>
                </w:p>
              </w:tc>
              <w:tc>
                <w:tcPr>
                  <w:tcW w:w="2233" w:type="pct"/>
                  <w:noWrap w:val="0"/>
                  <w:vAlign w:val="center"/>
                </w:tcPr>
                <w:p w14:paraId="3FF1E079">
                  <w:pPr>
                    <w:widowControl/>
                    <w:jc w:val="center"/>
                    <w:rPr>
                      <w:color w:val="auto"/>
                    </w:rPr>
                  </w:pPr>
                  <w:r>
                    <w:rPr>
                      <w:color w:val="auto"/>
                    </w:rPr>
                    <w:t>项目情况</w:t>
                  </w:r>
                </w:p>
              </w:tc>
              <w:tc>
                <w:tcPr>
                  <w:tcW w:w="591" w:type="pct"/>
                  <w:noWrap w:val="0"/>
                  <w:vAlign w:val="center"/>
                </w:tcPr>
                <w:p w14:paraId="7DFD1C48">
                  <w:pPr>
                    <w:widowControl/>
                    <w:jc w:val="center"/>
                    <w:rPr>
                      <w:color w:val="auto"/>
                    </w:rPr>
                  </w:pPr>
                  <w:r>
                    <w:rPr>
                      <w:color w:val="auto"/>
                    </w:rPr>
                    <w:t>符合性</w:t>
                  </w:r>
                </w:p>
              </w:tc>
            </w:tr>
            <w:tr w14:paraId="72539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noWrap w:val="0"/>
                  <w:vAlign w:val="top"/>
                </w:tcPr>
                <w:p w14:paraId="4EFDBEFB">
                  <w:pPr>
                    <w:ind w:firstLine="420" w:firstLineChars="200"/>
                    <w:rPr>
                      <w:color w:val="auto"/>
                    </w:rPr>
                  </w:pPr>
                  <w:r>
                    <w:rPr>
                      <w:color w:val="auto"/>
                    </w:rPr>
                    <w:t>1.积极推行塑料制品绿色设计。以一次性塑料制品为重点，制定绿色设计相关标准，优化产品结构设计，减少产品材料设计复杂度，增强塑料制品易回收利用性。（工业和信息化部牵头负责）禁止生产厚度小于0.025毫米的超薄塑料购物袋、厚度小于0.01毫米的聚乙烯农用地膜、含塑料微珠日化产品等部分危害环境和人体健康的产品。（市场监管总局、国家药监局按职责分工负责）加强限制商品过度包装标准宣贯实施，加强对商品过度包装的执法监管。（市场监管总局、工业和信息化部按职责分工负责）。</w:t>
                  </w:r>
                </w:p>
              </w:tc>
              <w:tc>
                <w:tcPr>
                  <w:tcW w:w="2233" w:type="pct"/>
                  <w:noWrap w:val="0"/>
                  <w:vAlign w:val="center"/>
                </w:tcPr>
                <w:p w14:paraId="25B5F78D">
                  <w:pPr>
                    <w:widowControl/>
                    <w:rPr>
                      <w:color w:val="auto"/>
                    </w:rPr>
                  </w:pPr>
                  <w:r>
                    <w:rPr>
                      <w:color w:val="auto"/>
                    </w:rPr>
                    <w:t>本项目原材料采用全新料颗粒，未违规添加对人体、环境有害的化学添加剂。项目生产的产品质量符合相关产品行业标准，不合格的产品、</w:t>
                  </w:r>
                  <w:r>
                    <w:rPr>
                      <w:rFonts w:hint="eastAsia"/>
                      <w:color w:val="auto"/>
                      <w:lang w:val="en-US" w:eastAsia="zh-CN"/>
                    </w:rPr>
                    <w:t>未成品产品、</w:t>
                  </w:r>
                  <w:r>
                    <w:rPr>
                      <w:color w:val="auto"/>
                    </w:rPr>
                    <w:t>边角料</w:t>
                  </w:r>
                  <w:r>
                    <w:rPr>
                      <w:rFonts w:hint="eastAsia"/>
                      <w:color w:val="auto"/>
                      <w:lang w:eastAsia="zh-CN"/>
                    </w:rPr>
                    <w:t>收集</w:t>
                  </w:r>
                  <w:r>
                    <w:rPr>
                      <w:rFonts w:hint="eastAsia"/>
                      <w:color w:val="auto"/>
                      <w:lang w:val="en-US" w:eastAsia="zh-CN"/>
                    </w:rPr>
                    <w:t>破碎</w:t>
                  </w:r>
                  <w:r>
                    <w:rPr>
                      <w:rFonts w:hint="eastAsia"/>
                      <w:color w:val="auto"/>
                      <w:lang w:eastAsia="zh-CN"/>
                    </w:rPr>
                    <w:t>后进行外售</w:t>
                  </w:r>
                  <w:r>
                    <w:rPr>
                      <w:color w:val="auto"/>
                    </w:rPr>
                    <w:t>，有较好回收利用性。</w:t>
                  </w:r>
                </w:p>
              </w:tc>
              <w:tc>
                <w:tcPr>
                  <w:tcW w:w="591" w:type="pct"/>
                  <w:noWrap w:val="0"/>
                  <w:vAlign w:val="center"/>
                </w:tcPr>
                <w:p w14:paraId="267CA664">
                  <w:pPr>
                    <w:widowControl/>
                    <w:jc w:val="center"/>
                    <w:rPr>
                      <w:color w:val="auto"/>
                    </w:rPr>
                  </w:pPr>
                  <w:r>
                    <w:rPr>
                      <w:color w:val="auto"/>
                    </w:rPr>
                    <w:t>符合</w:t>
                  </w:r>
                </w:p>
              </w:tc>
            </w:tr>
            <w:tr w14:paraId="0CA74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noWrap w:val="0"/>
                  <w:vAlign w:val="top"/>
                </w:tcPr>
                <w:p w14:paraId="5F35A62D">
                  <w:pPr>
                    <w:ind w:firstLine="420" w:firstLineChars="200"/>
                    <w:rPr>
                      <w:color w:val="auto"/>
                    </w:rPr>
                  </w:pPr>
                  <w:r>
                    <w:rPr>
                      <w:color w:val="auto"/>
                    </w:rPr>
                    <w:t> 4.加强塑料废弃物规范回收和清运。结合生活垃圾分类，推进城市再生资源回收网点与生活垃圾分类网点融合，在大型社区、写字楼、商场、医院、学校、场馆等地，合理布局生活垃圾分类收集设施设备，提高塑料废弃物收集转运效率，提升塑料废弃物回收规范化水平。（住房和城乡建设部、商务部、国管局按职责分工负责）进一步加强公路、铁路、水运、民航等旅客运输领域塑料废弃物规范收集，推动交通运输工具收集、场站接收与城市公共转运处置体系的有效衔接。（交通运输部、住房和城乡建设部、国家铁路局、民航局按职责分工负责）鼓励电子商务平台（含外卖平台）、快递企业与环卫单位、回收企业</w:t>
                  </w:r>
                </w:p>
                <w:p w14:paraId="47040F26">
                  <w:pPr>
                    <w:rPr>
                      <w:color w:val="auto"/>
                    </w:rPr>
                  </w:pPr>
                  <w:r>
                    <w:rPr>
                      <w:color w:val="auto"/>
                    </w:rPr>
                    <w:t>等开展多方合作，加大快递包装、外卖餐盒等塑料废弃物规范回收力度。（商务部、住房和城乡建设部、国家邮政局按职责分工负责）支持供销合作社大力开展塑料废弃物规范回收。（全国供销合作总社牵</w:t>
                  </w:r>
                </w:p>
                <w:p w14:paraId="6542D671">
                  <w:pPr>
                    <w:ind w:firstLine="420" w:firstLineChars="200"/>
                    <w:rPr>
                      <w:color w:val="auto"/>
                    </w:rPr>
                  </w:pPr>
                  <w:r>
                    <w:rPr>
                      <w:color w:val="auto"/>
                    </w:rPr>
                    <w:t>头负责）</w:t>
                  </w:r>
                </w:p>
              </w:tc>
              <w:tc>
                <w:tcPr>
                  <w:tcW w:w="2233" w:type="pct"/>
                  <w:noWrap w:val="0"/>
                  <w:vAlign w:val="center"/>
                </w:tcPr>
                <w:p w14:paraId="616E3914">
                  <w:pPr>
                    <w:widowControl/>
                    <w:rPr>
                      <w:color w:val="auto"/>
                    </w:rPr>
                  </w:pPr>
                  <w:r>
                    <w:rPr>
                      <w:color w:val="auto"/>
                    </w:rPr>
                    <w:t>本项目生产的</w:t>
                  </w:r>
                  <w:r>
                    <w:rPr>
                      <w:rFonts w:hint="eastAsia"/>
                      <w:color w:val="auto"/>
                      <w:lang w:val="en-US" w:eastAsia="zh-CN"/>
                    </w:rPr>
                    <w:t>各类塑料包装箱及容器</w:t>
                  </w:r>
                  <w:r>
                    <w:rPr>
                      <w:color w:val="auto"/>
                    </w:rPr>
                    <w:t>，不属于违规生产销售国家明令禁止的塑料制品，不合格的产品、</w:t>
                  </w:r>
                  <w:r>
                    <w:rPr>
                      <w:rFonts w:hint="eastAsia"/>
                      <w:color w:val="auto"/>
                      <w:lang w:val="en-US" w:eastAsia="zh-CN"/>
                    </w:rPr>
                    <w:t>未成品产品、</w:t>
                  </w:r>
                  <w:r>
                    <w:rPr>
                      <w:color w:val="auto"/>
                    </w:rPr>
                    <w:t>边角料</w:t>
                  </w:r>
                  <w:r>
                    <w:rPr>
                      <w:rFonts w:hint="eastAsia"/>
                      <w:color w:val="auto"/>
                      <w:lang w:eastAsia="zh-CN"/>
                    </w:rPr>
                    <w:t>收集</w:t>
                  </w:r>
                  <w:r>
                    <w:rPr>
                      <w:rFonts w:hint="eastAsia"/>
                      <w:color w:val="auto"/>
                      <w:lang w:val="en-US" w:eastAsia="zh-CN"/>
                    </w:rPr>
                    <w:t>破碎</w:t>
                  </w:r>
                  <w:r>
                    <w:rPr>
                      <w:rFonts w:hint="eastAsia"/>
                      <w:color w:val="auto"/>
                      <w:lang w:eastAsia="zh-CN"/>
                    </w:rPr>
                    <w:t>后进行外售</w:t>
                  </w:r>
                  <w:r>
                    <w:rPr>
                      <w:color w:val="auto"/>
                    </w:rPr>
                    <w:t>，无塑料废弃物。</w:t>
                  </w:r>
                </w:p>
              </w:tc>
              <w:tc>
                <w:tcPr>
                  <w:tcW w:w="591" w:type="pct"/>
                  <w:noWrap w:val="0"/>
                  <w:vAlign w:val="center"/>
                </w:tcPr>
                <w:p w14:paraId="0F691DF3">
                  <w:pPr>
                    <w:widowControl/>
                    <w:jc w:val="center"/>
                    <w:rPr>
                      <w:color w:val="auto"/>
                    </w:rPr>
                  </w:pPr>
                  <w:r>
                    <w:rPr>
                      <w:color w:val="auto"/>
                    </w:rPr>
                    <w:t>符合</w:t>
                  </w:r>
                </w:p>
              </w:tc>
            </w:tr>
            <w:tr w14:paraId="697B4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noWrap w:val="0"/>
                  <w:vAlign w:val="top"/>
                </w:tcPr>
                <w:p w14:paraId="7690111A">
                  <w:pPr>
                    <w:ind w:firstLine="420" w:firstLineChars="200"/>
                    <w:rPr>
                      <w:color w:val="auto"/>
                    </w:rPr>
                  </w:pPr>
                  <w:r>
                    <w:rPr>
                      <w:color w:val="auto"/>
                    </w:rPr>
                    <w:t>6.加大塑料废弃物再生利用。支持塑料废弃物再生利用项目建设，发布废塑料综合利用规范企业名单，引导相关项目向资源循环利用基地、工业资源综合利用基地等园区集聚，推动塑料废弃物再生利用产业规模化、规范化、清洁化发展。（国家发展改革委、工业和信息化部、生态环境部按职责分工负责）加强塑料废弃物再生利用企业的环境监管，加大对小散乱企业和违法违规行为的整治力度，防止二次污染。（生态环境部负责）完善再生塑料有关标准，加快推广应用</w:t>
                  </w:r>
                </w:p>
                <w:p w14:paraId="12290BEC">
                  <w:pPr>
                    <w:rPr>
                      <w:color w:val="auto"/>
                    </w:rPr>
                  </w:pPr>
                  <w:r>
                    <w:rPr>
                      <w:color w:val="auto"/>
                    </w:rPr>
                    <w:t>废塑料再生利用先进适用技术装备，鼓励塑料废弃物同级化、高附加值利用。（市场监管总局、工业和信息化部按职责分工负责）</w:t>
                  </w:r>
                </w:p>
                <w:p w14:paraId="23D8C116">
                  <w:pPr>
                    <w:ind w:firstLine="420" w:firstLineChars="200"/>
                    <w:rPr>
                      <w:color w:val="auto"/>
                    </w:rPr>
                  </w:pPr>
                </w:p>
              </w:tc>
              <w:tc>
                <w:tcPr>
                  <w:tcW w:w="2233" w:type="pct"/>
                  <w:noWrap w:val="0"/>
                  <w:vAlign w:val="center"/>
                </w:tcPr>
                <w:p w14:paraId="677BC6C3">
                  <w:pPr>
                    <w:widowControl/>
                    <w:rPr>
                      <w:color w:val="auto"/>
                    </w:rPr>
                  </w:pPr>
                  <w:r>
                    <w:rPr>
                      <w:color w:val="auto"/>
                    </w:rPr>
                    <w:t>本项目生产</w:t>
                  </w:r>
                  <w:r>
                    <w:rPr>
                      <w:rFonts w:hint="eastAsia"/>
                      <w:color w:val="auto"/>
                      <w:lang w:val="en-US" w:eastAsia="zh-CN"/>
                    </w:rPr>
                    <w:t>各类塑料包装箱及容器</w:t>
                  </w:r>
                  <w:r>
                    <w:rPr>
                      <w:color w:val="auto"/>
                    </w:rPr>
                    <w:t>，不合格的产品、</w:t>
                  </w:r>
                  <w:r>
                    <w:rPr>
                      <w:rFonts w:hint="eastAsia"/>
                      <w:color w:val="auto"/>
                      <w:lang w:val="en-US" w:eastAsia="zh-CN"/>
                    </w:rPr>
                    <w:t>未成品产品、</w:t>
                  </w:r>
                  <w:r>
                    <w:rPr>
                      <w:color w:val="auto"/>
                    </w:rPr>
                    <w:t>边角料</w:t>
                  </w:r>
                  <w:r>
                    <w:rPr>
                      <w:rFonts w:hint="eastAsia"/>
                      <w:color w:val="auto"/>
                      <w:lang w:eastAsia="zh-CN"/>
                    </w:rPr>
                    <w:t>收集</w:t>
                  </w:r>
                  <w:r>
                    <w:rPr>
                      <w:rFonts w:hint="eastAsia"/>
                      <w:color w:val="auto"/>
                      <w:lang w:val="en-US" w:eastAsia="zh-CN"/>
                    </w:rPr>
                    <w:t>破碎</w:t>
                  </w:r>
                  <w:r>
                    <w:rPr>
                      <w:rFonts w:hint="eastAsia"/>
                      <w:color w:val="auto"/>
                      <w:lang w:eastAsia="zh-CN"/>
                    </w:rPr>
                    <w:t>后进行外售</w:t>
                  </w:r>
                  <w:r>
                    <w:rPr>
                      <w:color w:val="auto"/>
                    </w:rPr>
                    <w:t>，无塑料废弃物，从源头上断绝了二次污染。</w:t>
                  </w:r>
                </w:p>
              </w:tc>
              <w:tc>
                <w:tcPr>
                  <w:tcW w:w="591" w:type="pct"/>
                  <w:noWrap w:val="0"/>
                  <w:vAlign w:val="center"/>
                </w:tcPr>
                <w:p w14:paraId="57A9A781">
                  <w:pPr>
                    <w:widowControl/>
                    <w:jc w:val="center"/>
                    <w:rPr>
                      <w:color w:val="auto"/>
                    </w:rPr>
                  </w:pPr>
                  <w:r>
                    <w:rPr>
                      <w:color w:val="auto"/>
                    </w:rPr>
                    <w:t>符合</w:t>
                  </w:r>
                </w:p>
              </w:tc>
            </w:tr>
            <w:tr w14:paraId="16133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5" w:type="pct"/>
                  <w:noWrap w:val="0"/>
                  <w:vAlign w:val="top"/>
                </w:tcPr>
                <w:p w14:paraId="062826B2">
                  <w:pPr>
                    <w:ind w:firstLine="420" w:firstLineChars="200"/>
                    <w:rPr>
                      <w:color w:val="auto"/>
                    </w:rPr>
                  </w:pPr>
                  <w:r>
                    <w:rPr>
                      <w:color w:val="auto"/>
                    </w:rPr>
                    <w:t>8.加强江河湖海塑料垃圾清理整治。发挥各级河湖长制平台作用，实施江河、湖泊、水库管理范围内塑料垃圾专项清理，建立常态化清理机制，力争重点水域露天塑料垃圾基本清零。（国家发展改革委、生态环境部、水利部按职责分工负责）制定长江经济带塑料污染治理实施方案。（国家发展改革委、生态环境部牵头负责）开展海洋塑料垃圾和微塑料监测调查。实施海湾、河口、岸滩等区域塑料垃圾专项清理，推动沿海市县建立海洋塑料垃圾清理工作长效机制，保持重点滨海区域无明显塑料垃圾。（生态环境部牵头负责）增加海滩等活动场所垃圾收集设施投放，提高垃圾清运频次。（住房和城乡建设部牵头负责）组织开展江河湖海塑料垃圾及微塑料污染机理、监测、防治技术等相关研究。（科技部、生态环境部按职责分工负责）</w:t>
                  </w:r>
                </w:p>
                <w:p w14:paraId="1E6606D3">
                  <w:pPr>
                    <w:ind w:firstLine="420" w:firstLineChars="200"/>
                    <w:rPr>
                      <w:color w:val="auto"/>
                    </w:rPr>
                  </w:pPr>
                </w:p>
              </w:tc>
              <w:tc>
                <w:tcPr>
                  <w:tcW w:w="2233" w:type="pct"/>
                  <w:noWrap w:val="0"/>
                  <w:vAlign w:val="center"/>
                </w:tcPr>
                <w:p w14:paraId="11EE83E7">
                  <w:pPr>
                    <w:widowControl/>
                    <w:jc w:val="center"/>
                    <w:rPr>
                      <w:color w:val="auto"/>
                    </w:rPr>
                  </w:pPr>
                  <w:r>
                    <w:rPr>
                      <w:color w:val="auto"/>
                    </w:rPr>
                    <w:t>本项目生产</w:t>
                  </w:r>
                  <w:r>
                    <w:rPr>
                      <w:rFonts w:hint="eastAsia"/>
                      <w:color w:val="auto"/>
                      <w:lang w:val="en-US" w:eastAsia="zh-CN"/>
                    </w:rPr>
                    <w:t>各类塑料包装箱及容器</w:t>
                  </w:r>
                  <w:r>
                    <w:rPr>
                      <w:color w:val="auto"/>
                    </w:rPr>
                    <w:t>，不合格的产品、</w:t>
                  </w:r>
                  <w:r>
                    <w:rPr>
                      <w:rFonts w:hint="eastAsia"/>
                      <w:color w:val="auto"/>
                      <w:lang w:val="en-US" w:eastAsia="zh-CN"/>
                    </w:rPr>
                    <w:t>未成品产品、</w:t>
                  </w:r>
                  <w:r>
                    <w:rPr>
                      <w:color w:val="auto"/>
                    </w:rPr>
                    <w:t>边角料</w:t>
                  </w:r>
                  <w:r>
                    <w:rPr>
                      <w:rFonts w:hint="eastAsia"/>
                      <w:color w:val="auto"/>
                      <w:lang w:eastAsia="zh-CN"/>
                    </w:rPr>
                    <w:t>收集</w:t>
                  </w:r>
                  <w:r>
                    <w:rPr>
                      <w:rFonts w:hint="eastAsia"/>
                      <w:color w:val="auto"/>
                      <w:lang w:val="en-US" w:eastAsia="zh-CN"/>
                    </w:rPr>
                    <w:t>破碎</w:t>
                  </w:r>
                  <w:r>
                    <w:rPr>
                      <w:rFonts w:hint="eastAsia"/>
                      <w:color w:val="auto"/>
                      <w:lang w:eastAsia="zh-CN"/>
                    </w:rPr>
                    <w:t>后进行外售</w:t>
                  </w:r>
                  <w:r>
                    <w:rPr>
                      <w:color w:val="auto"/>
                    </w:rPr>
                    <w:t>，无塑料废弃物，不涉及在江河、湖泊、水库管理范围内产生塑料垃圾。</w:t>
                  </w:r>
                </w:p>
              </w:tc>
              <w:tc>
                <w:tcPr>
                  <w:tcW w:w="591" w:type="pct"/>
                  <w:noWrap w:val="0"/>
                  <w:vAlign w:val="center"/>
                </w:tcPr>
                <w:p w14:paraId="4584F5AD">
                  <w:pPr>
                    <w:widowControl/>
                    <w:jc w:val="center"/>
                    <w:rPr>
                      <w:color w:val="auto"/>
                    </w:rPr>
                  </w:pPr>
                  <w:r>
                    <w:rPr>
                      <w:color w:val="auto"/>
                    </w:rPr>
                    <w:t>符合</w:t>
                  </w:r>
                </w:p>
              </w:tc>
            </w:tr>
          </w:tbl>
          <w:p w14:paraId="537AF87E">
            <w:pPr>
              <w:widowControl/>
              <w:numPr>
                <w:ilvl w:val="0"/>
                <w:numId w:val="0"/>
              </w:numPr>
              <w:spacing w:line="360" w:lineRule="auto"/>
              <w:ind w:firstLine="480" w:firstLineChars="200"/>
              <w:jc w:val="both"/>
              <w:rPr>
                <w:b/>
                <w:bCs/>
                <w:color w:val="auto"/>
                <w:spacing w:val="4"/>
                <w:kern w:val="24"/>
                <w:sz w:val="24"/>
                <w:lang w:bidi="ar"/>
              </w:rPr>
            </w:pPr>
            <w:r>
              <w:rPr>
                <w:rFonts w:hint="eastAsia"/>
                <w:color w:val="auto"/>
                <w:sz w:val="24"/>
              </w:rPr>
              <w:t>综上所述，本项目建</w:t>
            </w:r>
            <w:r>
              <w:rPr>
                <w:rFonts w:hint="eastAsia" w:ascii="Times New Roman" w:hAnsi="Times New Roman" w:eastAsia="宋体" w:cs="Times New Roman"/>
                <w:color w:val="auto"/>
                <w:sz w:val="24"/>
              </w:rPr>
              <w:t>设符合《“十四五”塑料污染治理行动方案》的通知》发改环资〔2021〕1298号</w:t>
            </w:r>
            <w:r>
              <w:rPr>
                <w:rFonts w:hint="eastAsia"/>
                <w:color w:val="auto"/>
                <w:sz w:val="24"/>
              </w:rPr>
              <w:t>相关要求。</w:t>
            </w:r>
          </w:p>
          <w:p w14:paraId="76A9527D">
            <w:pPr>
              <w:spacing w:line="360" w:lineRule="auto"/>
              <w:ind w:firstLine="495"/>
              <w:rPr>
                <w:rFonts w:ascii="Times New Roman" w:hAnsi="Times New Roman"/>
                <w:b/>
                <w:bCs/>
                <w:color w:val="auto"/>
              </w:rPr>
            </w:pPr>
            <w:r>
              <w:rPr>
                <w:rFonts w:hint="eastAsia"/>
                <w:b/>
                <w:bCs/>
                <w:color w:val="auto"/>
                <w:spacing w:val="4"/>
                <w:kern w:val="24"/>
                <w:sz w:val="24"/>
                <w:szCs w:val="24"/>
                <w:lang w:bidi="ar"/>
              </w:rPr>
              <w:t>1</w:t>
            </w:r>
            <w:r>
              <w:rPr>
                <w:rFonts w:hint="eastAsia"/>
                <w:b/>
                <w:bCs/>
                <w:color w:val="auto"/>
                <w:spacing w:val="4"/>
                <w:kern w:val="24"/>
                <w:sz w:val="24"/>
                <w:szCs w:val="24"/>
                <w:lang w:val="en-US" w:eastAsia="zh-CN" w:bidi="ar"/>
              </w:rPr>
              <w:t>2</w:t>
            </w:r>
            <w:r>
              <w:rPr>
                <w:b/>
                <w:bCs/>
                <w:color w:val="auto"/>
                <w:spacing w:val="4"/>
                <w:kern w:val="24"/>
                <w:sz w:val="24"/>
                <w:szCs w:val="24"/>
                <w:lang w:bidi="ar"/>
              </w:rPr>
              <w:t>、</w:t>
            </w:r>
            <w:r>
              <w:rPr>
                <w:rFonts w:hint="eastAsia" w:ascii="Times New Roman" w:hAnsi="Times New Roman"/>
                <w:b/>
                <w:bCs/>
                <w:color w:val="auto"/>
                <w:sz w:val="24"/>
                <w:szCs w:val="24"/>
                <w:lang w:val="en-US" w:eastAsia="zh-CN"/>
              </w:rPr>
              <w:t>项目</w:t>
            </w:r>
            <w:r>
              <w:rPr>
                <w:rFonts w:hint="eastAsia" w:ascii="Times New Roman" w:hAnsi="Times New Roman"/>
                <w:b/>
                <w:bCs/>
                <w:color w:val="auto"/>
                <w:sz w:val="24"/>
                <w:szCs w:val="24"/>
              </w:rPr>
              <w:t>与《云南省大气污染防治行动实施方案》的符合性分析</w:t>
            </w:r>
          </w:p>
          <w:p w14:paraId="7E280B79">
            <w:pPr>
              <w:pStyle w:val="11"/>
              <w:spacing w:before="0" w:line="360" w:lineRule="auto"/>
              <w:ind w:firstLine="480" w:firstLineChars="200"/>
              <w:rPr>
                <w:rFonts w:ascii="Times New Roman" w:hAnsi="Times New Roman"/>
                <w:color w:val="auto"/>
              </w:rPr>
            </w:pPr>
            <w:r>
              <w:rPr>
                <w:rFonts w:hint="eastAsia" w:ascii="Times New Roman" w:hAnsi="Times New Roman"/>
                <w:color w:val="auto"/>
              </w:rPr>
              <w:t>云南省人民政府于2014年3月20日</w:t>
            </w:r>
            <w:r>
              <w:rPr>
                <w:rFonts w:ascii="Times New Roman" w:hAnsi="Times New Roman"/>
                <w:color w:val="auto"/>
              </w:rPr>
              <w:t>以“云政发〔2014〕9号”下发《云南省人民政府关于印发云南省大气污染防治行动实施方案的通知</w:t>
            </w:r>
            <w:r>
              <w:rPr>
                <w:rFonts w:hint="eastAsia" w:ascii="Times New Roman" w:hAnsi="Times New Roman"/>
                <w:color w:val="auto"/>
              </w:rPr>
              <w:t>》</w:t>
            </w:r>
            <w:r>
              <w:rPr>
                <w:rFonts w:ascii="Times New Roman" w:hAnsi="Times New Roman"/>
                <w:color w:val="auto"/>
              </w:rPr>
              <w:t>，项目的符合性分析详见表</w:t>
            </w:r>
            <w:r>
              <w:rPr>
                <w:rFonts w:hint="eastAsia" w:ascii="Times New Roman" w:hAnsi="Times New Roman"/>
                <w:color w:val="auto"/>
              </w:rPr>
              <w:t>1-1</w:t>
            </w:r>
            <w:r>
              <w:rPr>
                <w:rFonts w:hint="eastAsia" w:ascii="Times New Roman" w:hAnsi="Times New Roman"/>
                <w:color w:val="auto"/>
                <w:lang w:val="en-US" w:eastAsia="zh-CN"/>
              </w:rPr>
              <w:t>4</w:t>
            </w:r>
            <w:r>
              <w:rPr>
                <w:rFonts w:ascii="Times New Roman" w:hAnsi="Times New Roman"/>
                <w:color w:val="auto"/>
              </w:rPr>
              <w:t>。</w:t>
            </w:r>
          </w:p>
          <w:p w14:paraId="5B0CDC53">
            <w:pPr>
              <w:pStyle w:val="39"/>
              <w:adjustRightInd/>
              <w:jc w:val="center"/>
              <w:rPr>
                <w:rStyle w:val="37"/>
                <w:rFonts w:ascii="宋体" w:hAnsi="宋体" w:cs="宋体"/>
                <w:b/>
                <w:bCs/>
                <w:color w:val="auto"/>
                <w:szCs w:val="21"/>
              </w:rPr>
            </w:pPr>
            <w:r>
              <w:rPr>
                <w:rFonts w:hint="eastAsia" w:ascii="Times New Roman" w:hAnsi="Times New Roman" w:eastAsia="宋体" w:cs="Times New Roman"/>
                <w:b/>
                <w:bCs/>
                <w:color w:val="auto"/>
                <w:kern w:val="2"/>
                <w:sz w:val="21"/>
                <w:szCs w:val="21"/>
                <w:lang w:val="en-US" w:eastAsia="zh-CN" w:bidi="ar-SA"/>
              </w:rPr>
              <w:t>表1-14</w:t>
            </w:r>
            <w:r>
              <w:rPr>
                <w:rStyle w:val="37"/>
                <w:rFonts w:hint="eastAsia" w:ascii="宋体" w:hAnsi="宋体" w:eastAsia="宋体" w:cs="宋体"/>
                <w:b/>
                <w:bCs/>
                <w:color w:val="auto"/>
                <w:szCs w:val="21"/>
              </w:rPr>
              <w:t xml:space="preserve"> </w:t>
            </w:r>
            <w:r>
              <w:rPr>
                <w:rStyle w:val="37"/>
                <w:rFonts w:hint="eastAsia" w:ascii="宋体" w:hAnsi="宋体" w:cs="宋体"/>
                <w:b/>
                <w:bCs/>
                <w:color w:val="auto"/>
                <w:szCs w:val="21"/>
                <w:lang w:val="en-US" w:eastAsia="zh-CN"/>
              </w:rPr>
              <w:t xml:space="preserve"> </w:t>
            </w:r>
            <w:r>
              <w:rPr>
                <w:rStyle w:val="37"/>
                <w:rFonts w:hint="eastAsia" w:ascii="宋体" w:hAnsi="宋体" w:cs="宋体"/>
                <w:b/>
                <w:bCs/>
                <w:color w:val="auto"/>
                <w:szCs w:val="21"/>
              </w:rPr>
              <w:t>项目与《云南省大气污染防治行动实施方案》符合性分析表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335"/>
              <w:gridCol w:w="1862"/>
              <w:gridCol w:w="682"/>
            </w:tblGrid>
            <w:tr w14:paraId="360A8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5" w:type="dxa"/>
                  <w:tcBorders>
                    <w:top w:val="single" w:color="auto" w:sz="4" w:space="0"/>
                    <w:left w:val="single" w:color="auto" w:sz="4" w:space="0"/>
                    <w:bottom w:val="single" w:color="auto" w:sz="4" w:space="0"/>
                    <w:right w:val="single" w:color="auto" w:sz="4" w:space="0"/>
                  </w:tcBorders>
                  <w:vAlign w:val="center"/>
                </w:tcPr>
                <w:p w14:paraId="21A96386">
                  <w:pPr>
                    <w:pStyle w:val="39"/>
                    <w:adjustRightInd/>
                    <w:jc w:val="center"/>
                    <w:rPr>
                      <w:rStyle w:val="37"/>
                      <w:color w:val="auto"/>
                      <w:szCs w:val="21"/>
                    </w:rPr>
                  </w:pPr>
                  <w:r>
                    <w:rPr>
                      <w:rStyle w:val="37"/>
                      <w:rFonts w:hint="eastAsia"/>
                      <w:color w:val="auto"/>
                      <w:szCs w:val="21"/>
                    </w:rPr>
                    <w:t>相关</w:t>
                  </w:r>
                  <w:r>
                    <w:rPr>
                      <w:rStyle w:val="37"/>
                      <w:color w:val="auto"/>
                      <w:szCs w:val="21"/>
                    </w:rPr>
                    <w:t>要求</w:t>
                  </w:r>
                </w:p>
              </w:tc>
              <w:tc>
                <w:tcPr>
                  <w:tcW w:w="1862" w:type="dxa"/>
                  <w:tcBorders>
                    <w:top w:val="single" w:color="auto" w:sz="4" w:space="0"/>
                    <w:left w:val="single" w:color="auto" w:sz="4" w:space="0"/>
                    <w:bottom w:val="single" w:color="auto" w:sz="4" w:space="0"/>
                    <w:right w:val="single" w:color="auto" w:sz="4" w:space="0"/>
                  </w:tcBorders>
                  <w:vAlign w:val="center"/>
                </w:tcPr>
                <w:p w14:paraId="55A5C737">
                  <w:pPr>
                    <w:pStyle w:val="39"/>
                    <w:adjustRightInd/>
                    <w:jc w:val="center"/>
                    <w:rPr>
                      <w:rStyle w:val="37"/>
                      <w:color w:val="auto"/>
                      <w:szCs w:val="21"/>
                    </w:rPr>
                  </w:pPr>
                  <w:r>
                    <w:rPr>
                      <w:rStyle w:val="37"/>
                      <w:color w:val="auto"/>
                      <w:szCs w:val="21"/>
                    </w:rPr>
                    <w:t>本项目情况</w:t>
                  </w:r>
                </w:p>
              </w:tc>
              <w:tc>
                <w:tcPr>
                  <w:tcW w:w="682" w:type="dxa"/>
                  <w:tcBorders>
                    <w:top w:val="single" w:color="auto" w:sz="4" w:space="0"/>
                    <w:left w:val="single" w:color="auto" w:sz="4" w:space="0"/>
                    <w:bottom w:val="single" w:color="auto" w:sz="4" w:space="0"/>
                    <w:right w:val="single" w:color="auto" w:sz="4" w:space="0"/>
                  </w:tcBorders>
                  <w:vAlign w:val="center"/>
                </w:tcPr>
                <w:p w14:paraId="4FD88E5E">
                  <w:pPr>
                    <w:pStyle w:val="39"/>
                    <w:adjustRightInd/>
                    <w:jc w:val="center"/>
                    <w:rPr>
                      <w:rStyle w:val="37"/>
                      <w:color w:val="auto"/>
                      <w:szCs w:val="21"/>
                    </w:rPr>
                  </w:pPr>
                  <w:r>
                    <w:rPr>
                      <w:rStyle w:val="37"/>
                      <w:color w:val="auto"/>
                      <w:szCs w:val="21"/>
                    </w:rPr>
                    <w:t>符合情况</w:t>
                  </w:r>
                </w:p>
              </w:tc>
            </w:tr>
            <w:tr w14:paraId="7E657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5" w:type="dxa"/>
                  <w:tcBorders>
                    <w:top w:val="single" w:color="auto" w:sz="4" w:space="0"/>
                    <w:left w:val="single" w:color="auto" w:sz="4" w:space="0"/>
                    <w:bottom w:val="single" w:color="auto" w:sz="4" w:space="0"/>
                    <w:right w:val="single" w:color="auto" w:sz="4" w:space="0"/>
                  </w:tcBorders>
                  <w:vAlign w:val="center"/>
                </w:tcPr>
                <w:p w14:paraId="26ADB22E">
                  <w:pPr>
                    <w:pStyle w:val="39"/>
                    <w:adjustRightInd/>
                    <w:jc w:val="center"/>
                    <w:rPr>
                      <w:rStyle w:val="37"/>
                      <w:color w:val="auto"/>
                      <w:szCs w:val="21"/>
                    </w:rPr>
                  </w:pPr>
                  <w:r>
                    <w:rPr>
                      <w:rStyle w:val="37"/>
                      <w:rFonts w:hint="eastAsia"/>
                      <w:color w:val="auto"/>
                      <w:szCs w:val="21"/>
                    </w:rPr>
                    <w:t>提高高污染、高耗能行业准入门槛，进一步强化节能、环保指标约束，严控高污染、高耗能行业新增产能。对新增用能项目，要实施严格的节能评估审查和环境影响评价制度，把二氧化硫、氮氧化物、烟粉尘和挥发性有机物排放是否符合总量控制要求，作为建设项目环境影响评价审批的主要因素予以审查。未通过能评和环评审查的建设项目，有关部门不得审批、核准、备案。</w:t>
                  </w:r>
                </w:p>
              </w:tc>
              <w:tc>
                <w:tcPr>
                  <w:tcW w:w="1862" w:type="dxa"/>
                  <w:tcBorders>
                    <w:top w:val="single" w:color="auto" w:sz="4" w:space="0"/>
                    <w:left w:val="single" w:color="auto" w:sz="4" w:space="0"/>
                    <w:bottom w:val="single" w:color="auto" w:sz="4" w:space="0"/>
                    <w:right w:val="single" w:color="auto" w:sz="4" w:space="0"/>
                  </w:tcBorders>
                  <w:vAlign w:val="center"/>
                </w:tcPr>
                <w:p w14:paraId="4B2F93C9">
                  <w:pPr>
                    <w:pStyle w:val="39"/>
                    <w:adjustRightInd/>
                    <w:jc w:val="center"/>
                    <w:rPr>
                      <w:rStyle w:val="37"/>
                      <w:color w:val="auto"/>
                      <w:szCs w:val="21"/>
                    </w:rPr>
                  </w:pPr>
                  <w:r>
                    <w:rPr>
                      <w:rStyle w:val="37"/>
                      <w:color w:val="auto"/>
                      <w:szCs w:val="21"/>
                    </w:rPr>
                    <w:t>项目属于</w:t>
                  </w:r>
                  <w:r>
                    <w:rPr>
                      <w:rStyle w:val="37"/>
                      <w:rFonts w:hint="default" w:ascii="Times New Roman" w:hAnsi="Times New Roman" w:eastAsia="宋体" w:cs="Times New Roman"/>
                      <w:color w:val="auto"/>
                      <w:szCs w:val="21"/>
                    </w:rPr>
                    <w:t>塑料包装箱及容器制造</w:t>
                  </w:r>
                  <w:r>
                    <w:rPr>
                      <w:rStyle w:val="37"/>
                      <w:rFonts w:hint="eastAsia"/>
                      <w:color w:val="auto"/>
                      <w:szCs w:val="21"/>
                    </w:rPr>
                    <w:t>，不属于高污染、高耗能行业，项目正在办理环境影响评价手续。</w:t>
                  </w:r>
                </w:p>
              </w:tc>
              <w:tc>
                <w:tcPr>
                  <w:tcW w:w="682" w:type="dxa"/>
                  <w:tcBorders>
                    <w:top w:val="single" w:color="auto" w:sz="4" w:space="0"/>
                    <w:left w:val="single" w:color="auto" w:sz="4" w:space="0"/>
                    <w:bottom w:val="single" w:color="auto" w:sz="4" w:space="0"/>
                    <w:right w:val="single" w:color="auto" w:sz="4" w:space="0"/>
                  </w:tcBorders>
                  <w:vAlign w:val="center"/>
                </w:tcPr>
                <w:p w14:paraId="3FEA78E7">
                  <w:pPr>
                    <w:pStyle w:val="39"/>
                    <w:adjustRightInd/>
                    <w:jc w:val="center"/>
                    <w:rPr>
                      <w:rStyle w:val="37"/>
                      <w:color w:val="auto"/>
                      <w:szCs w:val="21"/>
                    </w:rPr>
                  </w:pPr>
                  <w:r>
                    <w:rPr>
                      <w:rStyle w:val="37"/>
                      <w:rFonts w:hint="eastAsia"/>
                      <w:color w:val="auto"/>
                      <w:szCs w:val="21"/>
                    </w:rPr>
                    <w:t>符合</w:t>
                  </w:r>
                </w:p>
              </w:tc>
            </w:tr>
            <w:tr w14:paraId="1E387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5" w:type="dxa"/>
                  <w:tcBorders>
                    <w:top w:val="single" w:color="auto" w:sz="4" w:space="0"/>
                    <w:left w:val="single" w:color="auto" w:sz="4" w:space="0"/>
                    <w:bottom w:val="single" w:color="auto" w:sz="4" w:space="0"/>
                    <w:right w:val="single" w:color="auto" w:sz="4" w:space="0"/>
                  </w:tcBorders>
                  <w:vAlign w:val="center"/>
                </w:tcPr>
                <w:p w14:paraId="0A00E788">
                  <w:pPr>
                    <w:pStyle w:val="39"/>
                    <w:adjustRightInd/>
                    <w:jc w:val="center"/>
                    <w:rPr>
                      <w:rStyle w:val="37"/>
                      <w:color w:val="auto"/>
                      <w:szCs w:val="21"/>
                    </w:rPr>
                  </w:pPr>
                  <w:r>
                    <w:rPr>
                      <w:rStyle w:val="37"/>
                      <w:rFonts w:hint="eastAsia"/>
                      <w:color w:val="auto"/>
                      <w:szCs w:val="21"/>
                    </w:rPr>
                    <w:t>优化调整能源结构，加大清洁能源推广使用力度。在做好生态保护和移民安置的基础上，积极推进“三江”干流水电开发，统筹协调中小水电发展，规范有序发展风电。积极开发以生物柴油、生物质固体成型燃料为主的生物质能，稳妥推进太阳能发电，加快推进太阳能多元化利用。</w:t>
                  </w:r>
                </w:p>
              </w:tc>
              <w:tc>
                <w:tcPr>
                  <w:tcW w:w="1862" w:type="dxa"/>
                  <w:tcBorders>
                    <w:top w:val="single" w:color="auto" w:sz="4" w:space="0"/>
                    <w:left w:val="single" w:color="auto" w:sz="4" w:space="0"/>
                    <w:bottom w:val="single" w:color="auto" w:sz="4" w:space="0"/>
                    <w:right w:val="single" w:color="auto" w:sz="4" w:space="0"/>
                  </w:tcBorders>
                  <w:vAlign w:val="center"/>
                </w:tcPr>
                <w:p w14:paraId="5D54E3A6">
                  <w:pPr>
                    <w:pStyle w:val="39"/>
                    <w:adjustRightInd/>
                    <w:jc w:val="center"/>
                    <w:rPr>
                      <w:rStyle w:val="37"/>
                      <w:color w:val="auto"/>
                      <w:szCs w:val="21"/>
                    </w:rPr>
                  </w:pPr>
                  <w:r>
                    <w:rPr>
                      <w:rStyle w:val="37"/>
                      <w:rFonts w:hint="eastAsia"/>
                      <w:color w:val="auto"/>
                      <w:szCs w:val="21"/>
                    </w:rPr>
                    <w:t>项目</w:t>
                  </w:r>
                  <w:r>
                    <w:rPr>
                      <w:color w:val="auto"/>
                      <w:sz w:val="21"/>
                      <w:szCs w:val="21"/>
                    </w:rPr>
                    <w:t>能源主要为电能</w:t>
                  </w:r>
                  <w:r>
                    <w:rPr>
                      <w:rStyle w:val="37"/>
                      <w:rFonts w:hint="eastAsia"/>
                      <w:color w:val="auto"/>
                      <w:szCs w:val="21"/>
                    </w:rPr>
                    <w:t>。</w:t>
                  </w:r>
                </w:p>
              </w:tc>
              <w:tc>
                <w:tcPr>
                  <w:tcW w:w="682" w:type="dxa"/>
                  <w:tcBorders>
                    <w:top w:val="single" w:color="auto" w:sz="4" w:space="0"/>
                    <w:left w:val="single" w:color="auto" w:sz="4" w:space="0"/>
                    <w:bottom w:val="single" w:color="auto" w:sz="4" w:space="0"/>
                    <w:right w:val="single" w:color="auto" w:sz="4" w:space="0"/>
                  </w:tcBorders>
                  <w:vAlign w:val="center"/>
                </w:tcPr>
                <w:p w14:paraId="6961B0B4">
                  <w:pPr>
                    <w:pStyle w:val="39"/>
                    <w:adjustRightInd/>
                    <w:jc w:val="center"/>
                    <w:rPr>
                      <w:rStyle w:val="37"/>
                      <w:color w:val="auto"/>
                      <w:szCs w:val="21"/>
                    </w:rPr>
                  </w:pPr>
                  <w:r>
                    <w:rPr>
                      <w:rStyle w:val="37"/>
                      <w:rFonts w:hint="eastAsia"/>
                      <w:color w:val="auto"/>
                      <w:szCs w:val="21"/>
                    </w:rPr>
                    <w:t>符合</w:t>
                  </w:r>
                </w:p>
              </w:tc>
            </w:tr>
            <w:tr w14:paraId="65842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335" w:type="dxa"/>
                  <w:tcBorders>
                    <w:top w:val="single" w:color="auto" w:sz="4" w:space="0"/>
                    <w:left w:val="single" w:color="auto" w:sz="4" w:space="0"/>
                    <w:bottom w:val="single" w:color="auto" w:sz="4" w:space="0"/>
                    <w:right w:val="single" w:color="auto" w:sz="4" w:space="0"/>
                  </w:tcBorders>
                  <w:vAlign w:val="center"/>
                </w:tcPr>
                <w:p w14:paraId="21C35787">
                  <w:pPr>
                    <w:pStyle w:val="39"/>
                    <w:adjustRightInd/>
                    <w:jc w:val="center"/>
                    <w:rPr>
                      <w:rStyle w:val="37"/>
                      <w:color w:val="auto"/>
                      <w:szCs w:val="21"/>
                    </w:rPr>
                  </w:pPr>
                  <w:r>
                    <w:rPr>
                      <w:rStyle w:val="37"/>
                      <w:rFonts w:hint="eastAsia"/>
                      <w:color w:val="auto"/>
                      <w:szCs w:val="21"/>
                    </w:rPr>
                    <w:t>2014年底前，完成州、市人民政府所在地城市建成区“烟尘控制区”创建及划定工作，摸清燃煤小锅炉底数，建立燃煤锅炉综合整治台账，编制燃煤小锅炉淘汰方案。到2017年底，基本淘汰州、市人民政府所在地城市建成区内每小时10蒸吨及以下燃煤锅炉；原则上不再新建、改建、扩建燃煤锅炉，禁止新建每小时20蒸吨以下燃煤锅炉。其他具备天然气供应和使用条件的地区，不再新建每小时10蒸吨以下燃煤锅炉。</w:t>
                  </w:r>
                </w:p>
                <w:p w14:paraId="34452A1A">
                  <w:pPr>
                    <w:pStyle w:val="39"/>
                    <w:adjustRightInd/>
                    <w:jc w:val="center"/>
                    <w:rPr>
                      <w:rStyle w:val="37"/>
                      <w:color w:val="auto"/>
                      <w:szCs w:val="21"/>
                    </w:rPr>
                  </w:pPr>
                  <w:r>
                    <w:rPr>
                      <w:rStyle w:val="37"/>
                      <w:rFonts w:hint="eastAsia"/>
                      <w:color w:val="auto"/>
                      <w:szCs w:val="21"/>
                    </w:rPr>
                    <w:t>产业聚集区要集中建设热电联产机组或大型集中供热设施，逐步淘汰分散燃煤锅炉。天然气干、支线可以覆盖的地区原则上不再审批以煤（油）作为燃料的新建、改建、扩建项目。</w:t>
                  </w:r>
                </w:p>
              </w:tc>
              <w:tc>
                <w:tcPr>
                  <w:tcW w:w="1862" w:type="dxa"/>
                  <w:tcBorders>
                    <w:top w:val="single" w:color="auto" w:sz="4" w:space="0"/>
                    <w:left w:val="single" w:color="auto" w:sz="4" w:space="0"/>
                    <w:bottom w:val="single" w:color="auto" w:sz="4" w:space="0"/>
                    <w:right w:val="single" w:color="auto" w:sz="4" w:space="0"/>
                  </w:tcBorders>
                  <w:vAlign w:val="center"/>
                </w:tcPr>
                <w:p w14:paraId="5BD9E383">
                  <w:pPr>
                    <w:pStyle w:val="39"/>
                    <w:adjustRightInd/>
                    <w:jc w:val="center"/>
                    <w:rPr>
                      <w:rStyle w:val="37"/>
                      <w:color w:val="auto"/>
                      <w:szCs w:val="21"/>
                    </w:rPr>
                  </w:pPr>
                  <w:r>
                    <w:rPr>
                      <w:rStyle w:val="37"/>
                      <w:rFonts w:hint="eastAsia"/>
                      <w:color w:val="auto"/>
                      <w:szCs w:val="21"/>
                    </w:rPr>
                    <w:t>项目不使用燃煤锅炉。</w:t>
                  </w:r>
                </w:p>
              </w:tc>
              <w:tc>
                <w:tcPr>
                  <w:tcW w:w="682" w:type="dxa"/>
                  <w:tcBorders>
                    <w:top w:val="single" w:color="auto" w:sz="4" w:space="0"/>
                    <w:left w:val="single" w:color="auto" w:sz="4" w:space="0"/>
                    <w:bottom w:val="single" w:color="auto" w:sz="4" w:space="0"/>
                    <w:right w:val="single" w:color="auto" w:sz="4" w:space="0"/>
                  </w:tcBorders>
                  <w:vAlign w:val="center"/>
                </w:tcPr>
                <w:p w14:paraId="5081B99C">
                  <w:pPr>
                    <w:pStyle w:val="39"/>
                    <w:adjustRightInd/>
                    <w:jc w:val="center"/>
                    <w:rPr>
                      <w:rStyle w:val="37"/>
                      <w:color w:val="auto"/>
                      <w:szCs w:val="21"/>
                    </w:rPr>
                  </w:pPr>
                  <w:r>
                    <w:rPr>
                      <w:rStyle w:val="37"/>
                      <w:rFonts w:hint="eastAsia"/>
                      <w:color w:val="auto"/>
                      <w:szCs w:val="21"/>
                    </w:rPr>
                    <w:t>符合</w:t>
                  </w:r>
                </w:p>
              </w:tc>
            </w:tr>
          </w:tbl>
          <w:p w14:paraId="3EB68DFC">
            <w:pPr>
              <w:pStyle w:val="17"/>
              <w:adjustRightInd w:val="0"/>
              <w:snapToGrid w:val="0"/>
              <w:spacing w:line="360" w:lineRule="auto"/>
              <w:ind w:firstLine="480" w:firstLineChars="200"/>
              <w:rPr>
                <w:rFonts w:ascii="Times New Roman" w:hAnsi="Times New Roman"/>
                <w:b/>
                <w:color w:val="auto"/>
                <w:sz w:val="24"/>
              </w:rPr>
            </w:pPr>
            <w:r>
              <w:rPr>
                <w:rFonts w:hint="eastAsia" w:ascii="Times New Roman" w:hAnsi="Times New Roman"/>
                <w:color w:val="auto"/>
                <w:sz w:val="24"/>
              </w:rPr>
              <w:t>综上所述，项目建设符合《云南省大气污染防治行动实施方案》的相关要求。</w:t>
            </w:r>
          </w:p>
          <w:p w14:paraId="5F5A2A93">
            <w:pPr>
              <w:pStyle w:val="11"/>
              <w:spacing w:before="0" w:line="360" w:lineRule="auto"/>
              <w:ind w:firstLine="482" w:firstLineChars="200"/>
              <w:rPr>
                <w:rFonts w:ascii="Times New Roman" w:hAnsi="Times New Roman"/>
                <w:b/>
                <w:bCs/>
                <w:color w:val="auto"/>
              </w:rPr>
            </w:pPr>
            <w:r>
              <w:rPr>
                <w:rFonts w:hint="eastAsia" w:ascii="Times New Roman" w:hAnsi="Times New Roman"/>
                <w:b/>
                <w:color w:val="auto"/>
              </w:rPr>
              <w:t>1</w:t>
            </w:r>
            <w:r>
              <w:rPr>
                <w:rFonts w:hint="eastAsia" w:ascii="Times New Roman" w:hAnsi="Times New Roman"/>
                <w:b/>
                <w:color w:val="auto"/>
                <w:lang w:val="en-US" w:eastAsia="zh-CN"/>
              </w:rPr>
              <w:t>4</w:t>
            </w:r>
            <w:r>
              <w:rPr>
                <w:rFonts w:ascii="Times New Roman" w:hAnsi="Times New Roman"/>
                <w:b/>
                <w:color w:val="auto"/>
              </w:rPr>
              <w:t>、</w:t>
            </w:r>
            <w:r>
              <w:rPr>
                <w:rFonts w:hint="eastAsia" w:ascii="Times New Roman" w:hAnsi="Times New Roman"/>
                <w:b/>
                <w:color w:val="auto"/>
                <w:lang w:val="en-US" w:eastAsia="zh-CN"/>
              </w:rPr>
              <w:t>项目</w:t>
            </w:r>
            <w:r>
              <w:rPr>
                <w:rFonts w:hint="eastAsia" w:ascii="Times New Roman" w:hAnsi="Times New Roman"/>
                <w:b/>
                <w:bCs/>
                <w:color w:val="auto"/>
              </w:rPr>
              <w:t>与《重点行业挥发性有机物综合治理方案》的符合性分析</w:t>
            </w:r>
          </w:p>
          <w:p w14:paraId="3AD38532">
            <w:pPr>
              <w:pStyle w:val="11"/>
              <w:spacing w:before="0" w:line="360" w:lineRule="auto"/>
              <w:ind w:firstLine="480" w:firstLineChars="200"/>
              <w:rPr>
                <w:rFonts w:hint="eastAsia"/>
                <w:b/>
                <w:bCs/>
                <w:color w:val="auto"/>
                <w:szCs w:val="21"/>
              </w:rPr>
            </w:pPr>
            <w:r>
              <w:rPr>
                <w:rFonts w:hint="eastAsia" w:ascii="Times New Roman" w:hAnsi="Times New Roman"/>
                <w:bCs/>
                <w:color w:val="auto"/>
              </w:rPr>
              <w:t>《重点行业挥发性有机物综合治理方案》推进建设适宜高效的治污设施。企业新建治污设施或对现有治污设施实施改造，应依据排放废气的浓度、组分、风量，温度、湿度、压力，以及生产工况等，合理选择治理技术。鼓励企业采用多种技术的组合工艺，提高VOCs治理效率。低浓度、大风量废气，宜采用沸石转轮吸附、活性炭吸附、减风增浓等浓缩技术，提高VOCs浓度后净化处理；高浓度废气，优先进行溶剂回收，难以回收的，宜采用高温焚烧、催化燃烧等技术。</w:t>
            </w:r>
          </w:p>
          <w:p w14:paraId="2E5C8AE6">
            <w:pPr>
              <w:jc w:val="center"/>
              <w:rPr>
                <w:color w:val="auto"/>
                <w:szCs w:val="21"/>
              </w:rPr>
            </w:pPr>
            <w:r>
              <w:rPr>
                <w:rFonts w:hint="eastAsia"/>
                <w:b/>
                <w:bCs/>
                <w:color w:val="auto"/>
                <w:szCs w:val="21"/>
              </w:rPr>
              <w:t>表1-1</w:t>
            </w:r>
            <w:r>
              <w:rPr>
                <w:rFonts w:hint="eastAsia"/>
                <w:b/>
                <w:bCs/>
                <w:color w:val="auto"/>
                <w:szCs w:val="21"/>
                <w:lang w:val="en-US" w:eastAsia="zh-CN"/>
              </w:rPr>
              <w:t>5</w:t>
            </w:r>
            <w:r>
              <w:rPr>
                <w:rFonts w:hint="eastAsia"/>
                <w:b/>
                <w:bCs/>
                <w:color w:val="auto"/>
                <w:szCs w:val="21"/>
              </w:rPr>
              <w:t xml:space="preserve">  项目与《重点行业挥发性有机物综合治理方案》符合性分析</w:t>
            </w:r>
          </w:p>
          <w:tbl>
            <w:tblPr>
              <w:tblStyle w:val="31"/>
              <w:tblW w:w="49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1"/>
              <w:gridCol w:w="2088"/>
              <w:gridCol w:w="643"/>
            </w:tblGrid>
            <w:tr w14:paraId="4013E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49" w:type="pct"/>
                  <w:tcBorders>
                    <w:tl2br w:val="nil"/>
                    <w:tr2bl w:val="nil"/>
                  </w:tcBorders>
                  <w:vAlign w:val="center"/>
                </w:tcPr>
                <w:p w14:paraId="22868CDB">
                  <w:pPr>
                    <w:adjustRightInd w:val="0"/>
                    <w:snapToGrid w:val="0"/>
                    <w:jc w:val="center"/>
                    <w:rPr>
                      <w:b/>
                      <w:bCs/>
                      <w:color w:val="auto"/>
                      <w:szCs w:val="21"/>
                    </w:rPr>
                  </w:pPr>
                  <w:r>
                    <w:rPr>
                      <w:rFonts w:hint="eastAsia"/>
                      <w:b/>
                      <w:bCs/>
                      <w:color w:val="auto"/>
                    </w:rPr>
                    <w:t>《重点行业挥发性有机物综合治理方案》</w:t>
                  </w:r>
                </w:p>
              </w:tc>
              <w:tc>
                <w:tcPr>
                  <w:tcW w:w="1338" w:type="pct"/>
                  <w:tcBorders>
                    <w:tl2br w:val="nil"/>
                    <w:tr2bl w:val="nil"/>
                  </w:tcBorders>
                  <w:vAlign w:val="center"/>
                </w:tcPr>
                <w:p w14:paraId="3C4C4D83">
                  <w:pPr>
                    <w:adjustRightInd w:val="0"/>
                    <w:snapToGrid w:val="0"/>
                    <w:jc w:val="center"/>
                    <w:rPr>
                      <w:b/>
                      <w:bCs/>
                      <w:color w:val="auto"/>
                      <w:szCs w:val="21"/>
                    </w:rPr>
                  </w:pPr>
                  <w:r>
                    <w:rPr>
                      <w:rFonts w:hint="eastAsia"/>
                      <w:b/>
                      <w:bCs/>
                      <w:color w:val="auto"/>
                    </w:rPr>
                    <w:t>本项目情况</w:t>
                  </w:r>
                </w:p>
              </w:tc>
              <w:tc>
                <w:tcPr>
                  <w:tcW w:w="412" w:type="pct"/>
                  <w:tcBorders>
                    <w:tl2br w:val="nil"/>
                    <w:tr2bl w:val="nil"/>
                  </w:tcBorders>
                  <w:vAlign w:val="center"/>
                </w:tcPr>
                <w:p w14:paraId="2883269C">
                  <w:pPr>
                    <w:adjustRightInd w:val="0"/>
                    <w:snapToGrid w:val="0"/>
                    <w:jc w:val="center"/>
                    <w:rPr>
                      <w:b/>
                      <w:bCs/>
                      <w:color w:val="auto"/>
                      <w:szCs w:val="21"/>
                    </w:rPr>
                  </w:pPr>
                  <w:r>
                    <w:rPr>
                      <w:rFonts w:hint="eastAsia"/>
                      <w:b/>
                      <w:bCs/>
                      <w:color w:val="auto"/>
                      <w:szCs w:val="21"/>
                    </w:rPr>
                    <w:t>符合性</w:t>
                  </w:r>
                </w:p>
              </w:tc>
            </w:tr>
            <w:tr w14:paraId="2116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49" w:type="pct"/>
                  <w:tcBorders>
                    <w:tl2br w:val="nil"/>
                    <w:tr2bl w:val="nil"/>
                  </w:tcBorders>
                  <w:vAlign w:val="center"/>
                </w:tcPr>
                <w:p w14:paraId="51A0FACD">
                  <w:pPr>
                    <w:adjustRightInd w:val="0"/>
                    <w:snapToGrid w:val="0"/>
                    <w:jc w:val="left"/>
                    <w:rPr>
                      <w:color w:val="auto"/>
                      <w:szCs w:val="21"/>
                    </w:rPr>
                  </w:pPr>
                  <w:r>
                    <w:rPr>
                      <w:rFonts w:hint="eastAsia"/>
                      <w:color w:val="auto"/>
                      <w:szCs w:val="21"/>
                    </w:rPr>
                    <w:t>（一）大力推进源头替代。通过使用水性、粉末、高固体分、无溶剂、辐射固化等低VOCs含量的涂料，水性、辐射固化、植物基等低VOCs含量的油墨，水基、热熔、无溶剂、辐射固化、改性、生物降解等低VOCs含量的胶黏剂，以及低VOCs含量、低反应活性的清洗剂等，替代溶剂型涂料、油墨、胶黏剂、清洗剂等，从源头减少VOCs产生。工业涂装、包装印刷等行业要加大源头替代力度；化工行业要推广使用低（无）VOCs含量、低反应活性的原辅材料，加快对芳香烃、含卤素有机化合物的绿色替代。企业应大力推广使用低VOCs含量木器涂料、车辆涂料、机械设备涂料、集装箱涂料以及建筑物和构筑物防护涂料等，在技术成熟的行业，推广使用低VOCs含量油墨和胶黏剂，重点区域到2020年年底前基本完成。鼓励加快低VOCs含量涂料、油墨、胶黏剂等研发和生产。加强政策引导。企业采用符合国家有关低VOCs含量产品规定的涂料、油墨、胶黏剂等，排放浓度稳定达标且排放速率、排放绩效等满足相关规定的，相应生产工序可不要求建设末端治理设施。使用的原辅材料VOCs含量（质量比）低于10%的工序，可不要求采取无组织排放收集措施。</w:t>
                  </w:r>
                </w:p>
              </w:tc>
              <w:tc>
                <w:tcPr>
                  <w:tcW w:w="1338" w:type="pct"/>
                  <w:vMerge w:val="restart"/>
                  <w:tcBorders>
                    <w:tl2br w:val="nil"/>
                    <w:tr2bl w:val="nil"/>
                  </w:tcBorders>
                  <w:vAlign w:val="center"/>
                </w:tcPr>
                <w:p w14:paraId="7E4D25EF">
                  <w:pPr>
                    <w:adjustRightInd w:val="0"/>
                    <w:snapToGrid w:val="0"/>
                    <w:jc w:val="center"/>
                    <w:rPr>
                      <w:color w:val="auto"/>
                      <w:szCs w:val="21"/>
                    </w:rPr>
                  </w:pPr>
                  <w:r>
                    <w:rPr>
                      <w:rStyle w:val="37"/>
                      <w:rFonts w:hint="eastAsia"/>
                      <w:color w:val="auto"/>
                      <w:szCs w:val="21"/>
                    </w:rPr>
                    <w:t>项目为</w:t>
                  </w:r>
                  <w:r>
                    <w:rPr>
                      <w:rStyle w:val="37"/>
                      <w:rFonts w:hint="eastAsia"/>
                      <w:color w:val="auto"/>
                      <w:szCs w:val="21"/>
                      <w:lang w:eastAsia="zh-CN"/>
                    </w:rPr>
                    <w:t>塑料制品</w:t>
                  </w:r>
                  <w:r>
                    <w:rPr>
                      <w:rStyle w:val="37"/>
                      <w:rFonts w:hint="eastAsia"/>
                      <w:color w:val="auto"/>
                      <w:szCs w:val="21"/>
                    </w:rPr>
                    <w:t>生产，</w:t>
                  </w:r>
                  <w:r>
                    <w:rPr>
                      <w:rStyle w:val="37"/>
                      <w:color w:val="auto"/>
                      <w:szCs w:val="21"/>
                    </w:rPr>
                    <w:t>属于</w:t>
                  </w:r>
                  <w:r>
                    <w:rPr>
                      <w:rStyle w:val="37"/>
                      <w:rFonts w:hint="default" w:ascii="Times New Roman" w:hAnsi="Times New Roman" w:eastAsia="宋体" w:cs="Times New Roman"/>
                      <w:color w:val="auto"/>
                      <w:szCs w:val="21"/>
                    </w:rPr>
                    <w:t>塑料包装箱及容器制造</w:t>
                  </w:r>
                  <w:r>
                    <w:rPr>
                      <w:rStyle w:val="37"/>
                      <w:rFonts w:hint="eastAsia"/>
                      <w:color w:val="auto"/>
                      <w:szCs w:val="21"/>
                    </w:rPr>
                    <w:t>，项目</w:t>
                  </w:r>
                  <w:r>
                    <w:rPr>
                      <w:rFonts w:hint="default" w:ascii="Times New Roman" w:hAnsi="Times New Roman" w:eastAsia="宋体" w:cs="Times New Roman"/>
                      <w:color w:val="auto"/>
                      <w:sz w:val="21"/>
                      <w:szCs w:val="21"/>
                      <w:lang w:val="en-US" w:eastAsia="zh-CN"/>
                    </w:rPr>
                    <w:t>生产过程</w:t>
                  </w:r>
                  <w:r>
                    <w:rPr>
                      <w:rFonts w:hint="eastAsia" w:ascii="Times New Roman" w:hAnsi="Times New Roman" w:eastAsia="宋体" w:cs="Times New Roman"/>
                      <w:color w:val="auto"/>
                      <w:sz w:val="21"/>
                      <w:szCs w:val="21"/>
                      <w:lang w:val="en-US" w:eastAsia="zh-CN"/>
                    </w:rPr>
                    <w:t>产生的</w:t>
                  </w:r>
                  <w:r>
                    <w:rPr>
                      <w:rFonts w:hint="eastAsia" w:ascii="Times New Roman" w:cs="Times New Roman"/>
                      <w:color w:val="auto"/>
                      <w:sz w:val="21"/>
                      <w:szCs w:val="21"/>
                      <w:lang w:val="en-US" w:eastAsia="zh-CN"/>
                    </w:rPr>
                    <w:t>注塑</w:t>
                  </w:r>
                  <w:r>
                    <w:rPr>
                      <w:rFonts w:hint="eastAsia" w:ascii="Times New Roman" w:hAnsi="Times New Roman" w:eastAsia="宋体" w:cs="Times New Roman"/>
                      <w:color w:val="auto"/>
                      <w:sz w:val="21"/>
                      <w:szCs w:val="21"/>
                      <w:lang w:val="en-US" w:eastAsia="zh-CN"/>
                    </w:rPr>
                    <w:t>废气采用</w:t>
                  </w:r>
                  <w:r>
                    <w:rPr>
                      <w:rFonts w:hint="eastAsia" w:ascii="Times New Roman" w:cs="Times New Roman"/>
                      <w:color w:val="auto"/>
                      <w:sz w:val="21"/>
                      <w:szCs w:val="21"/>
                      <w:lang w:val="en-US" w:eastAsia="zh-CN"/>
                    </w:rPr>
                    <w:t>三</w:t>
                  </w:r>
                  <w:r>
                    <w:rPr>
                      <w:rFonts w:hint="eastAsia" w:ascii="Times New Roman" w:hAnsi="Times New Roman" w:eastAsia="宋体" w:cs="Times New Roman"/>
                      <w:color w:val="auto"/>
                      <w:sz w:val="21"/>
                      <w:szCs w:val="21"/>
                      <w:lang w:val="en-US" w:eastAsia="zh-CN"/>
                    </w:rPr>
                    <w:t>级活性炭吸附</w:t>
                  </w:r>
                  <w:r>
                    <w:rPr>
                      <w:rFonts w:hint="eastAsia" w:ascii="Times New Roman" w:cs="Times New Roman"/>
                      <w:color w:val="auto"/>
                      <w:sz w:val="21"/>
                      <w:szCs w:val="21"/>
                      <w:lang w:val="en-US" w:eastAsia="zh-CN"/>
                    </w:rPr>
                    <w:t>装置</w:t>
                  </w:r>
                  <w:r>
                    <w:rPr>
                      <w:rFonts w:hint="eastAsia" w:ascii="Times New Roman" w:hAnsi="Times New Roman" w:eastAsia="宋体" w:cs="Times New Roman"/>
                      <w:color w:val="auto"/>
                      <w:sz w:val="21"/>
                      <w:szCs w:val="21"/>
                      <w:lang w:val="en-US" w:eastAsia="zh-CN"/>
                    </w:rPr>
                    <w:t>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通过15m高排气筒（DA001）排放；破碎废气</w:t>
                  </w:r>
                  <w:r>
                    <w:rPr>
                      <w:rFonts w:hint="eastAsia" w:ascii="Times New Roman" w:hAnsi="Times New Roman" w:eastAsia="宋体" w:cs="Times New Roman"/>
                      <w:color w:val="auto"/>
                      <w:sz w:val="21"/>
                      <w:szCs w:val="21"/>
                      <w:lang w:val="en-US" w:eastAsia="zh-CN"/>
                    </w:rPr>
                    <w:t>采用布袋除尘器进行处理达标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通过15m高排气筒（DA002）排放</w:t>
                  </w:r>
                  <w:r>
                    <w:rPr>
                      <w:rFonts w:hint="eastAsia" w:cs="Times New Roman"/>
                      <w:color w:val="auto"/>
                      <w:sz w:val="21"/>
                      <w:szCs w:val="21"/>
                      <w:lang w:val="en-US" w:eastAsia="zh-CN"/>
                    </w:rPr>
                    <w:t>，</w:t>
                  </w:r>
                  <w:r>
                    <w:rPr>
                      <w:rFonts w:hint="eastAsia"/>
                      <w:color w:val="auto"/>
                      <w:szCs w:val="21"/>
                    </w:rPr>
                    <w:t>对环境影响较小。</w:t>
                  </w:r>
                </w:p>
              </w:tc>
              <w:tc>
                <w:tcPr>
                  <w:tcW w:w="412" w:type="pct"/>
                  <w:tcBorders>
                    <w:tl2br w:val="nil"/>
                    <w:tr2bl w:val="nil"/>
                  </w:tcBorders>
                  <w:vAlign w:val="center"/>
                </w:tcPr>
                <w:p w14:paraId="7F84139B">
                  <w:pPr>
                    <w:adjustRightInd w:val="0"/>
                    <w:snapToGrid w:val="0"/>
                    <w:jc w:val="center"/>
                    <w:rPr>
                      <w:color w:val="auto"/>
                      <w:szCs w:val="21"/>
                    </w:rPr>
                  </w:pPr>
                  <w:r>
                    <w:rPr>
                      <w:rFonts w:hint="eastAsia"/>
                      <w:color w:val="auto"/>
                      <w:szCs w:val="21"/>
                    </w:rPr>
                    <w:t>符合</w:t>
                  </w:r>
                </w:p>
              </w:tc>
            </w:tr>
            <w:tr w14:paraId="20E1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49" w:type="pct"/>
                  <w:tcBorders>
                    <w:tl2br w:val="nil"/>
                    <w:tr2bl w:val="nil"/>
                  </w:tcBorders>
                  <w:vAlign w:val="center"/>
                </w:tcPr>
                <w:p w14:paraId="1A8450BD">
                  <w:pPr>
                    <w:adjustRightInd w:val="0"/>
                    <w:snapToGrid w:val="0"/>
                    <w:jc w:val="left"/>
                    <w:rPr>
                      <w:color w:val="auto"/>
                      <w:szCs w:val="21"/>
                    </w:rPr>
                  </w:pPr>
                  <w:r>
                    <w:rPr>
                      <w:rFonts w:hint="eastAsia"/>
                      <w:color w:val="auto"/>
                      <w:szCs w:val="21"/>
                    </w:rPr>
                    <w:t>全面加强无组织排放控制。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w:t>
                  </w:r>
                </w:p>
              </w:tc>
              <w:tc>
                <w:tcPr>
                  <w:tcW w:w="1338" w:type="pct"/>
                  <w:vMerge w:val="continue"/>
                  <w:tcBorders>
                    <w:tl2br w:val="nil"/>
                    <w:tr2bl w:val="nil"/>
                  </w:tcBorders>
                  <w:vAlign w:val="center"/>
                </w:tcPr>
                <w:p w14:paraId="1C05F4F8">
                  <w:pPr>
                    <w:adjustRightInd w:val="0"/>
                    <w:snapToGrid w:val="0"/>
                    <w:jc w:val="center"/>
                    <w:rPr>
                      <w:color w:val="auto"/>
                      <w:szCs w:val="21"/>
                    </w:rPr>
                  </w:pPr>
                </w:p>
              </w:tc>
              <w:tc>
                <w:tcPr>
                  <w:tcW w:w="412" w:type="pct"/>
                  <w:tcBorders>
                    <w:tl2br w:val="nil"/>
                    <w:tr2bl w:val="nil"/>
                  </w:tcBorders>
                  <w:vAlign w:val="center"/>
                </w:tcPr>
                <w:p w14:paraId="0BE3F007">
                  <w:pPr>
                    <w:adjustRightInd w:val="0"/>
                    <w:snapToGrid w:val="0"/>
                    <w:jc w:val="center"/>
                    <w:rPr>
                      <w:color w:val="auto"/>
                      <w:szCs w:val="21"/>
                    </w:rPr>
                  </w:pPr>
                  <w:r>
                    <w:rPr>
                      <w:rFonts w:hint="eastAsia"/>
                      <w:color w:val="auto"/>
                      <w:szCs w:val="21"/>
                    </w:rPr>
                    <w:t>符合</w:t>
                  </w:r>
                </w:p>
              </w:tc>
            </w:tr>
            <w:tr w14:paraId="27823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49" w:type="pct"/>
                  <w:tcBorders>
                    <w:tl2br w:val="nil"/>
                    <w:tr2bl w:val="nil"/>
                  </w:tcBorders>
                  <w:vAlign w:val="center"/>
                </w:tcPr>
                <w:p w14:paraId="2ED07272">
                  <w:pPr>
                    <w:adjustRightInd w:val="0"/>
                    <w:snapToGrid w:val="0"/>
                    <w:jc w:val="left"/>
                    <w:rPr>
                      <w:color w:val="auto"/>
                      <w:szCs w:val="21"/>
                    </w:rPr>
                  </w:pPr>
                  <w:r>
                    <w:rPr>
                      <w:rFonts w:hint="eastAsia"/>
                      <w:color w:val="auto"/>
                      <w:szCs w:val="21"/>
                    </w:rPr>
                    <w:t>推进建设适宜高效的治污设施。企业新建治污设施或对现有治污设施实施改造，应依据排放废气的浓度、组分、风量，温度、湿度、压力，以及生产工况等，合理选择治理技术。鼓励企业采用多种技术的组合工艺，提高VOCs治理效率。低浓度、大风量废气，宜采用沸石转轮吸附、活性炭吸附、减风增浓等浓缩技术，提高VOCs浓度后净化处理；高浓度废气，优先进行溶剂回收，难以回收的，宜采用高温焚烧、催化燃烧等技术。油气（溶剂）回收宜采用冷凝+吸附、吸附+吸收、膜分离+吸附等技术。低温等离子、光催化、光氧化技术主要适用于恶臭异味等治理；生物法主要适用于低浓度VOCs废气治理和恶臭异味治理。非水溶性的VOCs废气禁止采用水或水溶液喷淋吸收处理。采用一次性活性炭吸附技术的，应定期更换活性炭，废旧活性炭应再生或处理处置。有条件的工业园区和产业集群等，推广集中喷涂、溶剂集中回收、活性炭集中再生等，加强资源共享，提高VOCs治理效率。实行重点排放源排放浓度与去除效率双重控制。车间或生产设施收集排放的废气，VOCs初始排放速率大于等于3千克/小时、重点区域大于等于2千克/小时的，应加大控制力度，除确保排放浓度稳定达标外，还应实行去除效率控制，去除效率不低于80%；采用的原辅材料符合国家有关低VOCs含量产品规定的除外，有行业排放标准的按其相关规定执行。</w:t>
                  </w:r>
                </w:p>
              </w:tc>
              <w:tc>
                <w:tcPr>
                  <w:tcW w:w="1338" w:type="pct"/>
                  <w:tcBorders>
                    <w:tl2br w:val="nil"/>
                    <w:tr2bl w:val="nil"/>
                  </w:tcBorders>
                  <w:vAlign w:val="center"/>
                </w:tcPr>
                <w:p w14:paraId="59DB1A05">
                  <w:pPr>
                    <w:adjustRightInd w:val="0"/>
                    <w:snapToGrid w:val="0"/>
                    <w:rPr>
                      <w:color w:val="auto"/>
                      <w:szCs w:val="21"/>
                    </w:rPr>
                  </w:pPr>
                  <w:r>
                    <w:rPr>
                      <w:rStyle w:val="37"/>
                      <w:rFonts w:hint="eastAsia"/>
                      <w:color w:val="auto"/>
                      <w:szCs w:val="21"/>
                    </w:rPr>
                    <w:t>项目</w:t>
                  </w:r>
                  <w:r>
                    <w:rPr>
                      <w:rFonts w:hint="default" w:ascii="Times New Roman" w:hAnsi="Times New Roman" w:eastAsia="宋体" w:cs="Times New Roman"/>
                      <w:color w:val="auto"/>
                      <w:sz w:val="21"/>
                      <w:szCs w:val="21"/>
                      <w:lang w:val="en-US" w:eastAsia="zh-CN"/>
                    </w:rPr>
                    <w:t>生产过程</w:t>
                  </w:r>
                  <w:r>
                    <w:rPr>
                      <w:rFonts w:hint="eastAsia" w:ascii="Times New Roman" w:hAnsi="Times New Roman" w:eastAsia="宋体" w:cs="Times New Roman"/>
                      <w:color w:val="auto"/>
                      <w:sz w:val="21"/>
                      <w:szCs w:val="21"/>
                      <w:lang w:val="en-US" w:eastAsia="zh-CN"/>
                    </w:rPr>
                    <w:t>产生的</w:t>
                  </w:r>
                  <w:r>
                    <w:rPr>
                      <w:rFonts w:hint="eastAsia" w:ascii="Times New Roman" w:cs="Times New Roman"/>
                      <w:color w:val="auto"/>
                      <w:sz w:val="21"/>
                      <w:szCs w:val="21"/>
                      <w:lang w:val="en-US" w:eastAsia="zh-CN"/>
                    </w:rPr>
                    <w:t>注塑</w:t>
                  </w:r>
                  <w:r>
                    <w:rPr>
                      <w:rFonts w:hint="eastAsia" w:ascii="Times New Roman" w:hAnsi="Times New Roman" w:eastAsia="宋体" w:cs="Times New Roman"/>
                      <w:color w:val="auto"/>
                      <w:sz w:val="21"/>
                      <w:szCs w:val="21"/>
                      <w:lang w:val="en-US" w:eastAsia="zh-CN"/>
                    </w:rPr>
                    <w:t>废气采用</w:t>
                  </w:r>
                  <w:r>
                    <w:rPr>
                      <w:rFonts w:hint="eastAsia" w:ascii="Times New Roman" w:cs="Times New Roman"/>
                      <w:color w:val="auto"/>
                      <w:sz w:val="21"/>
                      <w:szCs w:val="21"/>
                      <w:lang w:val="en-US" w:eastAsia="zh-CN"/>
                    </w:rPr>
                    <w:t>三</w:t>
                  </w:r>
                  <w:r>
                    <w:rPr>
                      <w:rFonts w:hint="eastAsia" w:ascii="Times New Roman" w:hAnsi="Times New Roman" w:eastAsia="宋体" w:cs="Times New Roman"/>
                      <w:color w:val="auto"/>
                      <w:sz w:val="21"/>
                      <w:szCs w:val="21"/>
                      <w:lang w:val="en-US" w:eastAsia="zh-CN"/>
                    </w:rPr>
                    <w:t>级活性炭吸附</w:t>
                  </w:r>
                  <w:r>
                    <w:rPr>
                      <w:rFonts w:hint="eastAsia" w:ascii="Times New Roman" w:cs="Times New Roman"/>
                      <w:color w:val="auto"/>
                      <w:sz w:val="21"/>
                      <w:szCs w:val="21"/>
                      <w:lang w:val="en-US" w:eastAsia="zh-CN"/>
                    </w:rPr>
                    <w:t>装置</w:t>
                  </w:r>
                  <w:r>
                    <w:rPr>
                      <w:rFonts w:hint="eastAsia" w:ascii="Times New Roman" w:hAnsi="Times New Roman" w:eastAsia="宋体" w:cs="Times New Roman"/>
                      <w:color w:val="auto"/>
                      <w:sz w:val="21"/>
                      <w:szCs w:val="21"/>
                      <w:lang w:val="en-US" w:eastAsia="zh-CN"/>
                    </w:rPr>
                    <w:t>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通过15m高排气筒（DA001）排放；破碎废气</w:t>
                  </w:r>
                  <w:r>
                    <w:rPr>
                      <w:rFonts w:hint="eastAsia" w:ascii="Times New Roman" w:hAnsi="Times New Roman" w:eastAsia="宋体" w:cs="Times New Roman"/>
                      <w:color w:val="auto"/>
                      <w:sz w:val="21"/>
                      <w:szCs w:val="21"/>
                      <w:lang w:val="en-US" w:eastAsia="zh-CN"/>
                    </w:rPr>
                    <w:t>采用布袋除尘器进行处理达标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通过15m高排气筒（DA002）排放</w:t>
                  </w:r>
                  <w:r>
                    <w:rPr>
                      <w:rFonts w:hint="eastAsia"/>
                      <w:color w:val="auto"/>
                      <w:szCs w:val="21"/>
                      <w:lang w:eastAsia="zh-CN"/>
                    </w:rPr>
                    <w:t>，</w:t>
                  </w:r>
                  <w:r>
                    <w:rPr>
                      <w:rFonts w:hint="eastAsia"/>
                      <w:color w:val="auto"/>
                      <w:szCs w:val="21"/>
                    </w:rPr>
                    <w:t>对环境影响较小。</w:t>
                  </w:r>
                </w:p>
              </w:tc>
              <w:tc>
                <w:tcPr>
                  <w:tcW w:w="412" w:type="pct"/>
                  <w:tcBorders>
                    <w:tl2br w:val="nil"/>
                    <w:tr2bl w:val="nil"/>
                  </w:tcBorders>
                  <w:vAlign w:val="center"/>
                </w:tcPr>
                <w:p w14:paraId="759E40A2">
                  <w:pPr>
                    <w:adjustRightInd w:val="0"/>
                    <w:snapToGrid w:val="0"/>
                    <w:jc w:val="center"/>
                    <w:rPr>
                      <w:color w:val="auto"/>
                      <w:szCs w:val="21"/>
                    </w:rPr>
                  </w:pPr>
                  <w:r>
                    <w:rPr>
                      <w:rFonts w:hint="eastAsia"/>
                      <w:color w:val="auto"/>
                      <w:szCs w:val="21"/>
                    </w:rPr>
                    <w:t>符合</w:t>
                  </w:r>
                </w:p>
              </w:tc>
            </w:tr>
          </w:tbl>
          <w:p w14:paraId="53ECEB82">
            <w:pPr>
              <w:pStyle w:val="11"/>
              <w:spacing w:before="0" w:line="360" w:lineRule="auto"/>
              <w:ind w:firstLine="480" w:firstLineChars="200"/>
              <w:rPr>
                <w:rFonts w:ascii="Times New Roman" w:hAnsi="Times New Roman"/>
                <w:b/>
                <w:bCs/>
                <w:color w:val="auto"/>
              </w:rPr>
            </w:pPr>
            <w:r>
              <w:rPr>
                <w:rFonts w:hint="eastAsia" w:ascii="Times New Roman" w:hAnsi="Times New Roman"/>
                <w:bCs/>
                <w:color w:val="auto"/>
              </w:rPr>
              <w:t>根据分析结果，本项目与《重点行业挥发性有机物综合治理方案》中的要求相符。</w:t>
            </w:r>
          </w:p>
          <w:p w14:paraId="2516D8A7">
            <w:pPr>
              <w:pStyle w:val="11"/>
              <w:spacing w:before="0" w:line="360" w:lineRule="auto"/>
              <w:ind w:firstLine="482" w:firstLineChars="200"/>
              <w:rPr>
                <w:rFonts w:ascii="Times New Roman" w:hAnsi="Times New Roman"/>
                <w:b/>
                <w:bCs/>
                <w:color w:val="auto"/>
              </w:rPr>
            </w:pPr>
            <w:r>
              <w:rPr>
                <w:rFonts w:hint="eastAsia" w:ascii="Times New Roman" w:hAnsi="Times New Roman"/>
                <w:b/>
                <w:bCs/>
                <w:color w:val="auto"/>
              </w:rPr>
              <w:t>1</w:t>
            </w:r>
            <w:r>
              <w:rPr>
                <w:rFonts w:hint="eastAsia" w:ascii="Times New Roman" w:hAnsi="Times New Roman"/>
                <w:b/>
                <w:bCs/>
                <w:color w:val="auto"/>
                <w:lang w:val="en-US" w:eastAsia="zh-CN"/>
              </w:rPr>
              <w:t>5</w:t>
            </w:r>
            <w:r>
              <w:rPr>
                <w:rFonts w:hint="eastAsia" w:ascii="Times New Roman" w:hAnsi="Times New Roman"/>
                <w:b/>
                <w:bCs/>
                <w:color w:val="auto"/>
              </w:rPr>
              <w:t>、</w:t>
            </w:r>
            <w:r>
              <w:rPr>
                <w:rFonts w:hint="eastAsia" w:ascii="Times New Roman" w:hAnsi="Times New Roman"/>
                <w:b/>
                <w:bCs/>
                <w:color w:val="auto"/>
                <w:lang w:val="en-US" w:eastAsia="zh-CN"/>
              </w:rPr>
              <w:t>项目</w:t>
            </w:r>
            <w:r>
              <w:rPr>
                <w:rFonts w:hint="eastAsia" w:ascii="Times New Roman" w:hAnsi="Times New Roman"/>
                <w:b/>
                <w:bCs/>
                <w:color w:val="auto"/>
              </w:rPr>
              <w:t>与《云南省重点行业挥发性有机物综合治理实施方案》的符合性分析</w:t>
            </w:r>
          </w:p>
          <w:p w14:paraId="3F15F900">
            <w:pPr>
              <w:pStyle w:val="11"/>
              <w:spacing w:before="0" w:line="360" w:lineRule="auto"/>
              <w:ind w:firstLine="480" w:firstLineChars="200"/>
              <w:rPr>
                <w:rStyle w:val="37"/>
                <w:rFonts w:hint="eastAsia" w:ascii="宋体" w:hAnsi="宋体" w:cs="宋体"/>
                <w:b/>
                <w:bCs/>
                <w:color w:val="auto"/>
                <w:szCs w:val="21"/>
              </w:rPr>
            </w:pPr>
            <w:r>
              <w:rPr>
                <w:rFonts w:ascii="Times New Roman" w:hAnsi="Times New Roman"/>
                <w:color w:val="auto"/>
              </w:rPr>
              <w:t>云南省生态环境厅</w:t>
            </w:r>
            <w:r>
              <w:rPr>
                <w:rFonts w:hint="eastAsia" w:ascii="Times New Roman" w:hAnsi="Times New Roman"/>
                <w:color w:val="auto"/>
              </w:rPr>
              <w:t>于</w:t>
            </w:r>
            <w:r>
              <w:rPr>
                <w:rFonts w:ascii="Times New Roman" w:hAnsi="Times New Roman"/>
                <w:color w:val="auto"/>
              </w:rPr>
              <w:t>2019年10月10日以“云环通【2019】125号”下发</w:t>
            </w:r>
            <w:r>
              <w:rPr>
                <w:rFonts w:hint="eastAsia" w:ascii="Times New Roman" w:hAnsi="Times New Roman"/>
                <w:color w:val="auto"/>
              </w:rPr>
              <w:t>《</w:t>
            </w:r>
            <w:r>
              <w:rPr>
                <w:rFonts w:ascii="Times New Roman" w:hAnsi="Times New Roman"/>
                <w:color w:val="auto"/>
              </w:rPr>
              <w:t>关于印发云南省重点行业挥发性有机物综合治理实施方案的通知</w:t>
            </w:r>
            <w:r>
              <w:rPr>
                <w:rFonts w:hint="eastAsia" w:ascii="Times New Roman" w:hAnsi="Times New Roman"/>
                <w:color w:val="auto"/>
              </w:rPr>
              <w:t>》</w:t>
            </w:r>
            <w:r>
              <w:rPr>
                <w:rFonts w:ascii="Times New Roman" w:hAnsi="Times New Roman"/>
                <w:color w:val="auto"/>
              </w:rPr>
              <w:t>，项目的符合性分析详见表</w:t>
            </w:r>
            <w:r>
              <w:rPr>
                <w:rFonts w:hint="eastAsia" w:ascii="Times New Roman" w:hAnsi="Times New Roman"/>
                <w:color w:val="auto"/>
              </w:rPr>
              <w:t>1-1</w:t>
            </w:r>
            <w:r>
              <w:rPr>
                <w:rFonts w:hint="eastAsia" w:ascii="Times New Roman" w:hAnsi="Times New Roman"/>
                <w:color w:val="auto"/>
                <w:lang w:val="en-US" w:eastAsia="zh-CN"/>
              </w:rPr>
              <w:t>6</w:t>
            </w:r>
            <w:r>
              <w:rPr>
                <w:rFonts w:ascii="Times New Roman" w:hAnsi="Times New Roman"/>
                <w:color w:val="auto"/>
              </w:rPr>
              <w:t>。</w:t>
            </w:r>
          </w:p>
          <w:p w14:paraId="07BCD12D">
            <w:pPr>
              <w:pStyle w:val="39"/>
              <w:adjustRightInd/>
              <w:jc w:val="center"/>
              <w:rPr>
                <w:rStyle w:val="37"/>
                <w:rFonts w:ascii="宋体" w:hAnsi="宋体" w:cs="宋体"/>
                <w:b/>
                <w:bCs/>
                <w:color w:val="auto"/>
                <w:szCs w:val="21"/>
              </w:rPr>
            </w:pPr>
            <w:r>
              <w:rPr>
                <w:rStyle w:val="37"/>
                <w:rFonts w:hint="eastAsia" w:ascii="宋体" w:hAnsi="宋体" w:cs="宋体"/>
                <w:b/>
                <w:bCs/>
                <w:color w:val="auto"/>
                <w:szCs w:val="21"/>
              </w:rPr>
              <w:t>表1-1</w:t>
            </w:r>
            <w:r>
              <w:rPr>
                <w:rStyle w:val="37"/>
                <w:rFonts w:hint="eastAsia" w:ascii="宋体" w:hAnsi="宋体" w:cs="宋体"/>
                <w:b/>
                <w:bCs/>
                <w:color w:val="auto"/>
                <w:szCs w:val="21"/>
                <w:lang w:val="en-US" w:eastAsia="zh-CN"/>
              </w:rPr>
              <w:t>6</w:t>
            </w:r>
            <w:r>
              <w:rPr>
                <w:rStyle w:val="37"/>
                <w:rFonts w:hint="eastAsia" w:ascii="宋体" w:hAnsi="宋体" w:cs="宋体"/>
                <w:b/>
                <w:bCs/>
                <w:color w:val="auto"/>
                <w:szCs w:val="21"/>
              </w:rPr>
              <w:t xml:space="preserve">  项目与《云南省重点行业挥发性有机物综合治理实施方案》符合性分析表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696"/>
              <w:gridCol w:w="2464"/>
              <w:gridCol w:w="719"/>
            </w:tblGrid>
            <w:tr w14:paraId="099EB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696" w:type="dxa"/>
                  <w:tcBorders>
                    <w:top w:val="single" w:color="auto" w:sz="4" w:space="0"/>
                    <w:left w:val="single" w:color="auto" w:sz="4" w:space="0"/>
                    <w:bottom w:val="single" w:color="auto" w:sz="4" w:space="0"/>
                    <w:right w:val="single" w:color="auto" w:sz="4" w:space="0"/>
                  </w:tcBorders>
                  <w:vAlign w:val="center"/>
                </w:tcPr>
                <w:p w14:paraId="17C58370">
                  <w:pPr>
                    <w:pStyle w:val="39"/>
                    <w:adjustRightInd/>
                    <w:jc w:val="center"/>
                    <w:rPr>
                      <w:rStyle w:val="37"/>
                      <w:color w:val="auto"/>
                      <w:szCs w:val="21"/>
                    </w:rPr>
                  </w:pPr>
                  <w:r>
                    <w:rPr>
                      <w:rStyle w:val="37"/>
                      <w:color w:val="auto"/>
                      <w:szCs w:val="21"/>
                    </w:rPr>
                    <w:t>要求</w:t>
                  </w:r>
                </w:p>
              </w:tc>
              <w:tc>
                <w:tcPr>
                  <w:tcW w:w="2464" w:type="dxa"/>
                  <w:tcBorders>
                    <w:top w:val="single" w:color="auto" w:sz="4" w:space="0"/>
                    <w:left w:val="single" w:color="auto" w:sz="4" w:space="0"/>
                    <w:bottom w:val="single" w:color="auto" w:sz="4" w:space="0"/>
                    <w:right w:val="single" w:color="auto" w:sz="4" w:space="0"/>
                  </w:tcBorders>
                  <w:vAlign w:val="center"/>
                </w:tcPr>
                <w:p w14:paraId="29C9A0D1">
                  <w:pPr>
                    <w:pStyle w:val="39"/>
                    <w:adjustRightInd/>
                    <w:jc w:val="center"/>
                    <w:rPr>
                      <w:rStyle w:val="37"/>
                      <w:color w:val="auto"/>
                      <w:szCs w:val="21"/>
                    </w:rPr>
                  </w:pPr>
                  <w:r>
                    <w:rPr>
                      <w:rStyle w:val="37"/>
                      <w:color w:val="auto"/>
                      <w:szCs w:val="21"/>
                    </w:rPr>
                    <w:t>本项目情况</w:t>
                  </w:r>
                </w:p>
              </w:tc>
              <w:tc>
                <w:tcPr>
                  <w:tcW w:w="719" w:type="dxa"/>
                  <w:tcBorders>
                    <w:top w:val="single" w:color="auto" w:sz="4" w:space="0"/>
                    <w:left w:val="single" w:color="auto" w:sz="4" w:space="0"/>
                    <w:bottom w:val="single" w:color="auto" w:sz="4" w:space="0"/>
                    <w:right w:val="single" w:color="auto" w:sz="4" w:space="0"/>
                  </w:tcBorders>
                  <w:vAlign w:val="center"/>
                </w:tcPr>
                <w:p w14:paraId="5D1CB858">
                  <w:pPr>
                    <w:pStyle w:val="39"/>
                    <w:adjustRightInd/>
                    <w:jc w:val="center"/>
                    <w:rPr>
                      <w:rStyle w:val="37"/>
                      <w:color w:val="auto"/>
                      <w:szCs w:val="21"/>
                    </w:rPr>
                  </w:pPr>
                  <w:r>
                    <w:rPr>
                      <w:rStyle w:val="37"/>
                      <w:color w:val="auto"/>
                      <w:szCs w:val="21"/>
                    </w:rPr>
                    <w:t>符合情况</w:t>
                  </w:r>
                </w:p>
              </w:tc>
            </w:tr>
            <w:tr w14:paraId="6284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696" w:type="dxa"/>
                  <w:tcBorders>
                    <w:top w:val="single" w:color="auto" w:sz="4" w:space="0"/>
                    <w:left w:val="single" w:color="auto" w:sz="4" w:space="0"/>
                    <w:bottom w:val="single" w:color="auto" w:sz="4" w:space="0"/>
                    <w:right w:val="single" w:color="auto" w:sz="4" w:space="0"/>
                  </w:tcBorders>
                  <w:vAlign w:val="center"/>
                </w:tcPr>
                <w:p w14:paraId="42D7D405">
                  <w:pPr>
                    <w:pStyle w:val="39"/>
                    <w:adjustRightInd/>
                    <w:jc w:val="center"/>
                    <w:rPr>
                      <w:rStyle w:val="37"/>
                      <w:color w:val="auto"/>
                      <w:szCs w:val="21"/>
                    </w:rPr>
                  </w:pPr>
                  <w:r>
                    <w:rPr>
                      <w:rStyle w:val="37"/>
                      <w:color w:val="auto"/>
                      <w:szCs w:val="21"/>
                    </w:rPr>
                    <w:t>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w:t>
                  </w:r>
                </w:p>
              </w:tc>
              <w:tc>
                <w:tcPr>
                  <w:tcW w:w="2464" w:type="dxa"/>
                  <w:vMerge w:val="restart"/>
                  <w:tcBorders>
                    <w:top w:val="single" w:color="auto" w:sz="4" w:space="0"/>
                    <w:left w:val="single" w:color="auto" w:sz="4" w:space="0"/>
                    <w:right w:val="single" w:color="auto" w:sz="4" w:space="0"/>
                  </w:tcBorders>
                  <w:vAlign w:val="center"/>
                </w:tcPr>
                <w:p w14:paraId="34B223E9">
                  <w:pPr>
                    <w:keepNext w:val="0"/>
                    <w:keepLines w:val="0"/>
                    <w:pageBreakBefore w:val="0"/>
                    <w:widowControl w:val="0"/>
                    <w:shd w:val="clear"/>
                    <w:kinsoku/>
                    <w:wordWrap/>
                    <w:overflowPunct/>
                    <w:topLinePunct w:val="0"/>
                    <w:autoSpaceDE/>
                    <w:autoSpaceDN/>
                    <w:bidi w:val="0"/>
                    <w:adjustRightInd/>
                    <w:snapToGrid/>
                    <w:spacing w:line="240" w:lineRule="auto"/>
                    <w:ind w:right="0" w:firstLine="420" w:firstLineChars="200"/>
                    <w:textAlignment w:val="auto"/>
                    <w:rPr>
                      <w:rStyle w:val="37"/>
                      <w:color w:val="auto"/>
                      <w:szCs w:val="21"/>
                    </w:rPr>
                  </w:pPr>
                  <w:r>
                    <w:rPr>
                      <w:rStyle w:val="37"/>
                      <w:rFonts w:hint="eastAsia"/>
                      <w:color w:val="auto"/>
                      <w:szCs w:val="21"/>
                    </w:rPr>
                    <w:t>项目为</w:t>
                  </w:r>
                  <w:r>
                    <w:rPr>
                      <w:rStyle w:val="37"/>
                      <w:rFonts w:hint="eastAsia"/>
                      <w:color w:val="auto"/>
                      <w:szCs w:val="21"/>
                      <w:lang w:eastAsia="zh-CN"/>
                    </w:rPr>
                    <w:t>塑料制品</w:t>
                  </w:r>
                  <w:r>
                    <w:rPr>
                      <w:rStyle w:val="37"/>
                      <w:rFonts w:hint="eastAsia"/>
                      <w:color w:val="auto"/>
                      <w:szCs w:val="21"/>
                    </w:rPr>
                    <w:t>生产，</w:t>
                  </w:r>
                  <w:r>
                    <w:rPr>
                      <w:rStyle w:val="37"/>
                      <w:color w:val="auto"/>
                      <w:szCs w:val="21"/>
                    </w:rPr>
                    <w:t>属于</w:t>
                  </w:r>
                  <w:r>
                    <w:rPr>
                      <w:rStyle w:val="37"/>
                      <w:rFonts w:hint="default" w:ascii="Times New Roman" w:hAnsi="Times New Roman" w:eastAsia="宋体" w:cs="Times New Roman"/>
                      <w:color w:val="auto"/>
                      <w:szCs w:val="21"/>
                    </w:rPr>
                    <w:t>塑料包装箱及容器制造</w:t>
                  </w:r>
                  <w:r>
                    <w:rPr>
                      <w:rStyle w:val="37"/>
                      <w:rFonts w:hint="eastAsia" w:ascii="Times New Roman" w:hAnsi="Times New Roman" w:eastAsia="宋体" w:cs="Times New Roman"/>
                      <w:color w:val="auto"/>
                      <w:kern w:val="2"/>
                      <w:szCs w:val="21"/>
                      <w:lang w:val="en-US" w:eastAsia="zh-CN" w:bidi="ar-SA"/>
                    </w:rPr>
                    <w:t>，项目</w:t>
                  </w:r>
                  <w:r>
                    <w:rPr>
                      <w:rStyle w:val="37"/>
                      <w:rFonts w:hint="default" w:ascii="Times New Roman" w:hAnsi="Times New Roman" w:eastAsia="宋体" w:cs="Times New Roman"/>
                      <w:color w:val="auto"/>
                      <w:kern w:val="2"/>
                      <w:szCs w:val="21"/>
                      <w:lang w:val="en-US" w:eastAsia="zh-CN" w:bidi="ar-SA"/>
                    </w:rPr>
                    <w:t>生产过程</w:t>
                  </w:r>
                  <w:r>
                    <w:rPr>
                      <w:rStyle w:val="37"/>
                      <w:rFonts w:hint="eastAsia" w:ascii="Times New Roman" w:hAnsi="Times New Roman" w:eastAsia="宋体" w:cs="Times New Roman"/>
                      <w:color w:val="auto"/>
                      <w:kern w:val="2"/>
                      <w:szCs w:val="21"/>
                      <w:lang w:val="en-US" w:eastAsia="zh-CN" w:bidi="ar-SA"/>
                    </w:rPr>
                    <w:t>产生的注塑废气采用三级活性炭吸附装置进行处理达标后通过15m高排气筒（DA001）排放；</w:t>
                  </w:r>
                  <w:r>
                    <w:rPr>
                      <w:rStyle w:val="37"/>
                      <w:rFonts w:hint="default" w:ascii="Times New Roman" w:hAnsi="Times New Roman" w:eastAsia="宋体" w:cs="Times New Roman"/>
                      <w:color w:val="auto"/>
                      <w:kern w:val="2"/>
                      <w:szCs w:val="21"/>
                      <w:highlight w:val="none"/>
                      <w:lang w:val="en-US" w:eastAsia="zh-CN" w:bidi="ar-SA"/>
                    </w:rPr>
                    <w:t>根据本项目生产设备实际情况，单台</w:t>
                  </w:r>
                  <w:r>
                    <w:rPr>
                      <w:rStyle w:val="37"/>
                      <w:rFonts w:hint="eastAsia" w:ascii="Times New Roman" w:hAnsi="Times New Roman" w:eastAsia="宋体" w:cs="Times New Roman"/>
                      <w:color w:val="auto"/>
                      <w:kern w:val="2"/>
                      <w:szCs w:val="21"/>
                      <w:highlight w:val="none"/>
                      <w:lang w:val="en-US" w:eastAsia="zh-CN" w:bidi="ar-SA"/>
                    </w:rPr>
                    <w:t>注塑</w:t>
                  </w:r>
                  <w:r>
                    <w:rPr>
                      <w:rStyle w:val="37"/>
                      <w:rFonts w:hint="default" w:ascii="Times New Roman" w:hAnsi="Times New Roman" w:eastAsia="宋体" w:cs="Times New Roman"/>
                      <w:color w:val="auto"/>
                      <w:kern w:val="2"/>
                      <w:szCs w:val="21"/>
                      <w:highlight w:val="none"/>
                      <w:lang w:val="en-US" w:eastAsia="zh-CN" w:bidi="ar-SA"/>
                    </w:rPr>
                    <w:t>设备集气罩投影面积按0.</w:t>
                  </w:r>
                  <w:r>
                    <w:rPr>
                      <w:rStyle w:val="37"/>
                      <w:rFonts w:hint="eastAsia" w:cs="Times New Roman"/>
                      <w:color w:val="auto"/>
                      <w:kern w:val="2"/>
                      <w:szCs w:val="21"/>
                      <w:highlight w:val="none"/>
                      <w:lang w:val="en-US" w:eastAsia="zh-CN" w:bidi="ar-SA"/>
                    </w:rPr>
                    <w:t>2645</w:t>
                  </w:r>
                  <w:r>
                    <w:rPr>
                      <w:rStyle w:val="37"/>
                      <w:rFonts w:hint="default" w:ascii="Times New Roman" w:hAnsi="Times New Roman" w:eastAsia="宋体" w:cs="Times New Roman"/>
                      <w:color w:val="auto"/>
                      <w:kern w:val="2"/>
                      <w:szCs w:val="21"/>
                      <w:highlight w:val="none"/>
                      <w:lang w:val="en-US" w:eastAsia="zh-CN" w:bidi="ar-SA"/>
                    </w:rPr>
                    <w:t>m</w:t>
                  </w:r>
                  <w:r>
                    <w:rPr>
                      <w:rStyle w:val="37"/>
                      <w:rFonts w:hint="default" w:ascii="Times New Roman" w:hAnsi="Times New Roman" w:eastAsia="宋体" w:cs="Times New Roman"/>
                      <w:color w:val="auto"/>
                      <w:kern w:val="2"/>
                      <w:szCs w:val="21"/>
                      <w:highlight w:val="none"/>
                      <w:vertAlign w:val="superscript"/>
                      <w:lang w:val="en-US" w:eastAsia="zh-CN" w:bidi="ar-SA"/>
                    </w:rPr>
                    <w:t>2</w:t>
                  </w:r>
                  <w:r>
                    <w:rPr>
                      <w:rStyle w:val="37"/>
                      <w:rFonts w:hint="default" w:ascii="Times New Roman" w:hAnsi="Times New Roman" w:eastAsia="宋体" w:cs="Times New Roman"/>
                      <w:color w:val="auto"/>
                      <w:kern w:val="2"/>
                      <w:szCs w:val="21"/>
                      <w:highlight w:val="none"/>
                      <w:lang w:val="en-US" w:eastAsia="zh-CN" w:bidi="ar-SA"/>
                    </w:rPr>
                    <w:t>计，则单个集气罩风量不低于</w:t>
                  </w:r>
                  <w:r>
                    <w:rPr>
                      <w:rStyle w:val="37"/>
                      <w:rFonts w:hint="eastAsia" w:cs="Times New Roman"/>
                      <w:color w:val="auto"/>
                      <w:kern w:val="2"/>
                      <w:szCs w:val="21"/>
                      <w:highlight w:val="none"/>
                      <w:lang w:val="en-US" w:eastAsia="zh-CN" w:bidi="ar-SA"/>
                    </w:rPr>
                    <w:t>952.5</w:t>
                  </w:r>
                  <w:r>
                    <w:rPr>
                      <w:rStyle w:val="37"/>
                      <w:rFonts w:hint="default" w:ascii="Times New Roman" w:hAnsi="Times New Roman" w:eastAsia="宋体" w:cs="Times New Roman"/>
                      <w:color w:val="auto"/>
                      <w:kern w:val="2"/>
                      <w:szCs w:val="21"/>
                      <w:highlight w:val="none"/>
                      <w:lang w:val="en-US" w:eastAsia="zh-CN" w:bidi="ar-SA"/>
                    </w:rPr>
                    <w:t>m</w:t>
                  </w:r>
                  <w:r>
                    <w:rPr>
                      <w:rStyle w:val="37"/>
                      <w:rFonts w:hint="default" w:ascii="Times New Roman" w:hAnsi="Times New Roman" w:eastAsia="宋体" w:cs="Times New Roman"/>
                      <w:color w:val="auto"/>
                      <w:kern w:val="2"/>
                      <w:szCs w:val="21"/>
                      <w:highlight w:val="none"/>
                      <w:vertAlign w:val="superscript"/>
                      <w:lang w:val="en-US" w:eastAsia="zh-CN" w:bidi="ar-SA"/>
                    </w:rPr>
                    <w:t>3</w:t>
                  </w:r>
                  <w:r>
                    <w:rPr>
                      <w:rStyle w:val="37"/>
                      <w:rFonts w:hint="default" w:ascii="Times New Roman" w:hAnsi="Times New Roman" w:eastAsia="宋体" w:cs="Times New Roman"/>
                      <w:color w:val="auto"/>
                      <w:kern w:val="2"/>
                      <w:szCs w:val="21"/>
                      <w:highlight w:val="none"/>
                      <w:lang w:val="en-US" w:eastAsia="zh-CN" w:bidi="ar-SA"/>
                    </w:rPr>
                    <w:t>/h，因此</w:t>
                  </w:r>
                  <w:r>
                    <w:rPr>
                      <w:rStyle w:val="37"/>
                      <w:rFonts w:hint="eastAsia" w:ascii="Times New Roman" w:hAnsi="Times New Roman" w:eastAsia="宋体" w:cs="Times New Roman"/>
                      <w:color w:val="auto"/>
                      <w:kern w:val="2"/>
                      <w:szCs w:val="21"/>
                      <w:highlight w:val="none"/>
                      <w:lang w:val="en-US" w:eastAsia="zh-CN" w:bidi="ar-SA"/>
                    </w:rPr>
                    <w:t>20</w:t>
                  </w:r>
                  <w:r>
                    <w:rPr>
                      <w:rStyle w:val="37"/>
                      <w:rFonts w:hint="default" w:ascii="Times New Roman" w:hAnsi="Times New Roman" w:eastAsia="宋体" w:cs="Times New Roman"/>
                      <w:color w:val="auto"/>
                      <w:kern w:val="2"/>
                      <w:szCs w:val="21"/>
                      <w:highlight w:val="none"/>
                      <w:lang w:val="en-US" w:eastAsia="zh-CN" w:bidi="ar-SA"/>
                    </w:rPr>
                    <w:t>台</w:t>
                  </w:r>
                  <w:r>
                    <w:rPr>
                      <w:rStyle w:val="37"/>
                      <w:rFonts w:hint="eastAsia" w:ascii="Times New Roman" w:hAnsi="Times New Roman" w:eastAsia="宋体" w:cs="Times New Roman"/>
                      <w:color w:val="auto"/>
                      <w:kern w:val="2"/>
                      <w:szCs w:val="21"/>
                      <w:highlight w:val="none"/>
                      <w:lang w:val="en-US" w:eastAsia="zh-CN" w:bidi="ar-SA"/>
                    </w:rPr>
                    <w:t>注塑</w:t>
                  </w:r>
                  <w:r>
                    <w:rPr>
                      <w:rStyle w:val="37"/>
                      <w:rFonts w:hint="default" w:ascii="Times New Roman" w:hAnsi="Times New Roman" w:eastAsia="宋体" w:cs="Times New Roman"/>
                      <w:color w:val="auto"/>
                      <w:kern w:val="2"/>
                      <w:szCs w:val="21"/>
                      <w:highlight w:val="none"/>
                      <w:lang w:val="en-US" w:eastAsia="zh-CN" w:bidi="ar-SA"/>
                    </w:rPr>
                    <w:t>机集气罩配套风量不低于为</w:t>
                  </w:r>
                  <w:r>
                    <w:rPr>
                      <w:rStyle w:val="37"/>
                      <w:rFonts w:hint="eastAsia" w:cs="Times New Roman"/>
                      <w:color w:val="auto"/>
                      <w:kern w:val="2"/>
                      <w:szCs w:val="21"/>
                      <w:highlight w:val="none"/>
                      <w:lang w:val="en-US" w:eastAsia="zh-CN" w:bidi="ar-SA"/>
                    </w:rPr>
                    <w:t>19044</w:t>
                  </w:r>
                  <w:r>
                    <w:rPr>
                      <w:rStyle w:val="37"/>
                      <w:rFonts w:hint="default" w:ascii="Times New Roman" w:hAnsi="Times New Roman" w:eastAsia="宋体" w:cs="Times New Roman"/>
                      <w:color w:val="auto"/>
                      <w:kern w:val="2"/>
                      <w:szCs w:val="21"/>
                      <w:highlight w:val="none"/>
                      <w:lang w:val="en-US" w:eastAsia="zh-CN" w:bidi="ar-SA"/>
                    </w:rPr>
                    <w:t>m</w:t>
                  </w:r>
                  <w:r>
                    <w:rPr>
                      <w:rStyle w:val="37"/>
                      <w:rFonts w:hint="default" w:ascii="Times New Roman" w:hAnsi="Times New Roman" w:eastAsia="宋体" w:cs="Times New Roman"/>
                      <w:color w:val="auto"/>
                      <w:kern w:val="2"/>
                      <w:szCs w:val="21"/>
                      <w:highlight w:val="none"/>
                      <w:vertAlign w:val="superscript"/>
                      <w:lang w:val="en-US" w:eastAsia="zh-CN" w:bidi="ar-SA"/>
                    </w:rPr>
                    <w:t>3</w:t>
                  </w:r>
                  <w:r>
                    <w:rPr>
                      <w:rStyle w:val="37"/>
                      <w:rFonts w:hint="default" w:ascii="Times New Roman" w:hAnsi="Times New Roman" w:eastAsia="宋体" w:cs="Times New Roman"/>
                      <w:color w:val="auto"/>
                      <w:kern w:val="2"/>
                      <w:szCs w:val="21"/>
                      <w:highlight w:val="none"/>
                      <w:lang w:val="en-US" w:eastAsia="zh-CN" w:bidi="ar-SA"/>
                    </w:rPr>
                    <w:t>/h，本项目设置为不低于</w:t>
                  </w:r>
                  <w:r>
                    <w:rPr>
                      <w:rStyle w:val="37"/>
                      <w:rFonts w:hint="eastAsia" w:cs="Times New Roman"/>
                      <w:color w:val="auto"/>
                      <w:kern w:val="2"/>
                      <w:szCs w:val="21"/>
                      <w:highlight w:val="none"/>
                      <w:lang w:val="en-US" w:eastAsia="zh-CN" w:bidi="ar-SA"/>
                    </w:rPr>
                    <w:t>20000</w:t>
                  </w:r>
                  <w:r>
                    <w:rPr>
                      <w:rStyle w:val="37"/>
                      <w:rFonts w:hint="default" w:ascii="Times New Roman" w:hAnsi="Times New Roman" w:eastAsia="宋体" w:cs="Times New Roman"/>
                      <w:color w:val="auto"/>
                      <w:kern w:val="2"/>
                      <w:szCs w:val="21"/>
                      <w:highlight w:val="none"/>
                      <w:lang w:val="en-US" w:eastAsia="zh-CN" w:bidi="ar-SA"/>
                    </w:rPr>
                    <w:t>m</w:t>
                  </w:r>
                  <w:r>
                    <w:rPr>
                      <w:rStyle w:val="37"/>
                      <w:rFonts w:hint="default" w:ascii="Times New Roman" w:hAnsi="Times New Roman" w:eastAsia="宋体" w:cs="Times New Roman"/>
                      <w:color w:val="auto"/>
                      <w:kern w:val="2"/>
                      <w:szCs w:val="21"/>
                      <w:highlight w:val="none"/>
                      <w:vertAlign w:val="superscript"/>
                      <w:lang w:val="en-US" w:eastAsia="zh-CN" w:bidi="ar-SA"/>
                    </w:rPr>
                    <w:t>3</w:t>
                  </w:r>
                  <w:r>
                    <w:rPr>
                      <w:rStyle w:val="37"/>
                      <w:rFonts w:hint="default" w:ascii="Times New Roman" w:hAnsi="Times New Roman" w:eastAsia="宋体" w:cs="Times New Roman"/>
                      <w:color w:val="auto"/>
                      <w:kern w:val="2"/>
                      <w:szCs w:val="21"/>
                      <w:highlight w:val="none"/>
                      <w:lang w:val="en-US" w:eastAsia="zh-CN" w:bidi="ar-SA"/>
                    </w:rPr>
                    <w:t>/h，能够满足要求。</w:t>
                  </w:r>
                  <w:r>
                    <w:rPr>
                      <w:rFonts w:hint="eastAsia" w:ascii="Times New Roman" w:cs="Times New Roman"/>
                      <w:color w:val="auto"/>
                      <w:sz w:val="21"/>
                      <w:szCs w:val="21"/>
                      <w:highlight w:val="none"/>
                      <w:lang w:val="en-US" w:eastAsia="zh-CN"/>
                    </w:rPr>
                    <w:t>破碎废气</w:t>
                  </w:r>
                  <w:r>
                    <w:rPr>
                      <w:rFonts w:hint="eastAsia" w:ascii="Times New Roman" w:hAnsi="Times New Roman" w:eastAsia="宋体" w:cs="Times New Roman"/>
                      <w:color w:val="auto"/>
                      <w:sz w:val="21"/>
                      <w:szCs w:val="21"/>
                      <w:highlight w:val="none"/>
                      <w:lang w:val="en-US" w:eastAsia="zh-CN"/>
                    </w:rPr>
                    <w:t>采用布袋除尘器</w:t>
                  </w:r>
                  <w:r>
                    <w:rPr>
                      <w:rFonts w:hint="eastAsia" w:ascii="Times New Roman" w:hAnsi="Times New Roman" w:eastAsia="宋体" w:cs="Times New Roman"/>
                      <w:color w:val="auto"/>
                      <w:sz w:val="21"/>
                      <w:szCs w:val="21"/>
                      <w:lang w:val="en-US" w:eastAsia="zh-CN"/>
                    </w:rPr>
                    <w:t>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通过15m高排气筒（DA002）排放</w:t>
                  </w:r>
                  <w:r>
                    <w:rPr>
                      <w:rFonts w:hint="eastAsia"/>
                      <w:color w:val="auto"/>
                      <w:sz w:val="21"/>
                      <w:szCs w:val="21"/>
                      <w:lang w:eastAsia="zh-CN"/>
                    </w:rPr>
                    <w:t>，</w:t>
                  </w:r>
                  <w:r>
                    <w:rPr>
                      <w:rFonts w:hint="eastAsia"/>
                      <w:color w:val="auto"/>
                      <w:sz w:val="21"/>
                      <w:szCs w:val="21"/>
                    </w:rPr>
                    <w:t>对环境影响较小。</w:t>
                  </w:r>
                </w:p>
              </w:tc>
              <w:tc>
                <w:tcPr>
                  <w:tcW w:w="719" w:type="dxa"/>
                  <w:tcBorders>
                    <w:top w:val="single" w:color="auto" w:sz="4" w:space="0"/>
                    <w:left w:val="single" w:color="auto" w:sz="4" w:space="0"/>
                    <w:bottom w:val="single" w:color="auto" w:sz="4" w:space="0"/>
                    <w:right w:val="single" w:color="auto" w:sz="4" w:space="0"/>
                  </w:tcBorders>
                  <w:vAlign w:val="center"/>
                </w:tcPr>
                <w:p w14:paraId="38EB1C63">
                  <w:pPr>
                    <w:pStyle w:val="39"/>
                    <w:adjustRightInd/>
                    <w:jc w:val="center"/>
                    <w:rPr>
                      <w:rStyle w:val="37"/>
                      <w:color w:val="auto"/>
                      <w:szCs w:val="21"/>
                    </w:rPr>
                  </w:pPr>
                  <w:r>
                    <w:rPr>
                      <w:rStyle w:val="37"/>
                      <w:color w:val="auto"/>
                      <w:szCs w:val="21"/>
                    </w:rPr>
                    <w:t>符合</w:t>
                  </w:r>
                </w:p>
              </w:tc>
            </w:tr>
            <w:tr w14:paraId="22C7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696" w:type="dxa"/>
                  <w:tcBorders>
                    <w:top w:val="single" w:color="auto" w:sz="4" w:space="0"/>
                    <w:left w:val="single" w:color="auto" w:sz="4" w:space="0"/>
                    <w:bottom w:val="single" w:color="auto" w:sz="4" w:space="0"/>
                    <w:right w:val="single" w:color="auto" w:sz="4" w:space="0"/>
                  </w:tcBorders>
                  <w:vAlign w:val="center"/>
                </w:tcPr>
                <w:p w14:paraId="191DA58E">
                  <w:pPr>
                    <w:pStyle w:val="39"/>
                    <w:adjustRightInd/>
                    <w:jc w:val="center"/>
                    <w:rPr>
                      <w:rStyle w:val="37"/>
                      <w:color w:val="auto"/>
                      <w:szCs w:val="21"/>
                    </w:rPr>
                  </w:pPr>
                  <w:r>
                    <w:rPr>
                      <w:rStyle w:val="37"/>
                      <w:color w:val="auto"/>
                      <w:szCs w:val="21"/>
                    </w:rPr>
                    <w:t>提高废气收集率。遵循“应收尽收、分质收集”的原则，科学设计废气收集系统，将无组织排放转变为有组织排放进行控制。采用全密闭集气罩或密闭空间的，除行业有特殊要求外，应保持微负压状态，并根据相关规范合理设置通风量。采用局部集气罩的，距集气罩开口面最远处的VOCs无组织排放位置，控制风速应不低于0.3米/秒，有行业要求的按相关规定执行。</w:t>
                  </w:r>
                </w:p>
              </w:tc>
              <w:tc>
                <w:tcPr>
                  <w:tcW w:w="2464" w:type="dxa"/>
                  <w:vMerge w:val="continue"/>
                  <w:tcBorders>
                    <w:left w:val="single" w:color="auto" w:sz="4" w:space="0"/>
                    <w:bottom w:val="single" w:color="auto" w:sz="4" w:space="0"/>
                    <w:right w:val="single" w:color="auto" w:sz="4" w:space="0"/>
                  </w:tcBorders>
                  <w:vAlign w:val="center"/>
                </w:tcPr>
                <w:p w14:paraId="6730BC05">
                  <w:pPr>
                    <w:pStyle w:val="39"/>
                    <w:adjustRightInd/>
                    <w:jc w:val="center"/>
                    <w:rPr>
                      <w:rStyle w:val="37"/>
                      <w:color w:val="auto"/>
                      <w:szCs w:val="21"/>
                    </w:rPr>
                  </w:pPr>
                </w:p>
              </w:tc>
              <w:tc>
                <w:tcPr>
                  <w:tcW w:w="719" w:type="dxa"/>
                  <w:tcBorders>
                    <w:top w:val="single" w:color="auto" w:sz="4" w:space="0"/>
                    <w:left w:val="single" w:color="auto" w:sz="4" w:space="0"/>
                    <w:bottom w:val="single" w:color="auto" w:sz="4" w:space="0"/>
                    <w:right w:val="single" w:color="auto" w:sz="4" w:space="0"/>
                  </w:tcBorders>
                  <w:vAlign w:val="center"/>
                </w:tcPr>
                <w:p w14:paraId="7478F1C8">
                  <w:pPr>
                    <w:pStyle w:val="39"/>
                    <w:adjustRightInd/>
                    <w:jc w:val="center"/>
                    <w:rPr>
                      <w:rStyle w:val="37"/>
                      <w:color w:val="auto"/>
                      <w:szCs w:val="21"/>
                    </w:rPr>
                  </w:pPr>
                  <w:r>
                    <w:rPr>
                      <w:rStyle w:val="37"/>
                      <w:color w:val="auto"/>
                      <w:szCs w:val="21"/>
                    </w:rPr>
                    <w:t>符合</w:t>
                  </w:r>
                </w:p>
              </w:tc>
            </w:tr>
          </w:tbl>
          <w:p w14:paraId="5C251A3E">
            <w:pPr>
              <w:spacing w:line="360" w:lineRule="auto"/>
              <w:ind w:firstLine="495"/>
              <w:rPr>
                <w:color w:val="auto"/>
                <w:sz w:val="24"/>
              </w:rPr>
            </w:pPr>
            <w:r>
              <w:rPr>
                <w:rFonts w:hint="eastAsia"/>
                <w:color w:val="auto"/>
                <w:sz w:val="24"/>
              </w:rPr>
              <w:t>综上所述，项目建设符合《云南省重点行业挥发性有机物综合治理实施方案》的相关要求。</w:t>
            </w:r>
          </w:p>
          <w:p w14:paraId="3B9A22C2">
            <w:pPr>
              <w:pStyle w:val="13"/>
              <w:spacing w:line="324" w:lineRule="auto"/>
              <w:ind w:firstLine="498" w:firstLineChars="200"/>
              <w:rPr>
                <w:color w:val="auto"/>
                <w:spacing w:val="4"/>
                <w:kern w:val="24"/>
                <w:sz w:val="24"/>
                <w:lang w:bidi="ar"/>
              </w:rPr>
            </w:pPr>
            <w:r>
              <w:rPr>
                <w:rFonts w:hint="eastAsia"/>
                <w:b/>
                <w:bCs/>
                <w:color w:val="auto"/>
                <w:spacing w:val="4"/>
                <w:kern w:val="24"/>
                <w:sz w:val="24"/>
                <w:lang w:bidi="ar"/>
              </w:rPr>
              <w:t>1</w:t>
            </w:r>
            <w:r>
              <w:rPr>
                <w:rFonts w:hint="eastAsia"/>
                <w:b/>
                <w:bCs/>
                <w:color w:val="auto"/>
                <w:spacing w:val="4"/>
                <w:kern w:val="24"/>
                <w:sz w:val="24"/>
                <w:lang w:val="en-US" w:eastAsia="zh-CN" w:bidi="ar"/>
              </w:rPr>
              <w:t>6</w:t>
            </w:r>
            <w:r>
              <w:rPr>
                <w:rFonts w:hint="eastAsia"/>
                <w:b/>
                <w:bCs/>
                <w:color w:val="auto"/>
                <w:spacing w:val="4"/>
                <w:kern w:val="24"/>
                <w:sz w:val="24"/>
                <w:lang w:bidi="ar"/>
              </w:rPr>
              <w:t>、</w:t>
            </w:r>
            <w:r>
              <w:rPr>
                <w:rFonts w:hint="eastAsia"/>
                <w:b/>
                <w:bCs/>
                <w:color w:val="auto"/>
                <w:spacing w:val="4"/>
                <w:kern w:val="24"/>
                <w:sz w:val="24"/>
                <w:lang w:val="en-US" w:eastAsia="zh-CN" w:bidi="ar"/>
              </w:rPr>
              <w:t>项目</w:t>
            </w:r>
            <w:r>
              <w:rPr>
                <w:b/>
                <w:bCs/>
                <w:color w:val="auto"/>
                <w:spacing w:val="4"/>
                <w:kern w:val="24"/>
                <w:sz w:val="24"/>
                <w:lang w:bidi="ar"/>
              </w:rPr>
              <w:t>与《挥发性有机物污染防治技术政策》符合性分析</w:t>
            </w:r>
          </w:p>
          <w:p w14:paraId="3AA770B3">
            <w:pPr>
              <w:spacing w:line="324" w:lineRule="auto"/>
              <w:ind w:firstLine="480" w:firstLineChars="200"/>
              <w:rPr>
                <w:color w:val="auto"/>
                <w:sz w:val="24"/>
              </w:rPr>
            </w:pPr>
            <w:r>
              <w:rPr>
                <w:rFonts w:hint="eastAsia"/>
                <w:color w:val="auto"/>
                <w:sz w:val="24"/>
              </w:rPr>
              <w:t>环保部于2013年5月24日发布实施了《挥发性有机物污染防治技术政策》，该技术政策提出了生产VOCs物料和含VOCs产品的生产、储存运输销售、使用、消费各环节的污染防治策略和方法。VOCs来源广泛，主要污染源包括工业源、生活源。工业源主要包括石油炼制与石油化工、煤炭加工与转化等含VOCs原料的生产行业，油类（燃油、溶剂等）储存、运输和销售过程，涂料、油墨、胶粘剂、农药等以VOCs为原料的生产行业，涂装、印刷、粘合、工业清洗等含VOCs产品的使用过程；生活源包括建筑装饰装修、餐饮服务和服装干洗。</w:t>
            </w:r>
          </w:p>
          <w:p w14:paraId="7D58E0D9">
            <w:pPr>
              <w:spacing w:line="324" w:lineRule="auto"/>
              <w:ind w:firstLine="480" w:firstLineChars="200"/>
              <w:rPr>
                <w:b/>
                <w:bCs/>
                <w:color w:val="auto"/>
                <w:szCs w:val="21"/>
              </w:rPr>
            </w:pPr>
            <w:r>
              <w:rPr>
                <w:color w:val="auto"/>
                <w:kern w:val="0"/>
                <w:sz w:val="24"/>
              </w:rPr>
              <w:t>项目与</w:t>
            </w:r>
            <w:r>
              <w:rPr>
                <w:color w:val="auto"/>
                <w:sz w:val="24"/>
              </w:rPr>
              <w:t>《挥发性有机物污染防治技术政策》相符性分析见表1-</w:t>
            </w:r>
            <w:r>
              <w:rPr>
                <w:rFonts w:hint="eastAsia"/>
                <w:color w:val="auto"/>
                <w:sz w:val="24"/>
              </w:rPr>
              <w:t>1</w:t>
            </w:r>
            <w:r>
              <w:rPr>
                <w:rFonts w:hint="eastAsia"/>
                <w:color w:val="auto"/>
                <w:sz w:val="24"/>
                <w:lang w:val="en-US" w:eastAsia="zh-CN"/>
              </w:rPr>
              <w:t>7</w:t>
            </w:r>
            <w:r>
              <w:rPr>
                <w:color w:val="auto"/>
                <w:sz w:val="24"/>
              </w:rPr>
              <w:t>。</w:t>
            </w:r>
          </w:p>
          <w:p w14:paraId="0C34A38F">
            <w:pPr>
              <w:jc w:val="center"/>
              <w:rPr>
                <w:b/>
                <w:bCs/>
                <w:color w:val="auto"/>
                <w:szCs w:val="21"/>
              </w:rPr>
            </w:pPr>
            <w:r>
              <w:rPr>
                <w:b/>
                <w:bCs/>
                <w:color w:val="auto"/>
                <w:szCs w:val="21"/>
              </w:rPr>
              <w:t>表1-</w:t>
            </w:r>
            <w:r>
              <w:rPr>
                <w:rFonts w:hint="eastAsia"/>
                <w:b/>
                <w:bCs/>
                <w:color w:val="auto"/>
                <w:szCs w:val="21"/>
              </w:rPr>
              <w:t>1</w:t>
            </w:r>
            <w:r>
              <w:rPr>
                <w:rFonts w:hint="eastAsia"/>
                <w:b/>
                <w:bCs/>
                <w:color w:val="auto"/>
                <w:szCs w:val="21"/>
                <w:lang w:val="en-US" w:eastAsia="zh-CN"/>
              </w:rPr>
              <w:t>7</w:t>
            </w:r>
            <w:r>
              <w:rPr>
                <w:b/>
                <w:bCs/>
                <w:color w:val="auto"/>
                <w:szCs w:val="21"/>
              </w:rPr>
              <w:t xml:space="preserve">   </w:t>
            </w:r>
            <w:r>
              <w:rPr>
                <w:b/>
                <w:bCs/>
                <w:color w:val="auto"/>
                <w:kern w:val="0"/>
                <w:szCs w:val="21"/>
              </w:rPr>
              <w:t>与</w:t>
            </w:r>
            <w:r>
              <w:rPr>
                <w:b/>
                <w:bCs/>
                <w:color w:val="auto"/>
                <w:szCs w:val="21"/>
              </w:rPr>
              <w:t>《挥发性有机物污染防治技术政策》符合性分析</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6"/>
              <w:gridCol w:w="2408"/>
              <w:gridCol w:w="892"/>
            </w:tblGrid>
            <w:tr w14:paraId="3A0C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05" w:type="pct"/>
                  <w:vAlign w:val="center"/>
                </w:tcPr>
                <w:p w14:paraId="6F9208FB">
                  <w:pPr>
                    <w:adjustRightInd w:val="0"/>
                    <w:snapToGrid w:val="0"/>
                    <w:jc w:val="center"/>
                    <w:rPr>
                      <w:b/>
                      <w:color w:val="auto"/>
                    </w:rPr>
                  </w:pPr>
                  <w:r>
                    <w:rPr>
                      <w:rFonts w:hint="eastAsia"/>
                      <w:b/>
                      <w:color w:val="auto"/>
                    </w:rPr>
                    <w:t>政策相关要求</w:t>
                  </w:r>
                </w:p>
              </w:tc>
              <w:tc>
                <w:tcPr>
                  <w:tcW w:w="1529" w:type="pct"/>
                  <w:vAlign w:val="center"/>
                </w:tcPr>
                <w:p w14:paraId="70A89A32">
                  <w:pPr>
                    <w:adjustRightInd w:val="0"/>
                    <w:snapToGrid w:val="0"/>
                    <w:jc w:val="center"/>
                    <w:rPr>
                      <w:b/>
                      <w:color w:val="auto"/>
                    </w:rPr>
                  </w:pPr>
                  <w:r>
                    <w:rPr>
                      <w:rFonts w:hint="eastAsia"/>
                      <w:b/>
                      <w:color w:val="auto"/>
                    </w:rPr>
                    <w:t>项目情况</w:t>
                  </w:r>
                </w:p>
              </w:tc>
              <w:tc>
                <w:tcPr>
                  <w:tcW w:w="565" w:type="pct"/>
                  <w:vAlign w:val="center"/>
                </w:tcPr>
                <w:p w14:paraId="0F5F47B5">
                  <w:pPr>
                    <w:adjustRightInd w:val="0"/>
                    <w:snapToGrid w:val="0"/>
                    <w:jc w:val="center"/>
                    <w:rPr>
                      <w:b/>
                      <w:color w:val="auto"/>
                    </w:rPr>
                  </w:pPr>
                  <w:r>
                    <w:rPr>
                      <w:rFonts w:hint="eastAsia"/>
                      <w:b/>
                      <w:color w:val="auto"/>
                    </w:rPr>
                    <w:t>相符性</w:t>
                  </w:r>
                </w:p>
              </w:tc>
            </w:tr>
            <w:tr w14:paraId="0B765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3"/>
                  <w:vAlign w:val="center"/>
                </w:tcPr>
                <w:p w14:paraId="2FEF9050">
                  <w:pPr>
                    <w:adjustRightInd w:val="0"/>
                    <w:snapToGrid w:val="0"/>
                    <w:jc w:val="center"/>
                    <w:rPr>
                      <w:color w:val="auto"/>
                      <w:szCs w:val="21"/>
                    </w:rPr>
                  </w:pPr>
                  <w:r>
                    <w:rPr>
                      <w:b/>
                      <w:bCs/>
                      <w:color w:val="auto"/>
                      <w:szCs w:val="21"/>
                    </w:rPr>
                    <w:t>末端治理与综合利用</w:t>
                  </w:r>
                </w:p>
              </w:tc>
            </w:tr>
            <w:tr w14:paraId="41DD2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05" w:type="pct"/>
                  <w:vAlign w:val="center"/>
                </w:tcPr>
                <w:p w14:paraId="12F643DA">
                  <w:pPr>
                    <w:adjustRightInd w:val="0"/>
                    <w:snapToGrid w:val="0"/>
                    <w:rPr>
                      <w:color w:val="auto"/>
                      <w:szCs w:val="21"/>
                    </w:rPr>
                  </w:pPr>
                  <w:r>
                    <w:rPr>
                      <w:color w:val="auto"/>
                      <w:szCs w:val="21"/>
                      <w:shd w:val="clear" w:color="auto" w:fill="FFFFFF"/>
                    </w:rPr>
                    <w:t>（十二）在工业生产过程中鼓励VOCs的回收利用，并优先鼓励在生产系统内回用。</w:t>
                  </w:r>
                </w:p>
              </w:tc>
              <w:tc>
                <w:tcPr>
                  <w:tcW w:w="1529" w:type="pct"/>
                  <w:vMerge w:val="restart"/>
                  <w:vAlign w:val="center"/>
                </w:tcPr>
                <w:p w14:paraId="27D4FB27">
                  <w:pPr>
                    <w:adjustRightInd w:val="0"/>
                    <w:snapToGrid w:val="0"/>
                    <w:jc w:val="center"/>
                    <w:rPr>
                      <w:color w:val="auto"/>
                    </w:rPr>
                  </w:pPr>
                  <w:r>
                    <w:rPr>
                      <w:rStyle w:val="37"/>
                      <w:rFonts w:hint="eastAsia"/>
                      <w:color w:val="auto"/>
                      <w:szCs w:val="21"/>
                    </w:rPr>
                    <w:t>项目为</w:t>
                  </w:r>
                  <w:r>
                    <w:rPr>
                      <w:rStyle w:val="37"/>
                      <w:rFonts w:hint="eastAsia"/>
                      <w:color w:val="auto"/>
                      <w:szCs w:val="21"/>
                      <w:lang w:eastAsia="zh-CN"/>
                    </w:rPr>
                    <w:t>塑料制品</w:t>
                  </w:r>
                  <w:r>
                    <w:rPr>
                      <w:rStyle w:val="37"/>
                      <w:rFonts w:hint="eastAsia"/>
                      <w:color w:val="auto"/>
                      <w:szCs w:val="21"/>
                    </w:rPr>
                    <w:t>生产，</w:t>
                  </w:r>
                  <w:r>
                    <w:rPr>
                      <w:rStyle w:val="37"/>
                      <w:color w:val="auto"/>
                      <w:szCs w:val="21"/>
                    </w:rPr>
                    <w:t>属于</w:t>
                  </w:r>
                  <w:r>
                    <w:rPr>
                      <w:rStyle w:val="37"/>
                      <w:rFonts w:hint="default" w:ascii="Times New Roman" w:hAnsi="Times New Roman" w:eastAsia="宋体" w:cs="Times New Roman"/>
                      <w:color w:val="auto"/>
                      <w:szCs w:val="21"/>
                    </w:rPr>
                    <w:t>塑料包装箱及容器制造</w:t>
                  </w:r>
                  <w:r>
                    <w:rPr>
                      <w:rStyle w:val="37"/>
                      <w:rFonts w:hint="eastAsia"/>
                      <w:color w:val="auto"/>
                      <w:szCs w:val="21"/>
                    </w:rPr>
                    <w:t>，项目</w:t>
                  </w:r>
                  <w:r>
                    <w:rPr>
                      <w:rFonts w:hint="default" w:ascii="Times New Roman" w:hAnsi="Times New Roman" w:eastAsia="宋体" w:cs="Times New Roman"/>
                      <w:color w:val="auto"/>
                      <w:sz w:val="21"/>
                      <w:szCs w:val="21"/>
                      <w:lang w:val="en-US" w:eastAsia="zh-CN"/>
                    </w:rPr>
                    <w:t>生产过程</w:t>
                  </w:r>
                  <w:r>
                    <w:rPr>
                      <w:rFonts w:hint="eastAsia" w:ascii="Times New Roman" w:hAnsi="Times New Roman" w:eastAsia="宋体" w:cs="Times New Roman"/>
                      <w:color w:val="auto"/>
                      <w:sz w:val="21"/>
                      <w:szCs w:val="21"/>
                      <w:lang w:val="en-US" w:eastAsia="zh-CN"/>
                    </w:rPr>
                    <w:t>产生的</w:t>
                  </w:r>
                  <w:r>
                    <w:rPr>
                      <w:rFonts w:hint="eastAsia" w:ascii="Times New Roman" w:cs="Times New Roman"/>
                      <w:color w:val="auto"/>
                      <w:sz w:val="21"/>
                      <w:szCs w:val="21"/>
                      <w:lang w:val="en-US" w:eastAsia="zh-CN"/>
                    </w:rPr>
                    <w:t>注塑</w:t>
                  </w:r>
                  <w:r>
                    <w:rPr>
                      <w:rFonts w:hint="eastAsia" w:ascii="Times New Roman" w:hAnsi="Times New Roman" w:eastAsia="宋体" w:cs="Times New Roman"/>
                      <w:color w:val="auto"/>
                      <w:sz w:val="21"/>
                      <w:szCs w:val="21"/>
                      <w:lang w:val="en-US" w:eastAsia="zh-CN"/>
                    </w:rPr>
                    <w:t>废气采用</w:t>
                  </w:r>
                  <w:r>
                    <w:rPr>
                      <w:rFonts w:hint="eastAsia" w:ascii="Times New Roman" w:cs="Times New Roman"/>
                      <w:color w:val="auto"/>
                      <w:sz w:val="21"/>
                      <w:szCs w:val="21"/>
                      <w:lang w:val="en-US" w:eastAsia="zh-CN"/>
                    </w:rPr>
                    <w:t>三</w:t>
                  </w:r>
                  <w:r>
                    <w:rPr>
                      <w:rFonts w:hint="eastAsia" w:ascii="Times New Roman" w:hAnsi="Times New Roman" w:eastAsia="宋体" w:cs="Times New Roman"/>
                      <w:color w:val="auto"/>
                      <w:sz w:val="21"/>
                      <w:szCs w:val="21"/>
                      <w:lang w:val="en-US" w:eastAsia="zh-CN"/>
                    </w:rPr>
                    <w:t>级活性炭吸附</w:t>
                  </w:r>
                  <w:r>
                    <w:rPr>
                      <w:rFonts w:hint="eastAsia" w:ascii="Times New Roman" w:cs="Times New Roman"/>
                      <w:color w:val="auto"/>
                      <w:sz w:val="21"/>
                      <w:szCs w:val="21"/>
                      <w:lang w:val="en-US" w:eastAsia="zh-CN"/>
                    </w:rPr>
                    <w:t>装置</w:t>
                  </w:r>
                  <w:r>
                    <w:rPr>
                      <w:rFonts w:hint="eastAsia" w:ascii="Times New Roman" w:hAnsi="Times New Roman" w:eastAsia="宋体" w:cs="Times New Roman"/>
                      <w:color w:val="auto"/>
                      <w:sz w:val="21"/>
                      <w:szCs w:val="21"/>
                      <w:lang w:val="en-US" w:eastAsia="zh-CN"/>
                    </w:rPr>
                    <w:t>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通过15m高排气筒（DA001）排放；破碎废气</w:t>
                  </w:r>
                  <w:r>
                    <w:rPr>
                      <w:rFonts w:hint="eastAsia" w:ascii="Times New Roman" w:hAnsi="Times New Roman" w:eastAsia="宋体" w:cs="Times New Roman"/>
                      <w:color w:val="auto"/>
                      <w:sz w:val="21"/>
                      <w:szCs w:val="21"/>
                      <w:lang w:val="en-US" w:eastAsia="zh-CN"/>
                    </w:rPr>
                    <w:t>采用布袋除尘器进行处理达标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通过15m高排气筒（DA002）排放</w:t>
                  </w:r>
                  <w:r>
                    <w:rPr>
                      <w:rFonts w:hint="eastAsia" w:cs="Times New Roman"/>
                      <w:color w:val="auto"/>
                      <w:sz w:val="21"/>
                      <w:szCs w:val="21"/>
                      <w:lang w:val="en-US" w:eastAsia="zh-CN"/>
                    </w:rPr>
                    <w:t>，</w:t>
                  </w:r>
                  <w:r>
                    <w:rPr>
                      <w:rFonts w:hint="eastAsia"/>
                      <w:color w:val="auto"/>
                      <w:szCs w:val="21"/>
                    </w:rPr>
                    <w:t>对环境影响较小。</w:t>
                  </w:r>
                </w:p>
              </w:tc>
              <w:tc>
                <w:tcPr>
                  <w:tcW w:w="565" w:type="pct"/>
                  <w:vAlign w:val="center"/>
                </w:tcPr>
                <w:p w14:paraId="5220B08F">
                  <w:pPr>
                    <w:adjustRightInd w:val="0"/>
                    <w:snapToGrid w:val="0"/>
                    <w:jc w:val="center"/>
                    <w:rPr>
                      <w:color w:val="auto"/>
                    </w:rPr>
                  </w:pPr>
                  <w:r>
                    <w:rPr>
                      <w:rFonts w:hint="eastAsia"/>
                      <w:color w:val="auto"/>
                    </w:rPr>
                    <w:t>符合</w:t>
                  </w:r>
                </w:p>
              </w:tc>
            </w:tr>
            <w:tr w14:paraId="5EB4F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05" w:type="pct"/>
                  <w:vAlign w:val="center"/>
                </w:tcPr>
                <w:p w14:paraId="3F856209">
                  <w:pPr>
                    <w:adjustRightInd w:val="0"/>
                    <w:snapToGrid w:val="0"/>
                    <w:rPr>
                      <w:color w:val="auto"/>
                      <w:szCs w:val="21"/>
                    </w:rPr>
                  </w:pPr>
                  <w:r>
                    <w:rPr>
                      <w:color w:val="auto"/>
                      <w:szCs w:val="21"/>
                      <w:shd w:val="clear" w:color="auto" w:fill="FFFFFF"/>
                    </w:rPr>
                    <w:t>（十三）对于含高浓度VOCs的废气，宜优先采用冷凝回收、吸附回收技术进行回收利用，并辅助以其他治理技术实现达标排放。</w:t>
                  </w:r>
                </w:p>
              </w:tc>
              <w:tc>
                <w:tcPr>
                  <w:tcW w:w="1529" w:type="pct"/>
                  <w:vMerge w:val="continue"/>
                  <w:vAlign w:val="center"/>
                </w:tcPr>
                <w:p w14:paraId="0EFB0CA0">
                  <w:pPr>
                    <w:adjustRightInd w:val="0"/>
                    <w:snapToGrid w:val="0"/>
                    <w:rPr>
                      <w:color w:val="auto"/>
                    </w:rPr>
                  </w:pPr>
                </w:p>
              </w:tc>
              <w:tc>
                <w:tcPr>
                  <w:tcW w:w="565" w:type="pct"/>
                  <w:vAlign w:val="center"/>
                </w:tcPr>
                <w:p w14:paraId="0C4C1217">
                  <w:pPr>
                    <w:adjustRightInd w:val="0"/>
                    <w:snapToGrid w:val="0"/>
                    <w:jc w:val="center"/>
                    <w:rPr>
                      <w:color w:val="auto"/>
                    </w:rPr>
                  </w:pPr>
                  <w:r>
                    <w:rPr>
                      <w:rFonts w:hint="eastAsia"/>
                      <w:color w:val="auto"/>
                    </w:rPr>
                    <w:t>符合</w:t>
                  </w:r>
                </w:p>
              </w:tc>
            </w:tr>
            <w:tr w14:paraId="1D46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05" w:type="pct"/>
                  <w:vAlign w:val="center"/>
                </w:tcPr>
                <w:p w14:paraId="61F3CF61">
                  <w:pPr>
                    <w:adjustRightInd w:val="0"/>
                    <w:snapToGrid w:val="0"/>
                    <w:rPr>
                      <w:color w:val="auto"/>
                      <w:szCs w:val="21"/>
                    </w:rPr>
                  </w:pPr>
                  <w:r>
                    <w:rPr>
                      <w:color w:val="auto"/>
                      <w:szCs w:val="21"/>
                    </w:rPr>
                    <w:t>（十四）对于含中等浓度VOCs的废气，可采用吸附技术回收有机溶剂，或采用催化燃烧和热力焚烧技术净化后达标排放。当采用催化燃烧和热力焚烧技术进行净化时，应进行余热回收利用。</w:t>
                  </w:r>
                </w:p>
              </w:tc>
              <w:tc>
                <w:tcPr>
                  <w:tcW w:w="1529" w:type="pct"/>
                  <w:vMerge w:val="continue"/>
                  <w:vAlign w:val="center"/>
                </w:tcPr>
                <w:p w14:paraId="23F72A23">
                  <w:pPr>
                    <w:adjustRightInd w:val="0"/>
                    <w:snapToGrid w:val="0"/>
                    <w:rPr>
                      <w:color w:val="auto"/>
                    </w:rPr>
                  </w:pPr>
                </w:p>
              </w:tc>
              <w:tc>
                <w:tcPr>
                  <w:tcW w:w="565" w:type="pct"/>
                  <w:vAlign w:val="center"/>
                </w:tcPr>
                <w:p w14:paraId="72D1C4EF">
                  <w:pPr>
                    <w:adjustRightInd w:val="0"/>
                    <w:snapToGrid w:val="0"/>
                    <w:jc w:val="center"/>
                    <w:rPr>
                      <w:color w:val="auto"/>
                    </w:rPr>
                  </w:pPr>
                  <w:r>
                    <w:rPr>
                      <w:rFonts w:hint="eastAsia"/>
                      <w:color w:val="auto"/>
                    </w:rPr>
                    <w:t>符合</w:t>
                  </w:r>
                </w:p>
              </w:tc>
            </w:tr>
            <w:tr w14:paraId="31F7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05" w:type="pct"/>
                  <w:vAlign w:val="center"/>
                </w:tcPr>
                <w:p w14:paraId="58280E69">
                  <w:pPr>
                    <w:adjustRightInd w:val="0"/>
                    <w:snapToGrid w:val="0"/>
                    <w:rPr>
                      <w:color w:val="auto"/>
                      <w:szCs w:val="21"/>
                    </w:rPr>
                  </w:pPr>
                  <w:r>
                    <w:rPr>
                      <w:color w:val="auto"/>
                      <w:szCs w:val="21"/>
                    </w:rPr>
                    <w:t>（十五）对于含低浓度VOCs的废气，有回收价值时可采用吸附技术、吸收技术对有机溶剂回收后达标排放；不宜回收时，可采用吸附浓缩燃烧技术、生物技术、吸收技术、等离子体技术或紫外光高级氧化技术等净化后达标排放。</w:t>
                  </w:r>
                </w:p>
              </w:tc>
              <w:tc>
                <w:tcPr>
                  <w:tcW w:w="1529" w:type="pct"/>
                  <w:vMerge w:val="continue"/>
                  <w:vAlign w:val="center"/>
                </w:tcPr>
                <w:p w14:paraId="4FE5C0E9">
                  <w:pPr>
                    <w:adjustRightInd w:val="0"/>
                    <w:snapToGrid w:val="0"/>
                    <w:rPr>
                      <w:color w:val="auto"/>
                    </w:rPr>
                  </w:pPr>
                </w:p>
              </w:tc>
              <w:tc>
                <w:tcPr>
                  <w:tcW w:w="565" w:type="pct"/>
                  <w:vAlign w:val="center"/>
                </w:tcPr>
                <w:p w14:paraId="5CFCAAB0">
                  <w:pPr>
                    <w:adjustRightInd w:val="0"/>
                    <w:snapToGrid w:val="0"/>
                    <w:jc w:val="center"/>
                    <w:rPr>
                      <w:color w:val="auto"/>
                    </w:rPr>
                  </w:pPr>
                  <w:r>
                    <w:rPr>
                      <w:rFonts w:hint="eastAsia"/>
                      <w:color w:val="auto"/>
                    </w:rPr>
                    <w:t>符合</w:t>
                  </w:r>
                </w:p>
              </w:tc>
            </w:tr>
            <w:tr w14:paraId="7E971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05" w:type="pct"/>
                  <w:vAlign w:val="center"/>
                </w:tcPr>
                <w:p w14:paraId="2A223906">
                  <w:pPr>
                    <w:adjustRightInd w:val="0"/>
                    <w:snapToGrid w:val="0"/>
                    <w:rPr>
                      <w:color w:val="auto"/>
                      <w:szCs w:val="21"/>
                    </w:rPr>
                  </w:pPr>
                  <w:r>
                    <w:rPr>
                      <w:color w:val="auto"/>
                      <w:szCs w:val="21"/>
                    </w:rPr>
                    <w:t>（十九）严格控制VOCs处理过程中产生的二次污染，对于催化燃烧和热力焚烧过程中产生的含硫、氮、氯等无机废气，以及吸附、吸收、冷凝、生物等治理过程中所产生的含有机物废水，应处理后达标排放。</w:t>
                  </w:r>
                </w:p>
              </w:tc>
              <w:tc>
                <w:tcPr>
                  <w:tcW w:w="1529" w:type="pct"/>
                  <w:vAlign w:val="center"/>
                </w:tcPr>
                <w:p w14:paraId="1C5E7BA9">
                  <w:pPr>
                    <w:adjustRightInd w:val="0"/>
                    <w:snapToGrid w:val="0"/>
                    <w:jc w:val="center"/>
                    <w:rPr>
                      <w:color w:val="auto"/>
                    </w:rPr>
                  </w:pPr>
                  <w:r>
                    <w:rPr>
                      <w:rFonts w:hint="eastAsia"/>
                      <w:color w:val="auto"/>
                    </w:rPr>
                    <w:t>本项目不涉及。</w:t>
                  </w:r>
                </w:p>
              </w:tc>
              <w:tc>
                <w:tcPr>
                  <w:tcW w:w="565" w:type="pct"/>
                  <w:vAlign w:val="center"/>
                </w:tcPr>
                <w:p w14:paraId="6960E523">
                  <w:pPr>
                    <w:adjustRightInd w:val="0"/>
                    <w:snapToGrid w:val="0"/>
                    <w:jc w:val="center"/>
                    <w:rPr>
                      <w:color w:val="auto"/>
                    </w:rPr>
                  </w:pPr>
                  <w:r>
                    <w:rPr>
                      <w:color w:val="auto"/>
                    </w:rPr>
                    <w:t>符合</w:t>
                  </w:r>
                </w:p>
              </w:tc>
            </w:tr>
            <w:tr w14:paraId="4453A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3"/>
                  <w:vAlign w:val="center"/>
                </w:tcPr>
                <w:p w14:paraId="07FF50D6">
                  <w:pPr>
                    <w:adjustRightInd w:val="0"/>
                    <w:snapToGrid w:val="0"/>
                    <w:rPr>
                      <w:color w:val="auto"/>
                    </w:rPr>
                  </w:pPr>
                  <w:r>
                    <w:rPr>
                      <w:b/>
                      <w:bCs/>
                      <w:color w:val="auto"/>
                    </w:rPr>
                    <w:t>运营与监测</w:t>
                  </w:r>
                </w:p>
              </w:tc>
            </w:tr>
            <w:tr w14:paraId="16EC9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05" w:type="pct"/>
                  <w:vAlign w:val="center"/>
                </w:tcPr>
                <w:p w14:paraId="7F2A519D">
                  <w:pPr>
                    <w:adjustRightInd w:val="0"/>
                    <w:snapToGrid w:val="0"/>
                    <w:rPr>
                      <w:color w:val="auto"/>
                    </w:rPr>
                  </w:pPr>
                  <w:r>
                    <w:rPr>
                      <w:color w:val="auto"/>
                    </w:rPr>
                    <w:t>（二十五）鼓励企业自行开展VOCs监测，并及时主动向当地环保行政主管部门报送监测结果。</w:t>
                  </w:r>
                </w:p>
              </w:tc>
              <w:tc>
                <w:tcPr>
                  <w:tcW w:w="1529" w:type="pct"/>
                  <w:vAlign w:val="center"/>
                </w:tcPr>
                <w:p w14:paraId="10CE7D1D">
                  <w:pPr>
                    <w:adjustRightInd w:val="0"/>
                    <w:snapToGrid w:val="0"/>
                    <w:jc w:val="center"/>
                    <w:rPr>
                      <w:color w:val="auto"/>
                    </w:rPr>
                  </w:pPr>
                  <w:r>
                    <w:rPr>
                      <w:rFonts w:hint="eastAsia"/>
                      <w:color w:val="auto"/>
                      <w:szCs w:val="21"/>
                    </w:rPr>
                    <w:t>项目制定了监测计划，投产后将定期开展监测。</w:t>
                  </w:r>
                </w:p>
              </w:tc>
              <w:tc>
                <w:tcPr>
                  <w:tcW w:w="565" w:type="pct"/>
                  <w:vAlign w:val="center"/>
                </w:tcPr>
                <w:p w14:paraId="34E5186C">
                  <w:pPr>
                    <w:adjustRightInd w:val="0"/>
                    <w:snapToGrid w:val="0"/>
                    <w:jc w:val="center"/>
                    <w:rPr>
                      <w:color w:val="auto"/>
                    </w:rPr>
                  </w:pPr>
                  <w:r>
                    <w:rPr>
                      <w:rFonts w:hint="eastAsia"/>
                      <w:color w:val="auto"/>
                    </w:rPr>
                    <w:t>符合</w:t>
                  </w:r>
                </w:p>
              </w:tc>
            </w:tr>
            <w:tr w14:paraId="23218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05" w:type="pct"/>
                  <w:vAlign w:val="center"/>
                </w:tcPr>
                <w:p w14:paraId="65A5CE85">
                  <w:pPr>
                    <w:adjustRightInd w:val="0"/>
                    <w:snapToGrid w:val="0"/>
                    <w:rPr>
                      <w:color w:val="auto"/>
                    </w:rPr>
                  </w:pPr>
                  <w:r>
                    <w:rPr>
                      <w:color w:val="auto"/>
                    </w:rPr>
                    <w:t>（二十六）企业应建立健全VOCs治理设施的运行维护规程和台帐等日常管理制度，并根据工艺要求定期对各类设备、电气、自控仪表等进行检修维护，确保设施的稳定运行。</w:t>
                  </w:r>
                </w:p>
              </w:tc>
              <w:tc>
                <w:tcPr>
                  <w:tcW w:w="1529" w:type="pct"/>
                  <w:vAlign w:val="center"/>
                </w:tcPr>
                <w:p w14:paraId="3D8D7C8D">
                  <w:pPr>
                    <w:adjustRightInd w:val="0"/>
                    <w:snapToGrid w:val="0"/>
                    <w:jc w:val="center"/>
                    <w:rPr>
                      <w:color w:val="auto"/>
                    </w:rPr>
                  </w:pPr>
                  <w:r>
                    <w:rPr>
                      <w:rFonts w:hint="eastAsia"/>
                      <w:color w:val="auto"/>
                    </w:rPr>
                    <w:t>项目按相关要求建立企业环境管理制度及环境管理台账制度。定期对各类设备、仪表尤其是环保设施进行检修维护，确保设施的稳定运行。</w:t>
                  </w:r>
                </w:p>
              </w:tc>
              <w:tc>
                <w:tcPr>
                  <w:tcW w:w="565" w:type="pct"/>
                  <w:vAlign w:val="center"/>
                </w:tcPr>
                <w:p w14:paraId="0B360F23">
                  <w:pPr>
                    <w:adjustRightInd w:val="0"/>
                    <w:snapToGrid w:val="0"/>
                    <w:jc w:val="center"/>
                    <w:rPr>
                      <w:color w:val="auto"/>
                    </w:rPr>
                  </w:pPr>
                  <w:r>
                    <w:rPr>
                      <w:rFonts w:hint="eastAsia"/>
                      <w:color w:val="auto"/>
                    </w:rPr>
                    <w:t>符合</w:t>
                  </w:r>
                </w:p>
              </w:tc>
            </w:tr>
            <w:tr w14:paraId="323C9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05" w:type="pct"/>
                  <w:vAlign w:val="center"/>
                </w:tcPr>
                <w:p w14:paraId="2D5EDB44">
                  <w:pPr>
                    <w:adjustRightInd w:val="0"/>
                    <w:snapToGrid w:val="0"/>
                    <w:rPr>
                      <w:color w:val="auto"/>
                    </w:rPr>
                  </w:pPr>
                  <w:r>
                    <w:rPr>
                      <w:color w:val="auto"/>
                    </w:rPr>
                    <w:t>（二十七）当采用吸附回收（浓缩）、催化燃烧、热力焚烧、等离子体等方法进行末端治理时，应编制本单位事故火灾、爆炸等应急救援预案，配备应急救援人员和器材，并开展应急演练</w:t>
                  </w:r>
                </w:p>
              </w:tc>
              <w:tc>
                <w:tcPr>
                  <w:tcW w:w="1529" w:type="pct"/>
                  <w:vAlign w:val="center"/>
                </w:tcPr>
                <w:p w14:paraId="5674F5A9">
                  <w:pPr>
                    <w:adjustRightInd w:val="0"/>
                    <w:snapToGrid w:val="0"/>
                    <w:jc w:val="center"/>
                    <w:rPr>
                      <w:color w:val="auto"/>
                    </w:rPr>
                  </w:pPr>
                  <w:r>
                    <w:rPr>
                      <w:color w:val="auto"/>
                      <w:szCs w:val="21"/>
                    </w:rPr>
                    <w:t>项目建成后，按现行要求编制《突发环境事件应急预案》报生态环境局备案，并定期演练，提升企业风险防控和应急处置能力</w:t>
                  </w:r>
                  <w:r>
                    <w:rPr>
                      <w:rFonts w:hint="eastAsia"/>
                      <w:color w:val="auto"/>
                      <w:szCs w:val="21"/>
                    </w:rPr>
                    <w:t>。</w:t>
                  </w:r>
                </w:p>
              </w:tc>
              <w:tc>
                <w:tcPr>
                  <w:tcW w:w="565" w:type="pct"/>
                  <w:vAlign w:val="center"/>
                </w:tcPr>
                <w:p w14:paraId="168917BA">
                  <w:pPr>
                    <w:adjustRightInd w:val="0"/>
                    <w:snapToGrid w:val="0"/>
                    <w:jc w:val="center"/>
                    <w:rPr>
                      <w:color w:val="auto"/>
                    </w:rPr>
                  </w:pPr>
                  <w:r>
                    <w:rPr>
                      <w:rFonts w:hint="eastAsia"/>
                      <w:color w:val="auto"/>
                    </w:rPr>
                    <w:t>符合</w:t>
                  </w:r>
                </w:p>
              </w:tc>
            </w:tr>
          </w:tbl>
          <w:p w14:paraId="0D519D2B">
            <w:pPr>
              <w:adjustRightInd w:val="0"/>
              <w:snapToGrid w:val="0"/>
              <w:spacing w:line="360" w:lineRule="auto"/>
              <w:ind w:firstLine="480" w:firstLineChars="200"/>
              <w:rPr>
                <w:b/>
                <w:bCs/>
                <w:color w:val="auto"/>
                <w:sz w:val="24"/>
              </w:rPr>
            </w:pPr>
            <w:r>
              <w:rPr>
                <w:color w:val="auto"/>
                <w:sz w:val="24"/>
              </w:rPr>
              <w:t>综上，</w:t>
            </w:r>
            <w:r>
              <w:rPr>
                <w:color w:val="auto"/>
                <w:kern w:val="0"/>
                <w:sz w:val="24"/>
              </w:rPr>
              <w:t>项目与</w:t>
            </w:r>
            <w:r>
              <w:rPr>
                <w:color w:val="auto"/>
                <w:sz w:val="24"/>
              </w:rPr>
              <w:t>《挥发性有机物污染防治技术政策》相关要求相符。</w:t>
            </w:r>
          </w:p>
          <w:p w14:paraId="05800204">
            <w:pPr>
              <w:pStyle w:val="11"/>
              <w:spacing w:before="0" w:line="360" w:lineRule="auto"/>
              <w:ind w:firstLine="482" w:firstLineChars="200"/>
              <w:rPr>
                <w:rFonts w:ascii="Times New Roman" w:hAnsi="Times New Roman"/>
                <w:b/>
                <w:bCs/>
                <w:color w:val="auto"/>
              </w:rPr>
            </w:pPr>
            <w:r>
              <w:rPr>
                <w:rFonts w:hint="eastAsia" w:ascii="Times New Roman" w:hAnsi="Times New Roman"/>
                <w:b/>
                <w:bCs/>
                <w:color w:val="auto"/>
              </w:rPr>
              <w:t>1</w:t>
            </w:r>
            <w:r>
              <w:rPr>
                <w:rFonts w:hint="eastAsia" w:ascii="Times New Roman" w:hAnsi="Times New Roman"/>
                <w:b/>
                <w:bCs/>
                <w:color w:val="auto"/>
                <w:lang w:val="en-US" w:eastAsia="zh-CN"/>
              </w:rPr>
              <w:t>7</w:t>
            </w:r>
            <w:r>
              <w:rPr>
                <w:rFonts w:hint="eastAsia" w:ascii="Times New Roman" w:hAnsi="Times New Roman"/>
                <w:b/>
                <w:bCs/>
                <w:color w:val="auto"/>
              </w:rPr>
              <w:t>、</w:t>
            </w:r>
            <w:r>
              <w:rPr>
                <w:rFonts w:hint="eastAsia" w:ascii="Times New Roman" w:hAnsi="Times New Roman"/>
                <w:b/>
                <w:bCs/>
                <w:color w:val="auto"/>
                <w:lang w:val="en-US" w:eastAsia="zh-CN"/>
              </w:rPr>
              <w:t>项目</w:t>
            </w:r>
            <w:r>
              <w:rPr>
                <w:rFonts w:hint="eastAsia" w:ascii="Times New Roman" w:hAnsi="Times New Roman"/>
                <w:b/>
                <w:bCs/>
                <w:color w:val="auto"/>
              </w:rPr>
              <w:t>与《关于加快解决当前挥发性有机物治理突出问题的通知》的符合性分析</w:t>
            </w:r>
          </w:p>
          <w:p w14:paraId="722C603B">
            <w:pPr>
              <w:pStyle w:val="11"/>
              <w:spacing w:before="0" w:line="360" w:lineRule="auto"/>
              <w:ind w:firstLine="480" w:firstLineChars="200"/>
              <w:rPr>
                <w:rFonts w:ascii="Times New Roman" w:hAnsi="Times New Roman"/>
                <w:color w:val="auto"/>
              </w:rPr>
            </w:pPr>
            <w:r>
              <w:rPr>
                <w:rFonts w:ascii="Times New Roman" w:hAnsi="Times New Roman"/>
                <w:color w:val="auto"/>
              </w:rPr>
              <w:t>生态环境部</w:t>
            </w:r>
            <w:r>
              <w:rPr>
                <w:rFonts w:hint="eastAsia" w:ascii="Times New Roman" w:hAnsi="Times New Roman"/>
                <w:color w:val="auto"/>
              </w:rPr>
              <w:t>于</w:t>
            </w:r>
            <w:r>
              <w:rPr>
                <w:rFonts w:ascii="Times New Roman" w:hAnsi="Times New Roman"/>
                <w:color w:val="auto"/>
              </w:rPr>
              <w:t>20</w:t>
            </w:r>
            <w:r>
              <w:rPr>
                <w:rFonts w:hint="eastAsia" w:ascii="Times New Roman" w:hAnsi="Times New Roman"/>
                <w:color w:val="auto"/>
              </w:rPr>
              <w:t>21</w:t>
            </w:r>
            <w:r>
              <w:rPr>
                <w:rFonts w:ascii="Times New Roman" w:hAnsi="Times New Roman"/>
                <w:color w:val="auto"/>
              </w:rPr>
              <w:t>年</w:t>
            </w:r>
            <w:r>
              <w:rPr>
                <w:rFonts w:hint="eastAsia" w:ascii="Times New Roman" w:hAnsi="Times New Roman"/>
                <w:color w:val="auto"/>
              </w:rPr>
              <w:t>8</w:t>
            </w:r>
            <w:r>
              <w:rPr>
                <w:rFonts w:ascii="Times New Roman" w:hAnsi="Times New Roman"/>
                <w:color w:val="auto"/>
              </w:rPr>
              <w:t>月</w:t>
            </w:r>
            <w:r>
              <w:rPr>
                <w:rFonts w:hint="eastAsia" w:ascii="Times New Roman" w:hAnsi="Times New Roman"/>
                <w:color w:val="auto"/>
              </w:rPr>
              <w:t>4</w:t>
            </w:r>
            <w:r>
              <w:rPr>
                <w:rFonts w:ascii="Times New Roman" w:hAnsi="Times New Roman"/>
                <w:color w:val="auto"/>
              </w:rPr>
              <w:t>日以“环大气〔202</w:t>
            </w:r>
            <w:r>
              <w:rPr>
                <w:rFonts w:hint="eastAsia" w:ascii="Times New Roman" w:hAnsi="Times New Roman"/>
                <w:color w:val="auto"/>
              </w:rPr>
              <w:t>1</w:t>
            </w:r>
            <w:r>
              <w:rPr>
                <w:rFonts w:ascii="Times New Roman" w:hAnsi="Times New Roman"/>
                <w:color w:val="auto"/>
              </w:rPr>
              <w:t>〕</w:t>
            </w:r>
            <w:r>
              <w:rPr>
                <w:rFonts w:hint="eastAsia" w:ascii="Times New Roman" w:hAnsi="Times New Roman"/>
                <w:color w:val="auto"/>
              </w:rPr>
              <w:t>65</w:t>
            </w:r>
            <w:r>
              <w:rPr>
                <w:rFonts w:ascii="Times New Roman" w:hAnsi="Times New Roman"/>
                <w:color w:val="auto"/>
              </w:rPr>
              <w:t>号”下发《关于加快解决当前挥发性有机物治理突出问题的通知》的通知，项目的符合性分析详见表</w:t>
            </w:r>
            <w:r>
              <w:rPr>
                <w:rFonts w:hint="eastAsia" w:ascii="Times New Roman" w:hAnsi="Times New Roman"/>
                <w:color w:val="auto"/>
              </w:rPr>
              <w:t>1-1</w:t>
            </w:r>
            <w:r>
              <w:rPr>
                <w:rFonts w:hint="eastAsia" w:ascii="Times New Roman" w:hAnsi="Times New Roman"/>
                <w:color w:val="auto"/>
                <w:lang w:val="en-US" w:eastAsia="zh-CN"/>
              </w:rPr>
              <w:t>8</w:t>
            </w:r>
            <w:r>
              <w:rPr>
                <w:rFonts w:ascii="Times New Roman" w:hAnsi="Times New Roman"/>
                <w:color w:val="auto"/>
              </w:rPr>
              <w:t>。</w:t>
            </w:r>
          </w:p>
          <w:p w14:paraId="52198710">
            <w:pPr>
              <w:pStyle w:val="39"/>
              <w:adjustRightInd/>
              <w:jc w:val="center"/>
              <w:rPr>
                <w:rStyle w:val="37"/>
                <w:rFonts w:hint="eastAsia" w:ascii="宋体" w:hAnsi="宋体" w:cs="宋体"/>
                <w:b/>
                <w:bCs/>
                <w:color w:val="auto"/>
                <w:szCs w:val="21"/>
              </w:rPr>
            </w:pPr>
            <w:r>
              <w:rPr>
                <w:rStyle w:val="37"/>
                <w:rFonts w:hint="eastAsia" w:ascii="宋体" w:hAnsi="宋体" w:cs="宋体"/>
                <w:b/>
                <w:bCs/>
                <w:color w:val="auto"/>
                <w:szCs w:val="21"/>
              </w:rPr>
              <w:t>表1-1</w:t>
            </w:r>
            <w:r>
              <w:rPr>
                <w:rStyle w:val="37"/>
                <w:rFonts w:hint="eastAsia" w:ascii="宋体" w:hAnsi="宋体" w:cs="宋体"/>
                <w:b/>
                <w:bCs/>
                <w:color w:val="auto"/>
                <w:szCs w:val="21"/>
                <w:lang w:val="en-US" w:eastAsia="zh-CN"/>
              </w:rPr>
              <w:t>8</w:t>
            </w:r>
            <w:r>
              <w:rPr>
                <w:rStyle w:val="37"/>
                <w:rFonts w:hint="eastAsia" w:ascii="宋体" w:hAnsi="宋体" w:cs="宋体"/>
                <w:b/>
                <w:bCs/>
                <w:color w:val="auto"/>
                <w:szCs w:val="21"/>
              </w:rPr>
              <w:t xml:space="preserve"> </w:t>
            </w:r>
            <w:r>
              <w:rPr>
                <w:rStyle w:val="37"/>
                <w:rFonts w:hint="eastAsia" w:ascii="宋体" w:hAnsi="宋体" w:cs="宋体"/>
                <w:b/>
                <w:bCs/>
                <w:color w:val="auto"/>
                <w:szCs w:val="21"/>
                <w:lang w:val="en-US" w:eastAsia="zh-CN"/>
              </w:rPr>
              <w:t xml:space="preserve"> </w:t>
            </w:r>
            <w:r>
              <w:rPr>
                <w:rStyle w:val="37"/>
                <w:rFonts w:hint="eastAsia" w:ascii="宋体" w:hAnsi="宋体" w:cs="宋体"/>
                <w:b/>
                <w:bCs/>
                <w:color w:val="auto"/>
                <w:szCs w:val="21"/>
              </w:rPr>
              <w:t>项目与《关于加快解决当前挥发性有机物治理突出问题的通知》符合性</w:t>
            </w:r>
          </w:p>
          <w:p w14:paraId="4EA5E61A">
            <w:pPr>
              <w:pStyle w:val="39"/>
              <w:adjustRightInd/>
              <w:jc w:val="center"/>
              <w:rPr>
                <w:rStyle w:val="37"/>
                <w:rFonts w:eastAsia="黑体"/>
                <w:color w:val="auto"/>
                <w:szCs w:val="21"/>
              </w:rPr>
            </w:pPr>
            <w:r>
              <w:rPr>
                <w:rStyle w:val="37"/>
                <w:rFonts w:hint="eastAsia" w:ascii="宋体" w:hAnsi="宋体" w:cs="宋体"/>
                <w:b/>
                <w:bCs/>
                <w:color w:val="auto"/>
                <w:szCs w:val="21"/>
              </w:rPr>
              <w:t>分析表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966"/>
              <w:gridCol w:w="2269"/>
              <w:gridCol w:w="644"/>
            </w:tblGrid>
            <w:tr w14:paraId="127E2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966" w:type="dxa"/>
                  <w:tcBorders>
                    <w:top w:val="single" w:color="auto" w:sz="4" w:space="0"/>
                    <w:left w:val="single" w:color="auto" w:sz="4" w:space="0"/>
                    <w:bottom w:val="single" w:color="auto" w:sz="4" w:space="0"/>
                    <w:right w:val="single" w:color="auto" w:sz="4" w:space="0"/>
                  </w:tcBorders>
                  <w:vAlign w:val="center"/>
                </w:tcPr>
                <w:p w14:paraId="24C1EC70">
                  <w:pPr>
                    <w:pStyle w:val="39"/>
                    <w:adjustRightInd/>
                    <w:jc w:val="center"/>
                    <w:rPr>
                      <w:rStyle w:val="37"/>
                      <w:color w:val="auto"/>
                      <w:szCs w:val="21"/>
                    </w:rPr>
                  </w:pPr>
                  <w:r>
                    <w:rPr>
                      <w:rStyle w:val="37"/>
                      <w:rFonts w:hint="eastAsia"/>
                      <w:color w:val="auto"/>
                      <w:szCs w:val="21"/>
                    </w:rPr>
                    <w:t>相关</w:t>
                  </w:r>
                  <w:r>
                    <w:rPr>
                      <w:rStyle w:val="37"/>
                      <w:color w:val="auto"/>
                      <w:szCs w:val="21"/>
                    </w:rPr>
                    <w:t>要求</w:t>
                  </w:r>
                </w:p>
              </w:tc>
              <w:tc>
                <w:tcPr>
                  <w:tcW w:w="2269" w:type="dxa"/>
                  <w:tcBorders>
                    <w:top w:val="single" w:color="auto" w:sz="4" w:space="0"/>
                    <w:left w:val="single" w:color="auto" w:sz="4" w:space="0"/>
                    <w:bottom w:val="single" w:color="auto" w:sz="4" w:space="0"/>
                    <w:right w:val="single" w:color="auto" w:sz="4" w:space="0"/>
                  </w:tcBorders>
                  <w:vAlign w:val="center"/>
                </w:tcPr>
                <w:p w14:paraId="5E15596B">
                  <w:pPr>
                    <w:pStyle w:val="39"/>
                    <w:adjustRightInd/>
                    <w:jc w:val="center"/>
                    <w:rPr>
                      <w:rStyle w:val="37"/>
                      <w:color w:val="auto"/>
                      <w:szCs w:val="21"/>
                    </w:rPr>
                  </w:pPr>
                  <w:r>
                    <w:rPr>
                      <w:rStyle w:val="37"/>
                      <w:color w:val="auto"/>
                      <w:szCs w:val="21"/>
                    </w:rPr>
                    <w:t>本项目情况</w:t>
                  </w:r>
                </w:p>
              </w:tc>
              <w:tc>
                <w:tcPr>
                  <w:tcW w:w="644" w:type="dxa"/>
                  <w:tcBorders>
                    <w:top w:val="single" w:color="auto" w:sz="4" w:space="0"/>
                    <w:left w:val="single" w:color="auto" w:sz="4" w:space="0"/>
                    <w:bottom w:val="single" w:color="auto" w:sz="4" w:space="0"/>
                    <w:right w:val="single" w:color="auto" w:sz="4" w:space="0"/>
                  </w:tcBorders>
                  <w:vAlign w:val="center"/>
                </w:tcPr>
                <w:p w14:paraId="18F499D0">
                  <w:pPr>
                    <w:pStyle w:val="39"/>
                    <w:adjustRightInd/>
                    <w:jc w:val="center"/>
                    <w:rPr>
                      <w:rStyle w:val="37"/>
                      <w:color w:val="auto"/>
                      <w:szCs w:val="21"/>
                    </w:rPr>
                  </w:pPr>
                  <w:r>
                    <w:rPr>
                      <w:rStyle w:val="37"/>
                      <w:color w:val="auto"/>
                      <w:szCs w:val="21"/>
                    </w:rPr>
                    <w:t>符合情况</w:t>
                  </w:r>
                </w:p>
              </w:tc>
            </w:tr>
            <w:tr w14:paraId="42BD9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966" w:type="dxa"/>
                  <w:tcBorders>
                    <w:top w:val="single" w:color="auto" w:sz="4" w:space="0"/>
                    <w:left w:val="single" w:color="auto" w:sz="4" w:space="0"/>
                    <w:bottom w:val="single" w:color="auto" w:sz="4" w:space="0"/>
                    <w:right w:val="single" w:color="auto" w:sz="4" w:space="0"/>
                  </w:tcBorders>
                  <w:vAlign w:val="center"/>
                </w:tcPr>
                <w:p w14:paraId="09FA9D4F">
                  <w:pPr>
                    <w:pStyle w:val="39"/>
                    <w:adjustRightInd/>
                    <w:jc w:val="center"/>
                    <w:rPr>
                      <w:rStyle w:val="37"/>
                      <w:color w:val="auto"/>
                      <w:szCs w:val="21"/>
                    </w:rPr>
                  </w:pPr>
                  <w:r>
                    <w:rPr>
                      <w:rStyle w:val="37"/>
                      <w:rFonts w:hint="eastAsia"/>
                      <w:color w:val="auto"/>
                      <w:szCs w:val="21"/>
                    </w:rPr>
                    <w:t>各地要以石油炼制、石油化工、合成树脂等石化行业，有机化工、煤化工、焦化（含兰炭）、制药、农药、涂料、油墨、胶粘剂等化工行业，涉及工业涂装的汽车、家具、零部件、钢结构、彩涂板等行业，包装印刷行业以及油品储运销为重点，并结合本地特色产业，组织企业针对挥发性有机液体储罐、装卸、敞开液面、泄漏检测与修复（LDAR）、废气收集、废气旁路、治理设施、加油站、非正常工况、产品VOCs含量等10个关键环节，认真对照大气污染防治法、排污许可证、相关排放标准和产品VOCs含量限值标准等开展排查整治，具体要求见附件。</w:t>
                  </w:r>
                </w:p>
                <w:p w14:paraId="5B6CBA3C">
                  <w:pPr>
                    <w:pStyle w:val="39"/>
                    <w:adjustRightInd/>
                    <w:jc w:val="center"/>
                    <w:rPr>
                      <w:rStyle w:val="37"/>
                      <w:color w:val="auto"/>
                      <w:szCs w:val="21"/>
                    </w:rPr>
                  </w:pPr>
                  <w:r>
                    <w:rPr>
                      <w:rStyle w:val="37"/>
                      <w:rFonts w:hint="eastAsia"/>
                      <w:color w:val="auto"/>
                      <w:szCs w:val="21"/>
                    </w:rPr>
                    <w:t>大气污染防治重点区域（以下简称重点区域）于2021年10月底前、其他地区于12月底前，组织企业自行完成一轮排查工作。在企业自查基础上，地方生态环境部门对企业VOCs废气收集情况、排放浓度、治理设施去除效率、LDAR数据质量以及储油库、加油站油气回收设施组织开展一轮检查抽测，其中排污许可重点管理企业全覆盖；针对排查和检查抽测中发现的问题，指导企业统筹环保和安全生产要求，制定整改方案，明确具体措施、完成时限和责任人，在此基础上形成行政区域内企业排查清单和治理台账。能立行立改的，要督促企业抓紧整改到位；对其他问题，重点区域力争2022年6月底前基本完成整治，其他区域2022年12月底前基本完成；确需一定整改周期的，最迟在相关设备下次停车（工）大修期间完成整改。重点区域省级生态环境部门于2021年12月底前、其他地区于2022年6月底前将企业排查清单和治理台账报送生态环境部；整治基本完成后报送工作总结。</w:t>
                  </w:r>
                </w:p>
              </w:tc>
              <w:tc>
                <w:tcPr>
                  <w:tcW w:w="2269" w:type="dxa"/>
                  <w:tcBorders>
                    <w:top w:val="single" w:color="auto" w:sz="4" w:space="0"/>
                    <w:left w:val="single" w:color="auto" w:sz="4" w:space="0"/>
                    <w:bottom w:val="single" w:color="auto" w:sz="4" w:space="0"/>
                    <w:right w:val="single" w:color="auto" w:sz="4" w:space="0"/>
                  </w:tcBorders>
                  <w:vAlign w:val="center"/>
                </w:tcPr>
                <w:p w14:paraId="6FBA2E46">
                  <w:pPr>
                    <w:pStyle w:val="39"/>
                    <w:adjustRightInd/>
                    <w:jc w:val="center"/>
                    <w:rPr>
                      <w:rStyle w:val="37"/>
                      <w:color w:val="auto"/>
                      <w:szCs w:val="21"/>
                    </w:rPr>
                  </w:pPr>
                  <w:r>
                    <w:rPr>
                      <w:rStyle w:val="37"/>
                      <w:rFonts w:hint="eastAsia"/>
                      <w:color w:val="auto"/>
                      <w:szCs w:val="21"/>
                    </w:rPr>
                    <w:t>项目为项目为</w:t>
                  </w:r>
                  <w:r>
                    <w:rPr>
                      <w:rStyle w:val="37"/>
                      <w:rFonts w:hint="eastAsia"/>
                      <w:color w:val="auto"/>
                      <w:szCs w:val="21"/>
                      <w:lang w:eastAsia="zh-CN"/>
                    </w:rPr>
                    <w:t>塑料制品</w:t>
                  </w:r>
                  <w:r>
                    <w:rPr>
                      <w:rStyle w:val="37"/>
                      <w:rFonts w:hint="eastAsia"/>
                      <w:color w:val="auto"/>
                      <w:szCs w:val="21"/>
                    </w:rPr>
                    <w:t>生产，不涉及以上提到的石化行业、化工行业、工业涂装、包装印刷以及油品储运销等。项目所在地不属于大气污染防治重点区域。项目</w:t>
                  </w:r>
                  <w:r>
                    <w:rPr>
                      <w:rFonts w:hint="default" w:ascii="Times New Roman" w:hAnsi="Times New Roman" w:eastAsia="宋体" w:cs="Times New Roman"/>
                      <w:color w:val="auto"/>
                      <w:sz w:val="21"/>
                      <w:szCs w:val="21"/>
                      <w:lang w:val="en-US" w:eastAsia="zh-CN"/>
                    </w:rPr>
                    <w:t>生产过程</w:t>
                  </w:r>
                  <w:r>
                    <w:rPr>
                      <w:rFonts w:hint="eastAsia" w:ascii="Times New Roman" w:hAnsi="Times New Roman" w:eastAsia="宋体" w:cs="Times New Roman"/>
                      <w:color w:val="auto"/>
                      <w:sz w:val="21"/>
                      <w:szCs w:val="21"/>
                      <w:lang w:val="en-US" w:eastAsia="zh-CN"/>
                    </w:rPr>
                    <w:t>产生的</w:t>
                  </w:r>
                  <w:r>
                    <w:rPr>
                      <w:rFonts w:hint="eastAsia" w:ascii="Times New Roman" w:cs="Times New Roman"/>
                      <w:color w:val="auto"/>
                      <w:sz w:val="21"/>
                      <w:szCs w:val="21"/>
                      <w:lang w:val="en-US" w:eastAsia="zh-CN"/>
                    </w:rPr>
                    <w:t>注塑</w:t>
                  </w:r>
                  <w:r>
                    <w:rPr>
                      <w:rFonts w:hint="eastAsia" w:ascii="Times New Roman" w:hAnsi="Times New Roman" w:eastAsia="宋体" w:cs="Times New Roman"/>
                      <w:color w:val="auto"/>
                      <w:sz w:val="21"/>
                      <w:szCs w:val="21"/>
                      <w:lang w:val="en-US" w:eastAsia="zh-CN"/>
                    </w:rPr>
                    <w:t>废气采用</w:t>
                  </w:r>
                  <w:r>
                    <w:rPr>
                      <w:rFonts w:hint="eastAsia" w:ascii="Times New Roman" w:cs="Times New Roman"/>
                      <w:color w:val="auto"/>
                      <w:sz w:val="21"/>
                      <w:szCs w:val="21"/>
                      <w:lang w:val="en-US" w:eastAsia="zh-CN"/>
                    </w:rPr>
                    <w:t>三</w:t>
                  </w:r>
                  <w:r>
                    <w:rPr>
                      <w:rFonts w:hint="eastAsia" w:ascii="Times New Roman" w:hAnsi="Times New Roman" w:eastAsia="宋体" w:cs="Times New Roman"/>
                      <w:color w:val="auto"/>
                      <w:sz w:val="21"/>
                      <w:szCs w:val="21"/>
                      <w:lang w:val="en-US" w:eastAsia="zh-CN"/>
                    </w:rPr>
                    <w:t>级活性炭吸附</w:t>
                  </w:r>
                  <w:r>
                    <w:rPr>
                      <w:rFonts w:hint="eastAsia" w:ascii="Times New Roman" w:cs="Times New Roman"/>
                      <w:color w:val="auto"/>
                      <w:sz w:val="21"/>
                      <w:szCs w:val="21"/>
                      <w:lang w:val="en-US" w:eastAsia="zh-CN"/>
                    </w:rPr>
                    <w:t>装置</w:t>
                  </w:r>
                  <w:r>
                    <w:rPr>
                      <w:rFonts w:hint="eastAsia" w:ascii="Times New Roman" w:hAnsi="Times New Roman" w:eastAsia="宋体" w:cs="Times New Roman"/>
                      <w:color w:val="auto"/>
                      <w:sz w:val="21"/>
                      <w:szCs w:val="21"/>
                      <w:lang w:val="en-US" w:eastAsia="zh-CN"/>
                    </w:rPr>
                    <w:t>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通过15m高排气筒（DA001）排放；破碎废气</w:t>
                  </w:r>
                  <w:r>
                    <w:rPr>
                      <w:rFonts w:hint="eastAsia" w:ascii="Times New Roman" w:hAnsi="Times New Roman" w:eastAsia="宋体" w:cs="Times New Roman"/>
                      <w:color w:val="auto"/>
                      <w:sz w:val="21"/>
                      <w:szCs w:val="21"/>
                      <w:lang w:val="en-US" w:eastAsia="zh-CN"/>
                    </w:rPr>
                    <w:t>采用布袋除尘器进行处理达标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通过15m高排气筒（DA002）排放</w:t>
                  </w:r>
                  <w:r>
                    <w:rPr>
                      <w:rFonts w:hint="eastAsia" w:cs="Times New Roman"/>
                      <w:color w:val="auto"/>
                      <w:sz w:val="21"/>
                      <w:szCs w:val="21"/>
                      <w:lang w:val="en-US" w:eastAsia="zh-CN"/>
                    </w:rPr>
                    <w:t>，</w:t>
                  </w:r>
                  <w:r>
                    <w:rPr>
                      <w:rFonts w:hint="eastAsia"/>
                      <w:color w:val="auto"/>
                      <w:sz w:val="21"/>
                      <w:szCs w:val="21"/>
                    </w:rPr>
                    <w:t>对环境影响较小。</w:t>
                  </w:r>
                </w:p>
              </w:tc>
              <w:tc>
                <w:tcPr>
                  <w:tcW w:w="644" w:type="dxa"/>
                  <w:tcBorders>
                    <w:top w:val="single" w:color="auto" w:sz="4" w:space="0"/>
                    <w:left w:val="single" w:color="auto" w:sz="4" w:space="0"/>
                    <w:bottom w:val="single" w:color="auto" w:sz="4" w:space="0"/>
                    <w:right w:val="single" w:color="auto" w:sz="4" w:space="0"/>
                  </w:tcBorders>
                  <w:vAlign w:val="center"/>
                </w:tcPr>
                <w:p w14:paraId="3F0EB639">
                  <w:pPr>
                    <w:pStyle w:val="39"/>
                    <w:adjustRightInd/>
                    <w:jc w:val="center"/>
                    <w:rPr>
                      <w:rStyle w:val="37"/>
                      <w:color w:val="auto"/>
                      <w:szCs w:val="21"/>
                    </w:rPr>
                  </w:pPr>
                  <w:r>
                    <w:rPr>
                      <w:rStyle w:val="37"/>
                      <w:rFonts w:hint="eastAsia"/>
                      <w:color w:val="auto"/>
                      <w:szCs w:val="21"/>
                    </w:rPr>
                    <w:t>符合</w:t>
                  </w:r>
                </w:p>
              </w:tc>
            </w:tr>
          </w:tbl>
          <w:p w14:paraId="3E18D57B">
            <w:pPr>
              <w:spacing w:line="360" w:lineRule="auto"/>
              <w:ind w:firstLine="495"/>
              <w:rPr>
                <w:color w:val="auto"/>
                <w:sz w:val="24"/>
              </w:rPr>
            </w:pPr>
            <w:r>
              <w:rPr>
                <w:rFonts w:hint="eastAsia"/>
                <w:color w:val="auto"/>
                <w:sz w:val="24"/>
              </w:rPr>
              <w:t>综上所述，项目建设符合《关于加快解决当前挥发性有机物治理突出问题的通知》的相关要求。</w:t>
            </w:r>
          </w:p>
          <w:p w14:paraId="2ADCB57B">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rFonts w:hint="default" w:ascii="Times New Roman" w:hAnsi="Times New Roman" w:eastAsia="宋体" w:cs="Times New Roman"/>
                <w:b/>
                <w:bCs w:val="0"/>
                <w:color w:val="auto"/>
                <w:kern w:val="2"/>
                <w:sz w:val="24"/>
                <w:szCs w:val="24"/>
                <w:highlight w:val="none"/>
                <w:lang w:val="en-US" w:eastAsia="zh-CN" w:bidi="ar-SA"/>
              </w:rPr>
            </w:pPr>
            <w:r>
              <w:rPr>
                <w:rFonts w:hint="eastAsia" w:ascii="Times New Roman" w:hAnsi="Times New Roman" w:eastAsia="宋体" w:cs="Times New Roman"/>
                <w:b/>
                <w:bCs w:val="0"/>
                <w:color w:val="auto"/>
                <w:kern w:val="2"/>
                <w:sz w:val="24"/>
                <w:szCs w:val="24"/>
                <w:highlight w:val="none"/>
                <w:lang w:val="en-US" w:eastAsia="zh-CN" w:bidi="ar-SA"/>
              </w:rPr>
              <w:t>18、项目</w:t>
            </w:r>
            <w:r>
              <w:rPr>
                <w:rFonts w:hint="default" w:ascii="Times New Roman" w:hAnsi="Times New Roman" w:eastAsia="宋体" w:cs="Times New Roman"/>
                <w:b/>
                <w:bCs w:val="0"/>
                <w:color w:val="auto"/>
                <w:kern w:val="2"/>
                <w:sz w:val="24"/>
                <w:szCs w:val="24"/>
                <w:highlight w:val="none"/>
                <w:lang w:val="en-US" w:eastAsia="zh-CN" w:bidi="ar-SA"/>
              </w:rPr>
              <w:t>与《</w:t>
            </w:r>
            <w:r>
              <w:rPr>
                <w:rFonts w:hint="eastAsia" w:ascii="Times New Roman" w:hAnsi="Times New Roman" w:eastAsia="宋体" w:cs="Times New Roman"/>
                <w:b/>
                <w:bCs w:val="0"/>
                <w:color w:val="auto"/>
                <w:kern w:val="2"/>
                <w:sz w:val="24"/>
                <w:szCs w:val="24"/>
                <w:highlight w:val="none"/>
                <w:lang w:val="en-US" w:eastAsia="zh-CN" w:bidi="ar-SA"/>
              </w:rPr>
              <w:t>云南省滇池保护条例</w:t>
            </w:r>
            <w:r>
              <w:rPr>
                <w:rFonts w:hint="default" w:ascii="Times New Roman" w:hAnsi="Times New Roman" w:eastAsia="宋体" w:cs="Times New Roman"/>
                <w:b/>
                <w:bCs w:val="0"/>
                <w:color w:val="auto"/>
                <w:kern w:val="2"/>
                <w:sz w:val="24"/>
                <w:szCs w:val="24"/>
                <w:highlight w:val="none"/>
                <w:lang w:val="en-US" w:eastAsia="zh-CN" w:bidi="ar-SA"/>
              </w:rPr>
              <w:t>》符合性分析</w:t>
            </w:r>
          </w:p>
          <w:p w14:paraId="1CF596E5">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2023年11月30日由云南省第十四届人民代表大会常务委员会第六次会议审议通过的《云南省滇池保护条例》（自2024年1月1日起施行）可知，滇池保护范围分为生态保护核心区、生态保护缓冲区和绿色发展区。生态保护核心区是指湖滨生态红线以内的水域和陆域；生态保护缓冲区是指湖滨生态红线与湖泊生态黄线之间的区域；绿色发展区是指湖泊生态黄线与湖泊流域分水线之间的区域。</w:t>
            </w:r>
          </w:p>
          <w:p w14:paraId="58245BB2">
            <w:pPr>
              <w:widowControl/>
              <w:spacing w:line="360" w:lineRule="auto"/>
              <w:ind w:firstLine="480" w:firstLineChars="200"/>
              <w:jc w:val="left"/>
              <w:rPr>
                <w:rFonts w:hint="default" w:ascii="Times New Roman" w:hAnsi="Times New Roman" w:eastAsia="宋体" w:cs="Times New Roman"/>
                <w:color w:val="auto"/>
                <w:sz w:val="24"/>
              </w:rPr>
            </w:pPr>
            <w:r>
              <w:rPr>
                <w:rFonts w:hint="eastAsia" w:cs="Times New Roman"/>
                <w:color w:val="auto"/>
                <w:sz w:val="24"/>
                <w:lang w:val="zh-CN"/>
              </w:rPr>
              <w:t>本</w:t>
            </w:r>
            <w:r>
              <w:rPr>
                <w:rFonts w:hint="default" w:ascii="Times New Roman" w:hAnsi="Times New Roman" w:eastAsia="宋体" w:cs="Times New Roman"/>
                <w:color w:val="auto"/>
                <w:sz w:val="24"/>
                <w:lang w:val="zh-CN"/>
              </w:rPr>
              <w:t>项目位于</w:t>
            </w:r>
            <w:r>
              <w:rPr>
                <w:rFonts w:hint="eastAsia" w:ascii="Times New Roman" w:hAnsi="Times New Roman" w:eastAsia="宋体" w:cs="Times New Roman"/>
                <w:color w:val="auto"/>
                <w:sz w:val="24"/>
                <w:szCs w:val="24"/>
                <w:highlight w:val="none"/>
                <w:lang w:val="en-US" w:eastAsia="zh-CN"/>
              </w:rPr>
              <w:t>云南省</w:t>
            </w:r>
            <w:r>
              <w:rPr>
                <w:rFonts w:hint="eastAsia" w:cs="Times New Roman"/>
                <w:color w:val="auto"/>
                <w:sz w:val="24"/>
                <w:szCs w:val="24"/>
                <w:highlight w:val="none"/>
                <w:lang w:val="en-US" w:eastAsia="zh-CN"/>
              </w:rPr>
              <w:t>玉溪市澄江市产业园区提古片区</w:t>
            </w:r>
            <w:r>
              <w:rPr>
                <w:rFonts w:hint="default" w:ascii="Times New Roman" w:hAnsi="Times New Roman" w:eastAsia="宋体" w:cs="Times New Roman"/>
                <w:color w:val="auto"/>
                <w:sz w:val="24"/>
              </w:rPr>
              <w:t>，属滇池绿色发展区所在范围，</w:t>
            </w:r>
            <w:r>
              <w:rPr>
                <w:rFonts w:hint="eastAsia" w:cs="Times New Roman"/>
                <w:color w:val="auto"/>
                <w:sz w:val="24"/>
                <w:lang w:eastAsia="zh-CN"/>
              </w:rPr>
              <w:t>详见附图</w:t>
            </w:r>
            <w:r>
              <w:rPr>
                <w:rFonts w:hint="eastAsia" w:cs="Times New Roman"/>
                <w:color w:val="auto"/>
                <w:sz w:val="24"/>
                <w:lang w:val="en-US" w:eastAsia="zh-CN"/>
              </w:rPr>
              <w:t>8，</w:t>
            </w:r>
            <w:r>
              <w:rPr>
                <w:rFonts w:hint="default" w:ascii="Times New Roman" w:hAnsi="Times New Roman" w:eastAsia="宋体" w:cs="Times New Roman"/>
                <w:color w:val="auto"/>
                <w:sz w:val="24"/>
              </w:rPr>
              <w:t>在滇池绿色发展区内禁止下列行为，具体情况见表</w:t>
            </w:r>
            <w:r>
              <w:rPr>
                <w:rFonts w:hint="eastAsia" w:ascii="Times New Roman" w:hAnsi="Times New Roman" w:eastAsia="宋体" w:cs="Times New Roman"/>
                <w:color w:val="auto"/>
                <w:sz w:val="24"/>
                <w:lang w:val="en-US" w:eastAsia="zh-CN"/>
              </w:rPr>
              <w:t>1</w:t>
            </w:r>
            <w:r>
              <w:rPr>
                <w:rFonts w:hint="default" w:ascii="Times New Roman" w:hAnsi="Times New Roman" w:eastAsia="宋体" w:cs="Times New Roman"/>
                <w:color w:val="auto"/>
                <w:sz w:val="24"/>
                <w:lang w:val="en-US" w:eastAsia="zh-CN"/>
              </w:rPr>
              <w:t>-</w:t>
            </w:r>
            <w:r>
              <w:rPr>
                <w:rFonts w:hint="eastAsia" w:cs="Times New Roman"/>
                <w:color w:val="auto"/>
                <w:sz w:val="24"/>
                <w:lang w:val="en-US" w:eastAsia="zh-CN"/>
              </w:rPr>
              <w:t>19</w:t>
            </w:r>
            <w:r>
              <w:rPr>
                <w:rFonts w:hint="default" w:ascii="Times New Roman" w:hAnsi="Times New Roman" w:eastAsia="宋体" w:cs="Times New Roman"/>
                <w:color w:val="auto"/>
                <w:sz w:val="24"/>
              </w:rPr>
              <w:t>所示。</w:t>
            </w:r>
          </w:p>
          <w:p w14:paraId="5A8A920A">
            <w:pPr>
              <w:widowControl/>
              <w:jc w:val="center"/>
              <w:rPr>
                <w:rFonts w:hint="default" w:ascii="Times New Roman" w:hAnsi="Times New Roman" w:eastAsia="宋体" w:cs="Times New Roman"/>
                <w:b/>
                <w:bCs/>
                <w:color w:val="auto"/>
                <w:kern w:val="0"/>
              </w:rPr>
            </w:pPr>
            <w:r>
              <w:rPr>
                <w:rFonts w:hint="default" w:ascii="Times New Roman" w:hAnsi="Times New Roman" w:eastAsia="宋体" w:cs="Times New Roman"/>
                <w:b/>
                <w:bCs/>
                <w:color w:val="auto"/>
                <w:kern w:val="0"/>
              </w:rPr>
              <w:t>表</w:t>
            </w:r>
            <w:r>
              <w:rPr>
                <w:rFonts w:hint="eastAsia" w:ascii="Times New Roman" w:hAnsi="Times New Roman" w:eastAsia="宋体" w:cs="Times New Roman"/>
                <w:b/>
                <w:bCs/>
                <w:color w:val="auto"/>
                <w:kern w:val="0"/>
                <w:lang w:val="en-US" w:eastAsia="zh-CN"/>
              </w:rPr>
              <w:t>1</w:t>
            </w:r>
            <w:r>
              <w:rPr>
                <w:rFonts w:hint="default" w:ascii="Times New Roman" w:hAnsi="Times New Roman" w:eastAsia="宋体" w:cs="Times New Roman"/>
                <w:b/>
                <w:bCs/>
                <w:color w:val="auto"/>
                <w:kern w:val="0"/>
                <w:lang w:val="en-US" w:eastAsia="zh-CN"/>
              </w:rPr>
              <w:t>-</w:t>
            </w:r>
            <w:r>
              <w:rPr>
                <w:rFonts w:hint="eastAsia" w:cs="Times New Roman"/>
                <w:b/>
                <w:bCs/>
                <w:color w:val="auto"/>
                <w:kern w:val="0"/>
                <w:lang w:val="en-US" w:eastAsia="zh-CN"/>
              </w:rPr>
              <w:t>19</w:t>
            </w:r>
            <w:r>
              <w:rPr>
                <w:rFonts w:hint="default" w:ascii="Times New Roman" w:hAnsi="Times New Roman" w:eastAsia="宋体" w:cs="Times New Roman"/>
                <w:b/>
                <w:bCs/>
                <w:color w:val="auto"/>
                <w:kern w:val="0"/>
              </w:rPr>
              <w:t xml:space="preserve">  与</w:t>
            </w:r>
            <w:r>
              <w:rPr>
                <w:rFonts w:hint="default" w:ascii="Times New Roman" w:hAnsi="Times New Roman" w:eastAsia="宋体" w:cs="Times New Roman"/>
                <w:b/>
                <w:bCs/>
                <w:color w:val="auto"/>
                <w:kern w:val="0"/>
                <w:lang w:val="zh-CN" w:bidi="ar"/>
              </w:rPr>
              <w:t>《云南省滇池保护条例》</w:t>
            </w:r>
            <w:r>
              <w:rPr>
                <w:rFonts w:hint="default" w:ascii="Times New Roman" w:hAnsi="Times New Roman" w:eastAsia="宋体" w:cs="Times New Roman"/>
                <w:b/>
                <w:bCs/>
                <w:color w:val="auto"/>
                <w:kern w:val="0"/>
                <w:lang w:val="zh-CN"/>
              </w:rPr>
              <w:t>（</w:t>
            </w:r>
            <w:r>
              <w:rPr>
                <w:rFonts w:hint="default" w:ascii="Times New Roman" w:hAnsi="Times New Roman" w:eastAsia="宋体" w:cs="Times New Roman"/>
                <w:b/>
                <w:bCs/>
                <w:color w:val="auto"/>
                <w:kern w:val="0"/>
              </w:rPr>
              <w:t>自2024年1月1日起施行</w:t>
            </w:r>
            <w:r>
              <w:rPr>
                <w:rFonts w:hint="default" w:ascii="Times New Roman" w:hAnsi="Times New Roman" w:eastAsia="宋体" w:cs="Times New Roman"/>
                <w:b/>
                <w:bCs/>
                <w:color w:val="auto"/>
                <w:kern w:val="0"/>
                <w:lang w:val="zh-CN"/>
              </w:rPr>
              <w:t>）</w:t>
            </w:r>
            <w:r>
              <w:rPr>
                <w:rFonts w:hint="eastAsia" w:ascii="Times New Roman" w:hAnsi="Times New Roman" w:eastAsia="宋体" w:cs="Times New Roman"/>
                <w:b/>
                <w:bCs/>
                <w:color w:val="auto"/>
                <w:kern w:val="0"/>
                <w:lang w:eastAsia="zh-CN"/>
              </w:rPr>
              <w:t>符合</w:t>
            </w:r>
            <w:r>
              <w:rPr>
                <w:rFonts w:hint="default" w:ascii="Times New Roman" w:hAnsi="Times New Roman" w:eastAsia="宋体" w:cs="Times New Roman"/>
                <w:b/>
                <w:bCs/>
                <w:color w:val="auto"/>
                <w:kern w:val="0"/>
              </w:rPr>
              <w:t>性分析</w:t>
            </w:r>
          </w:p>
          <w:tbl>
            <w:tblPr>
              <w:tblStyle w:val="30"/>
              <w:tblW w:w="4997"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108" w:type="dxa"/>
                <w:bottom w:w="0" w:type="dxa"/>
                <w:right w:w="108" w:type="dxa"/>
              </w:tblCellMar>
            </w:tblPr>
            <w:tblGrid>
              <w:gridCol w:w="4133"/>
              <w:gridCol w:w="2777"/>
              <w:gridCol w:w="964"/>
            </w:tblGrid>
            <w:tr w14:paraId="62395D9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0EDA5DA9">
                  <w:pPr>
                    <w:widowControl/>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lang w:val="zh-CN" w:bidi="ar"/>
                    </w:rPr>
                    <w:t>《云南省滇池保护条例》</w:t>
                  </w:r>
                  <w:r>
                    <w:rPr>
                      <w:rFonts w:hint="default" w:ascii="Times New Roman" w:hAnsi="Times New Roman" w:eastAsia="宋体" w:cs="Times New Roman"/>
                      <w:b/>
                      <w:bCs/>
                      <w:color w:val="auto"/>
                      <w:kern w:val="0"/>
                      <w:szCs w:val="21"/>
                      <w:lang w:val="zh-CN"/>
                    </w:rPr>
                    <w:t>（</w:t>
                  </w:r>
                  <w:r>
                    <w:rPr>
                      <w:rFonts w:hint="default" w:ascii="Times New Roman" w:hAnsi="Times New Roman" w:eastAsia="宋体" w:cs="Times New Roman"/>
                      <w:b/>
                      <w:bCs/>
                      <w:color w:val="auto"/>
                      <w:kern w:val="0"/>
                      <w:szCs w:val="21"/>
                    </w:rPr>
                    <w:t>自2024年1月1日起施行</w:t>
                  </w:r>
                  <w:r>
                    <w:rPr>
                      <w:rFonts w:hint="default" w:ascii="Times New Roman" w:hAnsi="Times New Roman" w:eastAsia="宋体" w:cs="Times New Roman"/>
                      <w:b/>
                      <w:bCs/>
                      <w:color w:val="auto"/>
                      <w:kern w:val="0"/>
                      <w:szCs w:val="21"/>
                      <w:lang w:val="zh-CN"/>
                    </w:rPr>
                    <w:t>）</w:t>
                  </w:r>
                </w:p>
              </w:tc>
              <w:tc>
                <w:tcPr>
                  <w:tcW w:w="1763" w:type="pct"/>
                  <w:noWrap w:val="0"/>
                  <w:vAlign w:val="center"/>
                </w:tcPr>
                <w:p w14:paraId="55BB5F60">
                  <w:pPr>
                    <w:widowControl/>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本项目</w:t>
                  </w:r>
                </w:p>
              </w:tc>
              <w:tc>
                <w:tcPr>
                  <w:tcW w:w="612" w:type="pct"/>
                  <w:noWrap w:val="0"/>
                  <w:vAlign w:val="center"/>
                </w:tcPr>
                <w:p w14:paraId="03CCE991">
                  <w:pPr>
                    <w:widowControl/>
                    <w:jc w:val="center"/>
                    <w:rPr>
                      <w:rFonts w:hint="eastAsia" w:ascii="Times New Roman" w:hAnsi="Times New Roman" w:eastAsia="宋体" w:cs="Times New Roman"/>
                      <w:b/>
                      <w:bCs/>
                      <w:color w:val="auto"/>
                      <w:kern w:val="0"/>
                      <w:szCs w:val="21"/>
                      <w:lang w:eastAsia="zh-CN"/>
                    </w:rPr>
                  </w:pPr>
                  <w:r>
                    <w:rPr>
                      <w:rFonts w:hint="eastAsia" w:ascii="Times New Roman" w:hAnsi="Times New Roman" w:eastAsia="宋体" w:cs="Times New Roman"/>
                      <w:b/>
                      <w:bCs/>
                      <w:color w:val="auto"/>
                      <w:kern w:val="0"/>
                      <w:szCs w:val="21"/>
                      <w:lang w:eastAsia="zh-CN"/>
                    </w:rPr>
                    <w:t>符合性分析</w:t>
                  </w:r>
                </w:p>
              </w:tc>
            </w:tr>
            <w:tr w14:paraId="2EF812C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290D54CA">
                  <w:pPr>
                    <w:pStyle w:val="27"/>
                    <w:spacing w:before="0" w:beforeAutospacing="0" w:after="0" w:afterAutospacing="0"/>
                    <w:rPr>
                      <w:rFonts w:hint="default" w:ascii="Times New Roman" w:hAnsi="Times New Roman" w:eastAsia="宋体" w:cs="Times New Roman"/>
                      <w:color w:val="auto"/>
                      <w:sz w:val="21"/>
                      <w:szCs w:val="21"/>
                    </w:rPr>
                  </w:pPr>
                  <w:r>
                    <w:rPr>
                      <w:rFonts w:hint="default" w:ascii="Times New Roman" w:hAnsi="Times New Roman" w:eastAsia="宋体" w:cs="Times New Roman"/>
                      <w:b/>
                      <w:bCs/>
                      <w:color w:val="auto"/>
                      <w:sz w:val="21"/>
                      <w:szCs w:val="21"/>
                      <w:shd w:val="clear" w:color="auto" w:fill="FFFFFF"/>
                    </w:rPr>
                    <w:t>第二十六条</w:t>
                  </w:r>
                  <w:r>
                    <w:rPr>
                      <w:rFonts w:hint="default" w:ascii="Times New Roman" w:hAnsi="Times New Roman" w:eastAsia="宋体" w:cs="Times New Roman"/>
                      <w:color w:val="auto"/>
                      <w:sz w:val="21"/>
                      <w:szCs w:val="21"/>
                      <w:shd w:val="clear" w:color="auto" w:fill="FFFFFF"/>
                    </w:rPr>
                    <w:t xml:space="preserve"> 绿色发展区应当控制开发利用强度、调整开发利用方式、实现流域保护和开发利用协调发展，以提升生态涵养功能、促进富民就业为重点，建设生态特色城镇和美丽乡村，构建绿色高质量发展的生产生活方式。</w:t>
                  </w:r>
                </w:p>
                <w:p w14:paraId="258E64DA">
                  <w:pPr>
                    <w:pStyle w:val="27"/>
                    <w:spacing w:before="0" w:beforeAutospacing="0" w:after="0" w:afterAutospacing="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严禁审批高污染、高耗水、高耗能项目，禁止在绿色发展区内新建、改建、扩建造纸、制革、印染、染料、炼焦、炼硫、炼砷、炼油、炼汞、电镀、化肥、农药、石棉、水泥、玻璃、冶金、火电等项目，以及直接向入湖河道排放氮、磷污染物的工业项目和严重污染环境、破坏生态的其他项目。现有高污染、高耗水、高耗能项目应当全部迁出滇池流域。</w:t>
                  </w:r>
                </w:p>
                <w:p w14:paraId="613A0BCE">
                  <w:pP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shd w:val="clear" w:color="auto" w:fill="FFFFFF"/>
                    </w:rPr>
                    <w:t>严格管控建设用地总规模，推动土地集约高效利用。</w:t>
                  </w:r>
                </w:p>
              </w:tc>
              <w:tc>
                <w:tcPr>
                  <w:tcW w:w="1763" w:type="pct"/>
                  <w:noWrap w:val="0"/>
                  <w:vAlign w:val="center"/>
                </w:tcPr>
                <w:p w14:paraId="6839F8A8">
                  <w:pPr>
                    <w:pStyle w:val="8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宋体" w:cs="Times New Roman"/>
                      <w:color w:val="auto"/>
                      <w:szCs w:val="21"/>
                      <w:highlight w:val="yellow"/>
                    </w:rPr>
                  </w:pPr>
                  <w:r>
                    <w:rPr>
                      <w:rFonts w:hint="eastAsia" w:ascii="Times New Roman" w:hAnsi="Times New Roman" w:eastAsia="宋体" w:cs="Times New Roman"/>
                      <w:color w:val="auto"/>
                      <w:kern w:val="2"/>
                      <w:sz w:val="21"/>
                      <w:szCs w:val="21"/>
                      <w:lang w:val="en-US" w:eastAsia="zh-CN" w:bidi="ar-SA"/>
                    </w:rPr>
                    <w:t>项目为塑料制品生产项目，属于</w:t>
                  </w:r>
                  <w:r>
                    <w:rPr>
                      <w:rFonts w:hint="default" w:ascii="Times New Roman" w:hAnsi="Times New Roman" w:eastAsia="宋体" w:cs="Times New Roman"/>
                      <w:color w:val="auto"/>
                      <w:kern w:val="2"/>
                      <w:sz w:val="21"/>
                      <w:szCs w:val="21"/>
                      <w:lang w:val="en-US" w:eastAsia="zh-CN" w:bidi="ar-SA"/>
                    </w:rPr>
                    <w:t>塑料包装箱及容器制造</w:t>
                  </w:r>
                  <w:r>
                    <w:rPr>
                      <w:rFonts w:hint="eastAsia" w:ascii="Times New Roman" w:hAnsi="Times New Roman" w:eastAsia="宋体"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C2926</w:t>
                  </w:r>
                  <w:r>
                    <w:rPr>
                      <w:rFonts w:hint="eastAsia" w:ascii="Times New Roman" w:hAnsi="Times New Roman" w:eastAsia="宋体"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项目</w:t>
                  </w:r>
                  <w:r>
                    <w:rPr>
                      <w:rFonts w:ascii="Times New Roman" w:hAnsi="Times New Roman" w:eastAsia="宋体" w:cs="Times New Roman"/>
                      <w:color w:val="auto"/>
                      <w:kern w:val="0"/>
                      <w:sz w:val="21"/>
                      <w:szCs w:val="21"/>
                      <w:lang w:val="en-US" w:eastAsia="zh-CN" w:bidi="ar-SA"/>
                    </w:rPr>
                    <w:t>冷却水经冷却循环</w:t>
                  </w:r>
                  <w:r>
                    <w:rPr>
                      <w:rFonts w:hint="eastAsia" w:ascii="Times New Roman" w:hAnsi="Times New Roman" w:eastAsia="宋体" w:cs="Times New Roman"/>
                      <w:color w:val="auto"/>
                      <w:kern w:val="0"/>
                      <w:sz w:val="21"/>
                      <w:szCs w:val="21"/>
                      <w:lang w:val="en-US" w:eastAsia="zh-CN" w:bidi="ar-SA"/>
                    </w:rPr>
                    <w:t>水箱</w:t>
                  </w:r>
                  <w:r>
                    <w:rPr>
                      <w:rFonts w:ascii="Times New Roman" w:hAnsi="Times New Roman" w:eastAsia="宋体" w:cs="Times New Roman"/>
                      <w:color w:val="auto"/>
                      <w:kern w:val="0"/>
                      <w:sz w:val="21"/>
                      <w:szCs w:val="21"/>
                      <w:lang w:val="en-US" w:eastAsia="zh-CN" w:bidi="ar-SA"/>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达到</w:t>
                  </w:r>
                  <w:r>
                    <w:rPr>
                      <w:rFonts w:hint="default" w:ascii="Times New Roman" w:hAnsi="Times New Roman" w:eastAsia="宋体" w:cs="Times New Roman"/>
                      <w:b w:val="0"/>
                      <w:bCs w:val="0"/>
                      <w:color w:val="auto"/>
                      <w:sz w:val="21"/>
                      <w:szCs w:val="21"/>
                      <w:highlight w:val="none"/>
                      <w:lang w:val="en-US" w:eastAsia="zh-CN"/>
                    </w:rPr>
                    <w:t>《城市污水再生利用 城市杂用水水质》（GB/T18920-2020）中的城市绿化、道路清扫、消防、建筑施工标准后，用于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p w14:paraId="6FD896D7">
                  <w:pP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本项目不属于</w:t>
                  </w:r>
                  <w:r>
                    <w:rPr>
                      <w:rFonts w:hint="default" w:ascii="Times New Roman" w:hAnsi="Times New Roman" w:eastAsia="宋体" w:cs="Times New Roman"/>
                      <w:color w:val="auto"/>
                      <w:szCs w:val="21"/>
                      <w:shd w:val="clear" w:color="auto" w:fill="FFFFFF"/>
                    </w:rPr>
                    <w:t>高污染、高耗水、高耗能项目，不属于造纸、制革、印染、染料、炼焦、炼硫、炼砷、炼油、炼汞、电镀、化肥、农药、石棉、水泥、玻璃、冶金、火电等项目。</w:t>
                  </w:r>
                </w:p>
              </w:tc>
              <w:tc>
                <w:tcPr>
                  <w:tcW w:w="612" w:type="pct"/>
                  <w:noWrap w:val="0"/>
                  <w:vAlign w:val="center"/>
                </w:tcPr>
                <w:p w14:paraId="2C050FCA">
                  <w:pPr>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符合</w:t>
                  </w:r>
                </w:p>
              </w:tc>
            </w:tr>
            <w:tr w14:paraId="39555D4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70A3BA9B">
                  <w:pPr>
                    <w:pStyle w:val="27"/>
                    <w:spacing w:before="0" w:beforeAutospacing="0" w:after="0" w:afterAutospacing="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shd w:val="clear" w:color="auto" w:fill="FFFFFF"/>
                    </w:rPr>
                    <w:t>第二十七条 绿色发展区禁止下列行为：</w:t>
                  </w:r>
                </w:p>
                <w:p w14:paraId="1167688D">
                  <w:pPr>
                    <w:pStyle w:val="27"/>
                    <w:spacing w:before="0" w:beforeAutospacing="0" w:after="0" w:afterAutospacing="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（一）利用渗井、渗坑、裂隙、溶洞，私设暗管，篡改、伪造监测数据，或者不正常运行水污染防治设施等逃避监管的方式排放水污染物；</w:t>
                  </w:r>
                </w:p>
                <w:p w14:paraId="4A86F416">
                  <w:pPr>
                    <w:pStyle w:val="27"/>
                    <w:spacing w:before="0" w:beforeAutospacing="0" w:after="0" w:afterAutospacing="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（二）未按照规定进行预处理，向污水集中处理设施排放不符合处理工艺要求的工业废水；</w:t>
                  </w:r>
                </w:p>
                <w:p w14:paraId="337A05A5">
                  <w:pPr>
                    <w:pStyle w:val="27"/>
                    <w:spacing w:before="0" w:beforeAutospacing="0" w:after="0" w:afterAutospacing="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（三）向水体排放剧毒废液，或者将含有汞、镉、砷、铬、铅、氰化物、黄磷等的可溶性剧毒废渣向水体排放、倾倒或者直接埋入地下；</w:t>
                  </w:r>
                </w:p>
                <w:p w14:paraId="1A0A0813">
                  <w:pPr>
                    <w:pStyle w:val="27"/>
                    <w:spacing w:before="0" w:beforeAutospacing="0" w:after="0" w:afterAutospacing="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（四）未按照规定采取防护性措施，或者利用无防渗漏措施的沟渠、坑塘等输送或者存贮含有毒污染物的废水、含病原体的污水或者其他废弃物；</w:t>
                  </w:r>
                </w:p>
                <w:p w14:paraId="4DDF2674">
                  <w:pPr>
                    <w:pStyle w:val="27"/>
                    <w:spacing w:before="0" w:beforeAutospacing="0" w:after="0" w:afterAutospacing="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（五）向水体排放、倾倒工业废渣、城镇垃圾或者其他废弃物；</w:t>
                  </w:r>
                </w:p>
                <w:p w14:paraId="2E4D53C7">
                  <w:pPr>
                    <w:pStyle w:val="27"/>
                    <w:spacing w:before="0" w:beforeAutospacing="0" w:after="0" w:afterAutospacing="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（六）超过水污染物排放标准或者超过重点水污染物排放总量控制指标排放水污染物；</w:t>
                  </w:r>
                </w:p>
                <w:p w14:paraId="0DB4EFAC">
                  <w:pPr>
                    <w:pStyle w:val="27"/>
                    <w:spacing w:before="0" w:beforeAutospacing="0" w:after="0" w:afterAutospacing="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（七）擅自取水或者违反取水许可规定取水；</w:t>
                  </w:r>
                </w:p>
                <w:p w14:paraId="22F928D4">
                  <w:pPr>
                    <w:pStyle w:val="27"/>
                    <w:spacing w:before="0" w:beforeAutospacing="0" w:after="0" w:afterAutospacing="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（八）违法砍伐林木；</w:t>
                  </w:r>
                </w:p>
                <w:p w14:paraId="0E5FE1E5">
                  <w:pPr>
                    <w:pStyle w:val="27"/>
                    <w:spacing w:before="0" w:beforeAutospacing="0" w:after="0" w:afterAutospacing="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（九）违法开垦、占用林地；</w:t>
                  </w:r>
                </w:p>
                <w:p w14:paraId="433AED63">
                  <w:pPr>
                    <w:pStyle w:val="27"/>
                    <w:spacing w:before="0" w:beforeAutospacing="0" w:after="0" w:afterAutospacing="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（十）违法猎捕、杀害、买卖野生动物；</w:t>
                  </w:r>
                </w:p>
                <w:p w14:paraId="0F0FF1E8">
                  <w:pPr>
                    <w:pStyle w:val="27"/>
                    <w:spacing w:before="0" w:beforeAutospacing="0" w:after="0" w:afterAutospacing="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（十一）损毁或者擅自移动界桩、标识；</w:t>
                  </w:r>
                </w:p>
                <w:p w14:paraId="34C54428">
                  <w:pPr>
                    <w:pStyle w:val="27"/>
                    <w:spacing w:before="0" w:beforeAutospacing="0" w:after="0" w:afterAutospacing="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（十二）生产、销售、使用含磷洗涤用品、国家明令禁止或者明令淘汰的一次性发泡塑料餐具、塑料袋等塑料制品；</w:t>
                  </w:r>
                </w:p>
                <w:p w14:paraId="3E2FED12">
                  <w:pPr>
                    <w:pStyle w:val="27"/>
                    <w:spacing w:before="0" w:beforeAutospacing="0" w:after="0" w:afterAutospacing="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（十三）擅自填堵、覆盖河道，侵占河床、河堤，改变河道走向；</w:t>
                  </w:r>
                </w:p>
                <w:p w14:paraId="21F8BCE6">
                  <w:pPr>
                    <w:pStyle w:val="27"/>
                    <w:spacing w:before="0" w:beforeAutospacing="0" w:after="0" w:afterAutospacing="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shd w:val="clear" w:color="auto" w:fill="FFFFFF"/>
                    </w:rPr>
                    <w:t>（十四）使用禁用的渔具、捕捞方法或者不符合规定的网具捕捞；</w:t>
                  </w:r>
                </w:p>
                <w:p w14:paraId="25A6E819">
                  <w:pPr>
                    <w:rPr>
                      <w:rFonts w:hint="default" w:ascii="Times New Roman" w:hAnsi="Times New Roman" w:eastAsia="宋体" w:cs="Times New Roman"/>
                      <w:color w:val="auto"/>
                      <w:szCs w:val="21"/>
                      <w:shd w:val="clear" w:color="auto" w:fill="FFFFFF"/>
                    </w:rPr>
                  </w:pPr>
                  <w:r>
                    <w:rPr>
                      <w:rFonts w:hint="default" w:ascii="Times New Roman" w:hAnsi="Times New Roman" w:eastAsia="宋体" w:cs="Times New Roman"/>
                      <w:color w:val="auto"/>
                      <w:szCs w:val="21"/>
                      <w:shd w:val="clear" w:color="auto" w:fill="FFFFFF"/>
                    </w:rPr>
                    <w:t>（十五）法律、法规禁止的其他行为。</w:t>
                  </w:r>
                </w:p>
              </w:tc>
              <w:tc>
                <w:tcPr>
                  <w:tcW w:w="1763" w:type="pct"/>
                  <w:noWrap w:val="0"/>
                  <w:vAlign w:val="center"/>
                </w:tcPr>
                <w:p w14:paraId="11EEAB0B">
                  <w:pPr>
                    <w:rPr>
                      <w:rFonts w:hint="default" w:ascii="Times New Roman" w:hAnsi="Times New Roman" w:eastAsia="宋体" w:cs="Times New Roman"/>
                      <w:color w:val="auto"/>
                      <w:szCs w:val="21"/>
                    </w:rPr>
                  </w:pPr>
                  <w:r>
                    <w:rPr>
                      <w:rFonts w:hint="eastAsia" w:ascii="Times New Roman" w:hAnsi="Times New Roman" w:eastAsia="宋体" w:cs="Times New Roman"/>
                      <w:color w:val="auto"/>
                      <w:spacing w:val="-7"/>
                      <w:szCs w:val="21"/>
                      <w:lang w:val="en-US" w:eastAsia="zh-CN"/>
                    </w:rPr>
                    <w:t>1、</w:t>
                  </w:r>
                  <w:r>
                    <w:rPr>
                      <w:rFonts w:hint="eastAsia" w:ascii="Times New Roman" w:hAnsi="Times New Roman" w:eastAsia="宋体" w:cs="Times New Roman"/>
                      <w:color w:val="auto"/>
                      <w:kern w:val="2"/>
                      <w:sz w:val="21"/>
                      <w:szCs w:val="21"/>
                      <w:lang w:val="en-US" w:eastAsia="zh-CN" w:bidi="ar-SA"/>
                    </w:rPr>
                    <w:t>项目</w:t>
                  </w:r>
                  <w:r>
                    <w:rPr>
                      <w:rFonts w:ascii="Times New Roman" w:hAnsi="Times New Roman" w:eastAsia="宋体" w:cs="Times New Roman"/>
                      <w:color w:val="auto"/>
                      <w:kern w:val="0"/>
                      <w:sz w:val="21"/>
                      <w:szCs w:val="21"/>
                      <w:lang w:val="en-US" w:eastAsia="zh-CN" w:bidi="ar-SA"/>
                    </w:rPr>
                    <w:t>冷却水经冷却循环</w:t>
                  </w:r>
                  <w:r>
                    <w:rPr>
                      <w:rFonts w:hint="eastAsia" w:ascii="Times New Roman" w:hAnsi="Times New Roman" w:eastAsia="宋体" w:cs="Times New Roman"/>
                      <w:color w:val="auto"/>
                      <w:kern w:val="0"/>
                      <w:sz w:val="21"/>
                      <w:szCs w:val="21"/>
                      <w:lang w:val="en-US" w:eastAsia="zh-CN" w:bidi="ar-SA"/>
                    </w:rPr>
                    <w:t>水箱</w:t>
                  </w:r>
                  <w:r>
                    <w:rPr>
                      <w:rFonts w:ascii="Times New Roman" w:hAnsi="Times New Roman" w:eastAsia="宋体" w:cs="Times New Roman"/>
                      <w:color w:val="auto"/>
                      <w:kern w:val="0"/>
                      <w:sz w:val="21"/>
                      <w:szCs w:val="21"/>
                      <w:lang w:val="en-US" w:eastAsia="zh-CN" w:bidi="ar-SA"/>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达到</w:t>
                  </w:r>
                  <w:r>
                    <w:rPr>
                      <w:rFonts w:hint="default" w:ascii="Times New Roman" w:hAnsi="Times New Roman" w:eastAsia="宋体" w:cs="Times New Roman"/>
                      <w:b w:val="0"/>
                      <w:bCs w:val="0"/>
                      <w:color w:val="auto"/>
                      <w:sz w:val="21"/>
                      <w:szCs w:val="21"/>
                      <w:highlight w:val="none"/>
                      <w:lang w:val="en-US" w:eastAsia="zh-CN"/>
                    </w:rPr>
                    <w:t>《城市污水再生利用 城市杂用水水质》（GB/T18920-2020）中的城市绿化、道路清扫、消防、建筑施工标准后，用于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r>
                    <w:rPr>
                      <w:rFonts w:hint="eastAsia"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color w:val="auto"/>
                      <w:kern w:val="2"/>
                      <w:sz w:val="21"/>
                      <w:szCs w:val="21"/>
                      <w:lang w:val="en-US" w:eastAsia="zh-CN" w:bidi="ar-SA"/>
                    </w:rPr>
                    <w:t>不涉及</w:t>
                  </w:r>
                  <w:r>
                    <w:rPr>
                      <w:rFonts w:hint="default" w:ascii="Times New Roman" w:hAnsi="Times New Roman" w:eastAsia="宋体" w:cs="Times New Roman"/>
                      <w:color w:val="auto"/>
                      <w:sz w:val="21"/>
                      <w:szCs w:val="21"/>
                      <w:shd w:val="clear" w:color="auto" w:fill="FFFFFF"/>
                    </w:rPr>
                    <w:t>利用渗井、渗坑、裂隙、溶洞，私设暗管，篡改、伪造监测数据，或者不正常运行水污染防治设施等逃避监管的方式排放水污染物</w:t>
                  </w:r>
                  <w:r>
                    <w:rPr>
                      <w:rFonts w:hint="default" w:ascii="Times New Roman" w:hAnsi="Times New Roman" w:eastAsia="宋体" w:cs="Times New Roman"/>
                      <w:color w:val="auto"/>
                      <w:szCs w:val="21"/>
                    </w:rPr>
                    <w:t>；</w:t>
                  </w:r>
                </w:p>
                <w:p w14:paraId="4EC0C709">
                  <w:pPr>
                    <w:rPr>
                      <w:rFonts w:hint="default" w:ascii="Times New Roman" w:hAnsi="Times New Roman" w:eastAsia="宋体" w:cs="Times New Roman"/>
                      <w:color w:val="auto"/>
                      <w:szCs w:val="21"/>
                    </w:rPr>
                  </w:pPr>
                  <w:r>
                    <w:rPr>
                      <w:rFonts w:hint="eastAsia" w:ascii="Times New Roman" w:hAnsi="Times New Roman" w:eastAsia="宋体" w:cs="Times New Roman"/>
                      <w:color w:val="auto"/>
                      <w:kern w:val="2"/>
                      <w:sz w:val="21"/>
                      <w:szCs w:val="21"/>
                      <w:lang w:val="en-US" w:eastAsia="zh-CN" w:bidi="ar-SA"/>
                    </w:rPr>
                    <w:t>2、项目</w:t>
                  </w:r>
                  <w:r>
                    <w:rPr>
                      <w:rFonts w:ascii="Times New Roman" w:hAnsi="Times New Roman" w:eastAsia="宋体" w:cs="Times New Roman"/>
                      <w:color w:val="auto"/>
                      <w:kern w:val="0"/>
                      <w:sz w:val="21"/>
                      <w:szCs w:val="21"/>
                      <w:lang w:val="en-US" w:eastAsia="zh-CN" w:bidi="ar-SA"/>
                    </w:rPr>
                    <w:t>冷却水经冷却循环</w:t>
                  </w:r>
                  <w:r>
                    <w:rPr>
                      <w:rFonts w:hint="eastAsia" w:ascii="Times New Roman" w:hAnsi="Times New Roman" w:eastAsia="宋体" w:cs="Times New Roman"/>
                      <w:color w:val="auto"/>
                      <w:kern w:val="0"/>
                      <w:sz w:val="21"/>
                      <w:szCs w:val="21"/>
                      <w:lang w:val="en-US" w:eastAsia="zh-CN" w:bidi="ar-SA"/>
                    </w:rPr>
                    <w:t>水箱</w:t>
                  </w:r>
                  <w:r>
                    <w:rPr>
                      <w:rFonts w:ascii="Times New Roman" w:hAnsi="Times New Roman" w:eastAsia="宋体" w:cs="Times New Roman"/>
                      <w:color w:val="auto"/>
                      <w:kern w:val="0"/>
                      <w:sz w:val="21"/>
                      <w:szCs w:val="21"/>
                      <w:lang w:val="en-US" w:eastAsia="zh-CN" w:bidi="ar-SA"/>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达到</w:t>
                  </w:r>
                  <w:r>
                    <w:rPr>
                      <w:rFonts w:hint="default" w:ascii="Times New Roman" w:hAnsi="Times New Roman" w:eastAsia="宋体" w:cs="Times New Roman"/>
                      <w:b w:val="0"/>
                      <w:bCs w:val="0"/>
                      <w:color w:val="auto"/>
                      <w:sz w:val="21"/>
                      <w:szCs w:val="21"/>
                      <w:highlight w:val="none"/>
                      <w:lang w:val="en-US" w:eastAsia="zh-CN"/>
                    </w:rPr>
                    <w:t>《城市污水再生利用 城市杂用水水质》（GB/T18920-2020）中的城市绿化、道路清扫、消防、建筑施工标准后，用于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r>
                    <w:rPr>
                      <w:rFonts w:hint="eastAsia"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lang w:val="en-US" w:eastAsia="zh-CN" w:bidi="ar-SA"/>
                    </w:rPr>
                    <w:t>不涉及废水直接排放</w:t>
                  </w:r>
                  <w:r>
                    <w:rPr>
                      <w:rFonts w:hint="default" w:ascii="Times New Roman" w:hAnsi="Times New Roman" w:eastAsia="宋体" w:cs="Times New Roman"/>
                      <w:color w:val="auto"/>
                      <w:szCs w:val="21"/>
                    </w:rPr>
                    <w:t>；</w:t>
                  </w:r>
                </w:p>
                <w:p w14:paraId="3883BC80">
                  <w:pP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val="en-US" w:eastAsia="zh-CN"/>
                    </w:rPr>
                    <w:t>3、</w:t>
                  </w:r>
                  <w:r>
                    <w:rPr>
                      <w:rFonts w:hint="eastAsia" w:ascii="Times New Roman" w:hAnsi="Times New Roman" w:eastAsia="宋体" w:cs="Times New Roman"/>
                      <w:color w:val="auto"/>
                      <w:kern w:val="2"/>
                      <w:sz w:val="21"/>
                      <w:szCs w:val="21"/>
                      <w:lang w:val="en-US" w:eastAsia="zh-CN" w:bidi="ar-SA"/>
                    </w:rPr>
                    <w:t>项目</w:t>
                  </w:r>
                  <w:r>
                    <w:rPr>
                      <w:rFonts w:ascii="Times New Roman" w:hAnsi="Times New Roman" w:eastAsia="宋体" w:cs="Times New Roman"/>
                      <w:color w:val="auto"/>
                      <w:kern w:val="0"/>
                      <w:sz w:val="21"/>
                      <w:szCs w:val="21"/>
                      <w:lang w:val="en-US" w:eastAsia="zh-CN" w:bidi="ar-SA"/>
                    </w:rPr>
                    <w:t>冷却水经冷却循环</w:t>
                  </w:r>
                  <w:r>
                    <w:rPr>
                      <w:rFonts w:hint="eastAsia" w:ascii="Times New Roman" w:hAnsi="Times New Roman" w:eastAsia="宋体" w:cs="Times New Roman"/>
                      <w:color w:val="auto"/>
                      <w:kern w:val="0"/>
                      <w:sz w:val="21"/>
                      <w:szCs w:val="21"/>
                      <w:lang w:val="en-US" w:eastAsia="zh-CN" w:bidi="ar-SA"/>
                    </w:rPr>
                    <w:t>水箱</w:t>
                  </w:r>
                  <w:r>
                    <w:rPr>
                      <w:rFonts w:ascii="Times New Roman" w:hAnsi="Times New Roman" w:eastAsia="宋体" w:cs="Times New Roman"/>
                      <w:color w:val="auto"/>
                      <w:kern w:val="0"/>
                      <w:sz w:val="21"/>
                      <w:szCs w:val="21"/>
                      <w:lang w:val="en-US" w:eastAsia="zh-CN" w:bidi="ar-SA"/>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达到</w:t>
                  </w:r>
                  <w:r>
                    <w:rPr>
                      <w:rFonts w:hint="default" w:ascii="Times New Roman" w:hAnsi="Times New Roman" w:eastAsia="宋体" w:cs="Times New Roman"/>
                      <w:b w:val="0"/>
                      <w:bCs w:val="0"/>
                      <w:color w:val="auto"/>
                      <w:sz w:val="21"/>
                      <w:szCs w:val="21"/>
                      <w:highlight w:val="none"/>
                      <w:lang w:val="en-US" w:eastAsia="zh-CN"/>
                    </w:rPr>
                    <w:t>《城市污水再生利用 城市杂用水水质》（GB/T18920-2020）中的城市绿化、道路清扫、消防、建筑施工标准后，用于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r>
                    <w:rPr>
                      <w:rFonts w:hint="eastAsia" w:ascii="Times New Roman" w:hAnsi="Times New Roman" w:eastAsia="宋体" w:cs="Times New Roman"/>
                      <w:color w:val="auto"/>
                      <w:kern w:val="2"/>
                      <w:sz w:val="21"/>
                      <w:szCs w:val="21"/>
                      <w:lang w:val="en-US" w:eastAsia="zh-CN" w:bidi="ar-SA"/>
                    </w:rPr>
                    <w:t>，不涉及</w:t>
                  </w:r>
                  <w:r>
                    <w:rPr>
                      <w:rFonts w:hint="default" w:ascii="Times New Roman" w:hAnsi="Times New Roman" w:eastAsia="宋体" w:cs="Times New Roman"/>
                      <w:color w:val="auto"/>
                      <w:sz w:val="21"/>
                      <w:szCs w:val="21"/>
                      <w:shd w:val="clear" w:color="auto" w:fill="FFFFFF"/>
                    </w:rPr>
                    <w:t>向水体排放剧毒废液，或者将含有汞、镉、砷、铬、铅、氰化物、黄磷等的可溶性剧毒废渣向水体排放、倾倒或者直接埋入地下</w:t>
                  </w:r>
                  <w:r>
                    <w:rPr>
                      <w:rFonts w:hint="eastAsia" w:ascii="Times New Roman" w:hAnsi="Times New Roman" w:eastAsia="宋体" w:cs="Times New Roman"/>
                      <w:color w:val="auto"/>
                      <w:sz w:val="21"/>
                      <w:szCs w:val="21"/>
                      <w:shd w:val="clear" w:color="auto" w:fill="FFFFFF"/>
                      <w:lang w:eastAsia="zh-CN"/>
                    </w:rPr>
                    <w:t>；</w:t>
                  </w:r>
                </w:p>
                <w:p w14:paraId="6BEE9C4A">
                  <w:pPr>
                    <w:rPr>
                      <w:rFonts w:hint="eastAsia" w:eastAsia="宋体"/>
                      <w:color w:val="auto"/>
                      <w:sz w:val="21"/>
                      <w:szCs w:val="21"/>
                      <w:lang w:val="en-US" w:eastAsia="zh-CN"/>
                    </w:rPr>
                  </w:pPr>
                  <w:r>
                    <w:rPr>
                      <w:rFonts w:hint="eastAsia"/>
                      <w:color w:val="auto"/>
                      <w:sz w:val="21"/>
                      <w:szCs w:val="21"/>
                      <w:lang w:val="en-US" w:eastAsia="zh-CN"/>
                    </w:rPr>
                    <w:t>4、</w:t>
                  </w:r>
                  <w:r>
                    <w:rPr>
                      <w:rFonts w:hint="eastAsia" w:ascii="Times New Roman" w:hAnsi="Times New Roman" w:eastAsia="宋体" w:cs="Times New Roman"/>
                      <w:color w:val="auto"/>
                      <w:kern w:val="2"/>
                      <w:sz w:val="21"/>
                      <w:szCs w:val="21"/>
                      <w:lang w:val="en-US" w:eastAsia="zh-CN" w:bidi="ar-SA"/>
                    </w:rPr>
                    <w:t>项目不存在</w:t>
                  </w:r>
                  <w:r>
                    <w:rPr>
                      <w:rFonts w:hint="default" w:ascii="Times New Roman" w:hAnsi="Times New Roman" w:eastAsia="宋体" w:cs="Times New Roman"/>
                      <w:color w:val="auto"/>
                      <w:sz w:val="21"/>
                      <w:szCs w:val="21"/>
                      <w:shd w:val="clear" w:color="auto" w:fill="FFFFFF"/>
                    </w:rPr>
                    <w:t>有毒污染物的废水、含病原体的污水或者其他废弃物</w:t>
                  </w:r>
                  <w:r>
                    <w:rPr>
                      <w:rFonts w:hint="eastAsia" w:ascii="Times New Roman" w:hAnsi="Times New Roman" w:eastAsia="宋体" w:cs="Times New Roman"/>
                      <w:color w:val="auto"/>
                      <w:sz w:val="21"/>
                      <w:szCs w:val="21"/>
                      <w:shd w:val="clear" w:color="auto" w:fill="FFFFFF"/>
                      <w:lang w:eastAsia="zh-CN"/>
                    </w:rPr>
                    <w:t>；</w:t>
                  </w:r>
                </w:p>
                <w:p w14:paraId="4050F2F1">
                  <w:pPr>
                    <w:rPr>
                      <w:rFonts w:hint="eastAsia"/>
                      <w:color w:val="auto"/>
                      <w:sz w:val="21"/>
                      <w:szCs w:val="21"/>
                      <w:lang w:val="en-US" w:eastAsia="zh-CN"/>
                    </w:rPr>
                  </w:pPr>
                  <w:r>
                    <w:rPr>
                      <w:rFonts w:hint="eastAsia"/>
                      <w:color w:val="auto"/>
                      <w:sz w:val="21"/>
                      <w:szCs w:val="21"/>
                      <w:lang w:val="en-US" w:eastAsia="zh-CN"/>
                    </w:rPr>
                    <w:t>5、项目固体度弃物能够做到 100%处置，不对外排放；</w:t>
                  </w:r>
                </w:p>
                <w:p w14:paraId="53F5AD57">
                  <w:pP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6、</w:t>
                  </w:r>
                  <w:r>
                    <w:rPr>
                      <w:rFonts w:hint="eastAsia" w:ascii="Times New Roman" w:hAnsi="Times New Roman" w:eastAsia="宋体" w:cs="Times New Roman"/>
                      <w:color w:val="auto"/>
                      <w:kern w:val="2"/>
                      <w:sz w:val="21"/>
                      <w:szCs w:val="21"/>
                      <w:lang w:val="en-US" w:eastAsia="zh-CN" w:bidi="ar-SA"/>
                    </w:rPr>
                    <w:t>项目</w:t>
                  </w:r>
                  <w:r>
                    <w:rPr>
                      <w:rFonts w:ascii="Times New Roman" w:hAnsi="Times New Roman" w:eastAsia="宋体" w:cs="Times New Roman"/>
                      <w:color w:val="auto"/>
                      <w:kern w:val="0"/>
                      <w:sz w:val="21"/>
                      <w:szCs w:val="21"/>
                      <w:lang w:val="en-US" w:eastAsia="zh-CN" w:bidi="ar-SA"/>
                    </w:rPr>
                    <w:t>冷却水经冷却循环</w:t>
                  </w:r>
                  <w:r>
                    <w:rPr>
                      <w:rFonts w:hint="eastAsia" w:ascii="Times New Roman" w:hAnsi="Times New Roman" w:eastAsia="宋体" w:cs="Times New Roman"/>
                      <w:color w:val="auto"/>
                      <w:kern w:val="0"/>
                      <w:sz w:val="21"/>
                      <w:szCs w:val="21"/>
                      <w:lang w:val="en-US" w:eastAsia="zh-CN" w:bidi="ar-SA"/>
                    </w:rPr>
                    <w:t>水箱</w:t>
                  </w:r>
                  <w:r>
                    <w:rPr>
                      <w:rFonts w:ascii="Times New Roman" w:hAnsi="Times New Roman" w:eastAsia="宋体" w:cs="Times New Roman"/>
                      <w:color w:val="auto"/>
                      <w:kern w:val="0"/>
                      <w:sz w:val="21"/>
                      <w:szCs w:val="21"/>
                      <w:lang w:val="en-US" w:eastAsia="zh-CN" w:bidi="ar-SA"/>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达到</w:t>
                  </w:r>
                  <w:r>
                    <w:rPr>
                      <w:rFonts w:hint="default" w:ascii="Times New Roman" w:hAnsi="Times New Roman" w:eastAsia="宋体" w:cs="Times New Roman"/>
                      <w:b w:val="0"/>
                      <w:bCs w:val="0"/>
                      <w:color w:val="auto"/>
                      <w:sz w:val="21"/>
                      <w:szCs w:val="21"/>
                      <w:highlight w:val="none"/>
                      <w:lang w:val="en-US" w:eastAsia="zh-CN"/>
                    </w:rPr>
                    <w:t>《城市污水再生利用 城市杂用水水质》（GB/T18920-2020）中的城市绿化、道路清扫、消防、建筑施工标准后，用于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r>
                    <w:rPr>
                      <w:rFonts w:hint="eastAsia" w:ascii="Times New Roman" w:hAnsi="Times New Roman" w:eastAsia="宋体" w:cs="Times New Roman"/>
                      <w:color w:val="auto"/>
                      <w:kern w:val="2"/>
                      <w:sz w:val="21"/>
                      <w:szCs w:val="21"/>
                      <w:highlight w:val="none"/>
                      <w:lang w:val="en-US" w:eastAsia="zh-CN" w:bidi="ar-SA"/>
                    </w:rPr>
                    <w:t>，不</w:t>
                  </w:r>
                  <w:r>
                    <w:rPr>
                      <w:rFonts w:hint="eastAsia" w:ascii="Times New Roman" w:hAnsi="Times New Roman" w:eastAsia="宋体" w:cs="Times New Roman"/>
                      <w:color w:val="auto"/>
                      <w:kern w:val="2"/>
                      <w:sz w:val="21"/>
                      <w:szCs w:val="21"/>
                      <w:lang w:val="en-US" w:eastAsia="zh-CN" w:bidi="ar-SA"/>
                    </w:rPr>
                    <w:t>会超过水污染物排放标准或者超过重点水污染物排放总量控制指标排放水污染物；</w:t>
                  </w:r>
                </w:p>
                <w:p w14:paraId="395967D2">
                  <w:pPr>
                    <w:rPr>
                      <w:rFonts w:hint="default" w:ascii="Times New Roman" w:hAnsi="Times New Roman" w:eastAsia="宋体" w:cs="Times New Roman"/>
                      <w:color w:val="auto"/>
                      <w:spacing w:val="-2"/>
                      <w:szCs w:val="21"/>
                    </w:rPr>
                  </w:pPr>
                  <w:r>
                    <w:rPr>
                      <w:rFonts w:hint="eastAsia" w:ascii="Times New Roman" w:hAnsi="Times New Roman" w:eastAsia="宋体" w:cs="Times New Roman"/>
                      <w:color w:val="auto"/>
                      <w:kern w:val="2"/>
                      <w:sz w:val="21"/>
                      <w:szCs w:val="21"/>
                      <w:lang w:val="en-US" w:eastAsia="zh-CN" w:bidi="ar-SA"/>
                    </w:rPr>
                    <w:t>7、</w:t>
                  </w:r>
                  <w:r>
                    <w:rPr>
                      <w:rFonts w:hint="eastAsia" w:eastAsia="宋体"/>
                      <w:color w:val="auto"/>
                      <w:sz w:val="21"/>
                      <w:szCs w:val="21"/>
                      <w:lang w:eastAsia="zh-CN"/>
                    </w:rPr>
                    <w:t>项目供水来源于市政管网，不涉及私自取水</w:t>
                  </w:r>
                  <w:r>
                    <w:rPr>
                      <w:rFonts w:hint="default" w:ascii="Times New Roman" w:hAnsi="Times New Roman" w:eastAsia="宋体" w:cs="Times New Roman"/>
                      <w:color w:val="auto"/>
                      <w:spacing w:val="-2"/>
                      <w:szCs w:val="21"/>
                    </w:rPr>
                    <w:t>；</w:t>
                  </w:r>
                </w:p>
                <w:p w14:paraId="287039F6">
                  <w:pPr>
                    <w:rPr>
                      <w:rFonts w:hint="eastAsia" w:ascii="Times New Roman" w:hAnsi="Times New Roman" w:eastAsia="宋体" w:cs="Times New Roman"/>
                      <w:color w:val="auto"/>
                      <w:spacing w:val="-2"/>
                      <w:szCs w:val="21"/>
                      <w:lang w:eastAsia="zh-CN"/>
                    </w:rPr>
                  </w:pPr>
                  <w:r>
                    <w:rPr>
                      <w:rFonts w:hint="eastAsia" w:ascii="Times New Roman" w:hAnsi="Times New Roman" w:eastAsia="宋体" w:cs="Times New Roman"/>
                      <w:color w:val="auto"/>
                      <w:spacing w:val="-2"/>
                      <w:szCs w:val="21"/>
                      <w:lang w:val="en-US" w:eastAsia="zh-CN"/>
                    </w:rPr>
                    <w:t>8、</w:t>
                  </w:r>
                  <w:r>
                    <w:rPr>
                      <w:rFonts w:hint="default" w:ascii="Times New Roman" w:hAnsi="Times New Roman" w:eastAsia="宋体" w:cs="Times New Roman"/>
                      <w:color w:val="auto"/>
                      <w:spacing w:val="-2"/>
                      <w:szCs w:val="21"/>
                    </w:rPr>
                    <w:t>本项目不涉及</w:t>
                  </w:r>
                  <w:r>
                    <w:rPr>
                      <w:rFonts w:hint="eastAsia" w:ascii="Times New Roman" w:hAnsi="Times New Roman" w:eastAsia="宋体" w:cs="Times New Roman"/>
                      <w:color w:val="auto"/>
                      <w:spacing w:val="-2"/>
                      <w:szCs w:val="21"/>
                      <w:lang w:eastAsia="zh-CN"/>
                    </w:rPr>
                    <w:t>；</w:t>
                  </w:r>
                </w:p>
                <w:p w14:paraId="6FF14C8B">
                  <w:pPr>
                    <w:rPr>
                      <w:rFonts w:hint="default" w:ascii="Times New Roman" w:hAnsi="Times New Roman" w:eastAsia="宋体" w:cs="Times New Roman"/>
                      <w:color w:val="auto"/>
                      <w:spacing w:val="-2"/>
                      <w:szCs w:val="21"/>
                    </w:rPr>
                  </w:pPr>
                  <w:r>
                    <w:rPr>
                      <w:rFonts w:hint="eastAsia" w:ascii="Times New Roman" w:hAnsi="Times New Roman" w:eastAsia="宋体" w:cs="Times New Roman"/>
                      <w:color w:val="auto"/>
                      <w:spacing w:val="-2"/>
                      <w:szCs w:val="21"/>
                      <w:lang w:val="en-US" w:eastAsia="zh-CN"/>
                    </w:rPr>
                    <w:t>9、</w:t>
                  </w:r>
                  <w:r>
                    <w:rPr>
                      <w:rFonts w:hint="default" w:ascii="Times New Roman" w:hAnsi="Times New Roman" w:eastAsia="宋体" w:cs="Times New Roman"/>
                      <w:color w:val="auto"/>
                      <w:spacing w:val="-2"/>
                      <w:szCs w:val="21"/>
                    </w:rPr>
                    <w:t>本项目不涉及</w:t>
                  </w:r>
                  <w:r>
                    <w:rPr>
                      <w:rFonts w:hint="eastAsia" w:ascii="Times New Roman" w:hAnsi="Times New Roman" w:eastAsia="宋体" w:cs="Times New Roman"/>
                      <w:color w:val="auto"/>
                      <w:spacing w:val="-2"/>
                      <w:szCs w:val="21"/>
                      <w:lang w:eastAsia="zh-CN"/>
                    </w:rPr>
                    <w:t>；</w:t>
                  </w:r>
                </w:p>
                <w:p w14:paraId="333C131F">
                  <w:pPr>
                    <w:rPr>
                      <w:rFonts w:hint="default" w:ascii="Times New Roman" w:hAnsi="Times New Roman" w:eastAsia="宋体" w:cs="Times New Roman"/>
                      <w:color w:val="auto"/>
                      <w:spacing w:val="-2"/>
                      <w:szCs w:val="21"/>
                    </w:rPr>
                  </w:pPr>
                  <w:r>
                    <w:rPr>
                      <w:rFonts w:hint="eastAsia" w:ascii="Times New Roman" w:hAnsi="Times New Roman" w:eastAsia="宋体" w:cs="Times New Roman"/>
                      <w:color w:val="auto"/>
                      <w:spacing w:val="-2"/>
                      <w:szCs w:val="21"/>
                      <w:lang w:val="en-US" w:eastAsia="zh-CN"/>
                    </w:rPr>
                    <w:t>10、</w:t>
                  </w:r>
                  <w:r>
                    <w:rPr>
                      <w:rFonts w:hint="default" w:ascii="Times New Roman" w:hAnsi="Times New Roman" w:eastAsia="宋体" w:cs="Times New Roman"/>
                      <w:color w:val="auto"/>
                      <w:spacing w:val="-2"/>
                      <w:szCs w:val="21"/>
                    </w:rPr>
                    <w:t>本项目不涉及</w:t>
                  </w:r>
                  <w:r>
                    <w:rPr>
                      <w:rFonts w:hint="eastAsia" w:ascii="Times New Roman" w:hAnsi="Times New Roman" w:eastAsia="宋体" w:cs="Times New Roman"/>
                      <w:color w:val="auto"/>
                      <w:spacing w:val="-2"/>
                      <w:szCs w:val="21"/>
                      <w:lang w:eastAsia="zh-CN"/>
                    </w:rPr>
                    <w:t>；</w:t>
                  </w:r>
                </w:p>
                <w:p w14:paraId="4DB44E9B">
                  <w:pP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shd w:val="clear" w:color="auto" w:fill="FFFFFF"/>
                      <w:lang w:val="en-US" w:eastAsia="zh-CN"/>
                    </w:rPr>
                    <w:t>11、</w:t>
                  </w:r>
                  <w:r>
                    <w:rPr>
                      <w:rFonts w:hint="default" w:ascii="Times New Roman" w:hAnsi="Times New Roman" w:eastAsia="宋体" w:cs="Times New Roman"/>
                      <w:color w:val="auto"/>
                      <w:szCs w:val="21"/>
                      <w:shd w:val="clear" w:color="auto" w:fill="FFFFFF"/>
                    </w:rPr>
                    <w:t>本项目不涉及；</w:t>
                  </w:r>
                </w:p>
                <w:p w14:paraId="6D09CA54">
                  <w:pPr>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shd w:val="clear" w:color="auto" w:fill="FFFFFF"/>
                      <w:lang w:val="en-US" w:eastAsia="zh-CN"/>
                    </w:rPr>
                    <w:t>12、</w:t>
                  </w:r>
                  <w:r>
                    <w:rPr>
                      <w:rFonts w:hint="default" w:ascii="Times New Roman" w:hAnsi="Times New Roman" w:eastAsia="宋体" w:cs="Times New Roman"/>
                      <w:color w:val="auto"/>
                      <w:szCs w:val="21"/>
                      <w:shd w:val="clear" w:color="auto" w:fill="FFFFFF"/>
                    </w:rPr>
                    <w:t>本项目不涉及；</w:t>
                  </w:r>
                </w:p>
                <w:p w14:paraId="05DEE8A8">
                  <w:pPr>
                    <w:rPr>
                      <w:rFonts w:hint="eastAsia" w:ascii="Times New Roman" w:hAnsi="Times New Roman" w:eastAsia="宋体" w:cs="Times New Roman"/>
                      <w:color w:val="auto"/>
                      <w:szCs w:val="21"/>
                      <w:shd w:val="clear" w:color="auto" w:fill="FFFFFF"/>
                      <w:lang w:eastAsia="zh-CN"/>
                    </w:rPr>
                  </w:pPr>
                  <w:r>
                    <w:rPr>
                      <w:rFonts w:hint="eastAsia" w:ascii="Times New Roman" w:hAnsi="Times New Roman" w:eastAsia="宋体" w:cs="Times New Roman"/>
                      <w:color w:val="auto"/>
                      <w:szCs w:val="21"/>
                      <w:shd w:val="clear" w:color="auto" w:fill="FFFFFF"/>
                      <w:lang w:val="en-US" w:eastAsia="zh-CN"/>
                    </w:rPr>
                    <w:t>13、</w:t>
                  </w:r>
                  <w:r>
                    <w:rPr>
                      <w:rFonts w:hint="default" w:ascii="Times New Roman" w:hAnsi="Times New Roman" w:eastAsia="宋体" w:cs="Times New Roman"/>
                      <w:color w:val="auto"/>
                      <w:spacing w:val="-2"/>
                      <w:szCs w:val="21"/>
                    </w:rPr>
                    <w:t>本项目不涉及</w:t>
                  </w:r>
                  <w:r>
                    <w:rPr>
                      <w:rFonts w:hint="eastAsia" w:ascii="Times New Roman" w:hAnsi="Times New Roman" w:eastAsia="宋体" w:cs="Times New Roman"/>
                      <w:color w:val="auto"/>
                      <w:szCs w:val="21"/>
                      <w:shd w:val="clear" w:color="auto" w:fill="FFFFFF"/>
                      <w:lang w:eastAsia="zh-CN"/>
                    </w:rPr>
                    <w:t>；</w:t>
                  </w:r>
                </w:p>
                <w:p w14:paraId="72ABE1D6">
                  <w:pPr>
                    <w:rPr>
                      <w:rFonts w:hint="eastAsia" w:ascii="Times New Roman" w:hAnsi="Times New Roman" w:eastAsia="宋体" w:cs="Times New Roman"/>
                      <w:color w:val="auto"/>
                      <w:spacing w:val="-2"/>
                      <w:szCs w:val="21"/>
                      <w:lang w:eastAsia="zh-CN"/>
                    </w:rPr>
                  </w:pPr>
                  <w:r>
                    <w:rPr>
                      <w:rFonts w:hint="eastAsia" w:ascii="Times New Roman" w:hAnsi="Times New Roman" w:eastAsia="宋体" w:cs="Times New Roman"/>
                      <w:color w:val="auto"/>
                      <w:szCs w:val="21"/>
                      <w:shd w:val="clear" w:color="auto" w:fill="FFFFFF"/>
                      <w:lang w:val="en-US" w:eastAsia="zh-CN"/>
                    </w:rPr>
                    <w:t>14、</w:t>
                  </w:r>
                  <w:r>
                    <w:rPr>
                      <w:rFonts w:hint="default" w:ascii="Times New Roman" w:hAnsi="Times New Roman" w:eastAsia="宋体" w:cs="Times New Roman"/>
                      <w:color w:val="auto"/>
                      <w:spacing w:val="-2"/>
                      <w:szCs w:val="21"/>
                    </w:rPr>
                    <w:t>本项目不涉及</w:t>
                  </w:r>
                  <w:r>
                    <w:rPr>
                      <w:rFonts w:hint="eastAsia" w:ascii="Times New Roman" w:hAnsi="Times New Roman" w:eastAsia="宋体" w:cs="Times New Roman"/>
                      <w:color w:val="auto"/>
                      <w:spacing w:val="-2"/>
                      <w:szCs w:val="21"/>
                      <w:lang w:eastAsia="zh-CN"/>
                    </w:rPr>
                    <w:t>；</w:t>
                  </w:r>
                </w:p>
                <w:p w14:paraId="06416B0F">
                  <w:pPr>
                    <w:rPr>
                      <w:rFonts w:hint="eastAsia" w:ascii="Times New Roman" w:hAnsi="Times New Roman" w:eastAsia="宋体" w:cs="Times New Roman"/>
                      <w:color w:val="auto"/>
                      <w:spacing w:val="-2"/>
                      <w:szCs w:val="21"/>
                      <w:lang w:val="en-US" w:eastAsia="zh-CN"/>
                    </w:rPr>
                  </w:pPr>
                  <w:r>
                    <w:rPr>
                      <w:rFonts w:hint="eastAsia" w:ascii="Times New Roman" w:hAnsi="Times New Roman" w:eastAsia="宋体" w:cs="Times New Roman"/>
                      <w:color w:val="auto"/>
                      <w:spacing w:val="-2"/>
                      <w:szCs w:val="21"/>
                      <w:lang w:val="en-US" w:eastAsia="zh-CN"/>
                    </w:rPr>
                    <w:t>15、</w:t>
                  </w:r>
                  <w:r>
                    <w:rPr>
                      <w:rFonts w:hint="default" w:ascii="Times New Roman" w:hAnsi="Times New Roman" w:eastAsia="宋体" w:cs="Times New Roman"/>
                      <w:color w:val="auto"/>
                      <w:spacing w:val="-2"/>
                      <w:szCs w:val="21"/>
                    </w:rPr>
                    <w:t>本项目不涉及</w:t>
                  </w:r>
                  <w:r>
                    <w:rPr>
                      <w:rFonts w:hint="eastAsia" w:ascii="Times New Roman" w:hAnsi="Times New Roman" w:eastAsia="宋体" w:cs="Times New Roman"/>
                      <w:color w:val="auto"/>
                      <w:spacing w:val="-2"/>
                      <w:szCs w:val="21"/>
                      <w:lang w:eastAsia="zh-CN"/>
                    </w:rPr>
                    <w:t>。</w:t>
                  </w:r>
                </w:p>
              </w:tc>
              <w:tc>
                <w:tcPr>
                  <w:tcW w:w="612" w:type="pct"/>
                  <w:noWrap w:val="0"/>
                  <w:vAlign w:val="center"/>
                </w:tcPr>
                <w:p w14:paraId="4586F5A1">
                  <w:pPr>
                    <w:jc w:val="center"/>
                    <w:rPr>
                      <w:rFonts w:hint="default" w:ascii="Times New Roman" w:hAnsi="Times New Roman" w:eastAsia="宋体" w:cs="Times New Roman"/>
                      <w:color w:val="auto"/>
                      <w:szCs w:val="21"/>
                      <w:shd w:val="clear" w:color="auto" w:fill="FFFFFF"/>
                    </w:rPr>
                  </w:pPr>
                  <w:r>
                    <w:rPr>
                      <w:rFonts w:hint="eastAsia" w:ascii="Times New Roman" w:hAnsi="Times New Roman" w:eastAsia="宋体" w:cs="Times New Roman"/>
                      <w:color w:val="auto"/>
                      <w:szCs w:val="21"/>
                      <w:lang w:eastAsia="zh-CN"/>
                    </w:rPr>
                    <w:t>符合</w:t>
                  </w:r>
                </w:p>
              </w:tc>
            </w:tr>
            <w:tr w14:paraId="1311E80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64CF8F1C">
                  <w:pPr>
                    <w:rPr>
                      <w:rFonts w:hint="default" w:ascii="Times New Roman" w:hAnsi="Times New Roman" w:eastAsia="宋体" w:cs="Times New Roman"/>
                      <w:color w:val="auto"/>
                      <w:szCs w:val="21"/>
                      <w:shd w:val="clear" w:color="auto" w:fill="FFFFFF"/>
                    </w:rPr>
                  </w:pPr>
                  <w:r>
                    <w:rPr>
                      <w:rFonts w:hint="default" w:ascii="Times New Roman" w:hAnsi="Times New Roman" w:eastAsia="宋体" w:cs="Times New Roman"/>
                      <w:color w:val="auto"/>
                      <w:szCs w:val="21"/>
                      <w:shd w:val="clear" w:color="auto" w:fill="FFFFFF"/>
                    </w:rPr>
                    <w:t>绿色发展区禁止直接排放畜禽粪污，不得新增畜禽规模养殖、生猪定点屠宰厂（场）。</w:t>
                  </w:r>
                </w:p>
              </w:tc>
              <w:tc>
                <w:tcPr>
                  <w:tcW w:w="1763" w:type="pct"/>
                  <w:noWrap w:val="0"/>
                  <w:vAlign w:val="center"/>
                </w:tcPr>
                <w:p w14:paraId="3D4C1F76">
                  <w:pPr>
                    <w:jc w:val="center"/>
                    <w:rPr>
                      <w:rStyle w:val="103"/>
                      <w:rFonts w:hint="default" w:ascii="Times New Roman" w:hAnsi="Times New Roman" w:eastAsia="宋体" w:cs="Times New Roman"/>
                      <w:color w:val="auto"/>
                      <w:kern w:val="0"/>
                      <w:szCs w:val="21"/>
                    </w:rPr>
                  </w:pPr>
                  <w:r>
                    <w:rPr>
                      <w:rStyle w:val="103"/>
                      <w:rFonts w:hint="default" w:ascii="Times New Roman" w:hAnsi="Times New Roman" w:eastAsia="宋体" w:cs="Times New Roman"/>
                      <w:color w:val="auto"/>
                      <w:kern w:val="0"/>
                      <w:szCs w:val="21"/>
                    </w:rPr>
                    <w:t>本项目不涉及。</w:t>
                  </w:r>
                </w:p>
              </w:tc>
              <w:tc>
                <w:tcPr>
                  <w:tcW w:w="612" w:type="pct"/>
                  <w:noWrap w:val="0"/>
                  <w:vAlign w:val="center"/>
                </w:tcPr>
                <w:p w14:paraId="7C7F3864">
                  <w:pPr>
                    <w:jc w:val="center"/>
                    <w:rPr>
                      <w:rStyle w:val="103"/>
                      <w:rFonts w:hint="default" w:ascii="Times New Roman" w:hAnsi="Times New Roman" w:eastAsia="宋体" w:cs="Times New Roman"/>
                      <w:color w:val="auto"/>
                      <w:kern w:val="0"/>
                      <w:szCs w:val="21"/>
                    </w:rPr>
                  </w:pPr>
                  <w:r>
                    <w:rPr>
                      <w:rFonts w:hint="eastAsia" w:ascii="Times New Roman" w:hAnsi="Times New Roman" w:eastAsia="宋体" w:cs="Times New Roman"/>
                      <w:color w:val="auto"/>
                      <w:szCs w:val="21"/>
                      <w:lang w:eastAsia="zh-CN"/>
                    </w:rPr>
                    <w:t>符合</w:t>
                  </w:r>
                </w:p>
              </w:tc>
            </w:tr>
          </w:tbl>
          <w:p w14:paraId="7EA6988F">
            <w:pPr>
              <w:pStyle w:val="17"/>
              <w:keepNext w:val="0"/>
              <w:keepLines w:val="0"/>
              <w:pageBreakBefore w:val="0"/>
              <w:widowControl w:val="0"/>
              <w:shd w:val="clear"/>
              <w:kinsoku/>
              <w:wordWrap/>
              <w:overflowPunct/>
              <w:topLinePunct w:val="0"/>
              <w:autoSpaceDE/>
              <w:autoSpaceDN/>
              <w:bidi w:val="0"/>
              <w:adjustRightInd w:val="0"/>
              <w:snapToGrid w:val="0"/>
              <w:spacing w:line="360" w:lineRule="auto"/>
              <w:ind w:firstLine="480" w:firstLineChars="200"/>
              <w:textAlignment w:val="auto"/>
              <w:rPr>
                <w:rFonts w:hint="eastAsia"/>
                <w:b/>
                <w:color w:val="auto"/>
                <w:sz w:val="24"/>
                <w:highlight w:val="none"/>
              </w:rPr>
            </w:pPr>
            <w:r>
              <w:rPr>
                <w:rFonts w:hint="default" w:ascii="Times New Roman" w:hAnsi="Times New Roman" w:eastAsia="宋体" w:cs="Times New Roman"/>
                <w:color w:val="auto"/>
                <w:kern w:val="0"/>
                <w:sz w:val="24"/>
                <w:szCs w:val="24"/>
                <w:highlight w:val="none"/>
                <w:lang w:val="en-US" w:eastAsia="zh-CN" w:bidi="ar-SA"/>
              </w:rPr>
              <w:t>本项目属滇池绿色发展区，不属于条例中严禁建设的项目，本项目建设不违反</w:t>
            </w:r>
            <w:r>
              <w:rPr>
                <w:rFonts w:hint="default" w:ascii="Times New Roman" w:hAnsi="Times New Roman" w:eastAsia="宋体" w:cs="Times New Roman"/>
                <w:color w:val="auto"/>
                <w:kern w:val="0"/>
                <w:sz w:val="24"/>
                <w:szCs w:val="24"/>
                <w:highlight w:val="none"/>
                <w:lang w:val="zh-CN" w:eastAsia="zh-CN" w:bidi="ar-SA"/>
              </w:rPr>
              <w:t>《云南省滇池保护条例》（</w:t>
            </w:r>
            <w:r>
              <w:rPr>
                <w:rFonts w:hint="default" w:ascii="Times New Roman" w:hAnsi="Times New Roman" w:eastAsia="宋体" w:cs="Times New Roman"/>
                <w:color w:val="auto"/>
                <w:kern w:val="0"/>
                <w:sz w:val="24"/>
                <w:szCs w:val="24"/>
                <w:highlight w:val="none"/>
                <w:lang w:val="en-US" w:eastAsia="zh-CN" w:bidi="ar-SA"/>
              </w:rPr>
              <w:t>自2024年1月1日起施行</w:t>
            </w:r>
            <w:r>
              <w:rPr>
                <w:rFonts w:hint="default" w:ascii="Times New Roman" w:hAnsi="Times New Roman" w:eastAsia="宋体" w:cs="Times New Roman"/>
                <w:color w:val="auto"/>
                <w:kern w:val="0"/>
                <w:sz w:val="24"/>
                <w:szCs w:val="24"/>
                <w:highlight w:val="none"/>
                <w:lang w:val="zh-CN" w:eastAsia="zh-CN" w:bidi="ar-SA"/>
              </w:rPr>
              <w:t>）</w:t>
            </w:r>
            <w:r>
              <w:rPr>
                <w:rFonts w:hint="default" w:ascii="Times New Roman" w:hAnsi="Times New Roman" w:eastAsia="宋体" w:cs="Times New Roman"/>
                <w:color w:val="auto"/>
                <w:kern w:val="0"/>
                <w:sz w:val="24"/>
                <w:szCs w:val="24"/>
                <w:highlight w:val="none"/>
                <w:lang w:val="en-US" w:eastAsia="zh-CN" w:bidi="ar-SA"/>
              </w:rPr>
              <w:t>中的相关规定。</w:t>
            </w:r>
          </w:p>
          <w:p w14:paraId="5F5A723D">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2" w:firstLineChars="200"/>
              <w:jc w:val="left"/>
              <w:textAlignment w:val="auto"/>
              <w:rPr>
                <w:color w:val="auto"/>
              </w:rPr>
            </w:pPr>
            <w:r>
              <w:rPr>
                <w:rFonts w:hint="eastAsia"/>
                <w:b/>
                <w:color w:val="auto"/>
                <w:sz w:val="24"/>
                <w:highlight w:val="none"/>
              </w:rPr>
              <w:t>1</w:t>
            </w:r>
            <w:r>
              <w:rPr>
                <w:rFonts w:hint="eastAsia"/>
                <w:b/>
                <w:color w:val="auto"/>
                <w:sz w:val="24"/>
                <w:highlight w:val="none"/>
                <w:lang w:val="en-US" w:eastAsia="zh-CN"/>
              </w:rPr>
              <w:t>9</w:t>
            </w:r>
            <w:r>
              <w:rPr>
                <w:rFonts w:hint="eastAsia"/>
                <w:b/>
                <w:color w:val="auto"/>
                <w:sz w:val="24"/>
                <w:highlight w:val="none"/>
              </w:rPr>
              <w:t>、</w:t>
            </w:r>
            <w:r>
              <w:rPr>
                <w:rFonts w:hint="eastAsia"/>
                <w:b/>
                <w:color w:val="auto"/>
                <w:sz w:val="24"/>
                <w:highlight w:val="none"/>
                <w:lang w:val="en-US" w:eastAsia="zh-CN"/>
              </w:rPr>
              <w:t>项目</w:t>
            </w:r>
            <w:r>
              <w:rPr>
                <w:rFonts w:hint="eastAsia" w:ascii="宋体" w:hAnsi="宋体" w:eastAsia="宋体" w:cs="宋体"/>
                <w:b/>
                <w:bCs/>
                <w:color w:val="auto"/>
                <w:kern w:val="0"/>
                <w:sz w:val="24"/>
                <w:szCs w:val="24"/>
                <w:lang w:val="en-US" w:eastAsia="zh-CN" w:bidi="ar"/>
              </w:rPr>
              <w:t>与昆明市人民政府关于印发《滇池</w:t>
            </w:r>
            <w:r>
              <w:rPr>
                <w:rFonts w:hint="default" w:ascii="Times New Roman" w:hAnsi="Times New Roman" w:eastAsia="宋体" w:cs="Times New Roman"/>
                <w:b/>
                <w:bCs/>
                <w:color w:val="auto"/>
                <w:kern w:val="0"/>
                <w:sz w:val="24"/>
                <w:szCs w:val="24"/>
                <w:lang w:val="en-US" w:eastAsia="zh-CN" w:bidi="ar"/>
              </w:rPr>
              <w:t>“</w:t>
            </w:r>
            <w:r>
              <w:rPr>
                <w:rFonts w:hint="eastAsia" w:ascii="宋体" w:hAnsi="宋体" w:eastAsia="宋体" w:cs="宋体"/>
                <w:b/>
                <w:bCs/>
                <w:color w:val="auto"/>
                <w:kern w:val="0"/>
                <w:sz w:val="24"/>
                <w:szCs w:val="24"/>
                <w:lang w:val="en-US" w:eastAsia="zh-CN" w:bidi="ar"/>
              </w:rPr>
              <w:t>三区</w:t>
            </w:r>
            <w:r>
              <w:rPr>
                <w:rFonts w:hint="default" w:ascii="Times New Roman" w:hAnsi="Times New Roman" w:eastAsia="宋体" w:cs="Times New Roman"/>
                <w:b/>
                <w:bCs/>
                <w:color w:val="auto"/>
                <w:kern w:val="0"/>
                <w:sz w:val="24"/>
                <w:szCs w:val="24"/>
                <w:lang w:val="en-US" w:eastAsia="zh-CN" w:bidi="ar"/>
              </w:rPr>
              <w:t>”</w:t>
            </w:r>
            <w:r>
              <w:rPr>
                <w:rFonts w:hint="eastAsia" w:ascii="宋体" w:hAnsi="宋体" w:eastAsia="宋体" w:cs="宋体"/>
                <w:b/>
                <w:bCs/>
                <w:color w:val="auto"/>
                <w:kern w:val="0"/>
                <w:sz w:val="24"/>
                <w:szCs w:val="24"/>
                <w:lang w:val="en-US" w:eastAsia="zh-CN" w:bidi="ar"/>
              </w:rPr>
              <w:t xml:space="preserve">管控实施细则（试行）》 </w:t>
            </w:r>
          </w:p>
          <w:p w14:paraId="2AB80AFF">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b/>
                <w:bCs w:val="0"/>
                <w:color w:val="auto"/>
                <w:sz w:val="24"/>
                <w:szCs w:val="24"/>
                <w:highlight w:val="none"/>
                <w:lang w:val="en-US" w:eastAsia="zh-CN"/>
              </w:rPr>
            </w:pPr>
            <w:r>
              <w:rPr>
                <w:rFonts w:hint="eastAsia" w:ascii="宋体" w:hAnsi="宋体" w:eastAsia="宋体" w:cs="宋体"/>
                <w:b/>
                <w:bCs/>
                <w:color w:val="auto"/>
                <w:kern w:val="0"/>
                <w:sz w:val="24"/>
                <w:szCs w:val="24"/>
                <w:lang w:val="en-US" w:eastAsia="zh-CN" w:bidi="ar"/>
              </w:rPr>
              <w:t>的通知（昆政发</w:t>
            </w:r>
            <w:r>
              <w:rPr>
                <w:rFonts w:hint="default" w:ascii="Times New Roman" w:hAnsi="Times New Roman" w:eastAsia="宋体" w:cs="Times New Roman"/>
                <w:b/>
                <w:bCs/>
                <w:color w:val="auto"/>
                <w:kern w:val="0"/>
                <w:sz w:val="24"/>
                <w:szCs w:val="24"/>
                <w:lang w:val="en-US" w:eastAsia="zh-CN" w:bidi="ar"/>
              </w:rPr>
              <w:t>[2022]31</w:t>
            </w:r>
            <w:r>
              <w:rPr>
                <w:rFonts w:hint="eastAsia" w:ascii="宋体" w:hAnsi="宋体" w:eastAsia="宋体" w:cs="宋体"/>
                <w:b/>
                <w:bCs/>
                <w:color w:val="auto"/>
                <w:kern w:val="0"/>
                <w:sz w:val="24"/>
                <w:szCs w:val="24"/>
                <w:lang w:val="en-US" w:eastAsia="zh-CN" w:bidi="ar"/>
              </w:rPr>
              <w:t>号）的符合性分析</w:t>
            </w:r>
          </w:p>
          <w:p w14:paraId="0A78040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根据昆明市人民政府</w:t>
            </w:r>
            <w:r>
              <w:rPr>
                <w:rFonts w:hint="default" w:ascii="Times New Roman" w:hAnsi="Times New Roman" w:eastAsia="宋体" w:cs="Times New Roman"/>
                <w:color w:val="auto"/>
                <w:kern w:val="0"/>
                <w:sz w:val="24"/>
                <w:szCs w:val="24"/>
                <w:highlight w:val="none"/>
                <w:lang w:val="en-US" w:eastAsia="zh-CN" w:bidi="ar-SA"/>
              </w:rPr>
              <w:t>2022</w:t>
            </w:r>
            <w:r>
              <w:rPr>
                <w:rFonts w:hint="eastAsia" w:ascii="Times New Roman" w:hAnsi="Times New Roman" w:eastAsia="宋体" w:cs="Times New Roman"/>
                <w:color w:val="auto"/>
                <w:kern w:val="0"/>
                <w:sz w:val="24"/>
                <w:szCs w:val="24"/>
                <w:highlight w:val="none"/>
                <w:lang w:val="en-US" w:eastAsia="zh-CN" w:bidi="ar-SA"/>
              </w:rPr>
              <w:t>年</w:t>
            </w:r>
            <w:r>
              <w:rPr>
                <w:rFonts w:hint="default" w:ascii="Times New Roman" w:hAnsi="Times New Roman" w:eastAsia="宋体" w:cs="Times New Roman"/>
                <w:color w:val="auto"/>
                <w:kern w:val="0"/>
                <w:sz w:val="24"/>
                <w:szCs w:val="24"/>
                <w:highlight w:val="none"/>
                <w:lang w:val="en-US" w:eastAsia="zh-CN" w:bidi="ar-SA"/>
              </w:rPr>
              <w:t>12</w:t>
            </w:r>
            <w:r>
              <w:rPr>
                <w:rFonts w:hint="eastAsia" w:ascii="Times New Roman" w:hAnsi="Times New Roman" w:eastAsia="宋体" w:cs="Times New Roman"/>
                <w:color w:val="auto"/>
                <w:kern w:val="0"/>
                <w:sz w:val="24"/>
                <w:szCs w:val="24"/>
                <w:highlight w:val="none"/>
                <w:lang w:val="en-US" w:eastAsia="zh-CN" w:bidi="ar-SA"/>
              </w:rPr>
              <w:t>月</w:t>
            </w:r>
            <w:r>
              <w:rPr>
                <w:rFonts w:hint="default" w:ascii="Times New Roman" w:hAnsi="Times New Roman" w:eastAsia="宋体" w:cs="Times New Roman"/>
                <w:color w:val="auto"/>
                <w:kern w:val="0"/>
                <w:sz w:val="24"/>
                <w:szCs w:val="24"/>
                <w:highlight w:val="none"/>
                <w:lang w:val="en-US" w:eastAsia="zh-CN" w:bidi="ar-SA"/>
              </w:rPr>
              <w:t>27</w:t>
            </w:r>
            <w:r>
              <w:rPr>
                <w:rFonts w:hint="eastAsia" w:ascii="Times New Roman" w:hAnsi="Times New Roman" w:eastAsia="宋体" w:cs="Times New Roman"/>
                <w:color w:val="auto"/>
                <w:kern w:val="0"/>
                <w:sz w:val="24"/>
                <w:szCs w:val="24"/>
                <w:highlight w:val="none"/>
                <w:lang w:val="en-US" w:eastAsia="zh-CN" w:bidi="ar-SA"/>
              </w:rPr>
              <w:t xml:space="preserve">日印发的《滇池“三区”管 </w:t>
            </w:r>
          </w:p>
          <w:p w14:paraId="712A857E">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控实施细则（试行）》的通知（昆政发</w:t>
            </w:r>
            <w:r>
              <w:rPr>
                <w:rFonts w:hint="default" w:ascii="Times New Roman" w:hAnsi="Times New Roman" w:eastAsia="宋体" w:cs="Times New Roman"/>
                <w:color w:val="auto"/>
                <w:kern w:val="0"/>
                <w:sz w:val="24"/>
                <w:szCs w:val="24"/>
                <w:highlight w:val="none"/>
                <w:lang w:val="en-US" w:eastAsia="zh-CN" w:bidi="ar-SA"/>
              </w:rPr>
              <w:t>[2022]31</w:t>
            </w:r>
            <w:r>
              <w:rPr>
                <w:rFonts w:hint="eastAsia" w:ascii="Times New Roman" w:hAnsi="Times New Roman" w:eastAsia="宋体" w:cs="Times New Roman"/>
                <w:color w:val="auto"/>
                <w:kern w:val="0"/>
                <w:sz w:val="24"/>
                <w:szCs w:val="24"/>
                <w:highlight w:val="none"/>
                <w:lang w:val="en-US" w:eastAsia="zh-CN" w:bidi="ar-SA"/>
              </w:rPr>
              <w:t>号）。</w:t>
            </w:r>
          </w:p>
          <w:p w14:paraId="21C0F4A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1</w:t>
            </w:r>
            <w:r>
              <w:rPr>
                <w:rFonts w:hint="eastAsia" w:ascii="Times New Roman" w:hAnsi="Times New Roman" w:eastAsia="宋体" w:cs="Times New Roman"/>
                <w:color w:val="auto"/>
                <w:kern w:val="0"/>
                <w:sz w:val="24"/>
                <w:szCs w:val="24"/>
                <w:highlight w:val="none"/>
                <w:lang w:val="en-US" w:eastAsia="zh-CN" w:bidi="ar-SA"/>
              </w:rPr>
              <w:t>）“两线”、“三区”名称及功能定位</w:t>
            </w:r>
          </w:p>
          <w:p w14:paraId="7833E99B">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1</w:t>
            </w:r>
            <w:r>
              <w:rPr>
                <w:rFonts w:hint="eastAsia" w:ascii="Times New Roman" w:hAnsi="Times New Roman" w:eastAsia="宋体" w:cs="Times New Roman"/>
                <w:color w:val="auto"/>
                <w:kern w:val="0"/>
                <w:sz w:val="24"/>
                <w:szCs w:val="24"/>
                <w:highlight w:val="none"/>
                <w:lang w:val="en-US" w:eastAsia="zh-CN" w:bidi="ar-SA"/>
              </w:rPr>
              <w:t>）“两线”、“三区”名称</w:t>
            </w:r>
          </w:p>
          <w:p w14:paraId="6EDD089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“两线”分别是滇池湖滨生态红线、滇池湖泊生态黄线。</w:t>
            </w:r>
          </w:p>
          <w:p w14:paraId="69B37803">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“三区”分别是生态保护核心区、生态保护缓冲区、绿色发展区。</w:t>
            </w:r>
          </w:p>
          <w:p w14:paraId="19C1B262">
            <w:pPr>
              <w:keepNext w:val="0"/>
              <w:keepLines w:val="0"/>
              <w:pageBreakBefore w:val="0"/>
              <w:widowControl/>
              <w:suppressLineNumbers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生态保护核心区是滇池岸线与湖滨生态红线之间区域，生态保护缓冲区是湖滨生态红线与湖泊生态黄线之间区域，绿色发展区是湖泊生态黄线与滇池流域分水线之间区域</w:t>
            </w:r>
          </w:p>
          <w:p w14:paraId="3B08072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2</w:t>
            </w:r>
            <w:r>
              <w:rPr>
                <w:rFonts w:hint="eastAsia" w:ascii="Times New Roman" w:hAnsi="Times New Roman" w:eastAsia="宋体" w:cs="Times New Roman"/>
                <w:color w:val="auto"/>
                <w:kern w:val="0"/>
                <w:sz w:val="24"/>
                <w:szCs w:val="24"/>
                <w:highlight w:val="none"/>
                <w:lang w:val="en-US" w:eastAsia="zh-CN" w:bidi="ar-SA"/>
              </w:rPr>
              <w:t xml:space="preserve">）“两线”、“三区”功能定位 </w:t>
            </w:r>
          </w:p>
          <w:p w14:paraId="153742F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湖滨生态红线是具有生态功能的湿地、林地、草地、耕地、荒地（未利用地）等湖滨空间的管控边界线，是维系湖泊生态安全的生命线。</w:t>
            </w:r>
          </w:p>
          <w:p w14:paraId="72E87843">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湖泊生态黄线是实现湖泊生态扩容增量、维持生态系统稳定的缓冲空间管控边界线，是严控开发建设的控制线。</w:t>
            </w:r>
          </w:p>
          <w:p w14:paraId="578FF98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生态保护核心区是流域生态安全格局体系的核心区域，是湖泊生态空间管控最严格的主导功能区，禁止开展与生态保护无关的建设活动，实现清零留白，还复自然生态。</w:t>
            </w:r>
          </w:p>
          <w:p w14:paraId="393A34F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生态保护缓冲区是湖泊的重要保护区域，是严控开发建设的区域，以生态修复为重点，提高湖泊生态环境承载能力。</w:t>
            </w:r>
          </w:p>
          <w:p w14:paraId="5CF5082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绿色发展区是控制开发利用强度、调整开发利用方式、实现流域保护和开发利用协调发展的区域，以提升生态涵养功能、促进富民就业为重点，完善生态补偿和后期管护机制，建设生态特色城镇和美丽乡村，构建绿色高质量发展的生产生活方式。</w:t>
            </w:r>
          </w:p>
          <w:p w14:paraId="605826B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color w:val="auto"/>
              </w:rPr>
            </w:pP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2</w:t>
            </w:r>
            <w:r>
              <w:rPr>
                <w:rFonts w:hint="eastAsia" w:ascii="宋体" w:hAnsi="宋体" w:eastAsia="宋体" w:cs="宋体"/>
                <w:color w:val="auto"/>
                <w:kern w:val="0"/>
                <w:sz w:val="24"/>
                <w:szCs w:val="24"/>
                <w:lang w:val="en-US" w:eastAsia="zh-CN" w:bidi="ar"/>
              </w:rPr>
              <w:t>）“三区”管控实施细则</w:t>
            </w:r>
          </w:p>
          <w:p w14:paraId="2B284ECD">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color w:val="auto"/>
              </w:rPr>
            </w:pPr>
            <w:r>
              <w:rPr>
                <w:rFonts w:hint="eastAsia" w:ascii="宋体" w:hAnsi="宋体" w:eastAsia="宋体" w:cs="宋体"/>
                <w:color w:val="auto"/>
                <w:kern w:val="0"/>
                <w:sz w:val="24"/>
                <w:szCs w:val="24"/>
                <w:lang w:val="en-US" w:eastAsia="zh-CN" w:bidi="ar"/>
              </w:rPr>
              <w:t>项目全部位于</w:t>
            </w:r>
            <w:r>
              <w:rPr>
                <w:rFonts w:hint="default" w:ascii="Times New Roman" w:hAnsi="Times New Roman" w:eastAsia="宋体" w:cs="Times New Roman"/>
                <w:color w:val="auto"/>
                <w:kern w:val="0"/>
                <w:sz w:val="24"/>
                <w:szCs w:val="24"/>
                <w:highlight w:val="none"/>
                <w:lang w:val="en-US" w:eastAsia="zh-CN" w:bidi="ar-SA"/>
              </w:rPr>
              <w:t>滇池绿色发展区</w:t>
            </w:r>
            <w:r>
              <w:rPr>
                <w:rFonts w:hint="eastAsia" w:ascii="宋体" w:hAnsi="宋体" w:eastAsia="宋体" w:cs="宋体"/>
                <w:color w:val="auto"/>
                <w:kern w:val="0"/>
                <w:sz w:val="24"/>
                <w:szCs w:val="24"/>
                <w:lang w:val="en-US" w:eastAsia="zh-CN" w:bidi="ar"/>
              </w:rPr>
              <w:t>内，项目与昆明市人民政府关于印发《滇池“三区”管控实施细则（试行）》的通知（昆政发</w:t>
            </w:r>
            <w:r>
              <w:rPr>
                <w:rFonts w:hint="default" w:ascii="Times New Roman" w:hAnsi="Times New Roman" w:eastAsia="宋体" w:cs="Times New Roman"/>
                <w:color w:val="auto"/>
                <w:kern w:val="0"/>
                <w:sz w:val="24"/>
                <w:szCs w:val="24"/>
                <w:lang w:val="en-US" w:eastAsia="zh-CN" w:bidi="ar"/>
              </w:rPr>
              <w:t>[2022]31</w:t>
            </w:r>
            <w:r>
              <w:rPr>
                <w:rFonts w:hint="eastAsia" w:ascii="宋体" w:hAnsi="宋体" w:eastAsia="宋体" w:cs="宋体"/>
                <w:color w:val="auto"/>
                <w:kern w:val="0"/>
                <w:sz w:val="24"/>
                <w:szCs w:val="24"/>
                <w:lang w:val="en-US" w:eastAsia="zh-CN" w:bidi="ar"/>
              </w:rPr>
              <w:t>号）中</w:t>
            </w:r>
            <w:r>
              <w:rPr>
                <w:rFonts w:hint="default" w:ascii="Times New Roman" w:hAnsi="Times New Roman" w:eastAsia="宋体" w:cs="Times New Roman"/>
                <w:color w:val="auto"/>
                <w:kern w:val="0"/>
                <w:sz w:val="24"/>
                <w:szCs w:val="24"/>
                <w:highlight w:val="none"/>
                <w:lang w:val="en-US" w:eastAsia="zh-CN" w:bidi="ar-SA"/>
              </w:rPr>
              <w:t>滇池绿色发展区</w:t>
            </w:r>
            <w:r>
              <w:rPr>
                <w:rFonts w:hint="eastAsia" w:ascii="宋体" w:hAnsi="宋体" w:eastAsia="宋体" w:cs="宋体"/>
                <w:color w:val="auto"/>
                <w:kern w:val="0"/>
                <w:sz w:val="24"/>
                <w:szCs w:val="24"/>
                <w:lang w:val="en-US" w:eastAsia="zh-CN" w:bidi="ar"/>
              </w:rPr>
              <w:t>管控实施细则的符合性分析如下：</w:t>
            </w:r>
          </w:p>
          <w:p w14:paraId="150DE6FC">
            <w:pPr>
              <w:keepNext w:val="0"/>
              <w:keepLines w:val="0"/>
              <w:pageBreakBefore w:val="0"/>
              <w:widowControl/>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bCs/>
                <w:color w:val="auto"/>
                <w:kern w:val="0"/>
              </w:rPr>
            </w:pPr>
            <w:r>
              <w:rPr>
                <w:rFonts w:hint="default" w:ascii="Times New Roman" w:hAnsi="Times New Roman" w:eastAsia="宋体" w:cs="Times New Roman"/>
                <w:b/>
                <w:bCs/>
                <w:color w:val="auto"/>
                <w:kern w:val="0"/>
                <w:lang w:val="en-US" w:eastAsia="zh-CN" w:bidi="ar"/>
              </w:rPr>
              <w:t>表1-</w:t>
            </w:r>
            <w:r>
              <w:rPr>
                <w:rFonts w:hint="eastAsia" w:cs="Times New Roman"/>
                <w:b/>
                <w:bCs/>
                <w:color w:val="auto"/>
                <w:kern w:val="0"/>
                <w:lang w:val="en-US" w:eastAsia="zh-CN" w:bidi="ar"/>
              </w:rPr>
              <w:t>20</w:t>
            </w:r>
            <w:r>
              <w:rPr>
                <w:rFonts w:hint="eastAsia" w:ascii="Times New Roman" w:hAnsi="Times New Roman" w:eastAsia="宋体" w:cs="Times New Roman"/>
                <w:b/>
                <w:bCs/>
                <w:color w:val="auto"/>
                <w:kern w:val="0"/>
                <w:lang w:val="en-US" w:eastAsia="zh-CN" w:bidi="ar"/>
              </w:rPr>
              <w:t xml:space="preserve">  </w:t>
            </w:r>
            <w:r>
              <w:rPr>
                <w:rFonts w:hint="default" w:ascii="Times New Roman" w:hAnsi="Times New Roman" w:eastAsia="宋体" w:cs="Times New Roman"/>
                <w:b/>
                <w:bCs/>
                <w:color w:val="auto"/>
                <w:kern w:val="0"/>
                <w:lang w:val="en-US" w:eastAsia="zh-CN" w:bidi="ar"/>
              </w:rPr>
              <w:t>与昆明市人民政府关于印发《滇池“三区”管控实施细则（试</w:t>
            </w:r>
            <w:r>
              <w:rPr>
                <w:rFonts w:hint="eastAsia" w:ascii="Times New Roman" w:hAnsi="Times New Roman" w:eastAsia="宋体" w:cs="Times New Roman"/>
                <w:b/>
                <w:bCs/>
                <w:color w:val="auto"/>
                <w:kern w:val="0"/>
                <w:lang w:val="en-US" w:eastAsia="zh-CN" w:bidi="ar"/>
              </w:rPr>
              <w:t>行）》的通知（昆政发[2022]31号）符合性分析</w:t>
            </w:r>
          </w:p>
          <w:tbl>
            <w:tblPr>
              <w:tblStyle w:val="30"/>
              <w:tblW w:w="4997"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108" w:type="dxa"/>
                <w:bottom w:w="0" w:type="dxa"/>
                <w:right w:w="108" w:type="dxa"/>
              </w:tblCellMar>
            </w:tblPr>
            <w:tblGrid>
              <w:gridCol w:w="4133"/>
              <w:gridCol w:w="2777"/>
              <w:gridCol w:w="964"/>
            </w:tblGrid>
            <w:tr w14:paraId="3E3ABCE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6A7E1EC6">
                  <w:pPr>
                    <w:widowControl/>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lang w:val="zh-CN" w:bidi="ar"/>
                    </w:rPr>
                    <w:t>《云南省滇池保护条例》</w:t>
                  </w:r>
                  <w:r>
                    <w:rPr>
                      <w:rFonts w:hint="default" w:ascii="Times New Roman" w:hAnsi="Times New Roman" w:eastAsia="宋体" w:cs="Times New Roman"/>
                      <w:b/>
                      <w:bCs/>
                      <w:color w:val="auto"/>
                      <w:kern w:val="0"/>
                      <w:szCs w:val="21"/>
                      <w:lang w:val="zh-CN"/>
                    </w:rPr>
                    <w:t>（</w:t>
                  </w:r>
                  <w:r>
                    <w:rPr>
                      <w:rFonts w:hint="default" w:ascii="Times New Roman" w:hAnsi="Times New Roman" w:eastAsia="宋体" w:cs="Times New Roman"/>
                      <w:b/>
                      <w:bCs/>
                      <w:color w:val="auto"/>
                      <w:kern w:val="0"/>
                      <w:szCs w:val="21"/>
                    </w:rPr>
                    <w:t>自2024年1月1日起施行</w:t>
                  </w:r>
                  <w:r>
                    <w:rPr>
                      <w:rFonts w:hint="default" w:ascii="Times New Roman" w:hAnsi="Times New Roman" w:eastAsia="宋体" w:cs="Times New Roman"/>
                      <w:b/>
                      <w:bCs/>
                      <w:color w:val="auto"/>
                      <w:kern w:val="0"/>
                      <w:szCs w:val="21"/>
                      <w:lang w:val="zh-CN"/>
                    </w:rPr>
                    <w:t>）</w:t>
                  </w:r>
                </w:p>
              </w:tc>
              <w:tc>
                <w:tcPr>
                  <w:tcW w:w="1763" w:type="pct"/>
                  <w:noWrap w:val="0"/>
                  <w:vAlign w:val="center"/>
                </w:tcPr>
                <w:p w14:paraId="512190B1">
                  <w:pPr>
                    <w:widowControl/>
                    <w:jc w:val="center"/>
                    <w:rPr>
                      <w:rFonts w:hint="default" w:ascii="Times New Roman" w:hAnsi="Times New Roman" w:eastAsia="宋体" w:cs="Times New Roman"/>
                      <w:b/>
                      <w:bCs/>
                      <w:color w:val="auto"/>
                      <w:kern w:val="0"/>
                      <w:szCs w:val="21"/>
                    </w:rPr>
                  </w:pPr>
                  <w:r>
                    <w:rPr>
                      <w:rFonts w:hint="default" w:ascii="Times New Roman" w:hAnsi="Times New Roman" w:eastAsia="宋体" w:cs="Times New Roman"/>
                      <w:b/>
                      <w:bCs/>
                      <w:color w:val="auto"/>
                      <w:kern w:val="0"/>
                      <w:szCs w:val="21"/>
                    </w:rPr>
                    <w:t>本项目</w:t>
                  </w:r>
                </w:p>
              </w:tc>
              <w:tc>
                <w:tcPr>
                  <w:tcW w:w="612" w:type="pct"/>
                  <w:noWrap w:val="0"/>
                  <w:vAlign w:val="center"/>
                </w:tcPr>
                <w:p w14:paraId="6EAEB709">
                  <w:pPr>
                    <w:widowControl/>
                    <w:jc w:val="center"/>
                    <w:rPr>
                      <w:rFonts w:hint="eastAsia" w:ascii="Times New Roman" w:hAnsi="Times New Roman" w:eastAsia="宋体" w:cs="Times New Roman"/>
                      <w:b/>
                      <w:bCs/>
                      <w:color w:val="auto"/>
                      <w:kern w:val="0"/>
                      <w:szCs w:val="21"/>
                      <w:lang w:eastAsia="zh-CN"/>
                    </w:rPr>
                  </w:pPr>
                  <w:r>
                    <w:rPr>
                      <w:rFonts w:hint="eastAsia" w:ascii="Times New Roman" w:hAnsi="Times New Roman" w:eastAsia="宋体" w:cs="Times New Roman"/>
                      <w:b/>
                      <w:bCs/>
                      <w:color w:val="auto"/>
                      <w:kern w:val="0"/>
                      <w:szCs w:val="21"/>
                      <w:lang w:eastAsia="zh-CN"/>
                    </w:rPr>
                    <w:t>符合性分析</w:t>
                  </w:r>
                </w:p>
              </w:tc>
            </w:tr>
            <w:tr w14:paraId="26E63AD8">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4E1CD2AA">
                  <w:pPr>
                    <w:pStyle w:val="27"/>
                    <w:spacing w:before="0" w:beforeAutospacing="0" w:after="0" w:afterAutospacing="0"/>
                    <w:rPr>
                      <w:rFonts w:hint="default" w:ascii="Times New Roman" w:hAnsi="Times New Roman" w:eastAsia="宋体" w:cs="Times New Roman"/>
                      <w:b/>
                      <w:bCs/>
                      <w:color w:val="auto"/>
                      <w:sz w:val="21"/>
                      <w:szCs w:val="21"/>
                      <w:shd w:val="clear" w:color="auto" w:fill="FFFFFF"/>
                    </w:rPr>
                  </w:pPr>
                  <w:r>
                    <w:rPr>
                      <w:rFonts w:hint="default" w:ascii="Times New Roman" w:hAnsi="Times New Roman" w:eastAsia="宋体" w:cs="Times New Roman"/>
                      <w:b/>
                      <w:bCs/>
                      <w:color w:val="auto"/>
                      <w:sz w:val="21"/>
                      <w:szCs w:val="21"/>
                      <w:shd w:val="clear" w:color="auto" w:fill="FFFFFF"/>
                    </w:rPr>
                    <w:t>第二十二条 科学确定人口和城镇建设规模</w:t>
                  </w:r>
                </w:p>
                <w:p w14:paraId="3C688134">
                  <w:pPr>
                    <w:pStyle w:val="27"/>
                    <w:spacing w:before="0" w:beforeAutospacing="0" w:after="0" w:afterAutospacing="0"/>
                    <w:rPr>
                      <w:rFonts w:hint="default" w:ascii="Times New Roman" w:hAnsi="Times New Roman" w:eastAsia="宋体" w:cs="Times New Roman"/>
                      <w:color w:val="auto"/>
                      <w:szCs w:val="21"/>
                    </w:rPr>
                  </w:pPr>
                  <w:r>
                    <w:rPr>
                      <w:rStyle w:val="103"/>
                      <w:rFonts w:hint="eastAsia" w:ascii="Times New Roman" w:hAnsi="Times New Roman" w:eastAsia="宋体" w:cs="Times New Roman"/>
                      <w:color w:val="auto"/>
                      <w:kern w:val="0"/>
                      <w:sz w:val="21"/>
                      <w:szCs w:val="21"/>
                      <w:highlight w:val="none"/>
                      <w:lang w:val="en-US" w:eastAsia="zh-CN" w:bidi="ar-SA"/>
                    </w:rPr>
                    <w:t>远湖布局、离湖发展，科学划定城镇开发边界，优先安排从生态保护核心区和生态保护缓冲区迁出的建设需求。按照滇池保护需要，根据集约适度、绿色发展的原则，加快国土空间规划编制及管控。严禁滇池面山（指滇池最外层面山的山体，主要包括长虫山、一撮云、梁王山、文笔山、棋盘山等，具体范围以经批准的矢量图为准）区域连片房地产开发。</w:t>
                  </w:r>
                </w:p>
              </w:tc>
              <w:tc>
                <w:tcPr>
                  <w:tcW w:w="1763" w:type="pct"/>
                  <w:noWrap w:val="0"/>
                  <w:vAlign w:val="center"/>
                </w:tcPr>
                <w:p w14:paraId="771B6EDB">
                  <w:pPr>
                    <w:pStyle w:val="8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本项目为</w:t>
                  </w:r>
                  <w:r>
                    <w:rPr>
                      <w:rFonts w:hint="eastAsia" w:ascii="Times New Roman" w:hAnsi="Times New Roman" w:eastAsia="宋体" w:cs="Times New Roman"/>
                      <w:color w:val="auto"/>
                      <w:kern w:val="2"/>
                      <w:sz w:val="21"/>
                      <w:szCs w:val="21"/>
                      <w:lang w:val="en-US" w:eastAsia="zh-CN" w:bidi="ar-SA"/>
                    </w:rPr>
                    <w:t>塑料制品生产项目，属于</w:t>
                  </w:r>
                  <w:r>
                    <w:rPr>
                      <w:rFonts w:hint="default" w:ascii="Times New Roman" w:hAnsi="Times New Roman" w:eastAsia="宋体" w:cs="Times New Roman"/>
                      <w:color w:val="auto"/>
                      <w:kern w:val="2"/>
                      <w:sz w:val="21"/>
                      <w:szCs w:val="21"/>
                      <w:lang w:val="en-US" w:eastAsia="zh-CN" w:bidi="ar-SA"/>
                    </w:rPr>
                    <w:t>塑料包装箱及容器制造</w:t>
                  </w:r>
                  <w:r>
                    <w:rPr>
                      <w:rFonts w:hint="eastAsia" w:ascii="Times New Roman" w:hAnsi="Times New Roman" w:eastAsia="宋体"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C2926</w:t>
                  </w:r>
                  <w:r>
                    <w:rPr>
                      <w:rFonts w:hint="eastAsia" w:ascii="Times New Roman" w:hAnsi="Times New Roman" w:eastAsia="宋体" w:cs="Times New Roman"/>
                      <w:color w:val="auto"/>
                      <w:kern w:val="2"/>
                      <w:sz w:val="21"/>
                      <w:szCs w:val="21"/>
                      <w:lang w:val="en-US" w:eastAsia="zh-CN" w:bidi="ar-SA"/>
                    </w:rPr>
                    <w:t>），租赁工业园区</w:t>
                  </w:r>
                  <w:r>
                    <w:rPr>
                      <w:rFonts w:hint="eastAsia" w:cs="Times New Roman"/>
                      <w:color w:val="auto"/>
                      <w:kern w:val="2"/>
                      <w:sz w:val="21"/>
                      <w:szCs w:val="21"/>
                      <w:lang w:val="en-US" w:eastAsia="zh-CN" w:bidi="ar-SA"/>
                    </w:rPr>
                    <w:t>已入驻企业建设好的</w:t>
                  </w:r>
                  <w:r>
                    <w:rPr>
                      <w:rFonts w:hint="eastAsia" w:ascii="Times New Roman" w:hAnsi="Times New Roman" w:eastAsia="宋体" w:cs="Times New Roman"/>
                      <w:color w:val="auto"/>
                      <w:kern w:val="2"/>
                      <w:sz w:val="21"/>
                      <w:szCs w:val="21"/>
                      <w:lang w:val="en-US" w:eastAsia="zh-CN" w:bidi="ar-SA"/>
                    </w:rPr>
                    <w:t>标准厂房生产，</w:t>
                  </w:r>
                  <w:r>
                    <w:rPr>
                      <w:rFonts w:hint="default" w:ascii="Times New Roman" w:hAnsi="Times New Roman" w:eastAsia="宋体" w:cs="Times New Roman"/>
                      <w:color w:val="auto"/>
                      <w:kern w:val="2"/>
                      <w:sz w:val="21"/>
                      <w:szCs w:val="21"/>
                      <w:lang w:val="en-US" w:eastAsia="zh-CN" w:bidi="ar-SA"/>
                    </w:rPr>
                    <w:t>不新增</w:t>
                  </w:r>
                  <w:r>
                    <w:rPr>
                      <w:rFonts w:hint="eastAsia" w:ascii="Times New Roman" w:hAnsi="Times New Roman" w:eastAsia="宋体" w:cs="Times New Roman"/>
                      <w:color w:val="auto"/>
                      <w:kern w:val="2"/>
                      <w:sz w:val="21"/>
                      <w:szCs w:val="21"/>
                      <w:lang w:val="en-US" w:eastAsia="zh-CN" w:bidi="ar-SA"/>
                    </w:rPr>
                    <w:t>用地。</w:t>
                  </w:r>
                </w:p>
                <w:p w14:paraId="5890BA92">
                  <w:pPr>
                    <w:rPr>
                      <w:rFonts w:hint="default" w:ascii="Times New Roman" w:hAnsi="Times New Roman" w:eastAsia="宋体" w:cs="Times New Roman"/>
                      <w:color w:val="auto"/>
                      <w:szCs w:val="21"/>
                    </w:rPr>
                  </w:pPr>
                </w:p>
              </w:tc>
              <w:tc>
                <w:tcPr>
                  <w:tcW w:w="612" w:type="pct"/>
                  <w:noWrap w:val="0"/>
                  <w:vAlign w:val="center"/>
                </w:tcPr>
                <w:p w14:paraId="10CCDCEA">
                  <w:pPr>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符合</w:t>
                  </w:r>
                </w:p>
              </w:tc>
            </w:tr>
            <w:tr w14:paraId="5E25157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50E6C989">
                  <w:pPr>
                    <w:pStyle w:val="27"/>
                    <w:spacing w:before="0" w:beforeAutospacing="0" w:after="0" w:afterAutospacing="0"/>
                    <w:rPr>
                      <w:rFonts w:hint="default" w:ascii="Times New Roman" w:hAnsi="Times New Roman" w:eastAsia="宋体" w:cs="Times New Roman"/>
                      <w:b/>
                      <w:bCs/>
                      <w:color w:val="auto"/>
                      <w:sz w:val="21"/>
                      <w:szCs w:val="21"/>
                      <w:shd w:val="clear" w:color="auto" w:fill="FFFFFF"/>
                    </w:rPr>
                  </w:pPr>
                  <w:r>
                    <w:rPr>
                      <w:rFonts w:hint="default" w:ascii="Times New Roman" w:hAnsi="Times New Roman" w:eastAsia="宋体" w:cs="Times New Roman"/>
                      <w:b/>
                      <w:bCs/>
                      <w:color w:val="auto"/>
                      <w:sz w:val="21"/>
                      <w:szCs w:val="21"/>
                      <w:shd w:val="clear" w:color="auto" w:fill="FFFFFF"/>
                    </w:rPr>
                    <w:t>第二十三条 严格管控建设用地总规模。</w:t>
                  </w:r>
                </w:p>
                <w:p w14:paraId="4DB19609">
                  <w:pPr>
                    <w:pStyle w:val="27"/>
                    <w:spacing w:before="0" w:beforeAutospacing="0" w:after="0" w:afterAutospacing="0"/>
                    <w:rPr>
                      <w:rFonts w:hint="default" w:ascii="Times New Roman" w:hAnsi="Times New Roman" w:eastAsia="宋体" w:cs="Times New Roman"/>
                      <w:color w:val="auto"/>
                      <w:szCs w:val="21"/>
                      <w:shd w:val="clear" w:color="auto" w:fill="FFFFFF"/>
                    </w:rPr>
                  </w:pPr>
                  <w:r>
                    <w:rPr>
                      <w:rStyle w:val="103"/>
                      <w:rFonts w:hint="eastAsia" w:ascii="Times New Roman" w:hAnsi="Times New Roman" w:eastAsia="宋体" w:cs="Times New Roman"/>
                      <w:color w:val="auto"/>
                      <w:kern w:val="0"/>
                      <w:sz w:val="21"/>
                      <w:szCs w:val="21"/>
                      <w:highlight w:val="none"/>
                      <w:lang w:val="en-US" w:eastAsia="zh-CN" w:bidi="ar-SA"/>
                    </w:rPr>
                    <w:t>严格执行依法批准的国土空间规划明确的建设用地总规模，新增建设用地主要优先用于保障基础设施、公共服务设施等民生项目用地需求。科学发展资源条件优越，以及旅游、休闲、康养等发展潜力较大的绿色产业。不得建设不符合国家产业政策的造纸、制革、印染、染料、炼焦、炼硫、炼砷、炼油、炼汞、电镀、化肥、农药、石棉、水泥、玻璃、冶金、火电以及其他严重污染环境的生产项目。禁止新建、改建、扩建直接向入湖河道排放氮、磷污染物的工业项目和严重污染环境、破坏生态的其他项目。</w:t>
                  </w:r>
                </w:p>
              </w:tc>
              <w:tc>
                <w:tcPr>
                  <w:tcW w:w="1763" w:type="pct"/>
                  <w:noWrap w:val="0"/>
                  <w:vAlign w:val="center"/>
                </w:tcPr>
                <w:p w14:paraId="43D536FE">
                  <w:pPr>
                    <w:pStyle w:val="8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Style w:val="103"/>
                      <w:rFonts w:hint="default" w:ascii="Times New Roman" w:hAnsi="Times New Roman" w:eastAsia="宋体" w:cs="Times New Roman"/>
                      <w:color w:val="auto"/>
                      <w:kern w:val="0"/>
                      <w:szCs w:val="21"/>
                    </w:rPr>
                  </w:pPr>
                  <w:r>
                    <w:rPr>
                      <w:rFonts w:hint="default" w:ascii="Times New Roman" w:hAnsi="Times New Roman" w:eastAsia="宋体" w:cs="Times New Roman"/>
                      <w:color w:val="auto"/>
                      <w:sz w:val="21"/>
                      <w:szCs w:val="21"/>
                      <w:highlight w:val="none"/>
                      <w:lang w:val="en-US" w:eastAsia="zh-CN"/>
                    </w:rPr>
                    <w:t>本项目</w:t>
                  </w:r>
                  <w:r>
                    <w:rPr>
                      <w:rFonts w:hint="eastAsia" w:ascii="Times New Roman" w:hAnsi="Times New Roman" w:eastAsia="宋体" w:cs="Times New Roman"/>
                      <w:color w:val="auto"/>
                      <w:kern w:val="2"/>
                      <w:sz w:val="21"/>
                      <w:szCs w:val="21"/>
                      <w:lang w:val="en-US" w:eastAsia="zh-CN" w:bidi="ar-SA"/>
                    </w:rPr>
                    <w:t>租赁工业园区</w:t>
                  </w:r>
                  <w:r>
                    <w:rPr>
                      <w:rFonts w:hint="eastAsia" w:cs="Times New Roman"/>
                      <w:color w:val="auto"/>
                      <w:kern w:val="2"/>
                      <w:sz w:val="21"/>
                      <w:szCs w:val="21"/>
                      <w:lang w:val="en-US" w:eastAsia="zh-CN" w:bidi="ar-SA"/>
                    </w:rPr>
                    <w:t>已入驻企业建设好的</w:t>
                  </w:r>
                  <w:r>
                    <w:rPr>
                      <w:rFonts w:hint="eastAsia" w:ascii="Times New Roman" w:hAnsi="Times New Roman" w:eastAsia="宋体" w:cs="Times New Roman"/>
                      <w:color w:val="auto"/>
                      <w:kern w:val="2"/>
                      <w:sz w:val="21"/>
                      <w:szCs w:val="21"/>
                      <w:lang w:val="en-US" w:eastAsia="zh-CN" w:bidi="ar-SA"/>
                    </w:rPr>
                    <w:t>标准厂房生产</w:t>
                  </w:r>
                  <w:r>
                    <w:rPr>
                      <w:rFonts w:hint="default" w:ascii="Times New Roman" w:hAnsi="Times New Roman" w:eastAsia="宋体" w:cs="Times New Roman"/>
                      <w:color w:val="auto"/>
                      <w:sz w:val="21"/>
                      <w:szCs w:val="21"/>
                      <w:highlight w:val="none"/>
                      <w:lang w:val="en-US" w:eastAsia="zh-CN"/>
                    </w:rPr>
                    <w:t>，不新增征地，</w:t>
                  </w:r>
                  <w:r>
                    <w:rPr>
                      <w:rFonts w:hint="eastAsia" w:cs="Times New Roman"/>
                      <w:color w:val="auto"/>
                      <w:sz w:val="21"/>
                      <w:szCs w:val="21"/>
                      <w:highlight w:val="none"/>
                      <w:lang w:val="en-US" w:eastAsia="zh-CN"/>
                    </w:rPr>
                    <w:t>不属于不符合</w:t>
                  </w:r>
                  <w:r>
                    <w:rPr>
                      <w:rStyle w:val="103"/>
                      <w:rFonts w:hint="eastAsia" w:ascii="Times New Roman" w:hAnsi="Times New Roman" w:eastAsia="宋体" w:cs="Times New Roman"/>
                      <w:color w:val="auto"/>
                      <w:kern w:val="0"/>
                      <w:sz w:val="21"/>
                      <w:szCs w:val="21"/>
                      <w:highlight w:val="none"/>
                      <w:lang w:val="en-US" w:eastAsia="zh-CN" w:bidi="ar-SA"/>
                    </w:rPr>
                    <w:t>国家产业政策及其他严重污染环境的生产项目。</w:t>
                  </w:r>
                  <w:r>
                    <w:rPr>
                      <w:color w:val="auto"/>
                      <w:kern w:val="0"/>
                      <w:sz w:val="21"/>
                      <w:szCs w:val="21"/>
                    </w:rPr>
                    <w:t>冷却水经冷却循环</w:t>
                  </w:r>
                  <w:r>
                    <w:rPr>
                      <w:rFonts w:hint="eastAsia"/>
                      <w:color w:val="auto"/>
                      <w:kern w:val="0"/>
                      <w:sz w:val="21"/>
                      <w:szCs w:val="21"/>
                    </w:rPr>
                    <w:t>水箱</w:t>
                  </w:r>
                  <w:r>
                    <w:rPr>
                      <w:color w:val="auto"/>
                      <w:kern w:val="0"/>
                      <w:sz w:val="21"/>
                      <w:szCs w:val="21"/>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达到</w:t>
                  </w:r>
                  <w:r>
                    <w:rPr>
                      <w:rFonts w:hint="default" w:ascii="Times New Roman" w:hAnsi="Times New Roman" w:eastAsia="宋体" w:cs="Times New Roman"/>
                      <w:b w:val="0"/>
                      <w:bCs w:val="0"/>
                      <w:color w:val="auto"/>
                      <w:sz w:val="21"/>
                      <w:szCs w:val="21"/>
                      <w:highlight w:val="none"/>
                      <w:lang w:val="en-US" w:eastAsia="zh-CN"/>
                    </w:rPr>
                    <w:t>《城市污水再生利用 城市杂用水水质》（GB/T18920-2020）中的城市绿化、道路清扫、消防、建筑施工标准后，用于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tc>
              <w:tc>
                <w:tcPr>
                  <w:tcW w:w="612" w:type="pct"/>
                  <w:noWrap w:val="0"/>
                  <w:vAlign w:val="center"/>
                </w:tcPr>
                <w:p w14:paraId="310EFFA4">
                  <w:pPr>
                    <w:jc w:val="center"/>
                    <w:rPr>
                      <w:rFonts w:hint="default" w:ascii="Times New Roman" w:hAnsi="Times New Roman" w:eastAsia="宋体" w:cs="Times New Roman"/>
                      <w:color w:val="auto"/>
                      <w:szCs w:val="21"/>
                      <w:shd w:val="clear" w:color="auto" w:fill="FFFFFF"/>
                    </w:rPr>
                  </w:pPr>
                  <w:r>
                    <w:rPr>
                      <w:rFonts w:hint="eastAsia" w:ascii="Times New Roman" w:hAnsi="Times New Roman" w:eastAsia="宋体" w:cs="Times New Roman"/>
                      <w:color w:val="auto"/>
                      <w:szCs w:val="21"/>
                      <w:lang w:eastAsia="zh-CN"/>
                    </w:rPr>
                    <w:t>符合</w:t>
                  </w:r>
                </w:p>
              </w:tc>
            </w:tr>
            <w:tr w14:paraId="0347572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5D3A91EB">
                  <w:pPr>
                    <w:pStyle w:val="27"/>
                    <w:spacing w:before="0" w:beforeAutospacing="0" w:after="0" w:afterAutospacing="0"/>
                    <w:rPr>
                      <w:rFonts w:hint="default" w:ascii="Times New Roman" w:hAnsi="Times New Roman" w:eastAsia="宋体" w:cs="Times New Roman"/>
                      <w:b/>
                      <w:bCs/>
                      <w:color w:val="auto"/>
                      <w:sz w:val="21"/>
                      <w:szCs w:val="21"/>
                      <w:shd w:val="clear" w:color="auto" w:fill="FFFFFF"/>
                    </w:rPr>
                  </w:pPr>
                  <w:r>
                    <w:rPr>
                      <w:rFonts w:hint="default" w:ascii="Times New Roman" w:hAnsi="Times New Roman" w:eastAsia="宋体" w:cs="Times New Roman"/>
                      <w:b/>
                      <w:bCs/>
                      <w:color w:val="auto"/>
                      <w:sz w:val="21"/>
                      <w:szCs w:val="21"/>
                      <w:shd w:val="clear" w:color="auto" w:fill="FFFFFF"/>
                    </w:rPr>
                    <w:t>第二十四条 统筹加快“两污”治理。</w:t>
                  </w:r>
                </w:p>
                <w:p w14:paraId="4958760E">
                  <w:pPr>
                    <w:pStyle w:val="27"/>
                    <w:spacing w:before="0" w:beforeAutospacing="0" w:after="0" w:afterAutospacing="0"/>
                    <w:rPr>
                      <w:rFonts w:hint="default" w:ascii="Times New Roman" w:hAnsi="Times New Roman" w:eastAsia="宋体" w:cs="Times New Roman"/>
                      <w:color w:val="auto"/>
                      <w:szCs w:val="21"/>
                      <w:shd w:val="clear" w:color="auto" w:fill="FFFFFF"/>
                    </w:rPr>
                  </w:pPr>
                  <w:r>
                    <w:rPr>
                      <w:rStyle w:val="103"/>
                      <w:rFonts w:hint="eastAsia" w:ascii="Times New Roman" w:hAnsi="Times New Roman" w:eastAsia="宋体" w:cs="Times New Roman"/>
                      <w:color w:val="auto"/>
                      <w:kern w:val="0"/>
                      <w:sz w:val="21"/>
                      <w:szCs w:val="21"/>
                      <w:highlight w:val="none"/>
                      <w:lang w:val="en-US" w:eastAsia="zh-CN" w:bidi="ar-SA"/>
                    </w:rPr>
                    <w:t>加快推进城镇污水处理厂扩容提标、雨污分流设施改造，加强农村生活污水治理与农村“厕所革命”有机衔接，积极推动农村生活污水、粪污无害化处理和资源化利用。加强垃圾收集、转运、处置等各类环境基础设施建设、运营和维护。2025年底前，完成流域内城镇雨污分流改造，城镇污水收集率达95%以上，农村生活污水收集处理率达75%以上，畜禽粪污综合利用率达90%以上，城市生活垃圾处理率达97%以上，实现农村生活垃圾分类投放、统一运输、集中处理。</w:t>
                  </w:r>
                </w:p>
              </w:tc>
              <w:tc>
                <w:tcPr>
                  <w:tcW w:w="1763" w:type="pct"/>
                  <w:noWrap w:val="0"/>
                  <w:vAlign w:val="center"/>
                </w:tcPr>
                <w:p w14:paraId="0540B20E">
                  <w:pPr>
                    <w:rPr>
                      <w:rStyle w:val="103"/>
                      <w:rFonts w:hint="eastAsia"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 w:val="21"/>
                      <w:szCs w:val="21"/>
                      <w:highlight w:val="none"/>
                      <w:vertAlign w:val="baseline"/>
                      <w:lang w:val="en-US" w:eastAsia="zh-CN" w:bidi="ar-SA"/>
                    </w:rPr>
                    <w:t>本</w:t>
                  </w:r>
                  <w:r>
                    <w:rPr>
                      <w:color w:val="auto"/>
                      <w:kern w:val="0"/>
                      <w:sz w:val="21"/>
                      <w:szCs w:val="21"/>
                    </w:rPr>
                    <w:t>项目排水采用雨污分流的排水方式，项目区建筑物屋面及地面雨水经厂区雨水沟收集后排入园区雨水市政管网；冷却水经冷却循环</w:t>
                  </w:r>
                  <w:r>
                    <w:rPr>
                      <w:rFonts w:hint="eastAsia"/>
                      <w:color w:val="auto"/>
                      <w:kern w:val="0"/>
                      <w:sz w:val="21"/>
                      <w:szCs w:val="21"/>
                    </w:rPr>
                    <w:t>水箱</w:t>
                  </w:r>
                  <w:r>
                    <w:rPr>
                      <w:color w:val="auto"/>
                      <w:kern w:val="0"/>
                      <w:sz w:val="21"/>
                      <w:szCs w:val="21"/>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达到</w:t>
                  </w:r>
                  <w:r>
                    <w:rPr>
                      <w:rFonts w:hint="default" w:ascii="Times New Roman" w:hAnsi="Times New Roman" w:eastAsia="宋体" w:cs="Times New Roman"/>
                      <w:b w:val="0"/>
                      <w:bCs w:val="0"/>
                      <w:color w:val="auto"/>
                      <w:sz w:val="21"/>
                      <w:szCs w:val="21"/>
                      <w:highlight w:val="none"/>
                      <w:lang w:val="en-US" w:eastAsia="zh-CN"/>
                    </w:rPr>
                    <w:t>《城市污水再生利用 城市杂用水水质》（GB/T18920-2020）中的城市绿化、道路清扫、消防、建筑施工标准后，用于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r>
                    <w:rPr>
                      <w:rStyle w:val="103"/>
                      <w:rFonts w:hint="eastAsia" w:cs="Times New Roman"/>
                      <w:color w:val="auto"/>
                      <w:kern w:val="0"/>
                      <w:sz w:val="21"/>
                      <w:szCs w:val="21"/>
                      <w:highlight w:val="none"/>
                      <w:lang w:val="en-US" w:eastAsia="zh-CN"/>
                    </w:rPr>
                    <w:t>生活垃圾委托当地环卫部门定期清运处置。</w:t>
                  </w:r>
                </w:p>
              </w:tc>
              <w:tc>
                <w:tcPr>
                  <w:tcW w:w="612" w:type="pct"/>
                  <w:noWrap w:val="0"/>
                  <w:vAlign w:val="center"/>
                </w:tcPr>
                <w:p w14:paraId="30F5F91C">
                  <w:pPr>
                    <w:jc w:val="center"/>
                    <w:rPr>
                      <w:rStyle w:val="103"/>
                      <w:rFonts w:hint="default" w:ascii="Times New Roman" w:hAnsi="Times New Roman" w:eastAsia="宋体" w:cs="Times New Roman"/>
                      <w:color w:val="auto"/>
                      <w:kern w:val="0"/>
                      <w:szCs w:val="21"/>
                    </w:rPr>
                  </w:pPr>
                  <w:r>
                    <w:rPr>
                      <w:rFonts w:hint="eastAsia" w:ascii="Times New Roman" w:hAnsi="Times New Roman" w:eastAsia="宋体" w:cs="Times New Roman"/>
                      <w:color w:val="auto"/>
                      <w:szCs w:val="21"/>
                      <w:lang w:eastAsia="zh-CN"/>
                    </w:rPr>
                    <w:t>符合</w:t>
                  </w:r>
                </w:p>
              </w:tc>
            </w:tr>
            <w:tr w14:paraId="5A68F8A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4B209CBA">
                  <w:pPr>
                    <w:pStyle w:val="27"/>
                    <w:spacing w:before="0" w:beforeAutospacing="0" w:after="0" w:afterAutospacing="0"/>
                    <w:rPr>
                      <w:rFonts w:hint="default" w:ascii="Times New Roman" w:hAnsi="Times New Roman" w:eastAsia="宋体" w:cs="Times New Roman"/>
                      <w:b/>
                      <w:bCs/>
                      <w:color w:val="auto"/>
                      <w:sz w:val="21"/>
                      <w:szCs w:val="21"/>
                      <w:shd w:val="clear" w:color="auto" w:fill="FFFFFF"/>
                    </w:rPr>
                  </w:pPr>
                  <w:r>
                    <w:rPr>
                      <w:rFonts w:hint="default" w:ascii="Times New Roman" w:hAnsi="Times New Roman" w:eastAsia="宋体" w:cs="Times New Roman"/>
                      <w:b/>
                      <w:bCs/>
                      <w:color w:val="auto"/>
                      <w:sz w:val="21"/>
                      <w:szCs w:val="21"/>
                      <w:shd w:val="clear" w:color="auto" w:fill="FFFFFF"/>
                    </w:rPr>
                    <w:t>第二十五条 全面提高用水效率。</w:t>
                  </w:r>
                </w:p>
                <w:p w14:paraId="35AF3BA5">
                  <w:pPr>
                    <w:pStyle w:val="27"/>
                    <w:spacing w:before="0" w:beforeAutospacing="0" w:after="0" w:afterAutospacing="0"/>
                    <w:rPr>
                      <w:rFonts w:hint="default" w:ascii="Times New Roman" w:hAnsi="Times New Roman" w:eastAsia="宋体" w:cs="Times New Roman"/>
                      <w:color w:val="auto"/>
                      <w:szCs w:val="21"/>
                      <w:shd w:val="clear" w:color="auto" w:fill="FFFFFF"/>
                    </w:rPr>
                  </w:pPr>
                  <w:r>
                    <w:rPr>
                      <w:rStyle w:val="103"/>
                      <w:rFonts w:hint="eastAsia" w:ascii="Times New Roman" w:hAnsi="Times New Roman" w:eastAsia="宋体" w:cs="Times New Roman"/>
                      <w:color w:val="auto"/>
                      <w:kern w:val="0"/>
                      <w:sz w:val="21"/>
                      <w:szCs w:val="21"/>
                      <w:highlight w:val="none"/>
                      <w:lang w:val="en-US" w:eastAsia="zh-CN" w:bidi="ar-SA"/>
                    </w:rPr>
                    <w:t>开展农业高效节水示范区建设，提高农田灌溉水有效利用系数。严格执行节水型企业标准、用水定额标准等，实施节水技术改造。加强再生水利用，鼓励将再生水优先用于工业生产、生态景观、建筑施工、城市杂用等。2025年底前，流域内万元GDP用水量和万元工业增加值用水量较2020年降幅均达16%以上。</w:t>
                  </w:r>
                </w:p>
              </w:tc>
              <w:tc>
                <w:tcPr>
                  <w:tcW w:w="1763" w:type="pct"/>
                  <w:noWrap w:val="0"/>
                  <w:vAlign w:val="center"/>
                </w:tcPr>
                <w:p w14:paraId="2568DC9D">
                  <w:pPr>
                    <w:rPr>
                      <w:rStyle w:val="103"/>
                      <w:rFonts w:hint="eastAsia" w:ascii="Times New Roman" w:hAnsi="Times New Roman" w:eastAsia="宋体" w:cs="Times New Roman"/>
                      <w:color w:val="auto"/>
                      <w:kern w:val="0"/>
                      <w:szCs w:val="21"/>
                      <w:lang w:eastAsia="zh-CN"/>
                    </w:rPr>
                  </w:pPr>
                  <w:r>
                    <w:rPr>
                      <w:rStyle w:val="103"/>
                      <w:rFonts w:hint="eastAsia" w:cs="Times New Roman"/>
                      <w:color w:val="auto"/>
                      <w:kern w:val="0"/>
                      <w:szCs w:val="21"/>
                      <w:lang w:eastAsia="zh-CN"/>
                    </w:rPr>
                    <w:t>本项目用水环节较少，用水量较低。</w:t>
                  </w:r>
                </w:p>
              </w:tc>
              <w:tc>
                <w:tcPr>
                  <w:tcW w:w="612" w:type="pct"/>
                  <w:noWrap w:val="0"/>
                  <w:vAlign w:val="center"/>
                </w:tcPr>
                <w:p w14:paraId="3916C228">
                  <w:pPr>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符合</w:t>
                  </w:r>
                </w:p>
              </w:tc>
            </w:tr>
            <w:tr w14:paraId="45F39F9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42EC9C6C">
                  <w:pPr>
                    <w:pStyle w:val="27"/>
                    <w:spacing w:before="0" w:beforeAutospacing="0" w:after="0" w:afterAutospacing="0"/>
                    <w:rPr>
                      <w:rFonts w:hint="default" w:ascii="Times New Roman" w:hAnsi="Times New Roman" w:eastAsia="宋体" w:cs="Times New Roman"/>
                      <w:b/>
                      <w:bCs/>
                      <w:color w:val="auto"/>
                      <w:sz w:val="21"/>
                      <w:szCs w:val="21"/>
                      <w:shd w:val="clear" w:color="auto" w:fill="FFFFFF"/>
                    </w:rPr>
                  </w:pPr>
                  <w:r>
                    <w:rPr>
                      <w:rFonts w:hint="default" w:ascii="Times New Roman" w:hAnsi="Times New Roman" w:eastAsia="宋体" w:cs="Times New Roman"/>
                      <w:b/>
                      <w:bCs/>
                      <w:color w:val="auto"/>
                      <w:sz w:val="21"/>
                      <w:szCs w:val="21"/>
                      <w:shd w:val="clear" w:color="auto" w:fill="FFFFFF"/>
                    </w:rPr>
                    <w:t>第二十六条 加快开展面源污染治理。</w:t>
                  </w:r>
                </w:p>
                <w:p w14:paraId="42C9D6C4">
                  <w:pPr>
                    <w:pStyle w:val="27"/>
                    <w:spacing w:before="0" w:beforeAutospacing="0" w:after="0" w:afterAutospacing="0"/>
                    <w:rPr>
                      <w:rFonts w:hint="default" w:ascii="Times New Roman" w:hAnsi="Times New Roman" w:eastAsia="宋体" w:cs="Times New Roman"/>
                      <w:color w:val="auto"/>
                      <w:szCs w:val="21"/>
                      <w:shd w:val="clear" w:color="auto" w:fill="FFFFFF"/>
                    </w:rPr>
                  </w:pPr>
                  <w:r>
                    <w:rPr>
                      <w:rStyle w:val="103"/>
                      <w:rFonts w:hint="eastAsia" w:ascii="Times New Roman" w:hAnsi="Times New Roman" w:eastAsia="宋体" w:cs="Times New Roman"/>
                      <w:color w:val="auto"/>
                      <w:kern w:val="0"/>
                      <w:sz w:val="21"/>
                      <w:szCs w:val="21"/>
                      <w:highlight w:val="none"/>
                      <w:lang w:val="en-US" w:eastAsia="zh-CN" w:bidi="ar-SA"/>
                    </w:rPr>
                    <w:t>全面推进控肥增效、控药减害、控膜减量、控水降耗“四控行动”；提升设施化、有机化、数字化绿色农业发展水平。推进面山防洪滞蓄设施建设，开展初期雨水治理试点，探索初期雨水分质处理方式。</w:t>
                  </w:r>
                </w:p>
              </w:tc>
              <w:tc>
                <w:tcPr>
                  <w:tcW w:w="1763" w:type="pct"/>
                  <w:noWrap w:val="0"/>
                  <w:vAlign w:val="center"/>
                </w:tcPr>
                <w:p w14:paraId="01C93D02">
                  <w:pPr>
                    <w:jc w:val="center"/>
                    <w:rPr>
                      <w:rStyle w:val="103"/>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 w:val="21"/>
                      <w:szCs w:val="21"/>
                      <w:highlight w:val="none"/>
                      <w:vertAlign w:val="baseline"/>
                      <w:lang w:val="en-US" w:eastAsia="zh-CN" w:bidi="ar-SA"/>
                    </w:rPr>
                    <w:t>本项目</w:t>
                  </w:r>
                  <w:r>
                    <w:rPr>
                      <w:rFonts w:hint="eastAsia" w:cs="Times New Roman"/>
                      <w:color w:val="auto"/>
                      <w:kern w:val="0"/>
                      <w:sz w:val="21"/>
                      <w:szCs w:val="21"/>
                      <w:highlight w:val="none"/>
                      <w:vertAlign w:val="baseline"/>
                      <w:lang w:val="en-US" w:eastAsia="zh-CN" w:bidi="ar-SA"/>
                    </w:rPr>
                    <w:t>不涉及。</w:t>
                  </w:r>
                </w:p>
              </w:tc>
              <w:tc>
                <w:tcPr>
                  <w:tcW w:w="612" w:type="pct"/>
                  <w:noWrap w:val="0"/>
                  <w:vAlign w:val="center"/>
                </w:tcPr>
                <w:p w14:paraId="497C7767">
                  <w:pPr>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符合</w:t>
                  </w:r>
                </w:p>
              </w:tc>
            </w:tr>
            <w:tr w14:paraId="4E3F46BB">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338F2774">
                  <w:pPr>
                    <w:pStyle w:val="27"/>
                    <w:spacing w:before="0" w:beforeAutospacing="0" w:after="0" w:afterAutospacing="0"/>
                    <w:rPr>
                      <w:rFonts w:hint="default" w:ascii="Times New Roman" w:hAnsi="Times New Roman" w:eastAsia="宋体" w:cs="Times New Roman"/>
                      <w:b/>
                      <w:bCs/>
                      <w:color w:val="auto"/>
                      <w:sz w:val="21"/>
                      <w:szCs w:val="21"/>
                      <w:shd w:val="clear" w:color="auto" w:fill="FFFFFF"/>
                    </w:rPr>
                  </w:pPr>
                  <w:r>
                    <w:rPr>
                      <w:rFonts w:hint="default" w:ascii="Times New Roman" w:hAnsi="Times New Roman" w:eastAsia="宋体" w:cs="Times New Roman"/>
                      <w:b/>
                      <w:bCs/>
                      <w:color w:val="auto"/>
                      <w:sz w:val="21"/>
                      <w:szCs w:val="21"/>
                      <w:shd w:val="clear" w:color="auto" w:fill="FFFFFF"/>
                    </w:rPr>
                    <w:t>第二十七条 持续推进高标准农田建设。</w:t>
                  </w:r>
                </w:p>
                <w:p w14:paraId="589250F1">
                  <w:pPr>
                    <w:pStyle w:val="27"/>
                    <w:spacing w:before="0" w:beforeAutospacing="0" w:after="0" w:afterAutospacing="0"/>
                    <w:rPr>
                      <w:rFonts w:hint="default" w:ascii="Times New Roman" w:hAnsi="Times New Roman" w:eastAsia="宋体" w:cs="Times New Roman"/>
                      <w:color w:val="auto"/>
                      <w:szCs w:val="21"/>
                      <w:shd w:val="clear" w:color="auto" w:fill="FFFFFF"/>
                    </w:rPr>
                  </w:pPr>
                  <w:r>
                    <w:rPr>
                      <w:rStyle w:val="103"/>
                      <w:rFonts w:hint="eastAsia" w:ascii="Times New Roman" w:hAnsi="Times New Roman" w:eastAsia="宋体" w:cs="Times New Roman"/>
                      <w:color w:val="auto"/>
                      <w:kern w:val="0"/>
                      <w:sz w:val="21"/>
                      <w:szCs w:val="21"/>
                      <w:highlight w:val="none"/>
                      <w:lang w:val="en-US" w:eastAsia="zh-CN" w:bidi="ar-SA"/>
                    </w:rPr>
                    <w:t>深入落实“藏粮于地、藏粮于技”战略，大力实施高标准农田建设工程，加快补齐农田基础设施短板，逐步实现土地平整、集中连片、机力畅通、灌排配套的现代农业格局。利用调蓄库塘、生态沟渠等设施，收集农田灌溉退水，加强循环利用。</w:t>
                  </w:r>
                </w:p>
              </w:tc>
              <w:tc>
                <w:tcPr>
                  <w:tcW w:w="1763" w:type="pct"/>
                  <w:noWrap w:val="0"/>
                  <w:vAlign w:val="center"/>
                </w:tcPr>
                <w:p w14:paraId="4568AD08">
                  <w:pPr>
                    <w:jc w:val="center"/>
                    <w:rPr>
                      <w:rStyle w:val="103"/>
                      <w:rFonts w:hint="eastAsia" w:ascii="Times New Roman" w:hAnsi="Times New Roman" w:eastAsia="宋体" w:cs="Times New Roman"/>
                      <w:color w:val="auto"/>
                      <w:kern w:val="0"/>
                      <w:szCs w:val="21"/>
                      <w:lang w:eastAsia="zh-CN"/>
                    </w:rPr>
                  </w:pPr>
                  <w:r>
                    <w:rPr>
                      <w:rStyle w:val="103"/>
                      <w:rFonts w:hint="eastAsia" w:cs="Times New Roman"/>
                      <w:color w:val="auto"/>
                      <w:kern w:val="0"/>
                      <w:szCs w:val="21"/>
                      <w:lang w:eastAsia="zh-CN"/>
                    </w:rPr>
                    <w:t>本项目不涉及。</w:t>
                  </w:r>
                </w:p>
              </w:tc>
              <w:tc>
                <w:tcPr>
                  <w:tcW w:w="612" w:type="pct"/>
                  <w:noWrap w:val="0"/>
                  <w:vAlign w:val="center"/>
                </w:tcPr>
                <w:p w14:paraId="7604E850">
                  <w:pPr>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符合</w:t>
                  </w:r>
                </w:p>
              </w:tc>
            </w:tr>
            <w:tr w14:paraId="57FD4D8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35139C2E">
                  <w:pPr>
                    <w:pStyle w:val="27"/>
                    <w:spacing w:before="0" w:beforeAutospacing="0" w:after="0" w:afterAutospacing="0"/>
                    <w:rPr>
                      <w:rFonts w:hint="default" w:ascii="Times New Roman" w:hAnsi="Times New Roman" w:eastAsia="宋体" w:cs="Times New Roman"/>
                      <w:b/>
                      <w:bCs/>
                      <w:color w:val="auto"/>
                      <w:sz w:val="21"/>
                      <w:szCs w:val="21"/>
                      <w:shd w:val="clear" w:color="auto" w:fill="FFFFFF"/>
                    </w:rPr>
                  </w:pPr>
                  <w:r>
                    <w:rPr>
                      <w:rFonts w:hint="default" w:ascii="Times New Roman" w:hAnsi="Times New Roman" w:eastAsia="宋体" w:cs="Times New Roman"/>
                      <w:b/>
                      <w:bCs/>
                      <w:color w:val="auto"/>
                      <w:sz w:val="21"/>
                      <w:szCs w:val="21"/>
                      <w:shd w:val="clear" w:color="auto" w:fill="FFFFFF"/>
                    </w:rPr>
                    <w:t>第二十八条 深入推进水权水价改革。</w:t>
                  </w:r>
                </w:p>
                <w:p w14:paraId="35407689">
                  <w:pPr>
                    <w:pStyle w:val="27"/>
                    <w:spacing w:before="0" w:beforeAutospacing="0" w:after="0" w:afterAutospacing="0"/>
                    <w:rPr>
                      <w:rFonts w:hint="default" w:ascii="Times New Roman" w:hAnsi="Times New Roman" w:eastAsia="宋体" w:cs="Times New Roman"/>
                      <w:color w:val="auto"/>
                      <w:szCs w:val="21"/>
                      <w:shd w:val="clear" w:color="auto" w:fill="FFFFFF"/>
                    </w:rPr>
                  </w:pPr>
                  <w:r>
                    <w:rPr>
                      <w:rStyle w:val="103"/>
                      <w:rFonts w:hint="eastAsia" w:ascii="Times New Roman" w:hAnsi="Times New Roman" w:eastAsia="宋体" w:cs="Times New Roman"/>
                      <w:color w:val="auto"/>
                      <w:kern w:val="0"/>
                      <w:sz w:val="21"/>
                      <w:szCs w:val="21"/>
                      <w:highlight w:val="none"/>
                      <w:lang w:val="en-US" w:eastAsia="zh-CN" w:bidi="ar-SA"/>
                    </w:rPr>
                    <w:t>建立水权交易机制，制定具体工作计划，明晰区域水资源管理权限，确定取用水总量控制指标，开展用水水权分配和有偿使用。推广农业用水计量收费，完善城镇居民阶梯水价和非居民用水超定额累进加价制度，充分发挥水价在水资源配置、水需求调节和水污染防治等方面的杠杆作用。</w:t>
                  </w:r>
                </w:p>
              </w:tc>
              <w:tc>
                <w:tcPr>
                  <w:tcW w:w="1763" w:type="pct"/>
                  <w:noWrap w:val="0"/>
                  <w:vAlign w:val="center"/>
                </w:tcPr>
                <w:p w14:paraId="4F5C815B">
                  <w:pPr>
                    <w:rPr>
                      <w:rStyle w:val="103"/>
                      <w:rFonts w:hint="default" w:ascii="Times New Roman" w:hAnsi="Times New Roman" w:eastAsia="宋体" w:cs="Times New Roman"/>
                      <w:color w:val="auto"/>
                      <w:kern w:val="0"/>
                      <w:szCs w:val="21"/>
                    </w:rPr>
                  </w:pPr>
                  <w:r>
                    <w:rPr>
                      <w:rStyle w:val="103"/>
                      <w:rFonts w:hint="eastAsia" w:cs="Times New Roman"/>
                      <w:color w:val="auto"/>
                      <w:kern w:val="0"/>
                      <w:szCs w:val="21"/>
                      <w:lang w:eastAsia="zh-CN"/>
                    </w:rPr>
                    <w:t>本项目用水环节较少，用水量较低，</w:t>
                  </w:r>
                  <w:r>
                    <w:rPr>
                      <w:color w:val="auto"/>
                      <w:kern w:val="0"/>
                      <w:sz w:val="21"/>
                      <w:szCs w:val="21"/>
                    </w:rPr>
                    <w:t>冷却水经冷却循环</w:t>
                  </w:r>
                  <w:r>
                    <w:rPr>
                      <w:rFonts w:hint="eastAsia"/>
                      <w:color w:val="auto"/>
                      <w:kern w:val="0"/>
                      <w:sz w:val="21"/>
                      <w:szCs w:val="21"/>
                    </w:rPr>
                    <w:t>水箱</w:t>
                  </w:r>
                  <w:r>
                    <w:rPr>
                      <w:color w:val="auto"/>
                      <w:kern w:val="0"/>
                      <w:sz w:val="21"/>
                      <w:szCs w:val="21"/>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w:t>
                  </w:r>
                  <w:r>
                    <w:rPr>
                      <w:rFonts w:hint="default" w:ascii="Times New Roman" w:hAnsi="Times New Roman" w:eastAsia="宋体" w:cs="Times New Roman"/>
                      <w:b w:val="0"/>
                      <w:bCs w:val="0"/>
                      <w:color w:val="auto"/>
                      <w:sz w:val="21"/>
                      <w:szCs w:val="21"/>
                      <w:highlight w:val="none"/>
                      <w:lang w:val="en-US" w:eastAsia="zh-CN"/>
                    </w:rPr>
                    <w:t>标后，用于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r>
                    <w:rPr>
                      <w:color w:val="auto"/>
                      <w:kern w:val="0"/>
                      <w:sz w:val="21"/>
                      <w:szCs w:val="21"/>
                    </w:rPr>
                    <w:t>。</w:t>
                  </w:r>
                  <w:r>
                    <w:rPr>
                      <w:rStyle w:val="103"/>
                      <w:rFonts w:hint="eastAsia" w:cs="Times New Roman"/>
                      <w:color w:val="auto"/>
                      <w:kern w:val="0"/>
                      <w:sz w:val="21"/>
                      <w:szCs w:val="21"/>
                      <w:highlight w:val="none"/>
                      <w:lang w:val="en-US" w:eastAsia="zh-CN"/>
                    </w:rPr>
                    <w:t>生活垃圾委托当地环卫部门定期清运处置。</w:t>
                  </w:r>
                </w:p>
              </w:tc>
              <w:tc>
                <w:tcPr>
                  <w:tcW w:w="612" w:type="pct"/>
                  <w:noWrap w:val="0"/>
                  <w:vAlign w:val="center"/>
                </w:tcPr>
                <w:p w14:paraId="55C57366">
                  <w:pPr>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符合</w:t>
                  </w:r>
                </w:p>
              </w:tc>
            </w:tr>
            <w:tr w14:paraId="7439B68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5D6D6A13">
                  <w:pPr>
                    <w:pStyle w:val="27"/>
                    <w:spacing w:before="0" w:beforeAutospacing="0" w:after="0" w:afterAutospacing="0"/>
                    <w:rPr>
                      <w:rFonts w:hint="default" w:ascii="Times New Roman" w:hAnsi="Times New Roman" w:eastAsia="宋体" w:cs="Times New Roman"/>
                      <w:b/>
                      <w:bCs/>
                      <w:color w:val="auto"/>
                      <w:sz w:val="21"/>
                      <w:szCs w:val="21"/>
                      <w:shd w:val="clear" w:color="auto" w:fill="FFFFFF"/>
                    </w:rPr>
                  </w:pPr>
                  <w:r>
                    <w:rPr>
                      <w:rFonts w:hint="default" w:ascii="Times New Roman" w:hAnsi="Times New Roman" w:eastAsia="宋体" w:cs="Times New Roman"/>
                      <w:b/>
                      <w:bCs/>
                      <w:color w:val="auto"/>
                      <w:sz w:val="21"/>
                      <w:szCs w:val="21"/>
                      <w:shd w:val="clear" w:color="auto" w:fill="FFFFFF"/>
                    </w:rPr>
                    <w:t>第二十九条 全力发展绿色低碳循环经济。</w:t>
                  </w:r>
                </w:p>
                <w:p w14:paraId="73E0B078">
                  <w:pPr>
                    <w:pStyle w:val="27"/>
                    <w:spacing w:before="0" w:beforeAutospacing="0" w:after="0" w:afterAutospacing="0"/>
                    <w:rPr>
                      <w:rFonts w:hint="default" w:ascii="Times New Roman" w:hAnsi="Times New Roman" w:eastAsia="宋体" w:cs="Times New Roman"/>
                      <w:color w:val="auto"/>
                      <w:szCs w:val="21"/>
                      <w:shd w:val="clear" w:color="auto" w:fill="FFFFFF"/>
                    </w:rPr>
                  </w:pPr>
                  <w:r>
                    <w:rPr>
                      <w:rStyle w:val="103"/>
                      <w:rFonts w:hint="eastAsia" w:ascii="Times New Roman" w:hAnsi="Times New Roman" w:eastAsia="宋体" w:cs="Times New Roman"/>
                      <w:color w:val="auto"/>
                      <w:kern w:val="0"/>
                      <w:sz w:val="21"/>
                      <w:szCs w:val="21"/>
                      <w:highlight w:val="none"/>
                      <w:lang w:val="en-US" w:eastAsia="zh-CN" w:bidi="ar-SA"/>
                    </w:rPr>
                    <w:t>优化种植产业结构，推广绿色生态种植，鼓励耕地轮作。加快产业结构调整，淘汰落后产能，制定迁出计划，将现有“高污染、高耗水、高耗能”企业全部迁出流域外。鼓励文化创意、会议会展、运动休闲、康体养生、乡村度假、科研设计、总部经济等绿色高附加值服务业的发展。深入实施乡村振兴战略，大力发展生态农业、生态旅游业等生态友好型产业，推进文旅农融合发展。</w:t>
                  </w:r>
                </w:p>
              </w:tc>
              <w:tc>
                <w:tcPr>
                  <w:tcW w:w="1763" w:type="pct"/>
                  <w:noWrap w:val="0"/>
                  <w:vAlign w:val="center"/>
                </w:tcPr>
                <w:p w14:paraId="5F9A0D44">
                  <w:pPr>
                    <w:jc w:val="center"/>
                    <w:rPr>
                      <w:rStyle w:val="103"/>
                      <w:rFonts w:hint="eastAsia" w:ascii="Times New Roman" w:hAnsi="Times New Roman" w:eastAsia="宋体" w:cs="Times New Roman"/>
                      <w:color w:val="auto"/>
                      <w:kern w:val="0"/>
                      <w:szCs w:val="21"/>
                      <w:lang w:eastAsia="zh-CN"/>
                    </w:rPr>
                  </w:pPr>
                  <w:r>
                    <w:rPr>
                      <w:rStyle w:val="103"/>
                      <w:rFonts w:hint="eastAsia" w:cs="Times New Roman"/>
                      <w:color w:val="auto"/>
                      <w:kern w:val="0"/>
                      <w:szCs w:val="21"/>
                      <w:lang w:eastAsia="zh-CN"/>
                    </w:rPr>
                    <w:t>本项目不涉及。</w:t>
                  </w:r>
                </w:p>
              </w:tc>
              <w:tc>
                <w:tcPr>
                  <w:tcW w:w="612" w:type="pct"/>
                  <w:noWrap w:val="0"/>
                  <w:vAlign w:val="center"/>
                </w:tcPr>
                <w:p w14:paraId="09EAADEB">
                  <w:pPr>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符合</w:t>
                  </w:r>
                </w:p>
              </w:tc>
            </w:tr>
            <w:tr w14:paraId="34B7C30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759ACB66">
                  <w:pPr>
                    <w:pStyle w:val="27"/>
                    <w:spacing w:before="0" w:beforeAutospacing="0" w:after="0" w:afterAutospacing="0"/>
                    <w:rPr>
                      <w:rFonts w:hint="default" w:ascii="Times New Roman" w:hAnsi="Times New Roman" w:eastAsia="宋体" w:cs="Times New Roman"/>
                      <w:b/>
                      <w:bCs/>
                      <w:color w:val="auto"/>
                      <w:sz w:val="21"/>
                      <w:szCs w:val="21"/>
                      <w:shd w:val="clear" w:color="auto" w:fill="FFFFFF"/>
                    </w:rPr>
                  </w:pPr>
                  <w:r>
                    <w:rPr>
                      <w:rFonts w:hint="default" w:ascii="Times New Roman" w:hAnsi="Times New Roman" w:eastAsia="宋体" w:cs="Times New Roman"/>
                      <w:b/>
                      <w:bCs/>
                      <w:color w:val="auto"/>
                      <w:sz w:val="21"/>
                      <w:szCs w:val="21"/>
                      <w:shd w:val="clear" w:color="auto" w:fill="FFFFFF"/>
                    </w:rPr>
                    <w:t>第三十条 大力推进流域生态修复。</w:t>
                  </w:r>
                </w:p>
                <w:p w14:paraId="18AEA541">
                  <w:pPr>
                    <w:pStyle w:val="27"/>
                    <w:spacing w:before="0" w:beforeAutospacing="0" w:after="0" w:afterAutospacing="0"/>
                    <w:rPr>
                      <w:rFonts w:hint="eastAsia" w:ascii="Times New Roman" w:hAnsi="Times New Roman" w:eastAsia="宋体" w:cs="Times New Roman"/>
                      <w:color w:val="auto"/>
                      <w:szCs w:val="21"/>
                      <w:shd w:val="clear" w:color="auto" w:fill="FFFFFF"/>
                      <w:lang w:val="en-US" w:eastAsia="zh-CN"/>
                    </w:rPr>
                  </w:pPr>
                  <w:r>
                    <w:rPr>
                      <w:rStyle w:val="103"/>
                      <w:rFonts w:hint="eastAsia" w:ascii="Times New Roman" w:hAnsi="Times New Roman" w:eastAsia="宋体" w:cs="Times New Roman"/>
                      <w:color w:val="auto"/>
                      <w:kern w:val="0"/>
                      <w:sz w:val="21"/>
                      <w:szCs w:val="21"/>
                      <w:highlight w:val="none"/>
                      <w:lang w:val="en-US" w:eastAsia="zh-CN" w:bidi="ar-SA"/>
                    </w:rPr>
                    <w:t>2025年底前，滇池主要入湖河道全面消除Ⅴ类、劣Ⅴ类水体。全面排查流域内矿山，按照自然保护地、生态保护红线管理要求分类处置，并按照宜林则林、宜耕则耕、宜草则草、宜景则景的原则进行生态修复，推进历史遗留矿山生态修复。积极推进国土绿化行动，加强滇池面山绿化和生态修复，提高森林覆盖率，减少水土流失，涵养水源，提升森林、草原系统生态功能。加强入湖河道综合治理，常态化开展“乱占、乱采、乱堆、乱建”清理行动，促进河道生态修复。加强入湖河道管理，严格主要入湖河道管理范围内建设项目和活动的审批及监管，对在主要入湖河道两侧河堤堤顶临水一侧向外水平延伸50米以内区域的建设项目，市级有关行业主管部门在报市人民政府批准前应向市滇池管理局征求意见。</w:t>
                  </w:r>
                </w:p>
              </w:tc>
              <w:tc>
                <w:tcPr>
                  <w:tcW w:w="1763" w:type="pct"/>
                  <w:noWrap w:val="0"/>
                  <w:vAlign w:val="center"/>
                </w:tcPr>
                <w:p w14:paraId="5DA84352">
                  <w:pPr>
                    <w:rPr>
                      <w:rStyle w:val="103"/>
                      <w:rFonts w:hint="default" w:ascii="Times New Roman" w:hAnsi="Times New Roman" w:eastAsia="宋体" w:cs="Times New Roman"/>
                      <w:color w:val="auto"/>
                      <w:kern w:val="0"/>
                      <w:szCs w:val="21"/>
                    </w:rPr>
                  </w:pPr>
                  <w:r>
                    <w:rPr>
                      <w:rFonts w:hint="eastAsia" w:ascii="Times New Roman" w:hAnsi="Times New Roman" w:eastAsia="宋体" w:cs="Times New Roman"/>
                      <w:color w:val="auto"/>
                      <w:kern w:val="0"/>
                      <w:sz w:val="21"/>
                      <w:szCs w:val="21"/>
                    </w:rPr>
                    <w:t>本项目位于云南省玉溪市澄江市产业园区提古片区</w:t>
                  </w:r>
                  <w:r>
                    <w:rPr>
                      <w:rFonts w:hint="eastAsia" w:ascii="Times New Roman" w:hAnsi="Times New Roman" w:eastAsia="宋体" w:cs="Times New Roman"/>
                      <w:color w:val="auto"/>
                      <w:kern w:val="0"/>
                      <w:sz w:val="21"/>
                      <w:szCs w:val="21"/>
                      <w:lang w:val="en-US" w:eastAsia="zh-CN"/>
                    </w:rPr>
                    <w:t>，不在主要入湖河道两侧，</w:t>
                  </w:r>
                  <w:r>
                    <w:rPr>
                      <w:rFonts w:hint="default" w:ascii="Times New Roman" w:hAnsi="Times New Roman" w:eastAsia="宋体" w:cs="Times New Roman"/>
                      <w:color w:val="auto"/>
                      <w:kern w:val="0"/>
                      <w:sz w:val="21"/>
                      <w:szCs w:val="21"/>
                      <w:lang w:val="en-US" w:eastAsia="zh-CN"/>
                    </w:rPr>
                    <w:t>项目排水采用雨污分流的排水方式，</w:t>
                  </w:r>
                  <w:r>
                    <w:rPr>
                      <w:rFonts w:ascii="Times New Roman" w:hAnsi="Times New Roman" w:eastAsia="宋体" w:cs="Times New Roman"/>
                      <w:color w:val="auto"/>
                      <w:kern w:val="0"/>
                      <w:sz w:val="21"/>
                      <w:szCs w:val="21"/>
                    </w:rPr>
                    <w:t>项目区建筑物屋面及地面雨水经厂区雨水沟收集后排入园区雨水市政管网；</w:t>
                  </w:r>
                  <w:r>
                    <w:rPr>
                      <w:color w:val="auto"/>
                      <w:kern w:val="0"/>
                      <w:sz w:val="21"/>
                      <w:szCs w:val="21"/>
                    </w:rPr>
                    <w:t>冷却水</w:t>
                  </w:r>
                  <w:r>
                    <w:rPr>
                      <w:rFonts w:ascii="Times New Roman" w:hAnsi="Times New Roman" w:eastAsia="宋体" w:cs="Times New Roman"/>
                      <w:color w:val="auto"/>
                      <w:kern w:val="0"/>
                      <w:sz w:val="21"/>
                      <w:szCs w:val="21"/>
                    </w:rPr>
                    <w:t>经冷却循环</w:t>
                  </w:r>
                  <w:r>
                    <w:rPr>
                      <w:rFonts w:hint="eastAsia" w:ascii="Times New Roman" w:hAnsi="Times New Roman" w:eastAsia="宋体" w:cs="Times New Roman"/>
                      <w:color w:val="auto"/>
                      <w:kern w:val="0"/>
                      <w:sz w:val="21"/>
                      <w:szCs w:val="21"/>
                    </w:rPr>
                    <w:t>水箱</w:t>
                  </w:r>
                  <w:r>
                    <w:rPr>
                      <w:rFonts w:ascii="Times New Roman" w:hAnsi="Times New Roman" w:eastAsia="宋体" w:cs="Times New Roman"/>
                      <w:color w:val="auto"/>
                      <w:kern w:val="0"/>
                      <w:sz w:val="21"/>
                      <w:szCs w:val="21"/>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w:t>
                  </w:r>
                  <w:r>
                    <w:rPr>
                      <w:rFonts w:hint="default" w:ascii="Times New Roman" w:hAnsi="Times New Roman" w:eastAsia="宋体" w:cs="Times New Roman"/>
                      <w:b w:val="0"/>
                      <w:bCs w:val="0"/>
                      <w:color w:val="auto"/>
                      <w:sz w:val="21"/>
                      <w:szCs w:val="21"/>
                      <w:highlight w:val="none"/>
                      <w:lang w:val="en-US" w:eastAsia="zh-CN"/>
                    </w:rPr>
                    <w:t>标后，用于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r>
                    <w:rPr>
                      <w:rFonts w:hint="eastAsia" w:ascii="Times New Roman" w:hAnsi="Times New Roman" w:eastAsia="宋体" w:cs="Times New Roman"/>
                      <w:color w:val="auto"/>
                      <w:kern w:val="0"/>
                      <w:sz w:val="21"/>
                      <w:szCs w:val="21"/>
                      <w:lang w:val="en-US" w:eastAsia="zh-CN"/>
                    </w:rPr>
                    <w:t>，生活垃圾委托当地环卫部门定期清运处置。</w:t>
                  </w:r>
                </w:p>
              </w:tc>
              <w:tc>
                <w:tcPr>
                  <w:tcW w:w="612" w:type="pct"/>
                  <w:noWrap w:val="0"/>
                  <w:vAlign w:val="center"/>
                </w:tcPr>
                <w:p w14:paraId="0D60B5E8">
                  <w:pPr>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符合</w:t>
                  </w:r>
                </w:p>
              </w:tc>
            </w:tr>
            <w:tr w14:paraId="1133756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59C779D3">
                  <w:pPr>
                    <w:pStyle w:val="27"/>
                    <w:spacing w:before="0" w:beforeAutospacing="0" w:after="0" w:afterAutospacing="0"/>
                    <w:rPr>
                      <w:rStyle w:val="103"/>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b/>
                      <w:bCs/>
                      <w:color w:val="auto"/>
                      <w:sz w:val="21"/>
                      <w:szCs w:val="21"/>
                      <w:shd w:val="clear" w:color="auto" w:fill="FFFFFF"/>
                    </w:rPr>
                    <w:t>第三十一条 积极探索生态保护补偿机制。</w:t>
                  </w:r>
                </w:p>
                <w:p w14:paraId="36FDCEA8">
                  <w:pPr>
                    <w:pStyle w:val="27"/>
                    <w:spacing w:before="0" w:beforeAutospacing="0" w:after="0" w:afterAutospacing="0"/>
                    <w:rPr>
                      <w:rFonts w:hint="default" w:ascii="Times New Roman" w:hAnsi="Times New Roman" w:eastAsia="宋体" w:cs="Times New Roman"/>
                      <w:color w:val="auto"/>
                      <w:szCs w:val="21"/>
                      <w:shd w:val="clear" w:color="auto" w:fill="FFFFFF"/>
                    </w:rPr>
                  </w:pPr>
                  <w:r>
                    <w:rPr>
                      <w:rStyle w:val="103"/>
                      <w:rFonts w:hint="eastAsia" w:ascii="Times New Roman" w:hAnsi="Times New Roman" w:eastAsia="宋体" w:cs="Times New Roman"/>
                      <w:color w:val="auto"/>
                      <w:kern w:val="0"/>
                      <w:sz w:val="21"/>
                      <w:szCs w:val="21"/>
                      <w:highlight w:val="none"/>
                      <w:lang w:val="en-US" w:eastAsia="zh-CN" w:bidi="ar-SA"/>
                    </w:rPr>
                    <w:t>依托流域内现有产业布局和自然资源分布，制定工作计划，开展生态系统生产总值（GEP）核算。建立滇池生态质量监测评价机制。科学制定补偿标准，探索实施森林、湿地、河道、种植结构调整等生态效益补偿机制。探索完善用能权、排污权、碳排放权交易制度。健全生态环境质量考核奖惩机制。</w:t>
                  </w:r>
                </w:p>
              </w:tc>
              <w:tc>
                <w:tcPr>
                  <w:tcW w:w="1763" w:type="pct"/>
                  <w:noWrap w:val="0"/>
                  <w:vAlign w:val="center"/>
                </w:tcPr>
                <w:p w14:paraId="16961BBE">
                  <w:pPr>
                    <w:jc w:val="center"/>
                    <w:rPr>
                      <w:rStyle w:val="103"/>
                      <w:rFonts w:hint="default" w:ascii="Times New Roman" w:hAnsi="Times New Roman" w:eastAsia="宋体" w:cs="Times New Roman"/>
                      <w:color w:val="auto"/>
                      <w:kern w:val="0"/>
                      <w:szCs w:val="21"/>
                    </w:rPr>
                  </w:pPr>
                  <w:r>
                    <w:rPr>
                      <w:rStyle w:val="103"/>
                      <w:rFonts w:hint="eastAsia" w:cs="Times New Roman"/>
                      <w:color w:val="auto"/>
                      <w:kern w:val="0"/>
                      <w:szCs w:val="21"/>
                      <w:lang w:eastAsia="zh-CN"/>
                    </w:rPr>
                    <w:t>本项目不涉及。</w:t>
                  </w:r>
                </w:p>
              </w:tc>
              <w:tc>
                <w:tcPr>
                  <w:tcW w:w="612" w:type="pct"/>
                  <w:noWrap w:val="0"/>
                  <w:vAlign w:val="center"/>
                </w:tcPr>
                <w:p w14:paraId="641B2894">
                  <w:pPr>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符合</w:t>
                  </w:r>
                </w:p>
              </w:tc>
            </w:tr>
            <w:tr w14:paraId="4CA39FB5">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57FC3C76">
                  <w:pPr>
                    <w:pStyle w:val="27"/>
                    <w:spacing w:before="0" w:beforeAutospacing="0" w:after="0" w:afterAutospacing="0"/>
                    <w:rPr>
                      <w:rFonts w:hint="default" w:ascii="Times New Roman" w:hAnsi="Times New Roman" w:eastAsia="宋体" w:cs="Times New Roman"/>
                      <w:b/>
                      <w:bCs/>
                      <w:color w:val="auto"/>
                      <w:sz w:val="21"/>
                      <w:szCs w:val="21"/>
                      <w:shd w:val="clear" w:color="auto" w:fill="FFFFFF"/>
                    </w:rPr>
                  </w:pPr>
                  <w:r>
                    <w:rPr>
                      <w:rFonts w:hint="default" w:ascii="Times New Roman" w:hAnsi="Times New Roman" w:eastAsia="宋体" w:cs="Times New Roman"/>
                      <w:b/>
                      <w:bCs/>
                      <w:color w:val="auto"/>
                      <w:sz w:val="21"/>
                      <w:szCs w:val="21"/>
                      <w:shd w:val="clear" w:color="auto" w:fill="FFFFFF"/>
                    </w:rPr>
                    <w:t>第三十二条 加强滇池面山生态屏障建设。</w:t>
                  </w:r>
                </w:p>
                <w:p w14:paraId="1D0F923F">
                  <w:pPr>
                    <w:pStyle w:val="27"/>
                    <w:spacing w:before="0" w:beforeAutospacing="0" w:after="0" w:afterAutospacing="0"/>
                    <w:rPr>
                      <w:rFonts w:hint="default" w:ascii="Times New Roman" w:hAnsi="Times New Roman" w:eastAsia="宋体" w:cs="Times New Roman"/>
                      <w:color w:val="auto"/>
                      <w:szCs w:val="21"/>
                      <w:shd w:val="clear" w:color="auto" w:fill="FFFFFF"/>
                    </w:rPr>
                  </w:pPr>
                  <w:r>
                    <w:rPr>
                      <w:rStyle w:val="103"/>
                      <w:rFonts w:hint="eastAsia" w:ascii="Times New Roman" w:hAnsi="Times New Roman" w:eastAsia="宋体" w:cs="Times New Roman"/>
                      <w:color w:val="auto"/>
                      <w:kern w:val="0"/>
                      <w:sz w:val="21"/>
                      <w:szCs w:val="21"/>
                      <w:highlight w:val="none"/>
                      <w:lang w:val="en-US" w:eastAsia="zh-CN" w:bidi="ar-SA"/>
                    </w:rPr>
                    <w:t>严格控制滇池面山区域开发建设活动，不得破坏生态自然景观。提升面山水源涵养、水土保持、生物多样性保护等重要生态服务功能，实施面山水土流失防治、植被修复与生态恢复工程，建设滇池面山生态屏障。</w:t>
                  </w:r>
                </w:p>
              </w:tc>
              <w:tc>
                <w:tcPr>
                  <w:tcW w:w="1763" w:type="pct"/>
                  <w:noWrap w:val="0"/>
                  <w:vAlign w:val="center"/>
                </w:tcPr>
                <w:p w14:paraId="68EBE946">
                  <w:pPr>
                    <w:rPr>
                      <w:rStyle w:val="103"/>
                      <w:rFonts w:hint="default" w:ascii="Times New Roman" w:hAnsi="Times New Roman" w:eastAsia="宋体" w:cs="Times New Roman"/>
                      <w:color w:val="auto"/>
                      <w:kern w:val="0"/>
                      <w:szCs w:val="21"/>
                    </w:rPr>
                  </w:pPr>
                  <w:r>
                    <w:rPr>
                      <w:rFonts w:hint="eastAsia"/>
                      <w:color w:val="auto"/>
                      <w:sz w:val="21"/>
                      <w:szCs w:val="21"/>
                    </w:rPr>
                    <w:t>本</w:t>
                  </w:r>
                  <w:r>
                    <w:rPr>
                      <w:rFonts w:hint="eastAsia" w:ascii="Times New Roman" w:hAnsi="Times New Roman" w:eastAsia="宋体" w:cs="Times New Roman"/>
                      <w:color w:val="auto"/>
                      <w:sz w:val="21"/>
                      <w:szCs w:val="21"/>
                    </w:rPr>
                    <w:t>项目位于云南省玉溪市澄江市产业园区提古片区</w:t>
                  </w:r>
                  <w:r>
                    <w:rPr>
                      <w:rFonts w:hint="eastAsia" w:ascii="Times New Roman" w:hAnsi="Times New Roman" w:eastAsia="宋体" w:cs="Times New Roman"/>
                      <w:color w:val="auto"/>
                      <w:sz w:val="21"/>
                      <w:szCs w:val="21"/>
                      <w:lang w:val="en-US" w:eastAsia="zh-CN"/>
                    </w:rPr>
                    <w:t>，不属于滇池面山区域。</w:t>
                  </w:r>
                </w:p>
              </w:tc>
              <w:tc>
                <w:tcPr>
                  <w:tcW w:w="612" w:type="pct"/>
                  <w:noWrap w:val="0"/>
                  <w:vAlign w:val="center"/>
                </w:tcPr>
                <w:p w14:paraId="454CA2B6">
                  <w:pPr>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符合</w:t>
                  </w:r>
                </w:p>
              </w:tc>
            </w:tr>
            <w:tr w14:paraId="3A0341A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4D19E6CF">
                  <w:pPr>
                    <w:pStyle w:val="27"/>
                    <w:spacing w:before="0" w:beforeAutospacing="0" w:after="0" w:afterAutospacing="0"/>
                    <w:rPr>
                      <w:rFonts w:hint="default" w:ascii="Times New Roman" w:hAnsi="Times New Roman" w:eastAsia="宋体" w:cs="Times New Roman"/>
                      <w:b/>
                      <w:bCs/>
                      <w:color w:val="auto"/>
                      <w:sz w:val="21"/>
                      <w:szCs w:val="21"/>
                      <w:shd w:val="clear" w:color="auto" w:fill="FFFFFF"/>
                    </w:rPr>
                  </w:pPr>
                  <w:r>
                    <w:rPr>
                      <w:rFonts w:hint="default" w:ascii="Times New Roman" w:hAnsi="Times New Roman" w:eastAsia="宋体" w:cs="Times New Roman"/>
                      <w:b/>
                      <w:bCs/>
                      <w:color w:val="auto"/>
                      <w:sz w:val="21"/>
                      <w:szCs w:val="21"/>
                      <w:shd w:val="clear" w:color="auto" w:fill="FFFFFF"/>
                    </w:rPr>
                    <w:t>第三十三条 提升城市空间品质。</w:t>
                  </w:r>
                </w:p>
                <w:p w14:paraId="7F71D0B7">
                  <w:pPr>
                    <w:pStyle w:val="27"/>
                    <w:spacing w:before="0" w:beforeAutospacing="0" w:after="0" w:afterAutospacing="0"/>
                    <w:rPr>
                      <w:rFonts w:hint="default" w:ascii="Times New Roman" w:hAnsi="Times New Roman" w:eastAsia="宋体" w:cs="Times New Roman"/>
                      <w:color w:val="auto"/>
                      <w:szCs w:val="21"/>
                      <w:shd w:val="clear" w:color="auto" w:fill="FFFFFF"/>
                    </w:rPr>
                  </w:pPr>
                  <w:r>
                    <w:rPr>
                      <w:rStyle w:val="103"/>
                      <w:rFonts w:hint="eastAsia" w:ascii="Times New Roman" w:hAnsi="Times New Roman" w:eastAsia="宋体" w:cs="Times New Roman"/>
                      <w:color w:val="auto"/>
                      <w:kern w:val="0"/>
                      <w:sz w:val="21"/>
                      <w:szCs w:val="21"/>
                      <w:highlight w:val="none"/>
                      <w:lang w:val="en-US" w:eastAsia="zh-CN" w:bidi="ar-SA"/>
                    </w:rPr>
                    <w:t>推进美丽宜居城市建设，促进湖城和谐发展。积极推进城市更新改造，分区分类分级加快城市有机更新，盘活利用低效存量建设用地，完善公共空间及公共配套，协调滨水空间与城市功能布局，优化城市滨水景观，推进城市品质明显提升。</w:t>
                  </w:r>
                </w:p>
              </w:tc>
              <w:tc>
                <w:tcPr>
                  <w:tcW w:w="1763" w:type="pct"/>
                  <w:noWrap w:val="0"/>
                  <w:vAlign w:val="center"/>
                </w:tcPr>
                <w:p w14:paraId="6C1291BE">
                  <w:pPr>
                    <w:jc w:val="center"/>
                    <w:rPr>
                      <w:rStyle w:val="103"/>
                      <w:rFonts w:hint="default" w:ascii="Times New Roman" w:hAnsi="Times New Roman" w:eastAsia="宋体" w:cs="Times New Roman"/>
                      <w:color w:val="auto"/>
                      <w:kern w:val="0"/>
                      <w:szCs w:val="21"/>
                    </w:rPr>
                  </w:pPr>
                  <w:r>
                    <w:rPr>
                      <w:rStyle w:val="103"/>
                      <w:rFonts w:hint="eastAsia" w:cs="Times New Roman"/>
                      <w:color w:val="auto"/>
                      <w:kern w:val="0"/>
                      <w:szCs w:val="21"/>
                      <w:lang w:eastAsia="zh-CN"/>
                    </w:rPr>
                    <w:t>本项目不涉及。</w:t>
                  </w:r>
                </w:p>
              </w:tc>
              <w:tc>
                <w:tcPr>
                  <w:tcW w:w="612" w:type="pct"/>
                  <w:noWrap w:val="0"/>
                  <w:vAlign w:val="center"/>
                </w:tcPr>
                <w:p w14:paraId="2D795EC3">
                  <w:pPr>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符合</w:t>
                  </w:r>
                </w:p>
              </w:tc>
            </w:tr>
            <w:tr w14:paraId="51A30D7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jc w:val="center"/>
              </w:trPr>
              <w:tc>
                <w:tcPr>
                  <w:tcW w:w="2624" w:type="pct"/>
                  <w:noWrap w:val="0"/>
                  <w:vAlign w:val="center"/>
                </w:tcPr>
                <w:p w14:paraId="07004EEE">
                  <w:pPr>
                    <w:rPr>
                      <w:rFonts w:hint="default" w:ascii="Times New Roman" w:hAnsi="Times New Roman" w:eastAsia="宋体" w:cs="Times New Roman"/>
                      <w:b/>
                      <w:bCs/>
                      <w:color w:val="auto"/>
                      <w:kern w:val="0"/>
                      <w:sz w:val="21"/>
                      <w:szCs w:val="21"/>
                      <w:shd w:val="clear" w:color="auto" w:fill="FFFFFF"/>
                      <w:lang w:val="en-US" w:eastAsia="zh-CN" w:bidi="ar-SA"/>
                    </w:rPr>
                  </w:pPr>
                  <w:r>
                    <w:rPr>
                      <w:rFonts w:hint="default" w:ascii="Times New Roman" w:hAnsi="Times New Roman" w:eastAsia="宋体" w:cs="Times New Roman"/>
                      <w:b/>
                      <w:bCs/>
                      <w:color w:val="auto"/>
                      <w:kern w:val="0"/>
                      <w:sz w:val="21"/>
                      <w:szCs w:val="21"/>
                      <w:shd w:val="clear" w:color="auto" w:fill="FFFFFF"/>
                      <w:lang w:val="en-US" w:eastAsia="zh-CN" w:bidi="ar-SA"/>
                    </w:rPr>
                    <w:t xml:space="preserve">第三十四条 </w:t>
                  </w:r>
                </w:p>
                <w:p w14:paraId="33044E94">
                  <w:pPr>
                    <w:rPr>
                      <w:rFonts w:hint="default" w:ascii="Times New Roman" w:hAnsi="Times New Roman" w:eastAsia="宋体" w:cs="Times New Roman"/>
                      <w:color w:val="auto"/>
                      <w:szCs w:val="21"/>
                      <w:shd w:val="clear" w:color="auto" w:fill="FFFFFF"/>
                    </w:rPr>
                  </w:pPr>
                  <w:r>
                    <w:rPr>
                      <w:rStyle w:val="103"/>
                      <w:rFonts w:hint="eastAsia" w:ascii="Times New Roman" w:hAnsi="Times New Roman" w:eastAsia="宋体" w:cs="Times New Roman"/>
                      <w:color w:val="auto"/>
                      <w:kern w:val="0"/>
                      <w:sz w:val="21"/>
                      <w:szCs w:val="21"/>
                      <w:highlight w:val="none"/>
                      <w:lang w:val="en-US" w:eastAsia="zh-CN" w:bidi="ar-SA"/>
                    </w:rPr>
                    <w:t>绿色发展区中涉及的滇池二级保护区，要按照中央生态环境保护督察整改的要求，在国土空间规划中进行科学研究并优化调整，纳入国土空间规划进行从严管控，确保保护面积不减少、管控标准不降低。</w:t>
                  </w:r>
                </w:p>
              </w:tc>
              <w:tc>
                <w:tcPr>
                  <w:tcW w:w="1763" w:type="pct"/>
                  <w:noWrap w:val="0"/>
                  <w:vAlign w:val="center"/>
                </w:tcPr>
                <w:p w14:paraId="7BCC2E0D">
                  <w:pPr>
                    <w:rPr>
                      <w:rStyle w:val="103"/>
                      <w:rFonts w:hint="eastAsia" w:ascii="Times New Roman" w:hAnsi="Times New Roman" w:eastAsia="宋体" w:cs="Times New Roman"/>
                      <w:color w:val="auto"/>
                      <w:kern w:val="0"/>
                      <w:szCs w:val="21"/>
                      <w:lang w:eastAsia="zh-CN"/>
                    </w:rPr>
                  </w:pPr>
                  <w:r>
                    <w:rPr>
                      <w:rStyle w:val="103"/>
                      <w:rFonts w:hint="eastAsia" w:cs="Times New Roman"/>
                      <w:color w:val="auto"/>
                      <w:kern w:val="0"/>
                      <w:szCs w:val="21"/>
                      <w:lang w:eastAsia="zh-CN"/>
                    </w:rPr>
                    <w:t>本项目不涉及滇池二级保护区。</w:t>
                  </w:r>
                </w:p>
              </w:tc>
              <w:tc>
                <w:tcPr>
                  <w:tcW w:w="612" w:type="pct"/>
                  <w:noWrap w:val="0"/>
                  <w:vAlign w:val="center"/>
                </w:tcPr>
                <w:p w14:paraId="2F69794F">
                  <w:pPr>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符合</w:t>
                  </w:r>
                </w:p>
              </w:tc>
            </w:tr>
          </w:tbl>
          <w:p w14:paraId="7DCB03DA">
            <w:pPr>
              <w:autoSpaceDE w:val="0"/>
              <w:autoSpaceDN w:val="0"/>
              <w:adjustRightInd w:val="0"/>
              <w:snapToGrid w:val="0"/>
              <w:spacing w:line="360" w:lineRule="auto"/>
              <w:ind w:firstLine="480" w:firstLineChars="200"/>
              <w:jc w:val="left"/>
              <w:rPr>
                <w:rFonts w:hint="eastAsia"/>
                <w:b/>
                <w:color w:val="auto"/>
                <w:sz w:val="24"/>
                <w:highlight w:val="none"/>
              </w:rPr>
            </w:pPr>
            <w:r>
              <w:rPr>
                <w:rFonts w:hint="eastAsia" w:ascii="Times New Roman" w:hAnsi="Times New Roman" w:eastAsia="宋体" w:cs="Times New Roman"/>
                <w:color w:val="auto"/>
                <w:kern w:val="0"/>
                <w:sz w:val="24"/>
                <w:lang w:val="en-US" w:eastAsia="zh-CN"/>
              </w:rPr>
              <w:t>根据上述分析，项目符合《滇池</w:t>
            </w:r>
            <w:r>
              <w:rPr>
                <w:rFonts w:hint="default" w:ascii="Times New Roman" w:hAnsi="Times New Roman" w:eastAsia="宋体" w:cs="Times New Roman"/>
                <w:color w:val="auto"/>
                <w:kern w:val="0"/>
                <w:sz w:val="24"/>
                <w:lang w:val="en-US" w:eastAsia="zh-CN"/>
              </w:rPr>
              <w:t>“</w:t>
            </w:r>
            <w:r>
              <w:rPr>
                <w:rFonts w:hint="eastAsia" w:ascii="Times New Roman" w:hAnsi="Times New Roman" w:eastAsia="宋体" w:cs="Times New Roman"/>
                <w:color w:val="auto"/>
                <w:kern w:val="0"/>
                <w:sz w:val="24"/>
                <w:lang w:val="en-US" w:eastAsia="zh-CN"/>
              </w:rPr>
              <w:t>三区</w:t>
            </w:r>
            <w:r>
              <w:rPr>
                <w:rFonts w:hint="default" w:ascii="Times New Roman" w:hAnsi="Times New Roman" w:eastAsia="宋体" w:cs="Times New Roman"/>
                <w:color w:val="auto"/>
                <w:kern w:val="0"/>
                <w:sz w:val="24"/>
                <w:lang w:val="en-US" w:eastAsia="zh-CN"/>
              </w:rPr>
              <w:t>”</w:t>
            </w:r>
            <w:r>
              <w:rPr>
                <w:rFonts w:hint="eastAsia" w:ascii="Times New Roman" w:hAnsi="Times New Roman" w:eastAsia="宋体" w:cs="Times New Roman"/>
                <w:color w:val="auto"/>
                <w:kern w:val="0"/>
                <w:sz w:val="24"/>
                <w:lang w:val="en-US" w:eastAsia="zh-CN"/>
              </w:rPr>
              <w:t>管控实施细则（试行）》的通知（昆政发</w:t>
            </w:r>
            <w:r>
              <w:rPr>
                <w:rFonts w:hint="default" w:ascii="Times New Roman" w:hAnsi="Times New Roman" w:eastAsia="宋体" w:cs="Times New Roman"/>
                <w:color w:val="auto"/>
                <w:kern w:val="0"/>
                <w:sz w:val="24"/>
                <w:lang w:val="en-US" w:eastAsia="zh-CN"/>
              </w:rPr>
              <w:t xml:space="preserve">[2022]31 </w:t>
            </w:r>
            <w:r>
              <w:rPr>
                <w:rFonts w:hint="eastAsia" w:ascii="Times New Roman" w:hAnsi="Times New Roman" w:eastAsia="宋体" w:cs="Times New Roman"/>
                <w:color w:val="auto"/>
                <w:kern w:val="0"/>
                <w:sz w:val="24"/>
                <w:lang w:val="en-US" w:eastAsia="zh-CN"/>
              </w:rPr>
              <w:t>号）的相关要求。</w:t>
            </w:r>
          </w:p>
          <w:p w14:paraId="51B36520">
            <w:pPr>
              <w:spacing w:line="360" w:lineRule="auto"/>
              <w:ind w:firstLine="495"/>
              <w:rPr>
                <w:rFonts w:hint="eastAsia" w:ascii="Times New Roman" w:hAnsi="Times New Roman" w:eastAsia="宋体" w:cs="Times New Roman"/>
                <w:b/>
                <w:color w:val="auto"/>
                <w:sz w:val="24"/>
                <w:highlight w:val="none"/>
                <w:lang w:val="en-US" w:eastAsia="zh-CN"/>
              </w:rPr>
            </w:pPr>
            <w:r>
              <w:rPr>
                <w:rFonts w:hint="eastAsia" w:ascii="Times New Roman" w:hAnsi="Times New Roman" w:eastAsia="宋体" w:cs="Times New Roman"/>
                <w:b/>
                <w:color w:val="auto"/>
                <w:sz w:val="24"/>
                <w:highlight w:val="none"/>
                <w:lang w:val="en-US" w:eastAsia="zh-CN"/>
              </w:rPr>
              <w:t>20、项目</w:t>
            </w:r>
            <w:r>
              <w:rPr>
                <w:rFonts w:hint="eastAsia" w:cs="Times New Roman"/>
                <w:b/>
                <w:color w:val="auto"/>
                <w:sz w:val="24"/>
                <w:highlight w:val="none"/>
                <w:lang w:val="en-US" w:eastAsia="zh-CN"/>
              </w:rPr>
              <w:t>与</w:t>
            </w:r>
            <w:r>
              <w:rPr>
                <w:rFonts w:hint="eastAsia" w:ascii="Times New Roman" w:hAnsi="Times New Roman" w:eastAsia="宋体" w:cs="Times New Roman"/>
                <w:b/>
                <w:color w:val="auto"/>
                <w:sz w:val="24"/>
                <w:highlight w:val="none"/>
              </w:rPr>
              <w:t>《抚仙湖生态保护核心区生态保护缓冲区绿色发展区划定范围》</w:t>
            </w:r>
            <w:r>
              <w:rPr>
                <w:rFonts w:hint="eastAsia" w:ascii="Times New Roman" w:hAnsi="Times New Roman" w:eastAsia="宋体" w:cs="Times New Roman"/>
                <w:b/>
                <w:color w:val="auto"/>
                <w:sz w:val="24"/>
                <w:highlight w:val="none"/>
                <w:lang w:val="en-US" w:eastAsia="zh-CN"/>
              </w:rPr>
              <w:t>相符性分析</w:t>
            </w:r>
          </w:p>
          <w:p w14:paraId="61B7C16A">
            <w:pPr>
              <w:autoSpaceDE w:val="0"/>
              <w:autoSpaceDN w:val="0"/>
              <w:adjustRightInd w:val="0"/>
              <w:snapToGrid w:val="0"/>
              <w:spacing w:line="360" w:lineRule="auto"/>
              <w:ind w:firstLine="480" w:firstLineChars="200"/>
              <w:jc w:val="left"/>
              <w:rPr>
                <w:rFonts w:hint="eastAsia"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按照《云南省抚仙湖保护条例》要求，根据抚仙湖湖滨生态红线、湖泊生态黄线划定成果，确定抚仙湖生态保护核心区、生态保护缓冲区和绿色发展区（以下简称“三区”</w:t>
            </w:r>
            <w:r>
              <w:rPr>
                <w:rFonts w:hint="default" w:ascii="Times New Roman" w:hAnsi="Times New Roman" w:eastAsia="宋体" w:cs="Times New Roman"/>
                <w:color w:val="auto"/>
                <w:kern w:val="0"/>
                <w:sz w:val="24"/>
                <w:lang w:val="en-US" w:eastAsia="zh-CN"/>
              </w:rPr>
              <w:t>）具体范围。</w:t>
            </w:r>
          </w:p>
          <w:p w14:paraId="7FBBB690">
            <w:pPr>
              <w:autoSpaceDE w:val="0"/>
              <w:autoSpaceDN w:val="0"/>
              <w:adjustRightInd w:val="0"/>
              <w:snapToGrid w:val="0"/>
              <w:spacing w:line="360" w:lineRule="auto"/>
              <w:ind w:firstLine="480" w:firstLineChars="200"/>
              <w:jc w:val="left"/>
              <w:rPr>
                <w:rFonts w:hint="eastAsia"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生态保护核心区是指湖滨生态红线以内的水域和陆域（含孤山岛），生态保护缓冲区是指湖滨生态红线与湖泊生态黄线之间的区域，绿色发展区是指湖泊生态黄线与湖泊流域分水线之间的区域。</w:t>
            </w:r>
          </w:p>
          <w:p w14:paraId="09E92754">
            <w:pPr>
              <w:keepNext w:val="0"/>
              <w:keepLines w:val="0"/>
              <w:pageBreakBefore w:val="0"/>
              <w:kinsoku/>
              <w:wordWrap/>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根据2022年11月28日</w:t>
            </w:r>
            <w:r>
              <w:rPr>
                <w:rFonts w:hint="default" w:ascii="Times New Roman" w:hAnsi="Times New Roman" w:eastAsia="宋体" w:cs="Times New Roman"/>
                <w:color w:val="auto"/>
                <w:kern w:val="0"/>
                <w:sz w:val="24"/>
                <w:lang w:val="en-US" w:eastAsia="zh-CN"/>
              </w:rPr>
              <w:t>玉溪市人民政府印发的《云南省抚仙湖湖滨生态红线及湖泊生态黄线“两线”划定方案（精简版）》中的</w:t>
            </w:r>
            <w:r>
              <w:rPr>
                <w:rFonts w:hint="eastAsia" w:ascii="Times New Roman" w:hAnsi="Times New Roman" w:eastAsia="宋体" w:cs="Times New Roman"/>
                <w:color w:val="auto"/>
                <w:kern w:val="0"/>
                <w:sz w:val="24"/>
                <w:lang w:val="en-US" w:eastAsia="zh-CN"/>
              </w:rPr>
              <w:t>“两线”</w:t>
            </w:r>
            <w:r>
              <w:rPr>
                <w:rFonts w:hint="default" w:ascii="Times New Roman" w:hAnsi="Times New Roman" w:eastAsia="宋体" w:cs="Times New Roman"/>
                <w:color w:val="auto"/>
                <w:kern w:val="0"/>
                <w:sz w:val="24"/>
                <w:lang w:val="en-US" w:eastAsia="zh-CN"/>
              </w:rPr>
              <w:t>所确定的</w:t>
            </w:r>
            <w:r>
              <w:rPr>
                <w:rFonts w:hint="eastAsia" w:ascii="Times New Roman" w:hAnsi="Times New Roman" w:eastAsia="宋体" w:cs="Times New Roman"/>
                <w:color w:val="auto"/>
                <w:kern w:val="0"/>
                <w:sz w:val="24"/>
                <w:lang w:val="en-US" w:eastAsia="zh-CN"/>
              </w:rPr>
              <w:t>“三区”</w:t>
            </w:r>
            <w:r>
              <w:rPr>
                <w:rFonts w:hint="default" w:ascii="Times New Roman" w:hAnsi="Times New Roman" w:eastAsia="宋体" w:cs="Times New Roman"/>
                <w:color w:val="auto"/>
                <w:kern w:val="0"/>
                <w:sz w:val="24"/>
                <w:lang w:val="en-US" w:eastAsia="zh-CN"/>
              </w:rPr>
              <w:t>范围。</w:t>
            </w:r>
            <w:r>
              <w:rPr>
                <w:rFonts w:hint="eastAsia" w:ascii="Times New Roman" w:hAnsi="Times New Roman" w:eastAsia="宋体" w:cs="Times New Roman"/>
                <w:color w:val="auto"/>
                <w:kern w:val="0"/>
                <w:sz w:val="24"/>
                <w:lang w:val="en-US" w:eastAsia="zh-CN"/>
              </w:rPr>
              <w:t>本项目位于</w:t>
            </w:r>
            <w:r>
              <w:rPr>
                <w:rFonts w:hint="eastAsia" w:ascii="Times New Roman" w:hAnsi="Times New Roman" w:eastAsia="宋体" w:cs="Times New Roman"/>
                <w:color w:val="auto"/>
                <w:sz w:val="24"/>
                <w:szCs w:val="24"/>
                <w:highlight w:val="none"/>
                <w:lang w:val="en-US" w:eastAsia="zh-CN"/>
              </w:rPr>
              <w:t>云南省</w:t>
            </w:r>
            <w:r>
              <w:rPr>
                <w:rFonts w:hint="eastAsia" w:cs="Times New Roman"/>
                <w:color w:val="auto"/>
                <w:sz w:val="24"/>
                <w:szCs w:val="24"/>
                <w:highlight w:val="none"/>
                <w:lang w:val="en-US" w:eastAsia="zh-CN"/>
              </w:rPr>
              <w:t>玉溪市澄江市产业园区提古片区，</w:t>
            </w:r>
            <w:r>
              <w:rPr>
                <w:rFonts w:hint="eastAsia" w:ascii="Times New Roman" w:hAnsi="Times New Roman" w:eastAsia="宋体" w:cs="Times New Roman"/>
                <w:color w:val="auto"/>
                <w:kern w:val="0"/>
                <w:sz w:val="24"/>
                <w:lang w:val="en-US" w:eastAsia="zh-CN"/>
              </w:rPr>
              <w:t>不在抚仙湖保护区范围内（详见附图9）。</w:t>
            </w:r>
          </w:p>
          <w:p w14:paraId="6552B50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bidi w:val="0"/>
              <w:adjustRightInd w:val="0"/>
              <w:snapToGrid w:val="0"/>
              <w:spacing w:before="0" w:beforeAutospacing="0" w:after="0" w:afterAutospacing="0" w:line="360" w:lineRule="auto"/>
              <w:ind w:left="0" w:right="0" w:firstLine="482" w:firstLineChars="200"/>
              <w:jc w:val="left"/>
              <w:textAlignment w:val="auto"/>
              <w:rPr>
                <w:rFonts w:hint="eastAsia" w:ascii="Times New Roman" w:hAnsi="Times New Roman" w:eastAsia="宋体" w:cs="Times New Roman"/>
                <w:b/>
                <w:bCs w:val="0"/>
                <w:color w:val="auto"/>
                <w:kern w:val="2"/>
                <w:sz w:val="24"/>
                <w:szCs w:val="24"/>
                <w:highlight w:val="none"/>
                <w:lang w:val="en-US" w:eastAsia="zh-CN" w:bidi="ar-SA"/>
              </w:rPr>
            </w:pPr>
            <w:r>
              <w:rPr>
                <w:rFonts w:hint="eastAsia" w:ascii="Times New Roman" w:hAnsi="Times New Roman" w:eastAsia="宋体" w:cs="Times New Roman"/>
                <w:b/>
                <w:bCs w:val="0"/>
                <w:color w:val="auto"/>
                <w:kern w:val="2"/>
                <w:sz w:val="24"/>
                <w:szCs w:val="24"/>
                <w:highlight w:val="none"/>
                <w:lang w:val="en-US" w:eastAsia="zh-CN" w:bidi="ar-SA"/>
              </w:rPr>
              <w:t>21、项目与《</w:t>
            </w:r>
            <w:r>
              <w:rPr>
                <w:rFonts w:hint="default" w:ascii="Times New Roman" w:hAnsi="Times New Roman" w:eastAsia="宋体" w:cs="Times New Roman"/>
                <w:b/>
                <w:bCs w:val="0"/>
                <w:color w:val="auto"/>
                <w:kern w:val="2"/>
                <w:sz w:val="24"/>
                <w:szCs w:val="24"/>
                <w:highlight w:val="none"/>
                <w:lang w:val="en-US" w:eastAsia="zh-CN" w:bidi="ar-SA"/>
              </w:rPr>
              <w:t>中华人民共和国生态环境法典</w:t>
            </w:r>
            <w:r>
              <w:rPr>
                <w:rFonts w:hint="eastAsia" w:ascii="Times New Roman" w:hAnsi="Times New Roman" w:eastAsia="宋体" w:cs="Times New Roman"/>
                <w:b/>
                <w:bCs w:val="0"/>
                <w:color w:val="auto"/>
                <w:kern w:val="2"/>
                <w:sz w:val="24"/>
                <w:szCs w:val="24"/>
                <w:highlight w:val="none"/>
                <w:lang w:val="en-US" w:eastAsia="zh-CN" w:bidi="ar-SA"/>
              </w:rPr>
              <w:t>》（中华人民共和国主席令第七十号）相符性分析</w:t>
            </w:r>
          </w:p>
          <w:p w14:paraId="7950CEAB">
            <w:pPr>
              <w:keepNext w:val="0"/>
              <w:keepLines w:val="0"/>
              <w:pageBreakBefore w:val="0"/>
              <w:kinsoku/>
              <w:wordWrap/>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项目与《</w:t>
            </w:r>
            <w:r>
              <w:rPr>
                <w:rFonts w:hint="default" w:ascii="Times New Roman" w:hAnsi="Times New Roman" w:eastAsia="宋体" w:cs="Times New Roman"/>
                <w:color w:val="auto"/>
                <w:kern w:val="0"/>
                <w:sz w:val="24"/>
                <w:lang w:val="en-US" w:eastAsia="zh-CN"/>
              </w:rPr>
              <w:t>中华人民共和国生态环境法典</w:t>
            </w:r>
            <w:r>
              <w:rPr>
                <w:rFonts w:hint="eastAsia" w:ascii="Times New Roman" w:hAnsi="Times New Roman" w:eastAsia="宋体" w:cs="Times New Roman"/>
                <w:color w:val="auto"/>
                <w:kern w:val="0"/>
                <w:sz w:val="24"/>
                <w:lang w:val="en-US" w:eastAsia="zh-CN"/>
              </w:rPr>
              <w:t>》（中华人民共和国主席令第七十号）中“第二编 污染防治”涉及本项目相关内容的符合性分析。</w:t>
            </w:r>
          </w:p>
          <w:p w14:paraId="3AA30FF3">
            <w:pPr>
              <w:pStyle w:val="39"/>
              <w:adjustRightInd/>
              <w:jc w:val="center"/>
              <w:rPr>
                <w:rStyle w:val="37"/>
                <w:rFonts w:hint="default" w:ascii="Times New Roman" w:hAnsi="Times New Roman" w:cs="Times New Roman"/>
                <w:b/>
                <w:bCs/>
                <w:color w:val="auto"/>
                <w:szCs w:val="21"/>
              </w:rPr>
            </w:pPr>
            <w:r>
              <w:rPr>
                <w:rStyle w:val="37"/>
                <w:rFonts w:hint="default" w:ascii="Times New Roman" w:hAnsi="Times New Roman" w:cs="Times New Roman"/>
                <w:b/>
                <w:bCs/>
                <w:color w:val="auto"/>
                <w:szCs w:val="21"/>
              </w:rPr>
              <w:t>表1-</w:t>
            </w:r>
            <w:r>
              <w:rPr>
                <w:rStyle w:val="37"/>
                <w:rFonts w:hint="default" w:ascii="Times New Roman" w:hAnsi="Times New Roman" w:cs="Times New Roman"/>
                <w:b/>
                <w:bCs/>
                <w:color w:val="auto"/>
                <w:szCs w:val="21"/>
                <w:lang w:val="en-US" w:eastAsia="zh-CN"/>
              </w:rPr>
              <w:t>2</w:t>
            </w:r>
            <w:r>
              <w:rPr>
                <w:rStyle w:val="37"/>
                <w:rFonts w:hint="eastAsia" w:cs="Times New Roman"/>
                <w:b/>
                <w:bCs/>
                <w:color w:val="auto"/>
                <w:szCs w:val="21"/>
                <w:lang w:val="en-US" w:eastAsia="zh-CN"/>
              </w:rPr>
              <w:t>1</w:t>
            </w:r>
            <w:r>
              <w:rPr>
                <w:rStyle w:val="37"/>
                <w:rFonts w:hint="default" w:ascii="Times New Roman" w:hAnsi="Times New Roman" w:cs="Times New Roman"/>
                <w:b/>
                <w:bCs/>
                <w:color w:val="auto"/>
                <w:szCs w:val="21"/>
              </w:rPr>
              <w:t xml:space="preserve"> </w:t>
            </w:r>
            <w:r>
              <w:rPr>
                <w:rStyle w:val="37"/>
                <w:rFonts w:hint="default" w:ascii="Times New Roman" w:hAnsi="Times New Roman" w:cs="Times New Roman"/>
                <w:b/>
                <w:bCs/>
                <w:color w:val="auto"/>
                <w:szCs w:val="21"/>
                <w:lang w:val="en-US" w:eastAsia="zh-CN"/>
              </w:rPr>
              <w:t xml:space="preserve"> </w:t>
            </w:r>
            <w:r>
              <w:rPr>
                <w:rStyle w:val="37"/>
                <w:rFonts w:hint="default" w:ascii="Times New Roman" w:hAnsi="Times New Roman" w:cs="Times New Roman"/>
                <w:b/>
                <w:bCs/>
                <w:color w:val="auto"/>
                <w:szCs w:val="21"/>
              </w:rPr>
              <w:t>项</w:t>
            </w:r>
            <w:r>
              <w:rPr>
                <w:rStyle w:val="37"/>
                <w:rFonts w:hint="default" w:ascii="Times New Roman" w:hAnsi="Times New Roman" w:eastAsia="宋体" w:cs="Times New Roman"/>
                <w:b/>
                <w:bCs/>
                <w:color w:val="auto"/>
                <w:szCs w:val="21"/>
              </w:rPr>
              <w:t>目与</w:t>
            </w:r>
            <w:r>
              <w:rPr>
                <w:rStyle w:val="37"/>
                <w:rFonts w:hint="eastAsia" w:ascii="Times New Roman" w:hAnsi="Times New Roman" w:eastAsia="宋体" w:cs="Times New Roman"/>
                <w:b/>
                <w:bCs/>
                <w:color w:val="auto"/>
                <w:szCs w:val="21"/>
                <w:lang w:val="en-US" w:eastAsia="zh-CN"/>
              </w:rPr>
              <w:t>《</w:t>
            </w:r>
            <w:r>
              <w:rPr>
                <w:rStyle w:val="37"/>
                <w:rFonts w:hint="default" w:ascii="Times New Roman" w:hAnsi="Times New Roman" w:eastAsia="宋体" w:cs="Times New Roman"/>
                <w:b/>
                <w:bCs/>
                <w:color w:val="auto"/>
                <w:szCs w:val="21"/>
                <w:lang w:val="en-US" w:eastAsia="zh-CN"/>
              </w:rPr>
              <w:t>中华人民共和国生态环境法典</w:t>
            </w:r>
            <w:r>
              <w:rPr>
                <w:rStyle w:val="37"/>
                <w:rFonts w:hint="eastAsia" w:ascii="Times New Roman" w:hAnsi="Times New Roman" w:eastAsia="宋体" w:cs="Times New Roman"/>
                <w:b/>
                <w:bCs/>
                <w:color w:val="auto"/>
                <w:szCs w:val="21"/>
                <w:lang w:val="en-US" w:eastAsia="zh-CN"/>
              </w:rPr>
              <w:t>》（中华人民共和国主席令第七十号）</w:t>
            </w:r>
            <w:r>
              <w:rPr>
                <w:rStyle w:val="37"/>
                <w:rFonts w:hint="default" w:ascii="Times New Roman" w:hAnsi="Times New Roman" w:cs="Times New Roman"/>
                <w:b/>
                <w:bCs/>
                <w:color w:val="auto"/>
                <w:szCs w:val="21"/>
              </w:rPr>
              <w:t>符合性分析表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362"/>
              <w:gridCol w:w="2835"/>
              <w:gridCol w:w="682"/>
            </w:tblGrid>
            <w:tr w14:paraId="27B6E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62" w:type="dxa"/>
                  <w:tcBorders>
                    <w:top w:val="single" w:color="auto" w:sz="4" w:space="0"/>
                    <w:left w:val="single" w:color="auto" w:sz="4" w:space="0"/>
                    <w:bottom w:val="single" w:color="auto" w:sz="4" w:space="0"/>
                    <w:right w:val="single" w:color="auto" w:sz="4" w:space="0"/>
                  </w:tcBorders>
                  <w:vAlign w:val="center"/>
                </w:tcPr>
                <w:p w14:paraId="5A8E1200">
                  <w:pPr>
                    <w:pStyle w:val="39"/>
                    <w:adjustRightInd/>
                    <w:jc w:val="center"/>
                    <w:rPr>
                      <w:rStyle w:val="37"/>
                      <w:color w:val="auto"/>
                      <w:szCs w:val="21"/>
                    </w:rPr>
                  </w:pPr>
                  <w:r>
                    <w:rPr>
                      <w:rStyle w:val="37"/>
                      <w:rFonts w:hint="eastAsia"/>
                      <w:color w:val="auto"/>
                      <w:szCs w:val="21"/>
                    </w:rPr>
                    <w:t>相关</w:t>
                  </w:r>
                  <w:r>
                    <w:rPr>
                      <w:rStyle w:val="37"/>
                      <w:color w:val="auto"/>
                      <w:szCs w:val="21"/>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61B48985">
                  <w:pPr>
                    <w:pStyle w:val="39"/>
                    <w:adjustRightInd/>
                    <w:jc w:val="center"/>
                    <w:rPr>
                      <w:rStyle w:val="37"/>
                      <w:color w:val="auto"/>
                      <w:szCs w:val="21"/>
                    </w:rPr>
                  </w:pPr>
                  <w:r>
                    <w:rPr>
                      <w:rStyle w:val="37"/>
                      <w:color w:val="auto"/>
                      <w:szCs w:val="21"/>
                    </w:rPr>
                    <w:t>本项目情况</w:t>
                  </w:r>
                </w:p>
              </w:tc>
              <w:tc>
                <w:tcPr>
                  <w:tcW w:w="682" w:type="dxa"/>
                  <w:tcBorders>
                    <w:top w:val="single" w:color="auto" w:sz="4" w:space="0"/>
                    <w:left w:val="single" w:color="auto" w:sz="4" w:space="0"/>
                    <w:bottom w:val="single" w:color="auto" w:sz="4" w:space="0"/>
                    <w:right w:val="single" w:color="auto" w:sz="4" w:space="0"/>
                  </w:tcBorders>
                  <w:vAlign w:val="center"/>
                </w:tcPr>
                <w:p w14:paraId="2FE15FF4">
                  <w:pPr>
                    <w:pStyle w:val="39"/>
                    <w:adjustRightInd/>
                    <w:jc w:val="center"/>
                    <w:rPr>
                      <w:rStyle w:val="37"/>
                      <w:color w:val="auto"/>
                      <w:szCs w:val="21"/>
                    </w:rPr>
                  </w:pPr>
                  <w:r>
                    <w:rPr>
                      <w:rStyle w:val="37"/>
                      <w:color w:val="auto"/>
                      <w:szCs w:val="21"/>
                    </w:rPr>
                    <w:t>符合情况</w:t>
                  </w:r>
                </w:p>
              </w:tc>
            </w:tr>
            <w:tr w14:paraId="07197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62" w:type="dxa"/>
                  <w:tcBorders>
                    <w:top w:val="single" w:color="auto" w:sz="4" w:space="0"/>
                    <w:left w:val="single" w:color="auto" w:sz="4" w:space="0"/>
                    <w:bottom w:val="single" w:color="auto" w:sz="4" w:space="0"/>
                    <w:right w:val="single" w:color="auto" w:sz="4" w:space="0"/>
                  </w:tcBorders>
                  <w:vAlign w:val="center"/>
                </w:tcPr>
                <w:p w14:paraId="1794005A">
                  <w:pPr>
                    <w:pStyle w:val="39"/>
                    <w:keepNext w:val="0"/>
                    <w:keepLines w:val="0"/>
                    <w:pageBreakBefore w:val="0"/>
                    <w:kinsoku/>
                    <w:wordWrap/>
                    <w:overflowPunct/>
                    <w:topLinePunct w:val="0"/>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第一百五十条 排放污染物的单位和个人，应当采取有效措施，防治在生产、生活和其他活动中产生的大气污染、水污染、海洋污染、土壤污染、固体废物污染、噪声污染、放射性污染，以及化学物质污染、电磁辐射污染、光污染等环境污染</w:t>
                  </w:r>
                </w:p>
              </w:tc>
              <w:tc>
                <w:tcPr>
                  <w:tcW w:w="2835" w:type="dxa"/>
                  <w:tcBorders>
                    <w:top w:val="single" w:color="auto" w:sz="4" w:space="0"/>
                    <w:left w:val="single" w:color="auto" w:sz="4" w:space="0"/>
                    <w:bottom w:val="single" w:color="auto" w:sz="4" w:space="0"/>
                    <w:right w:val="single" w:color="auto" w:sz="4" w:space="0"/>
                  </w:tcBorders>
                  <w:vAlign w:val="center"/>
                </w:tcPr>
                <w:p w14:paraId="71F2F002">
                  <w:pPr>
                    <w:pStyle w:val="39"/>
                    <w:keepNext w:val="0"/>
                    <w:keepLines w:val="0"/>
                    <w:pageBreakBefore w:val="0"/>
                    <w:kinsoku/>
                    <w:wordWrap/>
                    <w:overflowPunct/>
                    <w:topLinePunct w:val="0"/>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项目属于</w:t>
                  </w:r>
                  <w:r>
                    <w:rPr>
                      <w:rFonts w:hint="default" w:ascii="Times New Roman" w:hAnsi="Times New Roman" w:eastAsia="宋体" w:cs="Times New Roman"/>
                      <w:color w:val="auto"/>
                      <w:kern w:val="2"/>
                      <w:sz w:val="21"/>
                      <w:szCs w:val="21"/>
                      <w:lang w:val="en-US" w:eastAsia="zh-CN" w:bidi="ar-SA"/>
                    </w:rPr>
                    <w:t>塑料包装箱及容器制造</w:t>
                  </w:r>
                  <w:r>
                    <w:rPr>
                      <w:rFonts w:hint="eastAsia" w:ascii="Times New Roman" w:hAnsi="Times New Roman" w:eastAsia="宋体" w:cs="Times New Roman"/>
                      <w:color w:val="auto"/>
                      <w:kern w:val="2"/>
                      <w:sz w:val="21"/>
                      <w:szCs w:val="21"/>
                      <w:lang w:val="en-US" w:eastAsia="zh-CN" w:bidi="ar-SA"/>
                    </w:rPr>
                    <w:t>，项目已采取有效措施，防治在生产、生活和其他活动中产生的大气污染、水污染、固体废物污染、噪声污染等环境污染。</w:t>
                  </w:r>
                </w:p>
              </w:tc>
              <w:tc>
                <w:tcPr>
                  <w:tcW w:w="682" w:type="dxa"/>
                  <w:tcBorders>
                    <w:top w:val="single" w:color="auto" w:sz="4" w:space="0"/>
                    <w:left w:val="single" w:color="auto" w:sz="4" w:space="0"/>
                    <w:bottom w:val="single" w:color="auto" w:sz="4" w:space="0"/>
                    <w:right w:val="single" w:color="auto" w:sz="4" w:space="0"/>
                  </w:tcBorders>
                  <w:vAlign w:val="center"/>
                </w:tcPr>
                <w:p w14:paraId="483A9FA5">
                  <w:pPr>
                    <w:pStyle w:val="39"/>
                    <w:adjustRightInd/>
                    <w:jc w:val="center"/>
                    <w:rPr>
                      <w:rStyle w:val="37"/>
                      <w:color w:val="auto"/>
                      <w:szCs w:val="21"/>
                    </w:rPr>
                  </w:pPr>
                  <w:r>
                    <w:rPr>
                      <w:rStyle w:val="37"/>
                      <w:rFonts w:hint="eastAsia"/>
                      <w:color w:val="auto"/>
                      <w:szCs w:val="21"/>
                    </w:rPr>
                    <w:t>符合</w:t>
                  </w:r>
                </w:p>
              </w:tc>
            </w:tr>
            <w:tr w14:paraId="343AF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62" w:type="dxa"/>
                  <w:tcBorders>
                    <w:top w:val="single" w:color="auto" w:sz="4" w:space="0"/>
                    <w:left w:val="single" w:color="auto" w:sz="4" w:space="0"/>
                    <w:bottom w:val="single" w:color="auto" w:sz="4" w:space="0"/>
                    <w:right w:val="single" w:color="auto" w:sz="4" w:space="0"/>
                  </w:tcBorders>
                  <w:vAlign w:val="center"/>
                </w:tcPr>
                <w:p w14:paraId="317CFAD5">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240" w:lineRule="auto"/>
                    <w:ind w:right="0"/>
                    <w:jc w:val="both"/>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 xml:space="preserve">第一百六十二条 </w:t>
                  </w:r>
                  <w:r>
                    <w:rPr>
                      <w:rFonts w:hint="default" w:ascii="Times New Roman" w:hAnsi="Times New Roman" w:eastAsia="宋体" w:cs="Times New Roman"/>
                      <w:color w:val="auto"/>
                      <w:kern w:val="2"/>
                      <w:sz w:val="21"/>
                      <w:szCs w:val="21"/>
                      <w:lang w:val="en-US" w:eastAsia="zh-CN" w:bidi="ar-SA"/>
                    </w:rPr>
                    <w:t>建设项目中的污染防治设施，应当与主体工程同时设计、同时施工、同时投产使用。污染防治设施应当符合经批准的生态环境影响报告书、生态环境影响报告表的要求，不得擅自拆除或者闲置。</w:t>
                  </w:r>
                </w:p>
                <w:p w14:paraId="6FD24045">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240" w:lineRule="auto"/>
                    <w:ind w:right="0"/>
                    <w:jc w:val="both"/>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建设项目在投入生产或者使用前，建设单位应当按照国家规定，对配套建设的污染防治设施进行验收。</w:t>
                  </w:r>
                </w:p>
              </w:tc>
              <w:tc>
                <w:tcPr>
                  <w:tcW w:w="2835" w:type="dxa"/>
                  <w:tcBorders>
                    <w:top w:val="single" w:color="auto" w:sz="4" w:space="0"/>
                    <w:left w:val="single" w:color="auto" w:sz="4" w:space="0"/>
                    <w:bottom w:val="single" w:color="auto" w:sz="4" w:space="0"/>
                    <w:right w:val="single" w:color="auto" w:sz="4" w:space="0"/>
                  </w:tcBorders>
                  <w:vAlign w:val="center"/>
                </w:tcPr>
                <w:p w14:paraId="06344DE1">
                  <w:pPr>
                    <w:pStyle w:val="39"/>
                    <w:keepNext w:val="0"/>
                    <w:keepLines w:val="0"/>
                    <w:pageBreakBefore w:val="0"/>
                    <w:kinsoku/>
                    <w:wordWrap/>
                    <w:overflowPunct/>
                    <w:topLinePunct w:val="0"/>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项目</w:t>
                  </w:r>
                  <w:r>
                    <w:rPr>
                      <w:rFonts w:hint="default" w:ascii="Times New Roman" w:hAnsi="Times New Roman" w:eastAsia="宋体" w:cs="Times New Roman"/>
                      <w:color w:val="auto"/>
                      <w:kern w:val="2"/>
                      <w:sz w:val="21"/>
                      <w:szCs w:val="21"/>
                      <w:lang w:val="en-US" w:eastAsia="zh-CN" w:bidi="ar-SA"/>
                    </w:rPr>
                    <w:t>的污染防治设施，与主体工程同时设计、同时施工、同时投产使用。</w:t>
                  </w:r>
                  <w:r>
                    <w:rPr>
                      <w:rFonts w:hint="eastAsia" w:ascii="Times New Roman" w:hAnsi="Times New Roman" w:eastAsia="宋体" w:cs="Times New Roman"/>
                      <w:color w:val="auto"/>
                      <w:kern w:val="2"/>
                      <w:sz w:val="21"/>
                      <w:szCs w:val="21"/>
                      <w:lang w:val="en-US" w:eastAsia="zh-CN" w:bidi="ar-SA"/>
                    </w:rPr>
                    <w:t>后期建设的</w:t>
                  </w:r>
                  <w:r>
                    <w:rPr>
                      <w:rFonts w:hint="default" w:ascii="Times New Roman" w:hAnsi="Times New Roman" w:eastAsia="宋体" w:cs="Times New Roman"/>
                      <w:color w:val="auto"/>
                      <w:kern w:val="2"/>
                      <w:sz w:val="21"/>
                      <w:szCs w:val="21"/>
                      <w:lang w:val="en-US" w:eastAsia="zh-CN" w:bidi="ar-SA"/>
                    </w:rPr>
                    <w:t>污染防治设施符合经批准的生态环境影响报告表的要求，不擅自拆除或者闲置</w:t>
                  </w:r>
                  <w:r>
                    <w:rPr>
                      <w:rFonts w:hint="eastAsia" w:ascii="Times New Roman" w:hAnsi="Times New Roman" w:eastAsia="宋体" w:cs="Times New Roman"/>
                      <w:color w:val="auto"/>
                      <w:kern w:val="2"/>
                      <w:sz w:val="21"/>
                      <w:szCs w:val="21"/>
                      <w:lang w:val="en-US" w:eastAsia="zh-CN" w:bidi="ar-SA"/>
                    </w:rPr>
                    <w:t>并</w:t>
                  </w:r>
                  <w:r>
                    <w:rPr>
                      <w:rFonts w:hint="default" w:ascii="Times New Roman" w:hAnsi="Times New Roman" w:eastAsia="宋体" w:cs="Times New Roman"/>
                      <w:color w:val="auto"/>
                      <w:kern w:val="2"/>
                      <w:sz w:val="21"/>
                      <w:szCs w:val="21"/>
                      <w:lang w:val="en-US" w:eastAsia="zh-CN" w:bidi="ar-SA"/>
                    </w:rPr>
                    <w:t>对配套建设的污染防治设施进行验收。</w:t>
                  </w:r>
                </w:p>
              </w:tc>
              <w:tc>
                <w:tcPr>
                  <w:tcW w:w="682" w:type="dxa"/>
                  <w:tcBorders>
                    <w:top w:val="single" w:color="auto" w:sz="4" w:space="0"/>
                    <w:left w:val="single" w:color="auto" w:sz="4" w:space="0"/>
                    <w:bottom w:val="single" w:color="auto" w:sz="4" w:space="0"/>
                    <w:right w:val="single" w:color="auto" w:sz="4" w:space="0"/>
                  </w:tcBorders>
                  <w:vAlign w:val="center"/>
                </w:tcPr>
                <w:p w14:paraId="1A614046">
                  <w:pPr>
                    <w:pStyle w:val="39"/>
                    <w:adjustRightInd/>
                    <w:jc w:val="center"/>
                    <w:rPr>
                      <w:rStyle w:val="37"/>
                      <w:color w:val="auto"/>
                      <w:szCs w:val="21"/>
                    </w:rPr>
                  </w:pPr>
                  <w:r>
                    <w:rPr>
                      <w:rStyle w:val="37"/>
                      <w:rFonts w:hint="eastAsia"/>
                      <w:color w:val="auto"/>
                      <w:szCs w:val="21"/>
                    </w:rPr>
                    <w:t>符合</w:t>
                  </w:r>
                </w:p>
              </w:tc>
            </w:tr>
            <w:tr w14:paraId="6123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62" w:type="dxa"/>
                  <w:tcBorders>
                    <w:top w:val="single" w:color="auto" w:sz="4" w:space="0"/>
                    <w:left w:val="single" w:color="auto" w:sz="4" w:space="0"/>
                    <w:bottom w:val="single" w:color="auto" w:sz="4" w:space="0"/>
                    <w:right w:val="single" w:color="auto" w:sz="4" w:space="0"/>
                  </w:tcBorders>
                  <w:vAlign w:val="center"/>
                </w:tcPr>
                <w:p w14:paraId="04954200">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240" w:lineRule="auto"/>
                    <w:ind w:left="0" w:right="0" w:firstLine="420"/>
                    <w:jc w:val="both"/>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 xml:space="preserve">第一百六十四条 </w:t>
                  </w:r>
                  <w:r>
                    <w:rPr>
                      <w:rFonts w:hint="default" w:ascii="Times New Roman" w:hAnsi="Times New Roman" w:eastAsia="宋体" w:cs="Times New Roman"/>
                      <w:color w:val="auto"/>
                      <w:kern w:val="2"/>
                      <w:sz w:val="21"/>
                      <w:szCs w:val="21"/>
                      <w:lang w:val="en-US" w:eastAsia="zh-CN" w:bidi="ar-SA"/>
                    </w:rPr>
                    <w:t>禁止通过暗管、渗井、渗坑、灌注、裂隙、溶洞、篡改或者伪造监测数据、以逃避现场检查为目的的临时停产、非紧急情况下开启应急排放通道、不正常运行污染防治设施等逃避监管的方式排放污染物。</w:t>
                  </w:r>
                </w:p>
                <w:p w14:paraId="1AF70C84">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val="0"/>
                    <w:snapToGrid w:val="0"/>
                    <w:spacing w:before="0" w:beforeAutospacing="0" w:after="0" w:afterAutospacing="0" w:line="240" w:lineRule="auto"/>
                    <w:ind w:left="0" w:right="0" w:firstLine="420"/>
                    <w:jc w:val="both"/>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禁止向江河湖泊、运河、渠道、水库及其最高水位线以下的滩地和岸坡以及法律法规规定的其他地点倾倒、堆放、贮存固体废物和其他污染物。</w:t>
                  </w:r>
                </w:p>
              </w:tc>
              <w:tc>
                <w:tcPr>
                  <w:tcW w:w="2835" w:type="dxa"/>
                  <w:tcBorders>
                    <w:top w:val="single" w:color="auto" w:sz="4" w:space="0"/>
                    <w:left w:val="single" w:color="auto" w:sz="4" w:space="0"/>
                    <w:bottom w:val="single" w:color="auto" w:sz="4" w:space="0"/>
                    <w:right w:val="single" w:color="auto" w:sz="4" w:space="0"/>
                  </w:tcBorders>
                  <w:vAlign w:val="center"/>
                </w:tcPr>
                <w:p w14:paraId="34A6E9FC">
                  <w:pPr>
                    <w:pStyle w:val="39"/>
                    <w:keepNext w:val="0"/>
                    <w:keepLines w:val="0"/>
                    <w:pageBreakBefore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rPr>
                    <w:t>项目排水采用雨污分流的排水方式，</w:t>
                  </w:r>
                  <w:r>
                    <w:rPr>
                      <w:rFonts w:ascii="Times New Roman" w:hAnsi="Times New Roman" w:eastAsia="宋体" w:cs="Times New Roman"/>
                      <w:color w:val="auto"/>
                      <w:kern w:val="0"/>
                      <w:sz w:val="21"/>
                      <w:szCs w:val="21"/>
                    </w:rPr>
                    <w:t>项目区建筑物屋面及地面雨水经厂区雨水沟收集后排入园区雨水市政管网；</w:t>
                  </w:r>
                  <w:r>
                    <w:rPr>
                      <w:color w:val="auto"/>
                      <w:kern w:val="0"/>
                      <w:sz w:val="21"/>
                      <w:szCs w:val="21"/>
                    </w:rPr>
                    <w:t>冷却水</w:t>
                  </w:r>
                  <w:r>
                    <w:rPr>
                      <w:rFonts w:ascii="Times New Roman" w:hAnsi="Times New Roman" w:eastAsia="宋体" w:cs="Times New Roman"/>
                      <w:color w:val="auto"/>
                      <w:kern w:val="0"/>
                      <w:sz w:val="21"/>
                      <w:szCs w:val="21"/>
                    </w:rPr>
                    <w:t>经冷却循环</w:t>
                  </w:r>
                  <w:r>
                    <w:rPr>
                      <w:rFonts w:hint="eastAsia" w:ascii="Times New Roman" w:hAnsi="Times New Roman" w:eastAsia="宋体" w:cs="Times New Roman"/>
                      <w:color w:val="auto"/>
                      <w:kern w:val="0"/>
                      <w:sz w:val="21"/>
                      <w:szCs w:val="21"/>
                    </w:rPr>
                    <w:t>水箱</w:t>
                  </w:r>
                  <w:r>
                    <w:rPr>
                      <w:rFonts w:ascii="Times New Roman" w:hAnsi="Times New Roman" w:eastAsia="宋体" w:cs="Times New Roman"/>
                      <w:color w:val="auto"/>
                      <w:kern w:val="0"/>
                      <w:sz w:val="21"/>
                      <w:szCs w:val="21"/>
                    </w:rPr>
                    <w:t>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w:t>
                  </w:r>
                  <w:r>
                    <w:rPr>
                      <w:rFonts w:hint="default" w:ascii="Times New Roman" w:hAnsi="Times New Roman" w:eastAsia="宋体" w:cs="Times New Roman"/>
                      <w:b w:val="0"/>
                      <w:bCs w:val="0"/>
                      <w:color w:val="auto"/>
                      <w:sz w:val="21"/>
                      <w:szCs w:val="21"/>
                      <w:highlight w:val="none"/>
                      <w:lang w:val="en-US" w:eastAsia="zh-CN"/>
                    </w:rPr>
                    <w:t>标后，用于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r>
                    <w:rPr>
                      <w:rFonts w:hint="eastAsia" w:ascii="Times New Roman" w:hAnsi="Times New Roman" w:eastAsia="宋体" w:cs="Times New Roman"/>
                      <w:color w:val="auto"/>
                      <w:kern w:val="0"/>
                      <w:sz w:val="21"/>
                      <w:szCs w:val="21"/>
                      <w:lang w:val="en-US" w:eastAsia="zh-CN"/>
                    </w:rPr>
                    <w:t>，项目固体废物均经过合法合规方法100%处置。</w:t>
                  </w:r>
                </w:p>
              </w:tc>
              <w:tc>
                <w:tcPr>
                  <w:tcW w:w="682" w:type="dxa"/>
                  <w:tcBorders>
                    <w:top w:val="single" w:color="auto" w:sz="4" w:space="0"/>
                    <w:left w:val="single" w:color="auto" w:sz="4" w:space="0"/>
                    <w:bottom w:val="single" w:color="auto" w:sz="4" w:space="0"/>
                    <w:right w:val="single" w:color="auto" w:sz="4" w:space="0"/>
                  </w:tcBorders>
                  <w:vAlign w:val="center"/>
                </w:tcPr>
                <w:p w14:paraId="5819C95C">
                  <w:pPr>
                    <w:pStyle w:val="39"/>
                    <w:adjustRightInd/>
                    <w:jc w:val="center"/>
                    <w:rPr>
                      <w:rStyle w:val="37"/>
                      <w:color w:val="auto"/>
                      <w:szCs w:val="21"/>
                    </w:rPr>
                  </w:pPr>
                  <w:r>
                    <w:rPr>
                      <w:rStyle w:val="37"/>
                      <w:rFonts w:hint="eastAsia"/>
                      <w:color w:val="auto"/>
                      <w:szCs w:val="21"/>
                    </w:rPr>
                    <w:t>符合</w:t>
                  </w:r>
                </w:p>
              </w:tc>
            </w:tr>
            <w:tr w14:paraId="27F27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62" w:type="dxa"/>
                  <w:tcBorders>
                    <w:top w:val="single" w:color="auto" w:sz="4" w:space="0"/>
                    <w:left w:val="single" w:color="auto" w:sz="4" w:space="0"/>
                    <w:bottom w:val="single" w:color="auto" w:sz="4" w:space="0"/>
                    <w:right w:val="single" w:color="auto" w:sz="4" w:space="0"/>
                  </w:tcBorders>
                  <w:vAlign w:val="center"/>
                </w:tcPr>
                <w:p w14:paraId="3F913B6B">
                  <w:pPr>
                    <w:pStyle w:val="39"/>
                    <w:keepNext w:val="0"/>
                    <w:keepLines w:val="0"/>
                    <w:pageBreakBefore w:val="0"/>
                    <w:kinsoku/>
                    <w:wordWrap/>
                    <w:overflowPunct/>
                    <w:topLinePunct w:val="0"/>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第一百七十四条 实行排污许可管理的企业事业单位和其他生产经营者应当按照规定取得排污许可证，未取得排污许可证的不得排放污染物。</w:t>
                  </w:r>
                </w:p>
              </w:tc>
              <w:tc>
                <w:tcPr>
                  <w:tcW w:w="2835" w:type="dxa"/>
                  <w:tcBorders>
                    <w:top w:val="single" w:color="auto" w:sz="4" w:space="0"/>
                    <w:left w:val="single" w:color="auto" w:sz="4" w:space="0"/>
                    <w:bottom w:val="single" w:color="auto" w:sz="4" w:space="0"/>
                    <w:right w:val="single" w:color="auto" w:sz="4" w:space="0"/>
                  </w:tcBorders>
                  <w:vAlign w:val="center"/>
                </w:tcPr>
                <w:p w14:paraId="2BB7B75D">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本项目需进行排污登记管理，取得排污许可登记回执，不得无证排污。</w:t>
                  </w:r>
                </w:p>
              </w:tc>
              <w:tc>
                <w:tcPr>
                  <w:tcW w:w="682" w:type="dxa"/>
                  <w:tcBorders>
                    <w:top w:val="single" w:color="auto" w:sz="4" w:space="0"/>
                    <w:left w:val="single" w:color="auto" w:sz="4" w:space="0"/>
                    <w:bottom w:val="single" w:color="auto" w:sz="4" w:space="0"/>
                    <w:right w:val="single" w:color="auto" w:sz="4" w:space="0"/>
                  </w:tcBorders>
                  <w:vAlign w:val="center"/>
                </w:tcPr>
                <w:p w14:paraId="15C7649B">
                  <w:pPr>
                    <w:pStyle w:val="39"/>
                    <w:adjustRightInd/>
                    <w:jc w:val="center"/>
                    <w:rPr>
                      <w:rStyle w:val="37"/>
                      <w:rFonts w:hint="eastAsia" w:eastAsia="宋体"/>
                      <w:color w:val="auto"/>
                      <w:szCs w:val="21"/>
                      <w:lang w:eastAsia="zh-CN"/>
                    </w:rPr>
                  </w:pPr>
                  <w:r>
                    <w:rPr>
                      <w:rStyle w:val="37"/>
                      <w:rFonts w:hint="eastAsia"/>
                      <w:color w:val="auto"/>
                      <w:szCs w:val="21"/>
                      <w:lang w:eastAsia="zh-CN"/>
                    </w:rPr>
                    <w:t>符合</w:t>
                  </w:r>
                </w:p>
              </w:tc>
            </w:tr>
            <w:tr w14:paraId="463F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362" w:type="dxa"/>
                  <w:tcBorders>
                    <w:top w:val="single" w:color="auto" w:sz="4" w:space="0"/>
                    <w:left w:val="single" w:color="auto" w:sz="4" w:space="0"/>
                    <w:bottom w:val="single" w:color="auto" w:sz="4" w:space="0"/>
                    <w:right w:val="single" w:color="auto" w:sz="4" w:space="0"/>
                  </w:tcBorders>
                  <w:vAlign w:val="center"/>
                </w:tcPr>
                <w:p w14:paraId="5E58A6F4">
                  <w:pPr>
                    <w:pStyle w:val="39"/>
                    <w:keepNext w:val="0"/>
                    <w:keepLines w:val="0"/>
                    <w:pageBreakBefore w:val="0"/>
                    <w:kinsoku/>
                    <w:wordWrap/>
                    <w:overflowPunct/>
                    <w:topLinePunct w:val="0"/>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第二百一十四条 生产、使用含挥发性有机物的原辅材料和产品，应当按照国家规定，在密闭空间、设备中进行并安装、使用污染防治设施，或者采取有效措施减少废气排放。</w:t>
                  </w:r>
                </w:p>
              </w:tc>
              <w:tc>
                <w:tcPr>
                  <w:tcW w:w="2835" w:type="dxa"/>
                  <w:tcBorders>
                    <w:top w:val="single" w:color="auto" w:sz="4" w:space="0"/>
                    <w:left w:val="single" w:color="auto" w:sz="4" w:space="0"/>
                    <w:bottom w:val="single" w:color="auto" w:sz="4" w:space="0"/>
                    <w:right w:val="single" w:color="auto" w:sz="4" w:space="0"/>
                  </w:tcBorders>
                  <w:vAlign w:val="center"/>
                </w:tcPr>
                <w:p w14:paraId="6202C63A">
                  <w:pPr>
                    <w:pStyle w:val="39"/>
                    <w:keepNext w:val="0"/>
                    <w:keepLines w:val="0"/>
                    <w:pageBreakBefore w:val="0"/>
                    <w:kinsoku/>
                    <w:wordWrap/>
                    <w:overflowPunct/>
                    <w:topLinePunct w:val="0"/>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Style w:val="37"/>
                      <w:rFonts w:hint="eastAsia"/>
                      <w:color w:val="auto"/>
                      <w:szCs w:val="21"/>
                    </w:rPr>
                    <w:t>项目</w:t>
                  </w:r>
                  <w:r>
                    <w:rPr>
                      <w:rFonts w:hint="default" w:ascii="Times New Roman" w:hAnsi="Times New Roman" w:eastAsia="宋体" w:cs="Times New Roman"/>
                      <w:color w:val="auto"/>
                      <w:sz w:val="21"/>
                      <w:szCs w:val="21"/>
                      <w:lang w:val="en-US" w:eastAsia="zh-CN"/>
                    </w:rPr>
                    <w:t>生产过程</w:t>
                  </w:r>
                  <w:r>
                    <w:rPr>
                      <w:rFonts w:hint="eastAsia" w:ascii="Times New Roman" w:hAnsi="Times New Roman" w:eastAsia="宋体" w:cs="Times New Roman"/>
                      <w:color w:val="auto"/>
                      <w:sz w:val="21"/>
                      <w:szCs w:val="21"/>
                      <w:lang w:val="en-US" w:eastAsia="zh-CN"/>
                    </w:rPr>
                    <w:t>产生的</w:t>
                  </w:r>
                  <w:r>
                    <w:rPr>
                      <w:rFonts w:hint="eastAsia" w:ascii="Times New Roman" w:cs="Times New Roman"/>
                      <w:color w:val="auto"/>
                      <w:sz w:val="21"/>
                      <w:szCs w:val="21"/>
                      <w:lang w:val="en-US" w:eastAsia="zh-CN"/>
                    </w:rPr>
                    <w:t>注塑</w:t>
                  </w:r>
                  <w:r>
                    <w:rPr>
                      <w:rFonts w:hint="eastAsia" w:ascii="Times New Roman" w:hAnsi="Times New Roman" w:eastAsia="宋体" w:cs="Times New Roman"/>
                      <w:color w:val="auto"/>
                      <w:sz w:val="21"/>
                      <w:szCs w:val="21"/>
                      <w:lang w:val="en-US" w:eastAsia="zh-CN"/>
                    </w:rPr>
                    <w:t>废气采用</w:t>
                  </w:r>
                  <w:r>
                    <w:rPr>
                      <w:rFonts w:hint="eastAsia" w:ascii="Times New Roman" w:cs="Times New Roman"/>
                      <w:color w:val="auto"/>
                      <w:sz w:val="21"/>
                      <w:szCs w:val="21"/>
                      <w:lang w:val="en-US" w:eastAsia="zh-CN"/>
                    </w:rPr>
                    <w:t>三</w:t>
                  </w:r>
                  <w:r>
                    <w:rPr>
                      <w:rFonts w:hint="eastAsia" w:ascii="Times New Roman" w:hAnsi="Times New Roman" w:eastAsia="宋体" w:cs="Times New Roman"/>
                      <w:color w:val="auto"/>
                      <w:sz w:val="21"/>
                      <w:szCs w:val="21"/>
                      <w:lang w:val="en-US" w:eastAsia="zh-CN"/>
                    </w:rPr>
                    <w:t>级活性炭吸附</w:t>
                  </w:r>
                  <w:r>
                    <w:rPr>
                      <w:rFonts w:hint="eastAsia" w:ascii="Times New Roman" w:cs="Times New Roman"/>
                      <w:color w:val="auto"/>
                      <w:sz w:val="21"/>
                      <w:szCs w:val="21"/>
                      <w:lang w:val="en-US" w:eastAsia="zh-CN"/>
                    </w:rPr>
                    <w:t>装置</w:t>
                  </w:r>
                  <w:r>
                    <w:rPr>
                      <w:rFonts w:hint="eastAsia" w:ascii="Times New Roman" w:hAnsi="Times New Roman" w:eastAsia="宋体" w:cs="Times New Roman"/>
                      <w:color w:val="auto"/>
                      <w:sz w:val="21"/>
                      <w:szCs w:val="21"/>
                      <w:lang w:val="en-US" w:eastAsia="zh-CN"/>
                    </w:rPr>
                    <w:t>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通过15m高排气筒（DA001）排放；破碎废气</w:t>
                  </w:r>
                  <w:r>
                    <w:rPr>
                      <w:rFonts w:hint="eastAsia" w:ascii="Times New Roman" w:hAnsi="Times New Roman" w:eastAsia="宋体" w:cs="Times New Roman"/>
                      <w:color w:val="auto"/>
                      <w:sz w:val="21"/>
                      <w:szCs w:val="21"/>
                      <w:lang w:val="en-US" w:eastAsia="zh-CN"/>
                    </w:rPr>
                    <w:t>采用布袋除尘器进行处理达标</w:t>
                  </w:r>
                  <w:r>
                    <w:rPr>
                      <w:rFonts w:hint="eastAsia" w:ascii="Times New Roman" w:eastAsia="宋体" w:cs="Times New Roman"/>
                      <w:color w:val="auto"/>
                      <w:sz w:val="21"/>
                      <w:szCs w:val="21"/>
                      <w:lang w:val="en-US" w:eastAsia="zh-CN"/>
                    </w:rPr>
                    <w:t>后</w:t>
                  </w:r>
                  <w:r>
                    <w:rPr>
                      <w:rFonts w:hint="eastAsia" w:ascii="Times New Roman" w:cs="Times New Roman"/>
                      <w:color w:val="auto"/>
                      <w:sz w:val="21"/>
                      <w:szCs w:val="21"/>
                      <w:lang w:val="en-US" w:eastAsia="zh-CN"/>
                    </w:rPr>
                    <w:t>通过15m高排气筒（DA002）排放</w:t>
                  </w:r>
                  <w:r>
                    <w:rPr>
                      <w:rFonts w:hint="eastAsia" w:cs="Times New Roman"/>
                      <w:color w:val="auto"/>
                      <w:sz w:val="21"/>
                      <w:szCs w:val="21"/>
                      <w:lang w:val="en-US" w:eastAsia="zh-CN"/>
                    </w:rPr>
                    <w:t>，</w:t>
                  </w:r>
                  <w:r>
                    <w:rPr>
                      <w:rFonts w:hint="eastAsia"/>
                      <w:color w:val="auto"/>
                      <w:sz w:val="21"/>
                      <w:szCs w:val="21"/>
                    </w:rPr>
                    <w:t>对环境影响较小。</w:t>
                  </w:r>
                </w:p>
              </w:tc>
              <w:tc>
                <w:tcPr>
                  <w:tcW w:w="682" w:type="dxa"/>
                  <w:tcBorders>
                    <w:top w:val="single" w:color="auto" w:sz="4" w:space="0"/>
                    <w:left w:val="single" w:color="auto" w:sz="4" w:space="0"/>
                    <w:bottom w:val="single" w:color="auto" w:sz="4" w:space="0"/>
                    <w:right w:val="single" w:color="auto" w:sz="4" w:space="0"/>
                  </w:tcBorders>
                  <w:vAlign w:val="center"/>
                </w:tcPr>
                <w:p w14:paraId="5614A8D2">
                  <w:pPr>
                    <w:pStyle w:val="39"/>
                    <w:adjustRightInd/>
                    <w:jc w:val="center"/>
                    <w:rPr>
                      <w:rStyle w:val="37"/>
                      <w:rFonts w:hint="eastAsia" w:eastAsia="宋体"/>
                      <w:color w:val="auto"/>
                      <w:szCs w:val="21"/>
                      <w:lang w:val="en-US" w:eastAsia="zh-CN"/>
                    </w:rPr>
                  </w:pPr>
                  <w:r>
                    <w:rPr>
                      <w:rStyle w:val="37"/>
                      <w:rFonts w:hint="eastAsia"/>
                      <w:color w:val="auto"/>
                      <w:szCs w:val="21"/>
                      <w:lang w:val="en-US" w:eastAsia="zh-CN"/>
                    </w:rPr>
                    <w:t>符合</w:t>
                  </w:r>
                </w:p>
              </w:tc>
            </w:tr>
          </w:tbl>
          <w:p w14:paraId="07D9D736">
            <w:pPr>
              <w:pStyle w:val="17"/>
              <w:adjustRightInd w:val="0"/>
              <w:snapToGrid w:val="0"/>
              <w:spacing w:line="360" w:lineRule="auto"/>
              <w:ind w:firstLine="480" w:firstLineChars="200"/>
              <w:rPr>
                <w:rFonts w:hint="eastAsia"/>
                <w:b/>
                <w:color w:val="auto"/>
                <w:sz w:val="24"/>
                <w:highlight w:val="none"/>
                <w:lang w:val="en-US" w:eastAsia="zh-CN"/>
              </w:rPr>
            </w:pPr>
            <w:r>
              <w:rPr>
                <w:rFonts w:hint="eastAsia" w:ascii="Times New Roman" w:hAnsi="Times New Roman"/>
                <w:color w:val="auto"/>
                <w:sz w:val="24"/>
              </w:rPr>
              <w:t>综上所述，项目建设符合</w:t>
            </w:r>
            <w:r>
              <w:rPr>
                <w:rFonts w:hint="eastAsia" w:ascii="Times New Roman" w:hAnsi="Times New Roman" w:eastAsia="宋体" w:cs="Times New Roman"/>
                <w:color w:val="auto"/>
                <w:kern w:val="0"/>
                <w:sz w:val="24"/>
                <w:lang w:val="en-US" w:eastAsia="zh-CN"/>
              </w:rPr>
              <w:t>《</w:t>
            </w:r>
            <w:r>
              <w:rPr>
                <w:rFonts w:hint="default" w:ascii="Times New Roman" w:hAnsi="Times New Roman" w:eastAsia="宋体" w:cs="Times New Roman"/>
                <w:color w:val="auto"/>
                <w:kern w:val="0"/>
                <w:sz w:val="24"/>
                <w:lang w:val="en-US" w:eastAsia="zh-CN"/>
              </w:rPr>
              <w:t>中华人民共和国生态环境法典</w:t>
            </w:r>
            <w:r>
              <w:rPr>
                <w:rFonts w:hint="eastAsia" w:ascii="Times New Roman" w:hAnsi="Times New Roman" w:eastAsia="宋体" w:cs="Times New Roman"/>
                <w:color w:val="auto"/>
                <w:kern w:val="0"/>
                <w:sz w:val="24"/>
                <w:lang w:val="en-US" w:eastAsia="zh-CN"/>
              </w:rPr>
              <w:t>》（中华人民共和国主席令第七十号）中“第二编 污染防治”</w:t>
            </w:r>
            <w:r>
              <w:rPr>
                <w:rFonts w:hint="eastAsia" w:ascii="Times New Roman" w:hAnsi="Times New Roman"/>
                <w:color w:val="auto"/>
                <w:sz w:val="24"/>
              </w:rPr>
              <w:t>的相关要求。</w:t>
            </w:r>
          </w:p>
          <w:p w14:paraId="266D70C4">
            <w:pPr>
              <w:keepNext w:val="0"/>
              <w:keepLines w:val="0"/>
              <w:pageBreakBefore w:val="0"/>
              <w:kinsoku/>
              <w:wordWrap/>
              <w:topLinePunct w:val="0"/>
              <w:bidi w:val="0"/>
              <w:adjustRightInd w:val="0"/>
              <w:snapToGrid w:val="0"/>
              <w:spacing w:line="360" w:lineRule="auto"/>
              <w:ind w:firstLine="495"/>
              <w:textAlignment w:val="auto"/>
              <w:rPr>
                <w:b/>
                <w:color w:val="auto"/>
                <w:sz w:val="24"/>
                <w:highlight w:val="none"/>
              </w:rPr>
            </w:pPr>
            <w:r>
              <w:rPr>
                <w:rFonts w:hint="eastAsia"/>
                <w:b/>
                <w:color w:val="auto"/>
                <w:sz w:val="24"/>
                <w:highlight w:val="none"/>
                <w:lang w:val="en-US" w:eastAsia="zh-CN"/>
              </w:rPr>
              <w:t>22、</w:t>
            </w:r>
            <w:r>
              <w:rPr>
                <w:b/>
                <w:color w:val="auto"/>
                <w:sz w:val="24"/>
                <w:highlight w:val="none"/>
              </w:rPr>
              <w:t>选址合理性分析</w:t>
            </w:r>
          </w:p>
          <w:p w14:paraId="308AA762">
            <w:pPr>
              <w:adjustRightInd w:val="0"/>
              <w:snapToGrid w:val="0"/>
              <w:spacing w:line="360" w:lineRule="auto"/>
              <w:ind w:firstLine="482"/>
              <w:rPr>
                <w:color w:val="auto"/>
                <w:kern w:val="0"/>
                <w:sz w:val="24"/>
                <w:lang w:bidi="ar"/>
              </w:rPr>
            </w:pPr>
            <w:r>
              <w:rPr>
                <w:rStyle w:val="76"/>
                <w:color w:val="auto"/>
                <w:sz w:val="24"/>
              </w:rPr>
              <w:t>项目</w:t>
            </w:r>
            <w:r>
              <w:rPr>
                <w:rStyle w:val="76"/>
                <w:rFonts w:hint="eastAsia"/>
                <w:color w:val="auto"/>
                <w:sz w:val="24"/>
              </w:rPr>
              <w:t>为</w:t>
            </w:r>
            <w:r>
              <w:rPr>
                <w:rFonts w:hint="eastAsia"/>
                <w:color w:val="auto"/>
                <w:sz w:val="24"/>
                <w:lang w:eastAsia="zh-CN"/>
              </w:rPr>
              <w:t>塑料制品</w:t>
            </w:r>
            <w:r>
              <w:rPr>
                <w:rFonts w:hint="eastAsia"/>
                <w:color w:val="auto"/>
                <w:sz w:val="24"/>
              </w:rPr>
              <w:t>生产，</w:t>
            </w:r>
            <w:r>
              <w:rPr>
                <w:rStyle w:val="76"/>
                <w:color w:val="auto"/>
                <w:sz w:val="24"/>
              </w:rPr>
              <w:t>属于</w:t>
            </w:r>
            <w:r>
              <w:rPr>
                <w:rFonts w:hint="default" w:ascii="Times New Roman" w:hAnsi="Times New Roman" w:eastAsia="宋体" w:cs="Times New Roman"/>
                <w:color w:val="auto"/>
                <w:sz w:val="24"/>
                <w:szCs w:val="24"/>
              </w:rPr>
              <w:t>塑料包装箱及容器制造</w:t>
            </w:r>
            <w:r>
              <w:rPr>
                <w:color w:val="auto"/>
                <w:sz w:val="24"/>
              </w:rPr>
              <w:t>（</w:t>
            </w:r>
            <w:r>
              <w:rPr>
                <w:rFonts w:hint="default" w:ascii="Times New Roman" w:hAnsi="Times New Roman" w:eastAsia="宋体" w:cs="Times New Roman"/>
                <w:color w:val="auto"/>
                <w:sz w:val="24"/>
                <w:szCs w:val="24"/>
              </w:rPr>
              <w:t>C2926</w:t>
            </w:r>
            <w:r>
              <w:rPr>
                <w:color w:val="auto"/>
                <w:sz w:val="24"/>
              </w:rPr>
              <w:t>）</w:t>
            </w:r>
            <w:r>
              <w:rPr>
                <w:color w:val="auto"/>
                <w:kern w:val="0"/>
                <w:sz w:val="24"/>
                <w:lang w:bidi="ar"/>
              </w:rPr>
              <w:t>，位于</w:t>
            </w:r>
            <w:r>
              <w:rPr>
                <w:rFonts w:hint="eastAsia" w:ascii="Times New Roman" w:hAnsi="Times New Roman" w:eastAsia="宋体" w:cs="Times New Roman"/>
                <w:color w:val="auto"/>
                <w:sz w:val="24"/>
                <w:szCs w:val="24"/>
                <w:highlight w:val="none"/>
                <w:lang w:val="en-US" w:eastAsia="zh-CN"/>
              </w:rPr>
              <w:t>云南省</w:t>
            </w:r>
            <w:r>
              <w:rPr>
                <w:rFonts w:hint="eastAsia" w:cs="Times New Roman"/>
                <w:color w:val="auto"/>
                <w:sz w:val="24"/>
                <w:szCs w:val="24"/>
                <w:highlight w:val="none"/>
                <w:lang w:val="en-US" w:eastAsia="zh-CN"/>
              </w:rPr>
              <w:t>玉溪市澄江市产业园区提古片区</w:t>
            </w:r>
            <w:r>
              <w:rPr>
                <w:color w:val="auto"/>
                <w:kern w:val="0"/>
                <w:sz w:val="24"/>
                <w:lang w:bidi="ar"/>
              </w:rPr>
              <w:t>，</w:t>
            </w:r>
            <w:r>
              <w:rPr>
                <w:rFonts w:hint="eastAsia"/>
                <w:color w:val="auto"/>
                <w:kern w:val="0"/>
                <w:sz w:val="24"/>
                <w:lang w:bidi="ar"/>
              </w:rPr>
              <w:t>项目</w:t>
            </w:r>
            <w:r>
              <w:rPr>
                <w:color w:val="auto"/>
                <w:kern w:val="0"/>
                <w:sz w:val="24"/>
                <w:lang w:bidi="ar"/>
              </w:rPr>
              <w:t>用地性质属工业用地</w:t>
            </w:r>
            <w:r>
              <w:rPr>
                <w:rFonts w:hint="eastAsia"/>
                <w:color w:val="auto"/>
                <w:kern w:val="0"/>
                <w:sz w:val="24"/>
                <w:lang w:eastAsia="zh-CN" w:bidi="ar"/>
              </w:rPr>
              <w:t>，</w:t>
            </w:r>
            <w:r>
              <w:rPr>
                <w:rFonts w:ascii="Times New Roman" w:hAnsi="Times New Roman" w:eastAsia="宋体" w:cs="Times New Roman"/>
                <w:color w:val="auto"/>
                <w:sz w:val="24"/>
              </w:rPr>
              <w:t>项目于202</w:t>
            </w:r>
            <w:r>
              <w:rPr>
                <w:rFonts w:hint="eastAsia" w:ascii="Times New Roman" w:hAnsi="Times New Roman" w:eastAsia="宋体" w:cs="Times New Roman"/>
                <w:color w:val="auto"/>
                <w:sz w:val="24"/>
                <w:lang w:val="en-US" w:eastAsia="zh-CN"/>
              </w:rPr>
              <w:t>6</w:t>
            </w:r>
            <w:r>
              <w:rPr>
                <w:rFonts w:ascii="Times New Roman" w:hAnsi="Times New Roman" w:eastAsia="宋体" w:cs="Times New Roman"/>
                <w:color w:val="auto"/>
                <w:sz w:val="24"/>
              </w:rPr>
              <w:t>年</w:t>
            </w:r>
            <w:r>
              <w:rPr>
                <w:rFonts w:hint="eastAsia" w:cs="Times New Roman"/>
                <w:color w:val="auto"/>
                <w:sz w:val="24"/>
                <w:lang w:val="en-US" w:eastAsia="zh-CN"/>
              </w:rPr>
              <w:t>6</w:t>
            </w:r>
            <w:r>
              <w:rPr>
                <w:rFonts w:ascii="Times New Roman" w:hAnsi="Times New Roman" w:eastAsia="宋体" w:cs="Times New Roman"/>
                <w:color w:val="auto"/>
                <w:sz w:val="24"/>
              </w:rPr>
              <w:t>月</w:t>
            </w:r>
            <w:r>
              <w:rPr>
                <w:rFonts w:hint="eastAsia" w:cs="Times New Roman"/>
                <w:color w:val="auto"/>
                <w:sz w:val="24"/>
                <w:lang w:val="en-US" w:eastAsia="zh-CN"/>
              </w:rPr>
              <w:t>17</w:t>
            </w:r>
            <w:r>
              <w:rPr>
                <w:rFonts w:ascii="Times New Roman" w:hAnsi="Times New Roman" w:eastAsia="宋体" w:cs="Times New Roman"/>
                <w:color w:val="auto"/>
                <w:sz w:val="24"/>
              </w:rPr>
              <w:t>日</w:t>
            </w:r>
            <w:r>
              <w:rPr>
                <w:rFonts w:hint="eastAsia" w:ascii="Times New Roman" w:hAnsi="Times New Roman" w:eastAsia="宋体" w:cs="Times New Roman"/>
                <w:color w:val="auto"/>
                <w:sz w:val="24"/>
                <w:lang w:val="en-US" w:eastAsia="zh-CN"/>
              </w:rPr>
              <w:t>取得云南澄江产业园区管理委员会开具的入园证明（见附件</w:t>
            </w:r>
            <w:r>
              <w:rPr>
                <w:rFonts w:hint="eastAsia" w:cs="Times New Roman"/>
                <w:color w:val="auto"/>
                <w:sz w:val="24"/>
                <w:lang w:val="en-US" w:eastAsia="zh-CN"/>
              </w:rPr>
              <w:t>7</w:t>
            </w:r>
            <w:r>
              <w:rPr>
                <w:rFonts w:hint="eastAsia" w:ascii="Times New Roman" w:hAnsi="Times New Roman" w:eastAsia="宋体" w:cs="Times New Roman"/>
                <w:color w:val="auto"/>
                <w:sz w:val="24"/>
                <w:lang w:val="en-US" w:eastAsia="zh-CN"/>
              </w:rPr>
              <w:t>），该项目符合园区产业规划，原则同意云南合罡盛塑业科技有限公司塑料制品深加工新建项目入园</w:t>
            </w:r>
            <w:r>
              <w:rPr>
                <w:rFonts w:hint="eastAsia"/>
                <w:color w:val="auto"/>
                <w:kern w:val="0"/>
                <w:sz w:val="24"/>
                <w:lang w:bidi="ar"/>
              </w:rPr>
              <w:t>。项目占地范围内不涉及自然保护区、风景名胜区、生态功能保护区等环境敏感区域，建设地内无不良地理条件，周围无限制项目建设因素。</w:t>
            </w:r>
            <w:r>
              <w:rPr>
                <w:color w:val="auto"/>
                <w:kern w:val="0"/>
                <w:sz w:val="24"/>
                <w:lang w:bidi="ar"/>
              </w:rPr>
              <w:t>由于</w:t>
            </w:r>
            <w:r>
              <w:rPr>
                <w:rFonts w:hint="eastAsia"/>
                <w:color w:val="auto"/>
                <w:kern w:val="0"/>
                <w:sz w:val="24"/>
                <w:lang w:eastAsia="zh-CN" w:bidi="ar"/>
              </w:rPr>
              <w:t>产业园区</w:t>
            </w:r>
            <w:r>
              <w:rPr>
                <w:color w:val="auto"/>
                <w:kern w:val="0"/>
                <w:sz w:val="24"/>
                <w:lang w:bidi="ar"/>
              </w:rPr>
              <w:t>基础设施的建设，所选厂地在供电、供水、交通等基础条件十分便利。在采取相应环保措施后，项目产生的废气均可达标排放，对周围环境影响不大；</w:t>
            </w:r>
            <w:r>
              <w:rPr>
                <w:rFonts w:hint="eastAsia"/>
                <w:color w:val="auto"/>
                <w:kern w:val="0"/>
                <w:sz w:val="24"/>
                <w:lang w:val="en-US" w:eastAsia="zh-CN" w:bidi="ar"/>
              </w:rPr>
              <w:t>项目所选厂址周边无排水</w:t>
            </w:r>
            <w:r>
              <w:rPr>
                <w:rFonts w:hint="eastAsia"/>
                <w:color w:val="auto"/>
                <w:sz w:val="24"/>
                <w:lang w:val="en-US" w:eastAsia="zh-CN"/>
              </w:rPr>
              <w:t>条件，但本</w:t>
            </w:r>
            <w:r>
              <w:rPr>
                <w:color w:val="auto"/>
                <w:sz w:val="24"/>
              </w:rPr>
              <w:t>项目</w:t>
            </w:r>
            <w:r>
              <w:rPr>
                <w:color w:val="auto"/>
                <w:sz w:val="24"/>
                <w:lang w:val="en-US" w:eastAsia="zh-CN"/>
              </w:rPr>
              <w:t>冷却水经冷却循环</w:t>
            </w:r>
            <w:r>
              <w:rPr>
                <w:rFonts w:hint="eastAsia"/>
                <w:color w:val="auto"/>
                <w:sz w:val="24"/>
                <w:lang w:val="en-US" w:eastAsia="zh-CN"/>
              </w:rPr>
              <w:t>水箱</w:t>
            </w:r>
            <w:r>
              <w:rPr>
                <w:color w:val="auto"/>
                <w:sz w:val="24"/>
                <w:lang w:val="en-US" w:eastAsia="zh-CN"/>
              </w:rPr>
              <w:t>冷却后循环使用，不外排；</w:t>
            </w:r>
            <w:r>
              <w:rPr>
                <w:rFonts w:hint="default" w:ascii="Times New Roman" w:hAnsi="Times New Roman" w:eastAsia="宋体" w:cs="Times New Roman"/>
                <w:b w:val="0"/>
                <w:bCs w:val="0"/>
                <w:color w:val="auto"/>
                <w:sz w:val="24"/>
                <w:szCs w:val="24"/>
                <w:highlight w:val="none"/>
                <w:lang w:val="en-US" w:eastAsia="zh-CN"/>
              </w:rPr>
              <w:t>食堂含油废水经隔油池预处理后与其他办公生活污水一并进入</w:t>
            </w:r>
            <w:r>
              <w:rPr>
                <w:rFonts w:hint="eastAsia" w:cs="Times New Roman"/>
                <w:b w:val="0"/>
                <w:bCs w:val="0"/>
                <w:color w:val="auto"/>
                <w:sz w:val="24"/>
                <w:szCs w:val="24"/>
                <w:highlight w:val="none"/>
                <w:lang w:val="en-US" w:eastAsia="zh-CN"/>
              </w:rPr>
              <w:t>依托的</w:t>
            </w:r>
            <w:r>
              <w:rPr>
                <w:rFonts w:hint="default" w:ascii="Times New Roman" w:hAnsi="Times New Roman" w:eastAsia="宋体" w:cs="Times New Roman"/>
                <w:b w:val="0"/>
                <w:bCs w:val="0"/>
                <w:color w:val="auto"/>
                <w:sz w:val="24"/>
                <w:szCs w:val="24"/>
                <w:highlight w:val="none"/>
                <w:lang w:val="en-US" w:eastAsia="zh-CN"/>
              </w:rPr>
              <w:t>化粪池</w:t>
            </w:r>
            <w:r>
              <w:rPr>
                <w:rFonts w:hint="eastAsia" w:cs="Times New Roman"/>
                <w:b w:val="0"/>
                <w:bCs w:val="0"/>
                <w:color w:val="auto"/>
                <w:sz w:val="24"/>
                <w:szCs w:val="24"/>
                <w:highlight w:val="none"/>
                <w:lang w:val="en-US" w:eastAsia="zh-CN"/>
              </w:rPr>
              <w:t>处理</w:t>
            </w:r>
            <w:r>
              <w:rPr>
                <w:rFonts w:hint="eastAsia" w:ascii="Times New Roman" w:hAnsi="Times New Roman" w:eastAsia="宋体" w:cs="Times New Roman"/>
                <w:color w:val="auto"/>
                <w:sz w:val="24"/>
                <w:szCs w:val="24"/>
                <w:highlight w:val="none"/>
                <w:lang w:val="en-US" w:eastAsia="zh-CN"/>
              </w:rPr>
              <w:t>后</w:t>
            </w:r>
            <w:r>
              <w:rPr>
                <w:rFonts w:hint="default" w:ascii="Times New Roman" w:hAnsi="Times New Roman" w:eastAsia="宋体" w:cs="Times New Roman"/>
                <w:color w:val="auto"/>
                <w:sz w:val="24"/>
                <w:szCs w:val="24"/>
                <w:highlight w:val="none"/>
                <w:lang w:val="en-US" w:eastAsia="zh-CN"/>
              </w:rPr>
              <w:t>再进入到</w:t>
            </w:r>
            <w:r>
              <w:rPr>
                <w:rFonts w:hint="eastAsia" w:ascii="Times New Roman" w:hAnsi="Times New Roman" w:eastAsia="宋体" w:cs="Times New Roman"/>
                <w:color w:val="auto"/>
                <w:sz w:val="24"/>
                <w:szCs w:val="24"/>
                <w:highlight w:val="none"/>
                <w:lang w:val="en-US" w:eastAsia="zh-CN"/>
              </w:rPr>
              <w:t>依托的一体化污水处理站</w:t>
            </w:r>
            <w:r>
              <w:rPr>
                <w:rFonts w:hint="default" w:ascii="Times New Roman" w:hAnsi="Times New Roman" w:eastAsia="宋体" w:cs="Times New Roman"/>
                <w:color w:val="auto"/>
                <w:sz w:val="24"/>
                <w:szCs w:val="24"/>
                <w:highlight w:val="none"/>
                <w:lang w:val="en-US" w:eastAsia="zh-CN"/>
              </w:rPr>
              <w:t>处理</w:t>
            </w:r>
            <w:r>
              <w:rPr>
                <w:rFonts w:hint="eastAsia" w:ascii="Times New Roman" w:hAnsi="Times New Roman" w:eastAsia="宋体" w:cs="Times New Roman"/>
                <w:color w:val="auto"/>
                <w:sz w:val="24"/>
                <w:szCs w:val="24"/>
                <w:highlight w:val="none"/>
                <w:lang w:val="en-US" w:eastAsia="zh-CN"/>
              </w:rPr>
              <w:t>达到</w:t>
            </w:r>
            <w:r>
              <w:rPr>
                <w:rFonts w:hint="default" w:ascii="Times New Roman" w:hAnsi="Times New Roman" w:eastAsia="宋体" w:cs="Times New Roman"/>
                <w:b w:val="0"/>
                <w:bCs w:val="0"/>
                <w:color w:val="auto"/>
                <w:sz w:val="24"/>
                <w:szCs w:val="24"/>
                <w:highlight w:val="none"/>
                <w:lang w:val="en-US" w:eastAsia="zh-CN"/>
              </w:rPr>
              <w:t>《城市污水再生利用 城市杂用水水质》（GB/T18920-2020）中的城市绿化、道路清扫、消防、建筑施工标准后，用于</w:t>
            </w:r>
            <w:r>
              <w:rPr>
                <w:rFonts w:hint="eastAsia" w:cs="Times New Roman"/>
                <w:b w:val="0"/>
                <w:bCs w:val="0"/>
                <w:color w:val="auto"/>
                <w:sz w:val="24"/>
                <w:szCs w:val="24"/>
                <w:highlight w:val="none"/>
                <w:lang w:val="en-US" w:eastAsia="zh-CN"/>
              </w:rPr>
              <w:t>本</w:t>
            </w:r>
            <w:r>
              <w:rPr>
                <w:rFonts w:hint="default" w:ascii="Times New Roman" w:hAnsi="Times New Roman" w:eastAsia="宋体" w:cs="Times New Roman"/>
                <w:b w:val="0"/>
                <w:bCs w:val="0"/>
                <w:color w:val="auto"/>
                <w:sz w:val="24"/>
                <w:szCs w:val="24"/>
                <w:highlight w:val="none"/>
                <w:lang w:val="en-US" w:eastAsia="zh-CN"/>
              </w:rPr>
              <w:t>项目区</w:t>
            </w:r>
            <w:r>
              <w:rPr>
                <w:rFonts w:hint="eastAsia" w:cs="Times New Roman"/>
                <w:b w:val="0"/>
                <w:bCs w:val="0"/>
                <w:color w:val="auto"/>
                <w:sz w:val="24"/>
                <w:szCs w:val="24"/>
                <w:highlight w:val="none"/>
                <w:lang w:val="en-US" w:eastAsia="zh-CN"/>
              </w:rPr>
              <w:t>及</w:t>
            </w:r>
            <w:r>
              <w:rPr>
                <w:rFonts w:hint="eastAsia"/>
                <w:bCs/>
                <w:color w:val="auto"/>
                <w:sz w:val="24"/>
                <w:szCs w:val="24"/>
                <w:highlight w:val="none"/>
                <w:lang w:eastAsia="zh-CN"/>
              </w:rPr>
              <w:t>云</w:t>
            </w:r>
            <w:r>
              <w:rPr>
                <w:rFonts w:hint="eastAsia"/>
                <w:color w:val="auto"/>
                <w:sz w:val="24"/>
                <w:szCs w:val="24"/>
                <w:highlight w:val="none"/>
                <w:lang w:val="en-US" w:eastAsia="zh-CN"/>
              </w:rPr>
              <w:t>南宝泰轻化机械</w:t>
            </w:r>
            <w:r>
              <w:rPr>
                <w:rFonts w:hint="eastAsia"/>
                <w:color w:val="auto"/>
                <w:sz w:val="24"/>
                <w:szCs w:val="24"/>
                <w:highlight w:val="none"/>
                <w:lang w:eastAsia="zh-CN"/>
              </w:rPr>
              <w:t>有限公司</w:t>
            </w:r>
            <w:r>
              <w:rPr>
                <w:rFonts w:hint="default" w:ascii="Times New Roman" w:hAnsi="Times New Roman" w:eastAsia="宋体" w:cs="Times New Roman"/>
                <w:b w:val="0"/>
                <w:bCs w:val="0"/>
                <w:color w:val="auto"/>
                <w:sz w:val="24"/>
                <w:szCs w:val="24"/>
                <w:highlight w:val="none"/>
                <w:lang w:val="en-US" w:eastAsia="zh-CN"/>
              </w:rPr>
              <w:t>内绿化及道路场地洒水降尘，不外排</w:t>
            </w:r>
            <w:r>
              <w:rPr>
                <w:rFonts w:hint="eastAsia" w:ascii="Times New Roman" w:hAnsi="Times New Roman" w:eastAsia="宋体" w:cs="Times New Roman"/>
                <w:b w:val="0"/>
                <w:bCs w:val="0"/>
                <w:color w:val="auto"/>
                <w:sz w:val="24"/>
                <w:szCs w:val="24"/>
                <w:highlight w:val="none"/>
                <w:lang w:val="en-US" w:eastAsia="zh-CN"/>
              </w:rPr>
              <w:t>，</w:t>
            </w:r>
            <w:r>
              <w:rPr>
                <w:rFonts w:hint="eastAsia"/>
                <w:color w:val="auto"/>
                <w:sz w:val="24"/>
                <w:lang w:val="en-US" w:eastAsia="zh-CN"/>
              </w:rPr>
              <w:t>因</w:t>
            </w:r>
            <w:r>
              <w:rPr>
                <w:rFonts w:hint="eastAsia"/>
                <w:color w:val="auto"/>
                <w:kern w:val="0"/>
                <w:sz w:val="24"/>
                <w:highlight w:val="none"/>
                <w:lang w:val="en-US" w:eastAsia="zh-CN" w:bidi="ar"/>
              </w:rPr>
              <w:t>此</w:t>
            </w:r>
            <w:r>
              <w:rPr>
                <w:color w:val="auto"/>
                <w:kern w:val="0"/>
                <w:sz w:val="24"/>
                <w:lang w:bidi="ar"/>
              </w:rPr>
              <w:t>对周围地表水环境影响不大；噪声厂界可达标，不会造成扰民现象；固体废物均能得到合理处置。</w:t>
            </w:r>
            <w:r>
              <w:rPr>
                <w:color w:val="auto"/>
                <w:sz w:val="24"/>
              </w:rPr>
              <w:t>项目排放</w:t>
            </w:r>
            <w:r>
              <w:rPr>
                <w:rFonts w:hint="eastAsia"/>
                <w:color w:val="auto"/>
                <w:sz w:val="24"/>
              </w:rPr>
              <w:t>的废气</w:t>
            </w:r>
            <w:r>
              <w:rPr>
                <w:color w:val="auto"/>
                <w:sz w:val="24"/>
              </w:rPr>
              <w:t>污染物量</w:t>
            </w:r>
            <w:r>
              <w:rPr>
                <w:rFonts w:hint="eastAsia"/>
                <w:color w:val="auto"/>
                <w:sz w:val="24"/>
                <w:lang w:eastAsia="zh-CN"/>
              </w:rPr>
              <w:t>较</w:t>
            </w:r>
            <w:r>
              <w:rPr>
                <w:color w:val="auto"/>
                <w:sz w:val="24"/>
              </w:rPr>
              <w:t>小，浓度低，对周边及其它企业生产及产品质量影响小。</w:t>
            </w:r>
            <w:r>
              <w:rPr>
                <w:rFonts w:hint="eastAsia"/>
                <w:color w:val="auto"/>
                <w:sz w:val="24"/>
              </w:rPr>
              <w:t>对周围</w:t>
            </w:r>
            <w:r>
              <w:rPr>
                <w:color w:val="auto"/>
                <w:sz w:val="24"/>
              </w:rPr>
              <w:t>环境敏感点的影响</w:t>
            </w:r>
            <w:r>
              <w:rPr>
                <w:rFonts w:hint="eastAsia"/>
                <w:color w:val="auto"/>
                <w:sz w:val="24"/>
              </w:rPr>
              <w:t>较小，不会改变项目区域环境功能</w:t>
            </w:r>
            <w:r>
              <w:rPr>
                <w:color w:val="auto"/>
                <w:sz w:val="24"/>
              </w:rPr>
              <w:t>。</w:t>
            </w:r>
            <w:r>
              <w:rPr>
                <w:color w:val="auto"/>
                <w:kern w:val="0"/>
                <w:sz w:val="24"/>
                <w:lang w:bidi="ar"/>
              </w:rPr>
              <w:t>目前项目周边环境质量良好，外环境较简单，无重大环境制约因素存在。建设用地周围无需要特殊保护的文物、名胜、古迹和文化、自然遗产，不属于自然保护区和风景名胜区的保护范围。</w:t>
            </w:r>
          </w:p>
          <w:p w14:paraId="77F67221">
            <w:pPr>
              <w:widowControl/>
              <w:adjustRightInd w:val="0"/>
              <w:snapToGrid w:val="0"/>
              <w:spacing w:line="360" w:lineRule="auto"/>
              <w:ind w:firstLine="480" w:firstLineChars="200"/>
              <w:rPr>
                <w:b/>
                <w:color w:val="auto"/>
                <w:sz w:val="24"/>
              </w:rPr>
            </w:pPr>
            <w:r>
              <w:rPr>
                <w:color w:val="auto"/>
                <w:kern w:val="0"/>
                <w:sz w:val="24"/>
                <w:lang w:bidi="ar"/>
              </w:rPr>
              <w:t>综上，项目建设场地条件、交通运输、环境保护和水、电、通信等条件好，无重大的环境制约因素，项目选址合理。</w:t>
            </w:r>
          </w:p>
          <w:p w14:paraId="5A5BCD8A">
            <w:pPr>
              <w:pStyle w:val="17"/>
              <w:adjustRightInd w:val="0"/>
              <w:snapToGrid w:val="0"/>
              <w:spacing w:line="360" w:lineRule="auto"/>
              <w:ind w:firstLine="482" w:firstLineChars="200"/>
              <w:rPr>
                <w:rFonts w:ascii="Times New Roman" w:hAnsi="Times New Roman"/>
                <w:b/>
                <w:color w:val="auto"/>
                <w:sz w:val="24"/>
                <w:highlight w:val="none"/>
              </w:rPr>
            </w:pPr>
            <w:r>
              <w:rPr>
                <w:rFonts w:hint="eastAsia" w:ascii="Times New Roman" w:hAnsi="Times New Roman"/>
                <w:b/>
                <w:color w:val="auto"/>
                <w:sz w:val="24"/>
                <w:highlight w:val="none"/>
                <w:lang w:val="en-US" w:eastAsia="zh-CN"/>
              </w:rPr>
              <w:t>23</w:t>
            </w:r>
            <w:r>
              <w:rPr>
                <w:rFonts w:ascii="Times New Roman" w:hAnsi="Times New Roman"/>
                <w:b/>
                <w:color w:val="auto"/>
                <w:sz w:val="24"/>
                <w:highlight w:val="none"/>
              </w:rPr>
              <w:t>、项目平面布置合理性分析</w:t>
            </w:r>
          </w:p>
          <w:p w14:paraId="4219413C">
            <w:pPr>
              <w:widowControl/>
              <w:adjustRightInd w:val="0"/>
              <w:snapToGrid w:val="0"/>
              <w:spacing w:line="360" w:lineRule="auto"/>
              <w:ind w:firstLine="480" w:firstLineChars="200"/>
              <w:rPr>
                <w:color w:val="auto"/>
                <w:kern w:val="0"/>
                <w:sz w:val="24"/>
                <w:lang w:bidi="ar"/>
              </w:rPr>
            </w:pPr>
            <w:r>
              <w:rPr>
                <w:color w:val="auto"/>
                <w:kern w:val="0"/>
                <w:sz w:val="24"/>
                <w:lang w:bidi="ar"/>
              </w:rPr>
              <w:t>本项目位于</w:t>
            </w:r>
            <w:r>
              <w:rPr>
                <w:rFonts w:hint="eastAsia" w:ascii="Times New Roman" w:hAnsi="Times New Roman" w:eastAsia="宋体" w:cs="Times New Roman"/>
                <w:color w:val="auto"/>
                <w:sz w:val="24"/>
                <w:szCs w:val="24"/>
                <w:highlight w:val="none"/>
                <w:lang w:val="en-US" w:eastAsia="zh-CN"/>
              </w:rPr>
              <w:t>云南省</w:t>
            </w:r>
            <w:r>
              <w:rPr>
                <w:rFonts w:hint="eastAsia" w:cs="Times New Roman"/>
                <w:color w:val="auto"/>
                <w:sz w:val="24"/>
                <w:szCs w:val="24"/>
                <w:highlight w:val="none"/>
                <w:lang w:val="en-US" w:eastAsia="zh-CN"/>
              </w:rPr>
              <w:t>玉溪市澄江市产业园区提古片区</w:t>
            </w:r>
            <w:r>
              <w:rPr>
                <w:color w:val="auto"/>
                <w:kern w:val="0"/>
                <w:sz w:val="24"/>
                <w:lang w:bidi="ar"/>
              </w:rPr>
              <w:t>，根据项目区地形特点及生产的需求</w:t>
            </w:r>
            <w:r>
              <w:rPr>
                <w:rFonts w:hint="eastAsia"/>
                <w:color w:val="auto"/>
                <w:kern w:val="0"/>
                <w:sz w:val="24"/>
                <w:lang w:val="en-US" w:eastAsia="zh-CN" w:bidi="ar"/>
              </w:rPr>
              <w:t>进行平面布置</w:t>
            </w:r>
            <w:r>
              <w:rPr>
                <w:rFonts w:hint="eastAsia"/>
                <w:color w:val="auto"/>
                <w:kern w:val="0"/>
                <w:sz w:val="24"/>
                <w:lang w:bidi="ar"/>
              </w:rPr>
              <w:t>，</w:t>
            </w:r>
            <w:r>
              <w:rPr>
                <w:rFonts w:hint="eastAsia"/>
                <w:color w:val="auto"/>
                <w:kern w:val="0"/>
                <w:sz w:val="24"/>
                <w:lang w:val="en-US" w:eastAsia="zh-CN" w:bidi="ar"/>
              </w:rPr>
              <w:t>厂房东侧由北向南分别设置原料存放区、投料去、破碎区、注塑区、模具存放区；厂房西侧为注塑区，冷却水塔及水箱设置于项目区东北侧，空压机房设置于西南侧，厂房东侧的注塑区西侧和厂房西侧的注塑区东侧为成品暂存区，厂房中间为成品仓库；依托</w:t>
            </w:r>
            <w:r>
              <w:rPr>
                <w:rFonts w:hint="eastAsia"/>
                <w:color w:val="auto"/>
                <w:kern w:val="0"/>
                <w:sz w:val="24"/>
                <w:highlight w:val="none"/>
                <w:lang w:val="en-US" w:eastAsia="zh-CN" w:bidi="ar"/>
              </w:rPr>
              <w:t>的</w:t>
            </w:r>
            <w:r>
              <w:rPr>
                <w:rFonts w:hint="eastAsia"/>
                <w:color w:val="auto"/>
                <w:kern w:val="0"/>
                <w:sz w:val="24"/>
                <w:highlight w:val="none"/>
                <w:lang w:bidi="ar"/>
              </w:rPr>
              <w:t>污水处理位于项目</w:t>
            </w:r>
            <w:r>
              <w:rPr>
                <w:rFonts w:hint="eastAsia"/>
                <w:color w:val="auto"/>
                <w:kern w:val="0"/>
                <w:sz w:val="24"/>
                <w:highlight w:val="none"/>
                <w:lang w:eastAsia="zh-CN" w:bidi="ar"/>
              </w:rPr>
              <w:t>区</w:t>
            </w:r>
            <w:r>
              <w:rPr>
                <w:rFonts w:hint="eastAsia"/>
                <w:color w:val="auto"/>
                <w:kern w:val="0"/>
                <w:sz w:val="24"/>
                <w:highlight w:val="none"/>
                <w:lang w:val="en-US" w:eastAsia="zh-CN" w:bidi="ar"/>
              </w:rPr>
              <w:t>西</w:t>
            </w:r>
            <w:r>
              <w:rPr>
                <w:rFonts w:hint="eastAsia"/>
                <w:color w:val="auto"/>
                <w:kern w:val="0"/>
                <w:sz w:val="24"/>
                <w:highlight w:val="none"/>
                <w:lang w:bidi="ar"/>
              </w:rPr>
              <w:t>侧，</w:t>
            </w:r>
            <w:r>
              <w:rPr>
                <w:rFonts w:hint="eastAsia"/>
                <w:color w:val="auto"/>
                <w:kern w:val="0"/>
                <w:sz w:val="24"/>
                <w:lang w:val="en-US" w:eastAsia="zh-CN" w:bidi="ar"/>
              </w:rPr>
              <w:t>办公生活区</w:t>
            </w:r>
            <w:r>
              <w:rPr>
                <w:rFonts w:hint="eastAsia"/>
                <w:color w:val="auto"/>
                <w:kern w:val="0"/>
                <w:sz w:val="24"/>
                <w:lang w:bidi="ar"/>
              </w:rPr>
              <w:t>位于</w:t>
            </w:r>
            <w:r>
              <w:rPr>
                <w:rFonts w:hint="eastAsia"/>
                <w:color w:val="auto"/>
                <w:kern w:val="0"/>
                <w:sz w:val="24"/>
                <w:lang w:val="en-US" w:eastAsia="zh-CN" w:bidi="ar"/>
              </w:rPr>
              <w:t>东</w:t>
            </w:r>
            <w:r>
              <w:rPr>
                <w:rFonts w:hint="eastAsia"/>
                <w:color w:val="auto"/>
                <w:kern w:val="0"/>
                <w:sz w:val="24"/>
                <w:lang w:bidi="ar"/>
              </w:rPr>
              <w:t>侧。</w:t>
            </w:r>
            <w:r>
              <w:rPr>
                <w:color w:val="auto"/>
                <w:kern w:val="0"/>
                <w:sz w:val="24"/>
                <w:lang w:bidi="ar"/>
              </w:rPr>
              <w:t>项目建、构筑物的布置紧凑合理，人货流通畅顺捷，减少交叉。可满足生产系统的加工和储、装、运等主要生产环节的要求。总体布置分区明确，布置合理。</w:t>
            </w:r>
          </w:p>
          <w:p w14:paraId="4A41C2D6">
            <w:pPr>
              <w:widowControl/>
              <w:adjustRightInd w:val="0"/>
              <w:snapToGrid w:val="0"/>
              <w:spacing w:line="360" w:lineRule="auto"/>
              <w:ind w:firstLine="480" w:firstLineChars="200"/>
              <w:rPr>
                <w:color w:val="auto"/>
                <w:kern w:val="0"/>
                <w:sz w:val="24"/>
                <w:lang w:bidi="ar"/>
              </w:rPr>
            </w:pPr>
            <w:r>
              <w:rPr>
                <w:color w:val="auto"/>
                <w:kern w:val="0"/>
                <w:sz w:val="24"/>
                <w:lang w:bidi="ar"/>
              </w:rPr>
              <w:t>综上所述，从环保角度考虑，项目布局合理。</w:t>
            </w:r>
          </w:p>
          <w:p w14:paraId="0E86AF80">
            <w:pPr>
              <w:pStyle w:val="17"/>
              <w:adjustRightInd w:val="0"/>
              <w:snapToGrid w:val="0"/>
              <w:spacing w:line="360" w:lineRule="auto"/>
              <w:ind w:firstLine="482" w:firstLineChars="200"/>
              <w:rPr>
                <w:rFonts w:ascii="Times New Roman" w:hAnsi="Times New Roman"/>
                <w:b/>
                <w:color w:val="auto"/>
                <w:sz w:val="24"/>
              </w:rPr>
            </w:pPr>
            <w:r>
              <w:rPr>
                <w:rFonts w:hint="eastAsia" w:ascii="Times New Roman" w:hAnsi="Times New Roman"/>
                <w:b/>
                <w:color w:val="auto"/>
                <w:sz w:val="24"/>
              </w:rPr>
              <w:t>2</w:t>
            </w:r>
            <w:r>
              <w:rPr>
                <w:rFonts w:hint="eastAsia" w:ascii="Times New Roman" w:hAnsi="Times New Roman"/>
                <w:b/>
                <w:color w:val="auto"/>
                <w:sz w:val="24"/>
                <w:lang w:val="en-US" w:eastAsia="zh-CN"/>
              </w:rPr>
              <w:t>4</w:t>
            </w:r>
            <w:r>
              <w:rPr>
                <w:rFonts w:ascii="Times New Roman" w:hAnsi="Times New Roman"/>
                <w:b/>
                <w:color w:val="auto"/>
                <w:sz w:val="24"/>
              </w:rPr>
              <w:t>、环境相容性分析</w:t>
            </w:r>
          </w:p>
          <w:p w14:paraId="1DB322E5">
            <w:pPr>
              <w:pStyle w:val="77"/>
              <w:rPr>
                <w:b/>
                <w:bCs/>
                <w:color w:val="auto"/>
                <w:spacing w:val="-2"/>
                <w:szCs w:val="21"/>
              </w:rPr>
            </w:pPr>
            <w:r>
              <w:rPr>
                <w:color w:val="auto"/>
              </w:rPr>
              <w:t>本项目位于</w:t>
            </w:r>
            <w:r>
              <w:rPr>
                <w:rFonts w:hint="eastAsia" w:ascii="Times New Roman" w:hAnsi="Times New Roman" w:eastAsia="宋体" w:cs="Times New Roman"/>
                <w:color w:val="auto"/>
                <w:sz w:val="24"/>
                <w:szCs w:val="24"/>
                <w:highlight w:val="none"/>
                <w:lang w:val="en-US" w:eastAsia="zh-CN"/>
              </w:rPr>
              <w:t>云南省</w:t>
            </w:r>
            <w:r>
              <w:rPr>
                <w:rFonts w:hint="eastAsia" w:cs="Times New Roman"/>
                <w:color w:val="auto"/>
                <w:sz w:val="24"/>
                <w:szCs w:val="24"/>
                <w:highlight w:val="none"/>
                <w:lang w:val="en-US" w:eastAsia="zh-CN"/>
              </w:rPr>
              <w:t>玉溪市澄江市产业园区提古片区</w:t>
            </w:r>
            <w:r>
              <w:rPr>
                <w:color w:val="auto"/>
              </w:rPr>
              <w:t>。</w:t>
            </w:r>
            <w:r>
              <w:rPr>
                <w:color w:val="auto"/>
                <w:lang w:val="zh-CN"/>
              </w:rPr>
              <w:t>根据现场调查，</w:t>
            </w:r>
            <w:r>
              <w:rPr>
                <w:color w:val="auto"/>
              </w:rPr>
              <w:t>项目周边500m范围内</w:t>
            </w:r>
            <w:r>
              <w:rPr>
                <w:rFonts w:hint="eastAsia"/>
                <w:color w:val="auto"/>
              </w:rPr>
              <w:t>仅有一处居民点，其他</w:t>
            </w:r>
            <w:r>
              <w:rPr>
                <w:color w:val="auto"/>
              </w:rPr>
              <w:t>主要为生产加工型企业，具体分布情况见表。</w:t>
            </w:r>
          </w:p>
          <w:p w14:paraId="646005C2">
            <w:pPr>
              <w:widowControl/>
              <w:adjustRightInd w:val="0"/>
              <w:snapToGrid w:val="0"/>
              <w:spacing w:line="276" w:lineRule="auto"/>
              <w:jc w:val="center"/>
              <w:rPr>
                <w:b/>
                <w:bCs/>
                <w:color w:val="auto"/>
                <w:spacing w:val="-2"/>
                <w:szCs w:val="21"/>
              </w:rPr>
            </w:pPr>
            <w:r>
              <w:rPr>
                <w:b/>
                <w:bCs/>
                <w:color w:val="auto"/>
                <w:spacing w:val="-2"/>
                <w:szCs w:val="21"/>
              </w:rPr>
              <w:t>表1-</w:t>
            </w:r>
            <w:r>
              <w:rPr>
                <w:rFonts w:hint="eastAsia"/>
                <w:b/>
                <w:bCs/>
                <w:color w:val="auto"/>
                <w:spacing w:val="-2"/>
                <w:szCs w:val="21"/>
                <w:lang w:val="en-US" w:eastAsia="zh-CN"/>
              </w:rPr>
              <w:t>22</w:t>
            </w:r>
            <w:r>
              <w:rPr>
                <w:b/>
                <w:bCs/>
                <w:color w:val="auto"/>
                <w:spacing w:val="-2"/>
                <w:szCs w:val="21"/>
              </w:rPr>
              <w:t xml:space="preserve">  本项目周边情况一览表</w:t>
            </w:r>
          </w:p>
          <w:tbl>
            <w:tblPr>
              <w:tblStyle w:val="30"/>
              <w:tblW w:w="4957" w:type="pct"/>
              <w:jc w:val="center"/>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autofit"/>
              <w:tblCellMar>
                <w:top w:w="0" w:type="dxa"/>
                <w:left w:w="0" w:type="dxa"/>
                <w:bottom w:w="0" w:type="dxa"/>
                <w:right w:w="0" w:type="dxa"/>
              </w:tblCellMar>
            </w:tblPr>
            <w:tblGrid>
              <w:gridCol w:w="406"/>
              <w:gridCol w:w="1652"/>
              <w:gridCol w:w="1261"/>
              <w:gridCol w:w="1480"/>
              <w:gridCol w:w="3017"/>
            </w:tblGrid>
            <w:tr w14:paraId="4E4D0DC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jc w:val="center"/>
              </w:trPr>
              <w:tc>
                <w:tcPr>
                  <w:tcW w:w="260" w:type="pct"/>
                  <w:tcBorders>
                    <w:tl2br w:val="nil"/>
                    <w:tr2bl w:val="nil"/>
                  </w:tcBorders>
                  <w:vAlign w:val="center"/>
                </w:tcPr>
                <w:p w14:paraId="742AF6C4">
                  <w:pPr>
                    <w:pStyle w:val="83"/>
                    <w:jc w:val="center"/>
                    <w:rPr>
                      <w:b/>
                      <w:bCs/>
                      <w:color w:val="auto"/>
                      <w:sz w:val="21"/>
                      <w:szCs w:val="21"/>
                    </w:rPr>
                  </w:pPr>
                  <w:r>
                    <w:rPr>
                      <w:b/>
                      <w:bCs/>
                      <w:color w:val="auto"/>
                      <w:sz w:val="21"/>
                      <w:szCs w:val="21"/>
                    </w:rPr>
                    <w:t>序号</w:t>
                  </w:r>
                </w:p>
              </w:tc>
              <w:tc>
                <w:tcPr>
                  <w:tcW w:w="1056" w:type="pct"/>
                  <w:tcBorders>
                    <w:tl2br w:val="nil"/>
                    <w:tr2bl w:val="nil"/>
                  </w:tcBorders>
                  <w:vAlign w:val="center"/>
                </w:tcPr>
                <w:p w14:paraId="558EED62">
                  <w:pPr>
                    <w:pStyle w:val="83"/>
                    <w:jc w:val="center"/>
                    <w:rPr>
                      <w:b/>
                      <w:bCs/>
                      <w:color w:val="auto"/>
                      <w:sz w:val="21"/>
                      <w:szCs w:val="21"/>
                    </w:rPr>
                  </w:pPr>
                  <w:r>
                    <w:rPr>
                      <w:b/>
                      <w:bCs/>
                      <w:color w:val="auto"/>
                      <w:sz w:val="21"/>
                      <w:szCs w:val="21"/>
                    </w:rPr>
                    <w:t>工业企业单位名称</w:t>
                  </w:r>
                </w:p>
              </w:tc>
              <w:tc>
                <w:tcPr>
                  <w:tcW w:w="806" w:type="pct"/>
                  <w:tcBorders>
                    <w:tl2br w:val="nil"/>
                    <w:tr2bl w:val="nil"/>
                  </w:tcBorders>
                  <w:vAlign w:val="center"/>
                </w:tcPr>
                <w:p w14:paraId="635EA7BB">
                  <w:pPr>
                    <w:pStyle w:val="83"/>
                    <w:jc w:val="center"/>
                    <w:rPr>
                      <w:b/>
                      <w:bCs/>
                      <w:color w:val="auto"/>
                      <w:sz w:val="21"/>
                      <w:szCs w:val="21"/>
                    </w:rPr>
                  </w:pPr>
                  <w:r>
                    <w:rPr>
                      <w:b/>
                      <w:bCs/>
                      <w:color w:val="auto"/>
                      <w:spacing w:val="-10"/>
                      <w:sz w:val="21"/>
                      <w:szCs w:val="21"/>
                    </w:rPr>
                    <w:t>与本项目厂界方位、距离</w:t>
                  </w:r>
                </w:p>
              </w:tc>
              <w:tc>
                <w:tcPr>
                  <w:tcW w:w="946" w:type="pct"/>
                  <w:tcBorders>
                    <w:tl2br w:val="nil"/>
                    <w:tr2bl w:val="nil"/>
                  </w:tcBorders>
                  <w:vAlign w:val="center"/>
                </w:tcPr>
                <w:p w14:paraId="48369769">
                  <w:pPr>
                    <w:pStyle w:val="83"/>
                    <w:jc w:val="center"/>
                    <w:rPr>
                      <w:b/>
                      <w:bCs/>
                      <w:color w:val="auto"/>
                      <w:spacing w:val="-10"/>
                      <w:sz w:val="21"/>
                      <w:szCs w:val="21"/>
                    </w:rPr>
                  </w:pPr>
                  <w:r>
                    <w:rPr>
                      <w:b/>
                      <w:bCs/>
                      <w:color w:val="auto"/>
                      <w:sz w:val="21"/>
                      <w:szCs w:val="21"/>
                    </w:rPr>
                    <w:t>主营业务</w:t>
                  </w:r>
                </w:p>
              </w:tc>
              <w:tc>
                <w:tcPr>
                  <w:tcW w:w="1929" w:type="pct"/>
                  <w:tcBorders>
                    <w:tl2br w:val="nil"/>
                    <w:tr2bl w:val="nil"/>
                  </w:tcBorders>
                  <w:vAlign w:val="center"/>
                </w:tcPr>
                <w:p w14:paraId="5F4AB36C">
                  <w:pPr>
                    <w:pStyle w:val="83"/>
                    <w:jc w:val="center"/>
                    <w:rPr>
                      <w:b/>
                      <w:bCs/>
                      <w:color w:val="auto"/>
                      <w:sz w:val="21"/>
                      <w:szCs w:val="21"/>
                    </w:rPr>
                  </w:pPr>
                  <w:r>
                    <w:rPr>
                      <w:b/>
                      <w:bCs/>
                      <w:color w:val="auto"/>
                      <w:sz w:val="21"/>
                      <w:szCs w:val="21"/>
                    </w:rPr>
                    <w:t>主要污染物</w:t>
                  </w:r>
                </w:p>
              </w:tc>
            </w:tr>
            <w:tr w14:paraId="4B5FEE28">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jc w:val="center"/>
              </w:trPr>
              <w:tc>
                <w:tcPr>
                  <w:tcW w:w="260" w:type="pct"/>
                  <w:tcBorders>
                    <w:tl2br w:val="nil"/>
                    <w:tr2bl w:val="nil"/>
                  </w:tcBorders>
                  <w:vAlign w:val="center"/>
                </w:tcPr>
                <w:p w14:paraId="61F18B5B">
                  <w:pPr>
                    <w:pStyle w:val="83"/>
                    <w:jc w:val="center"/>
                    <w:rPr>
                      <w:color w:val="auto"/>
                      <w:sz w:val="21"/>
                      <w:szCs w:val="21"/>
                    </w:rPr>
                  </w:pPr>
                  <w:r>
                    <w:rPr>
                      <w:color w:val="auto"/>
                      <w:sz w:val="21"/>
                      <w:szCs w:val="21"/>
                    </w:rPr>
                    <w:t>1</w:t>
                  </w:r>
                </w:p>
              </w:tc>
              <w:tc>
                <w:tcPr>
                  <w:tcW w:w="1056" w:type="pct"/>
                  <w:tcBorders>
                    <w:tl2br w:val="nil"/>
                    <w:tr2bl w:val="nil"/>
                  </w:tcBorders>
                  <w:vAlign w:val="center"/>
                </w:tcPr>
                <w:p w14:paraId="210D98F6">
                  <w:pPr>
                    <w:pStyle w:val="47"/>
                    <w:keepNext w:val="0"/>
                    <w:keepLines w:val="0"/>
                    <w:pageBreakBefore w:val="0"/>
                    <w:widowControl w:val="0"/>
                    <w:tabs>
                      <w:tab w:val="left" w:pos="5530"/>
                    </w:tabs>
                    <w:kinsoku/>
                    <w:wordWrap/>
                    <w:overflowPunct/>
                    <w:topLinePunct w:val="0"/>
                    <w:autoSpaceDE/>
                    <w:autoSpaceDN/>
                    <w:bidi w:val="0"/>
                    <w:spacing w:before="24" w:after="24"/>
                    <w:ind w:firstLine="0" w:firstLineChars="0"/>
                    <w:jc w:val="center"/>
                    <w:textAlignment w:val="auto"/>
                    <w:rPr>
                      <w:color w:val="auto"/>
                      <w:sz w:val="21"/>
                      <w:szCs w:val="21"/>
                    </w:rPr>
                  </w:pPr>
                  <w:r>
                    <w:rPr>
                      <w:rFonts w:hint="eastAsia" w:ascii="Times New Roman" w:hAnsi="Times New Roman" w:eastAsia="宋体" w:cs="Times New Roman"/>
                      <w:color w:val="auto"/>
                      <w:sz w:val="21"/>
                      <w:szCs w:val="21"/>
                      <w:lang w:eastAsia="zh-CN"/>
                    </w:rPr>
                    <w:t>新知集团中国国际团购物流中心</w:t>
                  </w:r>
                </w:p>
              </w:tc>
              <w:tc>
                <w:tcPr>
                  <w:tcW w:w="806" w:type="pct"/>
                  <w:tcBorders>
                    <w:tl2br w:val="nil"/>
                    <w:tr2bl w:val="nil"/>
                  </w:tcBorders>
                  <w:vAlign w:val="center"/>
                </w:tcPr>
                <w:p w14:paraId="66C15218">
                  <w:pPr>
                    <w:keepNext w:val="0"/>
                    <w:keepLines w:val="0"/>
                    <w:pageBreakBefore w:val="0"/>
                    <w:widowControl w:val="0"/>
                    <w:kinsoku/>
                    <w:wordWrap/>
                    <w:overflowPunct/>
                    <w:topLinePunct w:val="0"/>
                    <w:autoSpaceDE/>
                    <w:autoSpaceDN/>
                    <w:bidi w:val="0"/>
                    <w:ind w:firstLine="0" w:firstLineChars="0"/>
                    <w:jc w:val="center"/>
                    <w:textAlignment w:val="auto"/>
                    <w:rPr>
                      <w:color w:val="auto"/>
                      <w:szCs w:val="21"/>
                    </w:rPr>
                  </w:pPr>
                  <w:r>
                    <w:rPr>
                      <w:rFonts w:hint="eastAsia"/>
                      <w:color w:val="auto"/>
                      <w:szCs w:val="21"/>
                      <w:lang w:val="en-US" w:eastAsia="zh-CN"/>
                    </w:rPr>
                    <w:t>南</w:t>
                  </w:r>
                  <w:r>
                    <w:rPr>
                      <w:rFonts w:hint="eastAsia"/>
                      <w:color w:val="auto"/>
                      <w:szCs w:val="21"/>
                    </w:rPr>
                    <w:t>侧</w:t>
                  </w:r>
                  <w:r>
                    <w:rPr>
                      <w:rFonts w:hint="eastAsia"/>
                      <w:color w:val="auto"/>
                      <w:szCs w:val="21"/>
                      <w:lang w:val="en-US" w:eastAsia="zh-CN"/>
                    </w:rPr>
                    <w:t>145</w:t>
                  </w:r>
                  <w:r>
                    <w:rPr>
                      <w:rFonts w:hint="eastAsia"/>
                      <w:color w:val="auto"/>
                      <w:szCs w:val="21"/>
                    </w:rPr>
                    <w:t>m</w:t>
                  </w:r>
                </w:p>
              </w:tc>
              <w:tc>
                <w:tcPr>
                  <w:tcW w:w="946" w:type="pct"/>
                  <w:tcBorders>
                    <w:tl2br w:val="nil"/>
                    <w:tr2bl w:val="nil"/>
                  </w:tcBorders>
                  <w:vAlign w:val="center"/>
                </w:tcPr>
                <w:p w14:paraId="57544A62">
                  <w:pPr>
                    <w:pStyle w:val="47"/>
                    <w:keepNext w:val="0"/>
                    <w:keepLines w:val="0"/>
                    <w:pageBreakBefore w:val="0"/>
                    <w:widowControl w:val="0"/>
                    <w:tabs>
                      <w:tab w:val="left" w:pos="5530"/>
                    </w:tabs>
                    <w:kinsoku/>
                    <w:wordWrap/>
                    <w:overflowPunct/>
                    <w:topLinePunct w:val="0"/>
                    <w:autoSpaceDE/>
                    <w:autoSpaceDN/>
                    <w:bidi w:val="0"/>
                    <w:spacing w:before="24" w:after="24"/>
                    <w:ind w:firstLine="0" w:firstLineChars="0"/>
                    <w:jc w:val="center"/>
                    <w:textAlignment w:val="auto"/>
                    <w:rPr>
                      <w:color w:val="auto"/>
                      <w:sz w:val="21"/>
                      <w:szCs w:val="21"/>
                    </w:rPr>
                  </w:pPr>
                  <w:r>
                    <w:rPr>
                      <w:rFonts w:hint="eastAsia" w:ascii="Times New Roman" w:hAnsi="Times New Roman" w:eastAsia="宋体" w:cs="Times New Roman"/>
                      <w:color w:val="auto"/>
                      <w:sz w:val="21"/>
                      <w:szCs w:val="21"/>
                      <w:lang w:eastAsia="zh-CN"/>
                    </w:rPr>
                    <w:t>物流仓储</w:t>
                  </w:r>
                </w:p>
              </w:tc>
              <w:tc>
                <w:tcPr>
                  <w:tcW w:w="1929" w:type="pct"/>
                  <w:tcBorders>
                    <w:tl2br w:val="nil"/>
                    <w:tr2bl w:val="nil"/>
                  </w:tcBorders>
                  <w:vAlign w:val="center"/>
                </w:tcPr>
                <w:p w14:paraId="5234EF4D">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24" w:after="24" w:line="240" w:lineRule="auto"/>
                    <w:ind w:firstLine="0" w:firstLineChars="0"/>
                    <w:textAlignment w:val="auto"/>
                    <w:rPr>
                      <w:color w:val="auto"/>
                      <w:sz w:val="21"/>
                      <w:szCs w:val="21"/>
                    </w:rPr>
                  </w:pPr>
                  <w:r>
                    <w:rPr>
                      <w:rFonts w:hint="eastAsia" w:ascii="Times New Roman" w:hAnsi="Times New Roman" w:eastAsia="宋体" w:cs="Times New Roman"/>
                      <w:color w:val="auto"/>
                      <w:sz w:val="21"/>
                      <w:szCs w:val="21"/>
                      <w:lang w:eastAsia="zh-CN"/>
                    </w:rPr>
                    <w:t>噪声、废水（已搬离）</w:t>
                  </w:r>
                </w:p>
              </w:tc>
            </w:tr>
            <w:tr w14:paraId="11101940">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jc w:val="center"/>
              </w:trPr>
              <w:tc>
                <w:tcPr>
                  <w:tcW w:w="260" w:type="pct"/>
                  <w:tcBorders>
                    <w:tl2br w:val="nil"/>
                    <w:tr2bl w:val="nil"/>
                  </w:tcBorders>
                  <w:vAlign w:val="center"/>
                </w:tcPr>
                <w:p w14:paraId="72D438F6">
                  <w:pPr>
                    <w:pStyle w:val="83"/>
                    <w:jc w:val="center"/>
                    <w:rPr>
                      <w:color w:val="auto"/>
                      <w:sz w:val="21"/>
                      <w:szCs w:val="21"/>
                    </w:rPr>
                  </w:pPr>
                  <w:r>
                    <w:rPr>
                      <w:color w:val="auto"/>
                      <w:sz w:val="21"/>
                      <w:szCs w:val="21"/>
                    </w:rPr>
                    <w:t>2</w:t>
                  </w:r>
                </w:p>
              </w:tc>
              <w:tc>
                <w:tcPr>
                  <w:tcW w:w="1056" w:type="pct"/>
                  <w:tcBorders>
                    <w:tl2br w:val="nil"/>
                    <w:tr2bl w:val="nil"/>
                  </w:tcBorders>
                  <w:vAlign w:val="center"/>
                </w:tcPr>
                <w:p w14:paraId="17FADDE6">
                  <w:pPr>
                    <w:pStyle w:val="47"/>
                    <w:keepNext w:val="0"/>
                    <w:keepLines w:val="0"/>
                    <w:pageBreakBefore w:val="0"/>
                    <w:widowControl w:val="0"/>
                    <w:tabs>
                      <w:tab w:val="left" w:pos="5530"/>
                    </w:tabs>
                    <w:kinsoku/>
                    <w:wordWrap/>
                    <w:overflowPunct/>
                    <w:topLinePunct w:val="0"/>
                    <w:autoSpaceDE/>
                    <w:autoSpaceDN/>
                    <w:bidi w:val="0"/>
                    <w:spacing w:before="24" w:after="24"/>
                    <w:ind w:firstLine="0" w:firstLineChars="0"/>
                    <w:jc w:val="center"/>
                    <w:textAlignment w:val="auto"/>
                    <w:rPr>
                      <w:color w:val="auto"/>
                      <w:sz w:val="21"/>
                      <w:szCs w:val="21"/>
                    </w:rPr>
                  </w:pPr>
                  <w:r>
                    <w:rPr>
                      <w:rFonts w:hint="eastAsia" w:ascii="Times New Roman" w:hAnsi="Times New Roman" w:eastAsia="宋体" w:cs="Times New Roman"/>
                      <w:color w:val="auto"/>
                      <w:sz w:val="21"/>
                      <w:szCs w:val="21"/>
                      <w:lang w:eastAsia="zh-CN"/>
                    </w:rPr>
                    <w:t>云南宝泰轻化机械有限公司</w:t>
                  </w:r>
                </w:p>
              </w:tc>
              <w:tc>
                <w:tcPr>
                  <w:tcW w:w="806" w:type="pct"/>
                  <w:tcBorders>
                    <w:tl2br w:val="nil"/>
                    <w:tr2bl w:val="nil"/>
                  </w:tcBorders>
                  <w:vAlign w:val="center"/>
                </w:tcPr>
                <w:p w14:paraId="07ED3763">
                  <w:pPr>
                    <w:keepNext w:val="0"/>
                    <w:keepLines w:val="0"/>
                    <w:pageBreakBefore w:val="0"/>
                    <w:widowControl w:val="0"/>
                    <w:kinsoku/>
                    <w:wordWrap/>
                    <w:overflowPunct/>
                    <w:topLinePunct w:val="0"/>
                    <w:autoSpaceDE/>
                    <w:autoSpaceDN/>
                    <w:bidi w:val="0"/>
                    <w:ind w:firstLine="0" w:firstLineChars="0"/>
                    <w:jc w:val="center"/>
                    <w:textAlignment w:val="auto"/>
                    <w:rPr>
                      <w:color w:val="auto"/>
                      <w:szCs w:val="21"/>
                    </w:rPr>
                  </w:pPr>
                  <w:r>
                    <w:rPr>
                      <w:rFonts w:hint="eastAsia"/>
                      <w:color w:val="auto"/>
                      <w:szCs w:val="21"/>
                      <w:lang w:val="en-US" w:eastAsia="zh-CN"/>
                    </w:rPr>
                    <w:t>西</w:t>
                  </w:r>
                  <w:r>
                    <w:rPr>
                      <w:color w:val="auto"/>
                      <w:szCs w:val="21"/>
                    </w:rPr>
                    <w:t>侧</w:t>
                  </w:r>
                  <w:r>
                    <w:rPr>
                      <w:rFonts w:hint="eastAsia"/>
                      <w:color w:val="auto"/>
                      <w:szCs w:val="21"/>
                    </w:rPr>
                    <w:t>紧邻</w:t>
                  </w:r>
                </w:p>
              </w:tc>
              <w:tc>
                <w:tcPr>
                  <w:tcW w:w="946" w:type="pct"/>
                  <w:tcBorders>
                    <w:tl2br w:val="nil"/>
                    <w:tr2bl w:val="nil"/>
                  </w:tcBorders>
                  <w:vAlign w:val="center"/>
                </w:tcPr>
                <w:p w14:paraId="63DF73A6">
                  <w:pPr>
                    <w:pStyle w:val="47"/>
                    <w:keepNext w:val="0"/>
                    <w:keepLines w:val="0"/>
                    <w:pageBreakBefore w:val="0"/>
                    <w:widowControl w:val="0"/>
                    <w:tabs>
                      <w:tab w:val="left" w:pos="5530"/>
                    </w:tabs>
                    <w:kinsoku/>
                    <w:wordWrap/>
                    <w:overflowPunct/>
                    <w:topLinePunct w:val="0"/>
                    <w:autoSpaceDE/>
                    <w:autoSpaceDN/>
                    <w:bidi w:val="0"/>
                    <w:spacing w:before="24" w:after="24"/>
                    <w:ind w:firstLine="0" w:firstLineChars="0"/>
                    <w:jc w:val="center"/>
                    <w:textAlignment w:val="auto"/>
                    <w:rPr>
                      <w:color w:val="auto"/>
                      <w:sz w:val="21"/>
                      <w:szCs w:val="21"/>
                    </w:rPr>
                  </w:pPr>
                  <w:r>
                    <w:rPr>
                      <w:rFonts w:hint="eastAsia" w:ascii="Times New Roman" w:hAnsi="Times New Roman" w:eastAsia="宋体" w:cs="Times New Roman"/>
                      <w:color w:val="auto"/>
                      <w:sz w:val="21"/>
                      <w:szCs w:val="21"/>
                      <w:lang w:eastAsia="zh-CN"/>
                    </w:rPr>
                    <w:t>压力容器</w:t>
                  </w:r>
                </w:p>
              </w:tc>
              <w:tc>
                <w:tcPr>
                  <w:tcW w:w="1929" w:type="pct"/>
                  <w:tcBorders>
                    <w:tl2br w:val="nil"/>
                    <w:tr2bl w:val="nil"/>
                  </w:tcBorders>
                  <w:vAlign w:val="center"/>
                </w:tcPr>
                <w:p w14:paraId="386F0FC1">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24" w:after="24" w:line="240" w:lineRule="auto"/>
                    <w:ind w:firstLine="0" w:firstLineChars="0"/>
                    <w:textAlignment w:val="auto"/>
                    <w:rPr>
                      <w:color w:val="auto"/>
                      <w:sz w:val="21"/>
                      <w:szCs w:val="21"/>
                    </w:rPr>
                  </w:pPr>
                  <w:r>
                    <w:rPr>
                      <w:rFonts w:hint="eastAsia" w:ascii="Times New Roman" w:cs="Times New Roman"/>
                      <w:color w:val="auto"/>
                      <w:sz w:val="21"/>
                      <w:szCs w:val="21"/>
                      <w:lang w:eastAsia="zh-CN"/>
                    </w:rPr>
                    <w:t>废气（</w:t>
                  </w:r>
                  <w:r>
                    <w:rPr>
                      <w:rFonts w:hint="eastAsia" w:ascii="Times New Roman" w:hAnsi="Times New Roman" w:eastAsia="宋体" w:cs="Times New Roman"/>
                      <w:color w:val="auto"/>
                      <w:sz w:val="21"/>
                      <w:szCs w:val="21"/>
                    </w:rPr>
                    <w:t>颗粒物、挥发性有机物</w:t>
                  </w:r>
                  <w:r>
                    <w:rPr>
                      <w:rFonts w:hint="eastAsia" w:ascii="Times New Roman" w:cs="Times New Roman"/>
                      <w:color w:val="auto"/>
                      <w:sz w:val="21"/>
                      <w:szCs w:val="21"/>
                      <w:lang w:eastAsia="zh-CN"/>
                    </w:rPr>
                    <w:t>）</w:t>
                  </w:r>
                  <w:r>
                    <w:rPr>
                      <w:rFonts w:hint="eastAsia" w:ascii="Times New Roman" w:hAnsi="Times New Roman" w:eastAsia="宋体" w:cs="Times New Roman"/>
                      <w:color w:val="auto"/>
                      <w:sz w:val="21"/>
                      <w:szCs w:val="21"/>
                    </w:rPr>
                    <w:t>、噪声、固体废弃物、废水</w:t>
                  </w:r>
                </w:p>
              </w:tc>
            </w:tr>
            <w:tr w14:paraId="1C08303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jc w:val="center"/>
              </w:trPr>
              <w:tc>
                <w:tcPr>
                  <w:tcW w:w="260" w:type="pct"/>
                  <w:tcBorders>
                    <w:tl2br w:val="nil"/>
                    <w:tr2bl w:val="nil"/>
                  </w:tcBorders>
                  <w:vAlign w:val="center"/>
                </w:tcPr>
                <w:p w14:paraId="1F5D611D">
                  <w:pPr>
                    <w:pStyle w:val="83"/>
                    <w:jc w:val="center"/>
                    <w:rPr>
                      <w:color w:val="auto"/>
                      <w:sz w:val="21"/>
                      <w:szCs w:val="21"/>
                    </w:rPr>
                  </w:pPr>
                  <w:r>
                    <w:rPr>
                      <w:color w:val="auto"/>
                      <w:sz w:val="21"/>
                      <w:szCs w:val="21"/>
                    </w:rPr>
                    <w:t>3</w:t>
                  </w:r>
                </w:p>
              </w:tc>
              <w:tc>
                <w:tcPr>
                  <w:tcW w:w="1056" w:type="pct"/>
                  <w:tcBorders>
                    <w:tl2br w:val="nil"/>
                    <w:tr2bl w:val="nil"/>
                  </w:tcBorders>
                  <w:vAlign w:val="center"/>
                </w:tcPr>
                <w:p w14:paraId="154AB5BB">
                  <w:pPr>
                    <w:pStyle w:val="47"/>
                    <w:keepNext w:val="0"/>
                    <w:keepLines w:val="0"/>
                    <w:pageBreakBefore w:val="0"/>
                    <w:widowControl w:val="0"/>
                    <w:tabs>
                      <w:tab w:val="left" w:pos="5530"/>
                    </w:tabs>
                    <w:kinsoku/>
                    <w:wordWrap/>
                    <w:overflowPunct/>
                    <w:topLinePunct w:val="0"/>
                    <w:autoSpaceDE/>
                    <w:autoSpaceDN/>
                    <w:bidi w:val="0"/>
                    <w:spacing w:before="24" w:after="24"/>
                    <w:ind w:firstLine="0" w:firstLineChars="0"/>
                    <w:jc w:val="center"/>
                    <w:textAlignment w:val="auto"/>
                    <w:rPr>
                      <w:color w:val="auto"/>
                      <w:szCs w:val="21"/>
                    </w:rPr>
                  </w:pPr>
                  <w:r>
                    <w:rPr>
                      <w:rFonts w:hint="default" w:ascii="Times New Roman" w:hAnsi="Times New Roman" w:eastAsia="宋体" w:cs="Times New Roman"/>
                      <w:color w:val="auto"/>
                      <w:sz w:val="21"/>
                      <w:szCs w:val="21"/>
                      <w:lang w:val="en-US" w:eastAsia="zh-CN"/>
                    </w:rPr>
                    <w:t>云南神农澄江饲料有限公司</w:t>
                  </w:r>
                </w:p>
              </w:tc>
              <w:tc>
                <w:tcPr>
                  <w:tcW w:w="806" w:type="pct"/>
                  <w:tcBorders>
                    <w:tl2br w:val="nil"/>
                    <w:tr2bl w:val="nil"/>
                  </w:tcBorders>
                  <w:vAlign w:val="center"/>
                </w:tcPr>
                <w:p w14:paraId="6583E3C0">
                  <w:pPr>
                    <w:keepNext w:val="0"/>
                    <w:keepLines w:val="0"/>
                    <w:pageBreakBefore w:val="0"/>
                    <w:widowControl w:val="0"/>
                    <w:kinsoku/>
                    <w:wordWrap/>
                    <w:overflowPunct/>
                    <w:topLinePunct w:val="0"/>
                    <w:autoSpaceDE/>
                    <w:autoSpaceDN/>
                    <w:bidi w:val="0"/>
                    <w:ind w:firstLine="0" w:firstLineChars="0"/>
                    <w:jc w:val="center"/>
                    <w:textAlignment w:val="auto"/>
                    <w:rPr>
                      <w:color w:val="auto"/>
                      <w:szCs w:val="21"/>
                    </w:rPr>
                  </w:pPr>
                  <w:r>
                    <w:rPr>
                      <w:rFonts w:hint="eastAsia"/>
                      <w:color w:val="auto"/>
                      <w:szCs w:val="21"/>
                      <w:lang w:val="en-US" w:eastAsia="zh-CN"/>
                    </w:rPr>
                    <w:t>西</w:t>
                  </w:r>
                  <w:r>
                    <w:rPr>
                      <w:rFonts w:hint="eastAsia"/>
                      <w:color w:val="auto"/>
                      <w:szCs w:val="21"/>
                    </w:rPr>
                    <w:t>北</w:t>
                  </w:r>
                  <w:r>
                    <w:rPr>
                      <w:color w:val="auto"/>
                      <w:szCs w:val="21"/>
                    </w:rPr>
                    <w:t>侧</w:t>
                  </w:r>
                  <w:r>
                    <w:rPr>
                      <w:rFonts w:hint="eastAsia"/>
                      <w:color w:val="auto"/>
                      <w:szCs w:val="21"/>
                      <w:lang w:val="en-US" w:eastAsia="zh-CN"/>
                    </w:rPr>
                    <w:t>115</w:t>
                  </w:r>
                  <w:r>
                    <w:rPr>
                      <w:color w:val="auto"/>
                      <w:szCs w:val="21"/>
                    </w:rPr>
                    <w:t>m</w:t>
                  </w:r>
                </w:p>
              </w:tc>
              <w:tc>
                <w:tcPr>
                  <w:tcW w:w="946" w:type="pct"/>
                  <w:tcBorders>
                    <w:tl2br w:val="nil"/>
                    <w:tr2bl w:val="nil"/>
                  </w:tcBorders>
                  <w:vAlign w:val="center"/>
                </w:tcPr>
                <w:p w14:paraId="7306551F">
                  <w:pPr>
                    <w:pStyle w:val="47"/>
                    <w:keepNext w:val="0"/>
                    <w:keepLines w:val="0"/>
                    <w:pageBreakBefore w:val="0"/>
                    <w:widowControl w:val="0"/>
                    <w:tabs>
                      <w:tab w:val="left" w:pos="5530"/>
                    </w:tabs>
                    <w:kinsoku/>
                    <w:wordWrap/>
                    <w:overflowPunct/>
                    <w:topLinePunct w:val="0"/>
                    <w:autoSpaceDE/>
                    <w:autoSpaceDN/>
                    <w:bidi w:val="0"/>
                    <w:spacing w:before="24" w:after="24"/>
                    <w:ind w:firstLine="0" w:firstLineChars="0"/>
                    <w:jc w:val="center"/>
                    <w:textAlignment w:val="auto"/>
                    <w:rPr>
                      <w:color w:val="auto"/>
                      <w:sz w:val="21"/>
                      <w:szCs w:val="21"/>
                    </w:rPr>
                  </w:pPr>
                  <w:r>
                    <w:rPr>
                      <w:rFonts w:hint="eastAsia" w:ascii="Times New Roman" w:hAnsi="Times New Roman" w:eastAsia="宋体" w:cs="Times New Roman"/>
                      <w:color w:val="auto"/>
                      <w:sz w:val="21"/>
                      <w:szCs w:val="21"/>
                      <w:lang w:eastAsia="zh-CN"/>
                    </w:rPr>
                    <w:t>饲料</w:t>
                  </w:r>
                </w:p>
              </w:tc>
              <w:tc>
                <w:tcPr>
                  <w:tcW w:w="1929" w:type="pct"/>
                  <w:tcBorders>
                    <w:tl2br w:val="nil"/>
                    <w:tr2bl w:val="nil"/>
                  </w:tcBorders>
                  <w:vAlign w:val="center"/>
                </w:tcPr>
                <w:p w14:paraId="46763DE3">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24" w:after="24" w:line="240" w:lineRule="auto"/>
                    <w:ind w:firstLine="0" w:firstLineChars="0"/>
                    <w:textAlignment w:val="auto"/>
                    <w:rPr>
                      <w:color w:val="auto"/>
                      <w:sz w:val="21"/>
                      <w:szCs w:val="21"/>
                    </w:rPr>
                  </w:pPr>
                  <w:r>
                    <w:rPr>
                      <w:rFonts w:hint="eastAsia" w:ascii="Times New Roman" w:cs="Times New Roman"/>
                      <w:color w:val="auto"/>
                      <w:sz w:val="21"/>
                      <w:szCs w:val="21"/>
                      <w:lang w:eastAsia="zh-CN"/>
                    </w:rPr>
                    <w:t>废气（</w:t>
                  </w:r>
                  <w:r>
                    <w:rPr>
                      <w:rFonts w:hint="eastAsia" w:ascii="Times New Roman" w:hAnsi="Times New Roman" w:eastAsia="宋体" w:cs="Times New Roman"/>
                      <w:color w:val="auto"/>
                      <w:sz w:val="21"/>
                      <w:szCs w:val="21"/>
                    </w:rPr>
                    <w:t>颗粒物、</w:t>
                  </w:r>
                  <w:r>
                    <w:rPr>
                      <w:rFonts w:hint="eastAsia" w:ascii="Times New Roman" w:hAnsi="Times New Roman" w:eastAsia="宋体" w:cs="Times New Roman"/>
                      <w:color w:val="auto"/>
                      <w:sz w:val="21"/>
                      <w:szCs w:val="21"/>
                      <w:lang w:eastAsia="zh-CN"/>
                    </w:rPr>
                    <w:t>二氧化硫、氮氧化物</w:t>
                  </w:r>
                  <w:r>
                    <w:rPr>
                      <w:rFonts w:hint="eastAsia" w:ascii="Times New Roman" w:cs="Times New Roman"/>
                      <w:color w:val="auto"/>
                      <w:sz w:val="21"/>
                      <w:szCs w:val="21"/>
                      <w:lang w:eastAsia="zh-CN"/>
                    </w:rPr>
                    <w:t>）</w:t>
                  </w:r>
                  <w:r>
                    <w:rPr>
                      <w:rFonts w:hint="eastAsia" w:ascii="Times New Roman" w:hAnsi="Times New Roman" w:eastAsia="宋体" w:cs="Times New Roman"/>
                      <w:color w:val="auto"/>
                      <w:sz w:val="21"/>
                      <w:szCs w:val="21"/>
                    </w:rPr>
                    <w:t>、噪声、固体废弃物、废水</w:t>
                  </w:r>
                </w:p>
              </w:tc>
            </w:tr>
            <w:tr w14:paraId="1474926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jc w:val="center"/>
              </w:trPr>
              <w:tc>
                <w:tcPr>
                  <w:tcW w:w="260" w:type="pct"/>
                  <w:tcBorders>
                    <w:tl2br w:val="nil"/>
                    <w:tr2bl w:val="nil"/>
                  </w:tcBorders>
                  <w:vAlign w:val="center"/>
                </w:tcPr>
                <w:p w14:paraId="67F73BEB">
                  <w:pPr>
                    <w:pStyle w:val="83"/>
                    <w:jc w:val="center"/>
                    <w:rPr>
                      <w:color w:val="auto"/>
                      <w:sz w:val="21"/>
                      <w:szCs w:val="21"/>
                    </w:rPr>
                  </w:pPr>
                  <w:r>
                    <w:rPr>
                      <w:color w:val="auto"/>
                      <w:sz w:val="21"/>
                      <w:szCs w:val="21"/>
                    </w:rPr>
                    <w:t>4</w:t>
                  </w:r>
                </w:p>
              </w:tc>
              <w:tc>
                <w:tcPr>
                  <w:tcW w:w="1056" w:type="pct"/>
                  <w:tcBorders>
                    <w:tl2br w:val="nil"/>
                    <w:tr2bl w:val="nil"/>
                  </w:tcBorders>
                  <w:vAlign w:val="center"/>
                </w:tcPr>
                <w:p w14:paraId="4B4342A5">
                  <w:pPr>
                    <w:pStyle w:val="47"/>
                    <w:keepNext w:val="0"/>
                    <w:keepLines w:val="0"/>
                    <w:pageBreakBefore w:val="0"/>
                    <w:widowControl w:val="0"/>
                    <w:tabs>
                      <w:tab w:val="left" w:pos="5530"/>
                    </w:tabs>
                    <w:kinsoku/>
                    <w:wordWrap/>
                    <w:overflowPunct/>
                    <w:topLinePunct w:val="0"/>
                    <w:autoSpaceDE/>
                    <w:autoSpaceDN/>
                    <w:bidi w:val="0"/>
                    <w:spacing w:before="24" w:after="24"/>
                    <w:ind w:firstLine="0" w:firstLineChars="0"/>
                    <w:jc w:val="center"/>
                    <w:textAlignment w:val="auto"/>
                    <w:rPr>
                      <w:color w:val="auto"/>
                      <w:szCs w:val="21"/>
                    </w:rPr>
                  </w:pPr>
                  <w:r>
                    <w:rPr>
                      <w:rFonts w:hint="eastAsia" w:ascii="Times New Roman" w:hAnsi="Times New Roman" w:eastAsia="宋体" w:cs="Times New Roman"/>
                      <w:color w:val="auto"/>
                      <w:sz w:val="21"/>
                      <w:szCs w:val="21"/>
                    </w:rPr>
                    <w:t>云南鑫成鹏高分子科技有限公司</w:t>
                  </w:r>
                </w:p>
              </w:tc>
              <w:tc>
                <w:tcPr>
                  <w:tcW w:w="806" w:type="pct"/>
                  <w:tcBorders>
                    <w:tl2br w:val="nil"/>
                    <w:tr2bl w:val="nil"/>
                  </w:tcBorders>
                  <w:vAlign w:val="center"/>
                </w:tcPr>
                <w:p w14:paraId="60987EE9">
                  <w:pPr>
                    <w:keepNext w:val="0"/>
                    <w:keepLines w:val="0"/>
                    <w:pageBreakBefore w:val="0"/>
                    <w:widowControl w:val="0"/>
                    <w:kinsoku/>
                    <w:wordWrap/>
                    <w:overflowPunct/>
                    <w:topLinePunct w:val="0"/>
                    <w:autoSpaceDE/>
                    <w:autoSpaceDN/>
                    <w:bidi w:val="0"/>
                    <w:ind w:firstLine="0" w:firstLineChars="0"/>
                    <w:jc w:val="center"/>
                    <w:textAlignment w:val="auto"/>
                    <w:rPr>
                      <w:color w:val="auto"/>
                      <w:szCs w:val="21"/>
                    </w:rPr>
                  </w:pPr>
                  <w:r>
                    <w:rPr>
                      <w:rFonts w:hint="eastAsia"/>
                      <w:color w:val="auto"/>
                      <w:szCs w:val="21"/>
                      <w:lang w:val="en-US" w:eastAsia="zh-CN"/>
                    </w:rPr>
                    <w:t>西</w:t>
                  </w:r>
                  <w:r>
                    <w:rPr>
                      <w:rFonts w:hint="eastAsia"/>
                      <w:color w:val="auto"/>
                      <w:szCs w:val="21"/>
                    </w:rPr>
                    <w:t>北</w:t>
                  </w:r>
                  <w:r>
                    <w:rPr>
                      <w:color w:val="auto"/>
                      <w:szCs w:val="21"/>
                    </w:rPr>
                    <w:t>侧</w:t>
                  </w:r>
                  <w:r>
                    <w:rPr>
                      <w:rFonts w:hint="eastAsia"/>
                      <w:color w:val="auto"/>
                      <w:szCs w:val="21"/>
                      <w:lang w:val="en-US" w:eastAsia="zh-CN"/>
                    </w:rPr>
                    <w:t>352</w:t>
                  </w:r>
                  <w:r>
                    <w:rPr>
                      <w:color w:val="auto"/>
                      <w:szCs w:val="21"/>
                    </w:rPr>
                    <w:t>m</w:t>
                  </w:r>
                </w:p>
              </w:tc>
              <w:tc>
                <w:tcPr>
                  <w:tcW w:w="946" w:type="pct"/>
                  <w:tcBorders>
                    <w:tl2br w:val="nil"/>
                    <w:tr2bl w:val="nil"/>
                  </w:tcBorders>
                  <w:vAlign w:val="center"/>
                </w:tcPr>
                <w:p w14:paraId="154DEE15">
                  <w:pPr>
                    <w:pStyle w:val="47"/>
                    <w:keepNext w:val="0"/>
                    <w:keepLines w:val="0"/>
                    <w:pageBreakBefore w:val="0"/>
                    <w:widowControl w:val="0"/>
                    <w:tabs>
                      <w:tab w:val="left" w:pos="5530"/>
                    </w:tabs>
                    <w:kinsoku/>
                    <w:wordWrap/>
                    <w:overflowPunct/>
                    <w:topLinePunct w:val="0"/>
                    <w:autoSpaceDE/>
                    <w:autoSpaceDN/>
                    <w:bidi w:val="0"/>
                    <w:spacing w:before="24" w:after="24"/>
                    <w:ind w:firstLine="0" w:firstLineChars="0"/>
                    <w:jc w:val="center"/>
                    <w:textAlignment w:val="auto"/>
                    <w:rPr>
                      <w:color w:val="auto"/>
                      <w:sz w:val="21"/>
                      <w:szCs w:val="21"/>
                    </w:rPr>
                  </w:pPr>
                  <w:r>
                    <w:rPr>
                      <w:rFonts w:hint="eastAsia" w:ascii="Times New Roman" w:hAnsi="Times New Roman" w:eastAsia="宋体" w:cs="Times New Roman"/>
                      <w:color w:val="auto"/>
                      <w:sz w:val="21"/>
                      <w:szCs w:val="21"/>
                      <w:lang w:eastAsia="zh-CN"/>
                    </w:rPr>
                    <w:t>绝缘材料</w:t>
                  </w:r>
                </w:p>
              </w:tc>
              <w:tc>
                <w:tcPr>
                  <w:tcW w:w="1929" w:type="pct"/>
                  <w:tcBorders>
                    <w:tl2br w:val="nil"/>
                    <w:tr2bl w:val="nil"/>
                  </w:tcBorders>
                  <w:vAlign w:val="center"/>
                </w:tcPr>
                <w:p w14:paraId="19E380B5">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24" w:after="24" w:line="240" w:lineRule="auto"/>
                    <w:ind w:firstLine="0" w:firstLineChars="0"/>
                    <w:textAlignment w:val="auto"/>
                    <w:rPr>
                      <w:color w:val="auto"/>
                      <w:sz w:val="21"/>
                      <w:szCs w:val="21"/>
                    </w:rPr>
                  </w:pPr>
                  <w:r>
                    <w:rPr>
                      <w:rFonts w:hint="eastAsia" w:ascii="Times New Roman" w:cs="Times New Roman"/>
                      <w:color w:val="auto"/>
                      <w:sz w:val="21"/>
                      <w:szCs w:val="21"/>
                      <w:lang w:eastAsia="zh-CN"/>
                    </w:rPr>
                    <w:t>废气（</w:t>
                  </w:r>
                  <w:r>
                    <w:rPr>
                      <w:rFonts w:hint="eastAsia" w:ascii="Times New Roman" w:hAnsi="Times New Roman" w:eastAsia="宋体" w:cs="Times New Roman"/>
                      <w:color w:val="auto"/>
                      <w:sz w:val="21"/>
                      <w:szCs w:val="21"/>
                    </w:rPr>
                    <w:t>颗粒物、挥发性有机物</w:t>
                  </w:r>
                  <w:r>
                    <w:rPr>
                      <w:rFonts w:hint="eastAsia" w:ascii="Times New Roman" w:cs="Times New Roman"/>
                      <w:color w:val="auto"/>
                      <w:sz w:val="21"/>
                      <w:szCs w:val="21"/>
                      <w:lang w:eastAsia="zh-CN"/>
                    </w:rPr>
                    <w:t>）</w:t>
                  </w:r>
                  <w:r>
                    <w:rPr>
                      <w:rFonts w:hint="eastAsia" w:ascii="Times New Roman" w:hAnsi="Times New Roman" w:eastAsia="宋体" w:cs="Times New Roman"/>
                      <w:color w:val="auto"/>
                      <w:sz w:val="21"/>
                      <w:szCs w:val="21"/>
                    </w:rPr>
                    <w:t>、噪声、固体废弃物、废水</w:t>
                  </w:r>
                </w:p>
              </w:tc>
            </w:tr>
            <w:tr w14:paraId="0DA3B01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jc w:val="center"/>
              </w:trPr>
              <w:tc>
                <w:tcPr>
                  <w:tcW w:w="260" w:type="pct"/>
                  <w:tcBorders>
                    <w:tl2br w:val="nil"/>
                    <w:tr2bl w:val="nil"/>
                  </w:tcBorders>
                  <w:vAlign w:val="center"/>
                </w:tcPr>
                <w:p w14:paraId="2E4D51E0">
                  <w:pPr>
                    <w:pStyle w:val="83"/>
                    <w:jc w:val="center"/>
                    <w:rPr>
                      <w:color w:val="auto"/>
                      <w:sz w:val="21"/>
                      <w:szCs w:val="21"/>
                    </w:rPr>
                  </w:pPr>
                  <w:r>
                    <w:rPr>
                      <w:color w:val="auto"/>
                      <w:sz w:val="21"/>
                      <w:szCs w:val="21"/>
                    </w:rPr>
                    <w:t>5</w:t>
                  </w:r>
                </w:p>
              </w:tc>
              <w:tc>
                <w:tcPr>
                  <w:tcW w:w="1056" w:type="pct"/>
                  <w:tcBorders>
                    <w:tl2br w:val="nil"/>
                    <w:tr2bl w:val="nil"/>
                  </w:tcBorders>
                  <w:vAlign w:val="center"/>
                </w:tcPr>
                <w:p w14:paraId="484C90EF">
                  <w:pPr>
                    <w:pStyle w:val="47"/>
                    <w:keepNext w:val="0"/>
                    <w:keepLines w:val="0"/>
                    <w:pageBreakBefore w:val="0"/>
                    <w:widowControl w:val="0"/>
                    <w:tabs>
                      <w:tab w:val="left" w:pos="5530"/>
                    </w:tabs>
                    <w:kinsoku/>
                    <w:wordWrap/>
                    <w:overflowPunct/>
                    <w:topLinePunct w:val="0"/>
                    <w:autoSpaceDE/>
                    <w:autoSpaceDN/>
                    <w:bidi w:val="0"/>
                    <w:spacing w:before="24" w:after="24"/>
                    <w:ind w:firstLine="0" w:firstLineChars="0"/>
                    <w:jc w:val="center"/>
                    <w:textAlignment w:val="auto"/>
                    <w:rPr>
                      <w:color w:val="auto"/>
                      <w:szCs w:val="21"/>
                    </w:rPr>
                  </w:pPr>
                  <w:r>
                    <w:rPr>
                      <w:rFonts w:hint="eastAsia" w:ascii="Times New Roman" w:hAnsi="Times New Roman" w:eastAsia="宋体" w:cs="Times New Roman"/>
                      <w:color w:val="auto"/>
                      <w:sz w:val="21"/>
                      <w:szCs w:val="21"/>
                      <w:lang w:eastAsia="zh-CN"/>
                    </w:rPr>
                    <w:t>提古冷库</w:t>
                  </w:r>
                </w:p>
              </w:tc>
              <w:tc>
                <w:tcPr>
                  <w:tcW w:w="806" w:type="pct"/>
                  <w:tcBorders>
                    <w:tl2br w:val="nil"/>
                    <w:tr2bl w:val="nil"/>
                  </w:tcBorders>
                  <w:vAlign w:val="center"/>
                </w:tcPr>
                <w:p w14:paraId="347BE283">
                  <w:pPr>
                    <w:keepNext w:val="0"/>
                    <w:keepLines w:val="0"/>
                    <w:pageBreakBefore w:val="0"/>
                    <w:widowControl w:val="0"/>
                    <w:kinsoku/>
                    <w:wordWrap/>
                    <w:overflowPunct/>
                    <w:topLinePunct w:val="0"/>
                    <w:autoSpaceDE/>
                    <w:autoSpaceDN/>
                    <w:bidi w:val="0"/>
                    <w:ind w:firstLine="0" w:firstLineChars="0"/>
                    <w:jc w:val="center"/>
                    <w:textAlignment w:val="auto"/>
                    <w:rPr>
                      <w:color w:val="auto"/>
                      <w:szCs w:val="21"/>
                    </w:rPr>
                  </w:pPr>
                  <w:r>
                    <w:rPr>
                      <w:rFonts w:hint="eastAsia"/>
                      <w:color w:val="auto"/>
                      <w:szCs w:val="21"/>
                      <w:lang w:val="en-US" w:eastAsia="zh-CN"/>
                    </w:rPr>
                    <w:t>西</w:t>
                  </w:r>
                  <w:r>
                    <w:rPr>
                      <w:rFonts w:hint="eastAsia"/>
                      <w:color w:val="auto"/>
                      <w:szCs w:val="21"/>
                    </w:rPr>
                    <w:t>北侧</w:t>
                  </w:r>
                  <w:r>
                    <w:rPr>
                      <w:rFonts w:hint="eastAsia"/>
                      <w:color w:val="auto"/>
                      <w:szCs w:val="21"/>
                      <w:lang w:val="en-US" w:eastAsia="zh-CN"/>
                    </w:rPr>
                    <w:t>349</w:t>
                  </w:r>
                  <w:r>
                    <w:rPr>
                      <w:rFonts w:hint="eastAsia"/>
                      <w:color w:val="auto"/>
                      <w:szCs w:val="21"/>
                    </w:rPr>
                    <w:t>m</w:t>
                  </w:r>
                </w:p>
              </w:tc>
              <w:tc>
                <w:tcPr>
                  <w:tcW w:w="946" w:type="pct"/>
                  <w:tcBorders>
                    <w:tl2br w:val="nil"/>
                    <w:tr2bl w:val="nil"/>
                  </w:tcBorders>
                  <w:vAlign w:val="center"/>
                </w:tcPr>
                <w:p w14:paraId="18B1377B">
                  <w:pPr>
                    <w:pStyle w:val="47"/>
                    <w:keepNext w:val="0"/>
                    <w:keepLines w:val="0"/>
                    <w:pageBreakBefore w:val="0"/>
                    <w:widowControl w:val="0"/>
                    <w:tabs>
                      <w:tab w:val="left" w:pos="5530"/>
                    </w:tabs>
                    <w:kinsoku/>
                    <w:wordWrap/>
                    <w:overflowPunct/>
                    <w:topLinePunct w:val="0"/>
                    <w:autoSpaceDE/>
                    <w:autoSpaceDN/>
                    <w:bidi w:val="0"/>
                    <w:spacing w:before="24" w:after="24"/>
                    <w:ind w:firstLine="0" w:firstLineChars="0"/>
                    <w:jc w:val="center"/>
                    <w:textAlignment w:val="auto"/>
                    <w:rPr>
                      <w:color w:val="auto"/>
                      <w:sz w:val="21"/>
                      <w:szCs w:val="21"/>
                    </w:rPr>
                  </w:pPr>
                  <w:r>
                    <w:rPr>
                      <w:rFonts w:hint="eastAsia" w:ascii="Times New Roman" w:hAnsi="Times New Roman" w:eastAsia="宋体" w:cs="Times New Roman"/>
                      <w:color w:val="auto"/>
                      <w:sz w:val="21"/>
                      <w:szCs w:val="21"/>
                      <w:lang w:eastAsia="zh-CN"/>
                    </w:rPr>
                    <w:t>冷库</w:t>
                  </w:r>
                </w:p>
              </w:tc>
              <w:tc>
                <w:tcPr>
                  <w:tcW w:w="1929" w:type="pct"/>
                  <w:tcBorders>
                    <w:tl2br w:val="nil"/>
                    <w:tr2bl w:val="nil"/>
                  </w:tcBorders>
                  <w:vAlign w:val="center"/>
                </w:tcPr>
                <w:p w14:paraId="30945126">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24" w:after="24" w:line="240" w:lineRule="auto"/>
                    <w:ind w:firstLine="0" w:firstLineChars="0"/>
                    <w:textAlignment w:val="auto"/>
                    <w:rPr>
                      <w:color w:val="auto"/>
                      <w:sz w:val="21"/>
                      <w:szCs w:val="21"/>
                    </w:rPr>
                  </w:pPr>
                  <w:r>
                    <w:rPr>
                      <w:rFonts w:hint="eastAsia" w:ascii="Times New Roman" w:hAnsi="Times New Roman" w:eastAsia="宋体" w:cs="Times New Roman"/>
                      <w:color w:val="auto"/>
                      <w:sz w:val="21"/>
                      <w:szCs w:val="21"/>
                    </w:rPr>
                    <w:t>噪声、固体废弃物、废水</w:t>
                  </w:r>
                </w:p>
              </w:tc>
            </w:tr>
            <w:tr w14:paraId="17E20B01">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jc w:val="center"/>
              </w:trPr>
              <w:tc>
                <w:tcPr>
                  <w:tcW w:w="260" w:type="pct"/>
                  <w:tcBorders>
                    <w:tl2br w:val="nil"/>
                    <w:tr2bl w:val="nil"/>
                  </w:tcBorders>
                  <w:vAlign w:val="center"/>
                </w:tcPr>
                <w:p w14:paraId="433CE074">
                  <w:pPr>
                    <w:pStyle w:val="83"/>
                    <w:jc w:val="center"/>
                    <w:rPr>
                      <w:color w:val="auto"/>
                      <w:sz w:val="21"/>
                      <w:szCs w:val="21"/>
                    </w:rPr>
                  </w:pPr>
                  <w:r>
                    <w:rPr>
                      <w:color w:val="auto"/>
                      <w:sz w:val="21"/>
                      <w:szCs w:val="21"/>
                    </w:rPr>
                    <w:t>6</w:t>
                  </w:r>
                </w:p>
              </w:tc>
              <w:tc>
                <w:tcPr>
                  <w:tcW w:w="1056" w:type="pct"/>
                  <w:tcBorders>
                    <w:tl2br w:val="nil"/>
                    <w:tr2bl w:val="nil"/>
                  </w:tcBorders>
                  <w:vAlign w:val="center"/>
                </w:tcPr>
                <w:p w14:paraId="512155D4">
                  <w:pPr>
                    <w:pStyle w:val="47"/>
                    <w:keepNext w:val="0"/>
                    <w:keepLines w:val="0"/>
                    <w:pageBreakBefore w:val="0"/>
                    <w:widowControl w:val="0"/>
                    <w:tabs>
                      <w:tab w:val="left" w:pos="5530"/>
                    </w:tabs>
                    <w:kinsoku/>
                    <w:wordWrap/>
                    <w:overflowPunct/>
                    <w:topLinePunct w:val="0"/>
                    <w:autoSpaceDE/>
                    <w:autoSpaceDN/>
                    <w:bidi w:val="0"/>
                    <w:spacing w:before="24" w:after="24"/>
                    <w:ind w:firstLine="0" w:firstLineChars="0"/>
                    <w:jc w:val="center"/>
                    <w:textAlignment w:val="auto"/>
                    <w:rPr>
                      <w:color w:val="auto"/>
                      <w:szCs w:val="21"/>
                    </w:rPr>
                  </w:pPr>
                  <w:r>
                    <w:rPr>
                      <w:rFonts w:hint="eastAsia" w:ascii="Times New Roman" w:hAnsi="Times New Roman" w:eastAsia="宋体" w:cs="Times New Roman"/>
                      <w:color w:val="auto"/>
                      <w:sz w:val="21"/>
                      <w:szCs w:val="21"/>
                      <w:lang w:val="en-US" w:eastAsia="zh-CN"/>
                    </w:rPr>
                    <w:t>云南星宗安消防设备有限公司</w:t>
                  </w:r>
                </w:p>
              </w:tc>
              <w:tc>
                <w:tcPr>
                  <w:tcW w:w="806" w:type="pct"/>
                  <w:tcBorders>
                    <w:tl2br w:val="nil"/>
                    <w:tr2bl w:val="nil"/>
                  </w:tcBorders>
                  <w:vAlign w:val="center"/>
                </w:tcPr>
                <w:p w14:paraId="5207A948">
                  <w:pPr>
                    <w:keepNext w:val="0"/>
                    <w:keepLines w:val="0"/>
                    <w:pageBreakBefore w:val="0"/>
                    <w:widowControl w:val="0"/>
                    <w:kinsoku/>
                    <w:wordWrap/>
                    <w:overflowPunct/>
                    <w:topLinePunct w:val="0"/>
                    <w:autoSpaceDE/>
                    <w:autoSpaceDN/>
                    <w:bidi w:val="0"/>
                    <w:ind w:firstLine="0" w:firstLineChars="0"/>
                    <w:jc w:val="center"/>
                    <w:textAlignment w:val="auto"/>
                    <w:rPr>
                      <w:color w:val="auto"/>
                      <w:szCs w:val="21"/>
                    </w:rPr>
                  </w:pPr>
                  <w:r>
                    <w:rPr>
                      <w:rFonts w:hint="eastAsia"/>
                      <w:color w:val="auto"/>
                      <w:szCs w:val="21"/>
                      <w:lang w:val="en-US" w:eastAsia="zh-CN"/>
                    </w:rPr>
                    <w:t>东侧140</w:t>
                  </w:r>
                  <w:r>
                    <w:rPr>
                      <w:color w:val="auto"/>
                      <w:szCs w:val="21"/>
                    </w:rPr>
                    <w:t>m</w:t>
                  </w:r>
                </w:p>
              </w:tc>
              <w:tc>
                <w:tcPr>
                  <w:tcW w:w="946" w:type="pct"/>
                  <w:tcBorders>
                    <w:tl2br w:val="nil"/>
                    <w:tr2bl w:val="nil"/>
                  </w:tcBorders>
                  <w:vAlign w:val="center"/>
                </w:tcPr>
                <w:p w14:paraId="11407ED4">
                  <w:pPr>
                    <w:pStyle w:val="47"/>
                    <w:keepNext w:val="0"/>
                    <w:keepLines w:val="0"/>
                    <w:pageBreakBefore w:val="0"/>
                    <w:widowControl w:val="0"/>
                    <w:tabs>
                      <w:tab w:val="left" w:pos="5530"/>
                    </w:tabs>
                    <w:kinsoku/>
                    <w:wordWrap/>
                    <w:overflowPunct/>
                    <w:topLinePunct w:val="0"/>
                    <w:autoSpaceDE/>
                    <w:autoSpaceDN/>
                    <w:bidi w:val="0"/>
                    <w:spacing w:before="24" w:after="24"/>
                    <w:ind w:firstLine="0" w:firstLineChars="0"/>
                    <w:jc w:val="center"/>
                    <w:textAlignment w:val="auto"/>
                    <w:rPr>
                      <w:color w:val="auto"/>
                      <w:sz w:val="21"/>
                      <w:szCs w:val="21"/>
                    </w:rPr>
                  </w:pPr>
                  <w:r>
                    <w:rPr>
                      <w:rFonts w:hint="eastAsia" w:ascii="Times New Roman" w:hAnsi="Times New Roman" w:eastAsia="宋体" w:cs="Times New Roman"/>
                      <w:color w:val="auto"/>
                      <w:sz w:val="21"/>
                      <w:szCs w:val="21"/>
                      <w:lang w:val="en-US" w:eastAsia="zh-CN"/>
                    </w:rPr>
                    <w:t>灭火器</w:t>
                  </w:r>
                </w:p>
              </w:tc>
              <w:tc>
                <w:tcPr>
                  <w:tcW w:w="1929" w:type="pct"/>
                  <w:tcBorders>
                    <w:tl2br w:val="nil"/>
                    <w:tr2bl w:val="nil"/>
                  </w:tcBorders>
                  <w:vAlign w:val="center"/>
                </w:tcPr>
                <w:p w14:paraId="5D05C572">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24" w:after="24" w:line="240" w:lineRule="auto"/>
                    <w:ind w:firstLine="0" w:firstLineChars="0"/>
                    <w:textAlignment w:val="auto"/>
                    <w:rPr>
                      <w:rFonts w:hint="eastAsia" w:eastAsia="宋体"/>
                      <w:color w:val="auto"/>
                      <w:sz w:val="21"/>
                      <w:szCs w:val="21"/>
                      <w:lang w:val="en-US" w:eastAsia="zh-CN"/>
                    </w:rPr>
                  </w:pPr>
                  <w:r>
                    <w:rPr>
                      <w:rFonts w:hint="eastAsia" w:ascii="Times New Roman" w:cs="Times New Roman"/>
                      <w:color w:val="auto"/>
                      <w:sz w:val="21"/>
                      <w:szCs w:val="21"/>
                      <w:lang w:eastAsia="zh-CN"/>
                    </w:rPr>
                    <w:t>废气（</w:t>
                  </w:r>
                  <w:r>
                    <w:rPr>
                      <w:rFonts w:hint="eastAsia" w:ascii="Times New Roman" w:hAnsi="Times New Roman" w:eastAsia="宋体" w:cs="Times New Roman"/>
                      <w:color w:val="auto"/>
                      <w:sz w:val="21"/>
                      <w:szCs w:val="21"/>
                    </w:rPr>
                    <w:t>颗粒物、挥发性有机物</w:t>
                  </w:r>
                  <w:r>
                    <w:rPr>
                      <w:rFonts w:hint="eastAsia" w:ascii="Times New Roman" w:cs="Times New Roman"/>
                      <w:color w:val="auto"/>
                      <w:sz w:val="21"/>
                      <w:szCs w:val="21"/>
                      <w:lang w:eastAsia="zh-CN"/>
                    </w:rPr>
                    <w:t>）</w:t>
                  </w:r>
                  <w:r>
                    <w:rPr>
                      <w:rFonts w:hint="eastAsia" w:ascii="Times New Roman" w:hAnsi="Times New Roman" w:eastAsia="宋体" w:cs="Times New Roman"/>
                      <w:color w:val="auto"/>
                      <w:sz w:val="21"/>
                      <w:szCs w:val="21"/>
                    </w:rPr>
                    <w:t>、噪声、固体废弃物、废</w:t>
                  </w:r>
                  <w:r>
                    <w:rPr>
                      <w:rFonts w:hint="eastAsia" w:ascii="Times New Roman" w:hAnsi="Times New Roman" w:eastAsia="宋体" w:cs="Times New Roman"/>
                      <w:color w:val="auto"/>
                      <w:sz w:val="21"/>
                      <w:szCs w:val="21"/>
                      <w:lang w:val="en-US" w:eastAsia="zh-CN"/>
                    </w:rPr>
                    <w:t>水</w:t>
                  </w:r>
                </w:p>
              </w:tc>
            </w:tr>
            <w:tr w14:paraId="0D746A02">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jc w:val="center"/>
              </w:trPr>
              <w:tc>
                <w:tcPr>
                  <w:tcW w:w="260" w:type="pct"/>
                  <w:tcBorders>
                    <w:tl2br w:val="nil"/>
                    <w:tr2bl w:val="nil"/>
                  </w:tcBorders>
                  <w:vAlign w:val="center"/>
                </w:tcPr>
                <w:p w14:paraId="3FBA467C">
                  <w:pPr>
                    <w:pStyle w:val="83"/>
                    <w:jc w:val="center"/>
                    <w:rPr>
                      <w:rFonts w:hint="eastAsia" w:eastAsia="宋体"/>
                      <w:color w:val="auto"/>
                      <w:sz w:val="21"/>
                      <w:szCs w:val="21"/>
                      <w:lang w:val="en-US" w:eastAsia="zh-CN"/>
                    </w:rPr>
                  </w:pPr>
                  <w:r>
                    <w:rPr>
                      <w:rFonts w:hint="eastAsia"/>
                      <w:color w:val="auto"/>
                      <w:sz w:val="21"/>
                      <w:szCs w:val="21"/>
                      <w:lang w:val="en-US" w:eastAsia="zh-CN"/>
                    </w:rPr>
                    <w:t>7</w:t>
                  </w:r>
                </w:p>
              </w:tc>
              <w:tc>
                <w:tcPr>
                  <w:tcW w:w="1056" w:type="pct"/>
                  <w:tcBorders>
                    <w:tl2br w:val="nil"/>
                    <w:tr2bl w:val="nil"/>
                  </w:tcBorders>
                  <w:vAlign w:val="center"/>
                </w:tcPr>
                <w:p w14:paraId="41FA0FA1">
                  <w:pPr>
                    <w:pStyle w:val="47"/>
                    <w:keepNext w:val="0"/>
                    <w:keepLines w:val="0"/>
                    <w:pageBreakBefore w:val="0"/>
                    <w:widowControl w:val="0"/>
                    <w:tabs>
                      <w:tab w:val="left" w:pos="5530"/>
                    </w:tabs>
                    <w:kinsoku/>
                    <w:wordWrap/>
                    <w:overflowPunct/>
                    <w:topLinePunct w:val="0"/>
                    <w:autoSpaceDE/>
                    <w:autoSpaceDN/>
                    <w:bidi w:val="0"/>
                    <w:spacing w:before="24" w:after="24"/>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云南铭伟新材料有限公司</w:t>
                  </w:r>
                </w:p>
              </w:tc>
              <w:tc>
                <w:tcPr>
                  <w:tcW w:w="806" w:type="pct"/>
                  <w:tcBorders>
                    <w:tl2br w:val="nil"/>
                    <w:tr2bl w:val="nil"/>
                  </w:tcBorders>
                  <w:vAlign w:val="center"/>
                </w:tcPr>
                <w:p w14:paraId="78BDCD94">
                  <w:pPr>
                    <w:pStyle w:val="47"/>
                    <w:keepNext w:val="0"/>
                    <w:keepLines w:val="0"/>
                    <w:pageBreakBefore w:val="0"/>
                    <w:widowControl w:val="0"/>
                    <w:tabs>
                      <w:tab w:val="left" w:pos="5530"/>
                    </w:tabs>
                    <w:kinsoku/>
                    <w:wordWrap/>
                    <w:overflowPunct/>
                    <w:topLinePunct w:val="0"/>
                    <w:autoSpaceDE/>
                    <w:autoSpaceDN/>
                    <w:bidi w:val="0"/>
                    <w:spacing w:before="24" w:after="24"/>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东</w:t>
                  </w:r>
                  <w:r>
                    <w:rPr>
                      <w:rFonts w:hint="eastAsia" w:ascii="Times New Roman" w:hAnsi="Times New Roman" w:eastAsia="宋体" w:cs="Times New Roman"/>
                      <w:color w:val="auto"/>
                      <w:sz w:val="21"/>
                      <w:szCs w:val="21"/>
                      <w:lang w:val="en-US" w:eastAsia="zh-CN"/>
                    </w:rPr>
                    <w:t>侧</w:t>
                  </w:r>
                  <w:r>
                    <w:rPr>
                      <w:rFonts w:hint="eastAsia" w:ascii="Times New Roman" w:cs="Times New Roman"/>
                      <w:color w:val="auto"/>
                      <w:sz w:val="21"/>
                      <w:szCs w:val="21"/>
                      <w:lang w:val="en-US" w:eastAsia="zh-CN"/>
                    </w:rPr>
                    <w:t>105</w:t>
                  </w:r>
                  <w:r>
                    <w:rPr>
                      <w:rFonts w:hint="eastAsia" w:ascii="Times New Roman" w:hAnsi="Times New Roman" w:eastAsia="宋体" w:cs="Times New Roman"/>
                      <w:color w:val="auto"/>
                      <w:sz w:val="21"/>
                      <w:szCs w:val="21"/>
                      <w:lang w:val="en-US" w:eastAsia="zh-CN"/>
                    </w:rPr>
                    <w:t>m</w:t>
                  </w:r>
                </w:p>
              </w:tc>
              <w:tc>
                <w:tcPr>
                  <w:tcW w:w="946" w:type="pct"/>
                  <w:tcBorders>
                    <w:tl2br w:val="nil"/>
                    <w:tr2bl w:val="nil"/>
                  </w:tcBorders>
                  <w:vAlign w:val="center"/>
                </w:tcPr>
                <w:p w14:paraId="02263DCE">
                  <w:pPr>
                    <w:pStyle w:val="47"/>
                    <w:keepNext w:val="0"/>
                    <w:keepLines w:val="0"/>
                    <w:pageBreakBefore w:val="0"/>
                    <w:widowControl w:val="0"/>
                    <w:tabs>
                      <w:tab w:val="left" w:pos="5530"/>
                    </w:tabs>
                    <w:kinsoku/>
                    <w:wordWrap/>
                    <w:overflowPunct/>
                    <w:topLinePunct w:val="0"/>
                    <w:autoSpaceDE/>
                    <w:autoSpaceDN/>
                    <w:bidi w:val="0"/>
                    <w:spacing w:before="24" w:after="24"/>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阴阳角线（塑料板、管、型材制造）</w:t>
                  </w:r>
                </w:p>
              </w:tc>
              <w:tc>
                <w:tcPr>
                  <w:tcW w:w="1929" w:type="pct"/>
                  <w:tcBorders>
                    <w:tl2br w:val="nil"/>
                    <w:tr2bl w:val="nil"/>
                  </w:tcBorders>
                  <w:vAlign w:val="center"/>
                </w:tcPr>
                <w:p w14:paraId="178061E3">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24" w:after="24" w:line="240" w:lineRule="auto"/>
                    <w:ind w:firstLine="0" w:firstLineChars="0"/>
                    <w:jc w:val="center"/>
                    <w:textAlignment w:val="auto"/>
                    <w:rPr>
                      <w:rFonts w:hint="eastAsia" w:ascii="Times New Roman" w:hAnsi="Times New Roman" w:eastAsia="宋体" w:cs="Times New Roman"/>
                      <w:color w:val="auto"/>
                      <w:sz w:val="21"/>
                      <w:szCs w:val="21"/>
                      <w:lang w:eastAsia="zh-CN"/>
                    </w:rPr>
                  </w:pPr>
                  <w:r>
                    <w:rPr>
                      <w:rFonts w:hint="eastAsia" w:ascii="Times New Roman" w:cs="Times New Roman"/>
                      <w:color w:val="auto"/>
                      <w:sz w:val="21"/>
                      <w:szCs w:val="21"/>
                      <w:lang w:eastAsia="zh-CN"/>
                    </w:rPr>
                    <w:t>废气（</w:t>
                  </w:r>
                  <w:r>
                    <w:rPr>
                      <w:rFonts w:hint="eastAsia" w:ascii="Times New Roman" w:hAnsi="Times New Roman" w:eastAsia="宋体" w:cs="Times New Roman"/>
                      <w:color w:val="auto"/>
                      <w:sz w:val="21"/>
                      <w:szCs w:val="21"/>
                    </w:rPr>
                    <w:t>颗粒物、挥发性有机物</w:t>
                  </w:r>
                  <w:r>
                    <w:rPr>
                      <w:rFonts w:hint="eastAsia" w:ascii="Times New Roman" w:cs="Times New Roman"/>
                      <w:color w:val="auto"/>
                      <w:sz w:val="21"/>
                      <w:szCs w:val="21"/>
                      <w:lang w:eastAsia="zh-CN"/>
                    </w:rPr>
                    <w:t>）</w:t>
                  </w:r>
                  <w:r>
                    <w:rPr>
                      <w:rFonts w:hint="eastAsia" w:ascii="Times New Roman" w:hAnsi="Times New Roman" w:eastAsia="宋体" w:cs="Times New Roman"/>
                      <w:color w:val="auto"/>
                      <w:sz w:val="21"/>
                      <w:szCs w:val="21"/>
                      <w:lang w:eastAsia="zh-CN"/>
                    </w:rPr>
                    <w:t>、噪声、固体废弃物、废水</w:t>
                  </w:r>
                </w:p>
              </w:tc>
            </w:tr>
          </w:tbl>
          <w:p w14:paraId="65812791">
            <w:pPr>
              <w:pStyle w:val="77"/>
              <w:ind w:left="0" w:leftChars="0" w:firstLine="480" w:firstLineChars="200"/>
              <w:rPr>
                <w:color w:val="auto"/>
              </w:rPr>
            </w:pPr>
            <w:r>
              <w:rPr>
                <w:color w:val="auto"/>
              </w:rPr>
              <w:t>从对项目周边情况调查可知，周围</w:t>
            </w:r>
            <w:r>
              <w:rPr>
                <w:rFonts w:hint="eastAsia"/>
                <w:color w:val="auto"/>
              </w:rPr>
              <w:t>基本为</w:t>
            </w:r>
            <w:r>
              <w:rPr>
                <w:rFonts w:hint="eastAsia"/>
                <w:color w:val="auto"/>
                <w:lang w:eastAsia="zh-CN"/>
              </w:rPr>
              <w:t>企业</w:t>
            </w:r>
            <w:r>
              <w:rPr>
                <w:rFonts w:hint="eastAsia"/>
                <w:color w:val="auto"/>
              </w:rPr>
              <w:t>，</w:t>
            </w:r>
            <w:r>
              <w:rPr>
                <w:color w:val="auto"/>
              </w:rPr>
              <w:t>对本项目无制约性因素。项目区外</w:t>
            </w:r>
            <w:r>
              <w:rPr>
                <w:rFonts w:hint="eastAsia"/>
                <w:color w:val="auto"/>
                <w:lang w:val="en-US" w:eastAsia="zh-CN"/>
              </w:rPr>
              <w:t>5</w:t>
            </w:r>
            <w:r>
              <w:rPr>
                <w:color w:val="auto"/>
              </w:rPr>
              <w:t>00m范围内不存在</w:t>
            </w:r>
            <w:r>
              <w:rPr>
                <w:rFonts w:hint="eastAsia"/>
                <w:color w:val="auto"/>
              </w:rPr>
              <w:t>饮用水水源地保护区</w:t>
            </w:r>
            <w:r>
              <w:rPr>
                <w:color w:val="auto"/>
              </w:rPr>
              <w:t>，不涉及生态保护区、自然保护区、风景名胜区、文化遗产保护区、水源保护区等环境敏感区，同时未占用</w:t>
            </w:r>
            <w:r>
              <w:rPr>
                <w:rFonts w:hint="eastAsia"/>
                <w:color w:val="auto"/>
                <w:lang w:eastAsia="zh-CN"/>
              </w:rPr>
              <w:t>澄江市</w:t>
            </w:r>
            <w:r>
              <w:rPr>
                <w:color w:val="auto"/>
              </w:rPr>
              <w:t>生态保护红线。</w:t>
            </w:r>
            <w:r>
              <w:rPr>
                <w:rFonts w:hint="eastAsia"/>
                <w:color w:val="auto"/>
              </w:rPr>
              <w:t>据现场踏勘，项目周边50m范围内</w:t>
            </w:r>
            <w:r>
              <w:rPr>
                <w:rFonts w:hint="eastAsia"/>
                <w:color w:val="auto"/>
                <w:lang w:eastAsia="zh-CN"/>
              </w:rPr>
              <w:t>不</w:t>
            </w:r>
            <w:r>
              <w:rPr>
                <w:rFonts w:hint="eastAsia"/>
                <w:color w:val="auto"/>
              </w:rPr>
              <w:t>存在环境敏感目标，</w:t>
            </w:r>
            <w:r>
              <w:rPr>
                <w:rFonts w:hint="eastAsia" w:cs="Times New Roman"/>
                <w:b w:val="0"/>
                <w:bCs w:val="0"/>
                <w:color w:val="auto"/>
                <w:kern w:val="0"/>
                <w:sz w:val="24"/>
                <w:szCs w:val="24"/>
                <w:highlight w:val="none"/>
                <w:lang w:val="en-US" w:eastAsia="zh-CN" w:bidi="ar"/>
              </w:rPr>
              <w:t>最近的居民点位为西北侧320m处的提古村</w:t>
            </w:r>
            <w:r>
              <w:rPr>
                <w:rFonts w:hint="eastAsia"/>
                <w:color w:val="auto"/>
              </w:rPr>
              <w:t>；</w:t>
            </w:r>
            <w:r>
              <w:rPr>
                <w:color w:val="auto"/>
              </w:rPr>
              <w:t>项目产生污染物是废气、废水、噪声和固废，经过环评提出的相应环保措施后，</w:t>
            </w:r>
            <w:r>
              <w:rPr>
                <w:rFonts w:hint="eastAsia"/>
                <w:color w:val="auto"/>
              </w:rPr>
              <w:t>废气和噪声</w:t>
            </w:r>
            <w:r>
              <w:rPr>
                <w:color w:val="auto"/>
              </w:rPr>
              <w:t>可做到达标排放，</w:t>
            </w:r>
            <w:r>
              <w:rPr>
                <w:rFonts w:hint="eastAsia"/>
                <w:color w:val="auto"/>
                <w:lang w:val="en-US" w:eastAsia="zh-CN"/>
              </w:rPr>
              <w:t>本项目厂址周边无排水条件，</w:t>
            </w:r>
            <w:r>
              <w:rPr>
                <w:rFonts w:hint="eastAsia"/>
                <w:color w:val="auto"/>
                <w:sz w:val="24"/>
                <w:lang w:val="en-US" w:eastAsia="zh-CN"/>
              </w:rPr>
              <w:t>但本</w:t>
            </w:r>
            <w:r>
              <w:rPr>
                <w:color w:val="auto"/>
                <w:sz w:val="24"/>
              </w:rPr>
              <w:t>项目</w:t>
            </w:r>
            <w:r>
              <w:rPr>
                <w:color w:val="auto"/>
                <w:sz w:val="24"/>
                <w:highlight w:val="none"/>
                <w:lang w:val="en-US" w:eastAsia="zh-CN"/>
              </w:rPr>
              <w:t>冷却水</w:t>
            </w:r>
            <w:r>
              <w:rPr>
                <w:color w:val="auto"/>
                <w:sz w:val="24"/>
                <w:lang w:val="en-US" w:eastAsia="zh-CN"/>
              </w:rPr>
              <w:t>经冷却循环</w:t>
            </w:r>
            <w:r>
              <w:rPr>
                <w:rFonts w:hint="eastAsia"/>
                <w:color w:val="auto"/>
                <w:sz w:val="24"/>
                <w:lang w:val="en-US" w:eastAsia="zh-CN"/>
              </w:rPr>
              <w:t>水箱</w:t>
            </w:r>
            <w:r>
              <w:rPr>
                <w:color w:val="auto"/>
                <w:sz w:val="24"/>
                <w:lang w:val="en-US" w:eastAsia="zh-CN"/>
              </w:rPr>
              <w:t>冷却后循环使用，不外排</w:t>
            </w:r>
            <w:r>
              <w:rPr>
                <w:color w:val="auto"/>
                <w:sz w:val="24"/>
                <w:szCs w:val="24"/>
                <w:lang w:val="en-US" w:eastAsia="zh-CN"/>
              </w:rPr>
              <w:t>；</w:t>
            </w:r>
            <w:r>
              <w:rPr>
                <w:rFonts w:hint="default" w:ascii="Times New Roman" w:hAnsi="Times New Roman" w:eastAsia="宋体" w:cs="Times New Roman"/>
                <w:b w:val="0"/>
                <w:bCs w:val="0"/>
                <w:color w:val="auto"/>
                <w:sz w:val="24"/>
                <w:szCs w:val="24"/>
                <w:highlight w:val="none"/>
                <w:lang w:val="en-US" w:eastAsia="zh-CN"/>
              </w:rPr>
              <w:t>食堂含油废水经隔油池预处理后与其他办公生活污水一并进入</w:t>
            </w:r>
            <w:r>
              <w:rPr>
                <w:rFonts w:hint="eastAsia" w:cs="Times New Roman"/>
                <w:b w:val="0"/>
                <w:bCs w:val="0"/>
                <w:color w:val="auto"/>
                <w:sz w:val="24"/>
                <w:szCs w:val="24"/>
                <w:highlight w:val="none"/>
                <w:lang w:val="en-US" w:eastAsia="zh-CN"/>
              </w:rPr>
              <w:t>依托的</w:t>
            </w:r>
            <w:r>
              <w:rPr>
                <w:rFonts w:hint="default" w:ascii="Times New Roman" w:hAnsi="Times New Roman" w:eastAsia="宋体" w:cs="Times New Roman"/>
                <w:b w:val="0"/>
                <w:bCs w:val="0"/>
                <w:color w:val="auto"/>
                <w:sz w:val="24"/>
                <w:szCs w:val="24"/>
                <w:highlight w:val="none"/>
                <w:lang w:val="en-US" w:eastAsia="zh-CN"/>
              </w:rPr>
              <w:t>化粪池</w:t>
            </w:r>
            <w:r>
              <w:rPr>
                <w:rFonts w:hint="eastAsia" w:cs="Times New Roman"/>
                <w:b w:val="0"/>
                <w:bCs w:val="0"/>
                <w:color w:val="auto"/>
                <w:sz w:val="24"/>
                <w:szCs w:val="24"/>
                <w:highlight w:val="none"/>
                <w:lang w:val="en-US" w:eastAsia="zh-CN"/>
              </w:rPr>
              <w:t>处理</w:t>
            </w:r>
            <w:r>
              <w:rPr>
                <w:rFonts w:hint="eastAsia" w:ascii="Times New Roman" w:hAnsi="Times New Roman" w:eastAsia="宋体" w:cs="Times New Roman"/>
                <w:color w:val="auto"/>
                <w:sz w:val="24"/>
                <w:szCs w:val="24"/>
                <w:highlight w:val="none"/>
                <w:lang w:val="en-US" w:eastAsia="zh-CN"/>
              </w:rPr>
              <w:t>后</w:t>
            </w:r>
            <w:r>
              <w:rPr>
                <w:rFonts w:hint="default" w:ascii="Times New Roman" w:hAnsi="Times New Roman" w:eastAsia="宋体" w:cs="Times New Roman"/>
                <w:color w:val="auto"/>
                <w:sz w:val="24"/>
                <w:szCs w:val="24"/>
                <w:highlight w:val="none"/>
                <w:lang w:val="en-US" w:eastAsia="zh-CN"/>
              </w:rPr>
              <w:t>再进入到</w:t>
            </w:r>
            <w:r>
              <w:rPr>
                <w:rFonts w:hint="eastAsia" w:ascii="Times New Roman" w:hAnsi="Times New Roman" w:eastAsia="宋体" w:cs="Times New Roman"/>
                <w:color w:val="auto"/>
                <w:sz w:val="24"/>
                <w:szCs w:val="24"/>
                <w:highlight w:val="none"/>
                <w:lang w:val="en-US" w:eastAsia="zh-CN"/>
              </w:rPr>
              <w:t>依托的一体化污水处理站</w:t>
            </w:r>
            <w:r>
              <w:rPr>
                <w:rFonts w:hint="default" w:ascii="Times New Roman" w:hAnsi="Times New Roman" w:eastAsia="宋体" w:cs="Times New Roman"/>
                <w:color w:val="auto"/>
                <w:sz w:val="24"/>
                <w:szCs w:val="24"/>
                <w:highlight w:val="none"/>
                <w:lang w:val="en-US" w:eastAsia="zh-CN"/>
              </w:rPr>
              <w:t>处理</w:t>
            </w:r>
            <w:r>
              <w:rPr>
                <w:rFonts w:hint="eastAsia" w:ascii="Times New Roman" w:hAnsi="Times New Roman" w:eastAsia="宋体" w:cs="Times New Roman"/>
                <w:color w:val="auto"/>
                <w:sz w:val="24"/>
                <w:szCs w:val="24"/>
                <w:highlight w:val="none"/>
                <w:lang w:val="en-US" w:eastAsia="zh-CN"/>
              </w:rPr>
              <w:t>达到</w:t>
            </w:r>
            <w:r>
              <w:rPr>
                <w:rFonts w:hint="default" w:ascii="Times New Roman" w:hAnsi="Times New Roman" w:eastAsia="宋体" w:cs="Times New Roman"/>
                <w:b w:val="0"/>
                <w:bCs w:val="0"/>
                <w:color w:val="auto"/>
                <w:sz w:val="24"/>
                <w:szCs w:val="24"/>
                <w:highlight w:val="none"/>
                <w:lang w:val="en-US" w:eastAsia="zh-CN"/>
              </w:rPr>
              <w:t>《城市污水再生利用 城市杂用水水质》（GB/T18920-2020）中的城市绿化、道路清扫、消防、建筑施工标准后，用于</w:t>
            </w:r>
            <w:r>
              <w:rPr>
                <w:rFonts w:hint="eastAsia" w:cs="Times New Roman"/>
                <w:b w:val="0"/>
                <w:bCs w:val="0"/>
                <w:color w:val="auto"/>
                <w:sz w:val="24"/>
                <w:szCs w:val="24"/>
                <w:highlight w:val="none"/>
                <w:lang w:val="en-US" w:eastAsia="zh-CN"/>
              </w:rPr>
              <w:t>本</w:t>
            </w:r>
            <w:r>
              <w:rPr>
                <w:rFonts w:hint="default" w:ascii="Times New Roman" w:hAnsi="Times New Roman" w:eastAsia="宋体" w:cs="Times New Roman"/>
                <w:b w:val="0"/>
                <w:bCs w:val="0"/>
                <w:color w:val="auto"/>
                <w:sz w:val="24"/>
                <w:szCs w:val="24"/>
                <w:highlight w:val="none"/>
                <w:lang w:val="en-US" w:eastAsia="zh-CN"/>
              </w:rPr>
              <w:t>项目区</w:t>
            </w:r>
            <w:r>
              <w:rPr>
                <w:rFonts w:hint="eastAsia" w:cs="Times New Roman"/>
                <w:b w:val="0"/>
                <w:bCs w:val="0"/>
                <w:color w:val="auto"/>
                <w:sz w:val="24"/>
                <w:szCs w:val="24"/>
                <w:highlight w:val="none"/>
                <w:lang w:val="en-US" w:eastAsia="zh-CN"/>
              </w:rPr>
              <w:t>及</w:t>
            </w:r>
            <w:r>
              <w:rPr>
                <w:rFonts w:hint="eastAsia"/>
                <w:bCs/>
                <w:color w:val="auto"/>
                <w:sz w:val="24"/>
                <w:szCs w:val="24"/>
                <w:highlight w:val="none"/>
                <w:lang w:eastAsia="zh-CN"/>
              </w:rPr>
              <w:t>云</w:t>
            </w:r>
            <w:r>
              <w:rPr>
                <w:rFonts w:hint="eastAsia"/>
                <w:color w:val="auto"/>
                <w:sz w:val="24"/>
                <w:szCs w:val="24"/>
                <w:highlight w:val="none"/>
                <w:lang w:val="en-US" w:eastAsia="zh-CN"/>
              </w:rPr>
              <w:t>南宝泰轻化机械</w:t>
            </w:r>
            <w:r>
              <w:rPr>
                <w:rFonts w:hint="eastAsia"/>
                <w:color w:val="auto"/>
                <w:sz w:val="24"/>
                <w:szCs w:val="24"/>
                <w:highlight w:val="none"/>
                <w:lang w:eastAsia="zh-CN"/>
              </w:rPr>
              <w:t>有限公司</w:t>
            </w:r>
            <w:r>
              <w:rPr>
                <w:rFonts w:hint="default" w:ascii="Times New Roman" w:hAnsi="Times New Roman" w:eastAsia="宋体" w:cs="Times New Roman"/>
                <w:b w:val="0"/>
                <w:bCs w:val="0"/>
                <w:color w:val="auto"/>
                <w:sz w:val="24"/>
                <w:szCs w:val="24"/>
                <w:highlight w:val="none"/>
                <w:lang w:val="en-US" w:eastAsia="zh-CN"/>
              </w:rPr>
              <w:t>内绿化及道路场地洒水降尘，不外排</w:t>
            </w:r>
            <w:r>
              <w:rPr>
                <w:rFonts w:hint="eastAsia"/>
                <w:color w:val="auto"/>
                <w:sz w:val="24"/>
                <w:szCs w:val="24"/>
              </w:rPr>
              <w:t>，</w:t>
            </w:r>
            <w:r>
              <w:rPr>
                <w:rFonts w:hint="eastAsia"/>
                <w:color w:val="auto"/>
                <w:lang w:val="en-US" w:eastAsia="zh-CN"/>
              </w:rPr>
              <w:t>因此</w:t>
            </w:r>
            <w:r>
              <w:rPr>
                <w:color w:val="auto"/>
                <w:kern w:val="0"/>
                <w:sz w:val="24"/>
                <w:lang w:bidi="ar"/>
              </w:rPr>
              <w:t>对周围地表水环境影响不大；</w:t>
            </w:r>
            <w:r>
              <w:rPr>
                <w:rFonts w:hint="eastAsia"/>
                <w:color w:val="auto"/>
                <w:lang w:val="en-US" w:eastAsia="zh-CN"/>
              </w:rPr>
              <w:t>对</w:t>
            </w:r>
            <w:r>
              <w:rPr>
                <w:rFonts w:hint="eastAsia"/>
                <w:color w:val="auto"/>
              </w:rPr>
              <w:t>固废1</w:t>
            </w:r>
            <w:r>
              <w:rPr>
                <w:rFonts w:hint="eastAsia"/>
                <w:color w:val="auto"/>
                <w:szCs w:val="22"/>
              </w:rPr>
              <w:t>00%处置，废气</w:t>
            </w:r>
            <w:r>
              <w:rPr>
                <w:rFonts w:hint="eastAsia"/>
                <w:color w:val="auto"/>
                <w:szCs w:val="22"/>
                <w:lang w:eastAsia="zh-CN"/>
              </w:rPr>
              <w:t>经处理后</w:t>
            </w:r>
            <w:r>
              <w:rPr>
                <w:rFonts w:hint="eastAsia"/>
                <w:color w:val="auto"/>
                <w:szCs w:val="22"/>
              </w:rPr>
              <w:t>达标排放，</w:t>
            </w:r>
            <w:r>
              <w:rPr>
                <w:color w:val="auto"/>
                <w:lang w:val="zh-CN"/>
              </w:rPr>
              <w:t>项目的生产对周围企业</w:t>
            </w:r>
            <w:r>
              <w:rPr>
                <w:rFonts w:hint="eastAsia"/>
                <w:color w:val="auto"/>
                <w:lang w:val="zh-CN"/>
              </w:rPr>
              <w:t>及提古村等保护目标</w:t>
            </w:r>
            <w:r>
              <w:rPr>
                <w:color w:val="auto"/>
                <w:lang w:val="zh-CN"/>
              </w:rPr>
              <w:t>的影响不大。</w:t>
            </w:r>
            <w:r>
              <w:rPr>
                <w:color w:val="auto"/>
                <w:szCs w:val="22"/>
              </w:rPr>
              <w:t>项目与周围</w:t>
            </w:r>
            <w:r>
              <w:rPr>
                <w:rFonts w:hint="eastAsia"/>
                <w:color w:val="auto"/>
                <w:szCs w:val="22"/>
              </w:rPr>
              <w:t>环境</w:t>
            </w:r>
            <w:r>
              <w:rPr>
                <w:color w:val="auto"/>
                <w:szCs w:val="22"/>
              </w:rPr>
              <w:t>无相互干扰的因素。</w:t>
            </w:r>
          </w:p>
          <w:p w14:paraId="57D0F77A">
            <w:pPr>
              <w:pStyle w:val="77"/>
              <w:rPr>
                <w:rFonts w:hint="eastAsia"/>
                <w:color w:val="auto"/>
                <w:lang w:val="zh-CN"/>
              </w:rPr>
            </w:pPr>
            <w:r>
              <w:rPr>
                <w:color w:val="auto"/>
                <w:lang w:val="zh-CN"/>
              </w:rPr>
              <w:t>综上所述，本项目与</w:t>
            </w:r>
            <w:r>
              <w:rPr>
                <w:color w:val="auto"/>
              </w:rPr>
              <w:t>周边</w:t>
            </w:r>
            <w:r>
              <w:rPr>
                <w:color w:val="auto"/>
                <w:lang w:val="zh-CN"/>
              </w:rPr>
              <w:t>环境是相容的</w:t>
            </w:r>
            <w:r>
              <w:rPr>
                <w:rFonts w:hint="eastAsia"/>
                <w:color w:val="auto"/>
                <w:lang w:val="zh-CN"/>
              </w:rPr>
              <w:t>。</w:t>
            </w:r>
          </w:p>
          <w:p w14:paraId="5C2B1749">
            <w:pPr>
              <w:pStyle w:val="77"/>
              <w:rPr>
                <w:rFonts w:hint="eastAsia"/>
                <w:color w:val="auto"/>
                <w:lang w:val="zh-CN"/>
              </w:rPr>
            </w:pPr>
          </w:p>
          <w:p w14:paraId="470DE5E9">
            <w:pPr>
              <w:pStyle w:val="77"/>
              <w:rPr>
                <w:rFonts w:hint="eastAsia"/>
                <w:color w:val="auto"/>
                <w:lang w:val="zh-CN"/>
              </w:rPr>
            </w:pPr>
          </w:p>
          <w:p w14:paraId="4E30A752">
            <w:pPr>
              <w:pStyle w:val="77"/>
              <w:ind w:left="0" w:leftChars="0" w:firstLine="0" w:firstLineChars="0"/>
              <w:rPr>
                <w:rFonts w:hint="eastAsia"/>
                <w:color w:val="auto"/>
                <w:lang w:val="zh-CN"/>
              </w:rPr>
            </w:pPr>
          </w:p>
          <w:p w14:paraId="20F304D8">
            <w:pPr>
              <w:pStyle w:val="77"/>
              <w:rPr>
                <w:rFonts w:hint="eastAsia"/>
                <w:color w:val="auto"/>
                <w:lang w:val="zh-CN"/>
              </w:rPr>
            </w:pPr>
          </w:p>
          <w:p w14:paraId="6031F7D6">
            <w:pPr>
              <w:pStyle w:val="77"/>
              <w:ind w:left="0" w:leftChars="0" w:firstLine="0" w:firstLineChars="0"/>
              <w:rPr>
                <w:rFonts w:hint="eastAsia"/>
                <w:color w:val="auto"/>
                <w:lang w:val="zh-CN"/>
              </w:rPr>
            </w:pPr>
          </w:p>
          <w:p w14:paraId="32FE28BE">
            <w:pPr>
              <w:pStyle w:val="77"/>
              <w:ind w:left="0" w:leftChars="0" w:firstLine="0" w:firstLineChars="0"/>
              <w:rPr>
                <w:rFonts w:hint="eastAsia"/>
                <w:color w:val="auto"/>
                <w:lang w:val="zh-CN"/>
              </w:rPr>
            </w:pPr>
          </w:p>
          <w:p w14:paraId="7BD50D89">
            <w:pPr>
              <w:pStyle w:val="77"/>
              <w:ind w:left="0" w:leftChars="0" w:firstLine="0" w:firstLineChars="0"/>
              <w:rPr>
                <w:rFonts w:hint="eastAsia"/>
                <w:color w:val="auto"/>
                <w:lang w:val="zh-CN"/>
              </w:rPr>
            </w:pPr>
          </w:p>
          <w:p w14:paraId="4148BBCD">
            <w:pPr>
              <w:pStyle w:val="77"/>
              <w:ind w:left="0" w:leftChars="0" w:firstLine="0" w:firstLineChars="0"/>
              <w:rPr>
                <w:rFonts w:hint="eastAsia"/>
                <w:color w:val="auto"/>
                <w:lang w:val="zh-CN"/>
              </w:rPr>
            </w:pPr>
          </w:p>
          <w:p w14:paraId="2A069713">
            <w:pPr>
              <w:pStyle w:val="77"/>
              <w:ind w:left="0" w:leftChars="0" w:firstLine="0" w:firstLineChars="0"/>
              <w:rPr>
                <w:rFonts w:hint="eastAsia"/>
                <w:color w:val="auto"/>
                <w:lang w:val="zh-CN"/>
              </w:rPr>
            </w:pPr>
          </w:p>
          <w:p w14:paraId="31DCC6FC">
            <w:pPr>
              <w:pStyle w:val="77"/>
              <w:ind w:left="0" w:leftChars="0" w:firstLine="0" w:firstLineChars="0"/>
              <w:rPr>
                <w:rFonts w:hint="eastAsia"/>
                <w:color w:val="auto"/>
                <w:lang w:val="zh-CN"/>
              </w:rPr>
            </w:pPr>
          </w:p>
          <w:p w14:paraId="19653777">
            <w:pPr>
              <w:pStyle w:val="77"/>
              <w:ind w:left="0" w:leftChars="0" w:firstLine="0" w:firstLineChars="0"/>
              <w:rPr>
                <w:rFonts w:hint="eastAsia"/>
                <w:color w:val="auto"/>
                <w:lang w:val="zh-CN"/>
              </w:rPr>
            </w:pPr>
          </w:p>
          <w:p w14:paraId="446071F2">
            <w:pPr>
              <w:pStyle w:val="77"/>
              <w:ind w:left="0" w:leftChars="0" w:firstLine="0" w:firstLineChars="0"/>
              <w:rPr>
                <w:rFonts w:hint="eastAsia"/>
                <w:color w:val="auto"/>
                <w:lang w:val="zh-CN"/>
              </w:rPr>
            </w:pPr>
          </w:p>
          <w:p w14:paraId="1A098F8E">
            <w:pPr>
              <w:pStyle w:val="77"/>
              <w:ind w:left="0" w:leftChars="0" w:firstLine="0" w:firstLineChars="0"/>
              <w:rPr>
                <w:rFonts w:hint="eastAsia"/>
                <w:color w:val="auto"/>
                <w:lang w:val="zh-CN"/>
              </w:rPr>
            </w:pPr>
          </w:p>
          <w:p w14:paraId="3C010AFC">
            <w:pPr>
              <w:pStyle w:val="77"/>
              <w:ind w:left="0" w:leftChars="0" w:firstLine="0" w:firstLineChars="0"/>
              <w:rPr>
                <w:rFonts w:hint="eastAsia"/>
                <w:color w:val="auto"/>
                <w:lang w:val="zh-CN"/>
              </w:rPr>
            </w:pPr>
          </w:p>
          <w:p w14:paraId="3C01EB71">
            <w:pPr>
              <w:pStyle w:val="77"/>
              <w:ind w:left="0" w:leftChars="0" w:firstLine="0" w:firstLineChars="0"/>
              <w:rPr>
                <w:rFonts w:hint="eastAsia"/>
                <w:color w:val="auto"/>
                <w:lang w:val="zh-CN"/>
              </w:rPr>
            </w:pPr>
          </w:p>
          <w:p w14:paraId="2E89CD9E">
            <w:pPr>
              <w:pStyle w:val="77"/>
              <w:ind w:left="0" w:leftChars="0" w:firstLine="0" w:firstLineChars="0"/>
              <w:rPr>
                <w:rFonts w:hint="eastAsia"/>
                <w:color w:val="auto"/>
                <w:lang w:val="zh-CN"/>
              </w:rPr>
            </w:pPr>
          </w:p>
          <w:p w14:paraId="5A768DDE">
            <w:pPr>
              <w:pStyle w:val="77"/>
              <w:ind w:left="0" w:leftChars="0" w:firstLine="0" w:firstLineChars="0"/>
              <w:rPr>
                <w:rFonts w:hint="eastAsia"/>
                <w:color w:val="auto"/>
                <w:lang w:val="zh-CN"/>
              </w:rPr>
            </w:pPr>
          </w:p>
          <w:p w14:paraId="54791281">
            <w:pPr>
              <w:pStyle w:val="77"/>
              <w:ind w:left="0" w:leftChars="0" w:firstLine="0" w:firstLineChars="0"/>
              <w:rPr>
                <w:rFonts w:hint="eastAsia"/>
                <w:color w:val="auto"/>
                <w:lang w:val="zh-CN"/>
              </w:rPr>
            </w:pPr>
          </w:p>
          <w:p w14:paraId="2C1D83A5">
            <w:pPr>
              <w:pStyle w:val="77"/>
              <w:ind w:left="0" w:leftChars="0" w:firstLine="0" w:firstLineChars="0"/>
              <w:rPr>
                <w:rFonts w:hint="eastAsia"/>
                <w:color w:val="auto"/>
                <w:lang w:val="zh-CN"/>
              </w:rPr>
            </w:pPr>
          </w:p>
          <w:p w14:paraId="075FF11F">
            <w:pPr>
              <w:pStyle w:val="77"/>
              <w:ind w:left="0" w:leftChars="0" w:firstLine="0" w:firstLineChars="0"/>
              <w:rPr>
                <w:rFonts w:hint="eastAsia"/>
                <w:color w:val="auto"/>
                <w:lang w:val="zh-CN"/>
              </w:rPr>
            </w:pPr>
          </w:p>
          <w:p w14:paraId="11864E75">
            <w:pPr>
              <w:pStyle w:val="77"/>
              <w:ind w:left="0" w:leftChars="0" w:firstLine="0" w:firstLineChars="0"/>
              <w:rPr>
                <w:rFonts w:hint="eastAsia"/>
                <w:color w:val="auto"/>
                <w:lang w:val="zh-CN"/>
              </w:rPr>
            </w:pPr>
          </w:p>
          <w:p w14:paraId="14A09379">
            <w:pPr>
              <w:pStyle w:val="77"/>
              <w:ind w:left="0" w:leftChars="0" w:firstLine="0" w:firstLineChars="0"/>
              <w:rPr>
                <w:rFonts w:hint="eastAsia"/>
                <w:color w:val="auto"/>
                <w:lang w:val="zh-CN"/>
              </w:rPr>
            </w:pPr>
          </w:p>
          <w:p w14:paraId="35336BBE">
            <w:pPr>
              <w:pStyle w:val="77"/>
              <w:ind w:left="0" w:leftChars="0" w:firstLine="0" w:firstLineChars="0"/>
              <w:rPr>
                <w:rFonts w:hint="eastAsia"/>
                <w:color w:val="auto"/>
                <w:lang w:val="zh-CN"/>
              </w:rPr>
            </w:pPr>
          </w:p>
          <w:p w14:paraId="126BEA43">
            <w:pPr>
              <w:pStyle w:val="77"/>
              <w:ind w:left="0" w:leftChars="0" w:firstLine="0" w:firstLineChars="0"/>
              <w:rPr>
                <w:rFonts w:hint="eastAsia"/>
                <w:color w:val="auto"/>
                <w:lang w:val="zh-CN"/>
              </w:rPr>
            </w:pPr>
          </w:p>
          <w:p w14:paraId="398B3A93">
            <w:pPr>
              <w:pStyle w:val="77"/>
              <w:ind w:left="0" w:leftChars="0" w:firstLine="0" w:firstLineChars="0"/>
              <w:rPr>
                <w:rFonts w:hint="eastAsia"/>
                <w:color w:val="auto"/>
                <w:lang w:val="zh-CN"/>
              </w:rPr>
            </w:pPr>
          </w:p>
          <w:p w14:paraId="02876232">
            <w:pPr>
              <w:pStyle w:val="77"/>
              <w:ind w:left="0" w:leftChars="0" w:firstLine="0" w:firstLineChars="0"/>
              <w:rPr>
                <w:rFonts w:hint="eastAsia"/>
                <w:color w:val="auto"/>
                <w:lang w:val="zh-CN"/>
              </w:rPr>
            </w:pPr>
          </w:p>
          <w:p w14:paraId="7D334F94">
            <w:pPr>
              <w:pStyle w:val="77"/>
              <w:ind w:left="0" w:leftChars="0" w:firstLine="0" w:firstLineChars="0"/>
              <w:rPr>
                <w:rFonts w:hint="eastAsia"/>
                <w:color w:val="auto"/>
                <w:lang w:val="zh-CN"/>
              </w:rPr>
            </w:pPr>
          </w:p>
          <w:p w14:paraId="3A9BDD53">
            <w:pPr>
              <w:pStyle w:val="77"/>
              <w:ind w:left="0" w:leftChars="0" w:firstLine="0" w:firstLineChars="0"/>
              <w:rPr>
                <w:rFonts w:hint="eastAsia"/>
                <w:color w:val="auto"/>
                <w:lang w:val="zh-CN"/>
              </w:rPr>
            </w:pPr>
          </w:p>
          <w:p w14:paraId="07413B96">
            <w:pPr>
              <w:pStyle w:val="77"/>
              <w:ind w:left="0" w:leftChars="0" w:firstLine="0" w:firstLineChars="0"/>
              <w:rPr>
                <w:rFonts w:hint="eastAsia"/>
                <w:color w:val="auto"/>
                <w:lang w:val="zh-CN"/>
              </w:rPr>
            </w:pPr>
          </w:p>
          <w:p w14:paraId="06A19323">
            <w:pPr>
              <w:pStyle w:val="77"/>
              <w:ind w:left="0" w:leftChars="0" w:firstLine="0" w:firstLineChars="0"/>
              <w:rPr>
                <w:rFonts w:hint="eastAsia"/>
                <w:color w:val="auto"/>
                <w:lang w:val="zh-CN"/>
              </w:rPr>
            </w:pPr>
          </w:p>
          <w:p w14:paraId="39130AF3">
            <w:pPr>
              <w:pStyle w:val="77"/>
              <w:ind w:left="0" w:leftChars="0" w:firstLine="0" w:firstLineChars="0"/>
              <w:rPr>
                <w:rFonts w:hint="eastAsia"/>
                <w:color w:val="auto"/>
                <w:lang w:val="zh-CN"/>
              </w:rPr>
            </w:pPr>
          </w:p>
        </w:tc>
      </w:tr>
    </w:tbl>
    <w:p w14:paraId="1C2A782A">
      <w:pPr>
        <w:spacing w:line="360" w:lineRule="auto"/>
        <w:rPr>
          <w:color w:val="auto"/>
          <w:sz w:val="30"/>
        </w:rPr>
        <w:sectPr>
          <w:footerReference r:id="rId8" w:type="default"/>
          <w:pgSz w:w="11906" w:h="16838"/>
          <w:pgMar w:top="1701" w:right="1531" w:bottom="1701" w:left="1531" w:header="851" w:footer="1077" w:gutter="0"/>
          <w:pgNumType w:fmt="decimal" w:start="1"/>
          <w:cols w:space="720" w:num="1"/>
          <w:docGrid w:linePitch="312" w:charSpace="0"/>
        </w:sectPr>
      </w:pPr>
    </w:p>
    <w:p w14:paraId="2C3C5C81">
      <w:pPr>
        <w:pStyle w:val="27"/>
        <w:adjustRightInd w:val="0"/>
        <w:snapToGrid w:val="0"/>
        <w:spacing w:before="0" w:beforeAutospacing="0" w:after="0" w:afterAutospacing="0"/>
        <w:jc w:val="center"/>
        <w:outlineLvl w:val="0"/>
        <w:rPr>
          <w:rFonts w:ascii="Times New Roman" w:hAnsi="Times New Roman"/>
          <w:snapToGrid w:val="0"/>
          <w:color w:val="auto"/>
          <w:sz w:val="30"/>
          <w:szCs w:val="30"/>
        </w:rPr>
      </w:pPr>
      <w:bookmarkStart w:id="13" w:name="_Toc1587"/>
      <w:bookmarkStart w:id="14" w:name="_Toc22458"/>
      <w:r>
        <w:rPr>
          <w:rFonts w:ascii="Times New Roman" w:hAnsi="Times New Roman"/>
          <w:b/>
          <w:bCs/>
          <w:snapToGrid w:val="0"/>
          <w:color w:val="auto"/>
          <w:sz w:val="30"/>
          <w:szCs w:val="30"/>
        </w:rPr>
        <w:t>二、建设项目工程分析</w:t>
      </w:r>
      <w:bookmarkEnd w:id="13"/>
      <w:bookmarkEnd w:id="14"/>
    </w:p>
    <w:tbl>
      <w:tblPr>
        <w:tblStyle w:val="30"/>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09"/>
        <w:gridCol w:w="8649"/>
      </w:tblGrid>
      <w:tr w14:paraId="0B3231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6" w:type="pct"/>
            <w:vAlign w:val="center"/>
          </w:tcPr>
          <w:p w14:paraId="09D9AB4E">
            <w:pPr>
              <w:pStyle w:val="27"/>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Cs w:val="24"/>
              </w:rPr>
              <w:t>建设内容</w:t>
            </w:r>
          </w:p>
        </w:tc>
        <w:tc>
          <w:tcPr>
            <w:tcW w:w="4773" w:type="pct"/>
          </w:tcPr>
          <w:p w14:paraId="591E1F08">
            <w:pPr>
              <w:pStyle w:val="17"/>
              <w:adjustRightInd w:val="0"/>
              <w:snapToGrid w:val="0"/>
              <w:spacing w:line="356" w:lineRule="auto"/>
              <w:ind w:firstLine="482" w:firstLineChars="200"/>
              <w:rPr>
                <w:rFonts w:ascii="Times New Roman" w:hAnsi="Times New Roman"/>
                <w:b/>
                <w:bCs/>
                <w:color w:val="auto"/>
                <w:sz w:val="24"/>
              </w:rPr>
            </w:pPr>
            <w:r>
              <w:rPr>
                <w:rFonts w:ascii="Times New Roman" w:hAnsi="Times New Roman"/>
                <w:b/>
                <w:bCs/>
                <w:color w:val="auto"/>
                <w:sz w:val="24"/>
              </w:rPr>
              <w:t>一、项目由来</w:t>
            </w:r>
          </w:p>
          <w:p w14:paraId="05684299">
            <w:pPr>
              <w:adjustRightInd w:val="0"/>
              <w:snapToGrid w:val="0"/>
              <w:spacing w:line="360" w:lineRule="auto"/>
              <w:ind w:firstLine="480" w:firstLineChars="200"/>
              <w:rPr>
                <w:color w:val="auto"/>
                <w:sz w:val="24"/>
              </w:rPr>
            </w:pPr>
            <w:r>
              <w:rPr>
                <w:rFonts w:hint="eastAsia" w:ascii="Times New Roman" w:hAnsi="Times New Roman" w:eastAsia="宋体" w:cs="Times New Roman"/>
                <w:color w:val="auto"/>
                <w:sz w:val="24"/>
                <w:lang w:eastAsia="zh-CN"/>
              </w:rPr>
              <w:t>云南合罡盛塑业科技</w:t>
            </w:r>
            <w:r>
              <w:rPr>
                <w:rFonts w:hint="eastAsia" w:ascii="Times New Roman" w:hAnsi="Times New Roman" w:eastAsia="宋体" w:cs="Times New Roman"/>
                <w:color w:val="auto"/>
                <w:sz w:val="24"/>
              </w:rPr>
              <w:t>有限公司成立</w:t>
            </w:r>
            <w:r>
              <w:rPr>
                <w:color w:val="auto"/>
                <w:sz w:val="24"/>
              </w:rPr>
              <w:t>于</w:t>
            </w:r>
            <w:r>
              <w:rPr>
                <w:rFonts w:hint="eastAsia"/>
                <w:color w:val="auto"/>
                <w:sz w:val="24"/>
              </w:rPr>
              <w:t>202</w:t>
            </w:r>
            <w:r>
              <w:rPr>
                <w:rFonts w:hint="eastAsia"/>
                <w:color w:val="auto"/>
                <w:sz w:val="24"/>
                <w:lang w:val="en-US" w:eastAsia="zh-CN"/>
              </w:rPr>
              <w:t>6</w:t>
            </w:r>
            <w:r>
              <w:rPr>
                <w:color w:val="auto"/>
                <w:sz w:val="24"/>
              </w:rPr>
              <w:t>年</w:t>
            </w:r>
            <w:r>
              <w:rPr>
                <w:rFonts w:hint="eastAsia"/>
                <w:color w:val="auto"/>
                <w:sz w:val="24"/>
              </w:rPr>
              <w:t>0</w:t>
            </w:r>
            <w:r>
              <w:rPr>
                <w:rFonts w:hint="eastAsia"/>
                <w:color w:val="auto"/>
                <w:sz w:val="24"/>
                <w:lang w:val="en-US" w:eastAsia="zh-CN"/>
              </w:rPr>
              <w:t>5</w:t>
            </w:r>
            <w:r>
              <w:rPr>
                <w:color w:val="auto"/>
                <w:sz w:val="24"/>
              </w:rPr>
              <w:t>月</w:t>
            </w:r>
            <w:r>
              <w:rPr>
                <w:rFonts w:hint="eastAsia"/>
                <w:color w:val="auto"/>
                <w:sz w:val="24"/>
                <w:lang w:val="en-US" w:eastAsia="zh-CN"/>
              </w:rPr>
              <w:t>29</w:t>
            </w:r>
            <w:r>
              <w:rPr>
                <w:color w:val="auto"/>
                <w:sz w:val="24"/>
              </w:rPr>
              <w:t>日</w:t>
            </w:r>
            <w:r>
              <w:rPr>
                <w:rFonts w:hint="eastAsia"/>
                <w:color w:val="auto"/>
                <w:sz w:val="24"/>
              </w:rPr>
              <w:t>，</w:t>
            </w:r>
            <w:r>
              <w:rPr>
                <w:color w:val="auto"/>
                <w:sz w:val="24"/>
              </w:rPr>
              <w:t>经营范围主要为</w:t>
            </w:r>
            <w:r>
              <w:rPr>
                <w:rFonts w:hint="eastAsia"/>
                <w:color w:val="auto"/>
                <w:sz w:val="24"/>
                <w:lang w:val="en-US" w:eastAsia="zh-CN"/>
              </w:rPr>
              <w:t>一般</w:t>
            </w:r>
            <w:r>
              <w:rPr>
                <w:rFonts w:hint="eastAsia"/>
                <w:color w:val="auto"/>
                <w:sz w:val="24"/>
              </w:rPr>
              <w:t>项目</w:t>
            </w:r>
            <w:r>
              <w:rPr>
                <w:rFonts w:hint="eastAsia"/>
                <w:color w:val="auto"/>
                <w:sz w:val="24"/>
                <w:lang w:eastAsia="zh-CN"/>
              </w:rPr>
              <w:t>：</w:t>
            </w:r>
            <w:r>
              <w:rPr>
                <w:rFonts w:hint="eastAsia"/>
                <w:color w:val="auto"/>
                <w:sz w:val="24"/>
              </w:rPr>
              <w:t>技术服务、技术开发、技术咨询、技术交流、技术转让、技术推广</w:t>
            </w:r>
            <w:r>
              <w:rPr>
                <w:rFonts w:hint="eastAsia"/>
                <w:color w:val="auto"/>
                <w:sz w:val="24"/>
                <w:lang w:eastAsia="zh-CN"/>
              </w:rPr>
              <w:t>；</w:t>
            </w:r>
            <w:r>
              <w:rPr>
                <w:rFonts w:hint="eastAsia"/>
                <w:color w:val="auto"/>
                <w:sz w:val="24"/>
              </w:rPr>
              <w:t>塑料制品销售</w:t>
            </w:r>
            <w:r>
              <w:rPr>
                <w:rFonts w:hint="eastAsia"/>
                <w:color w:val="auto"/>
                <w:sz w:val="24"/>
                <w:lang w:eastAsia="zh-CN"/>
              </w:rPr>
              <w:t>；</w:t>
            </w:r>
            <w:r>
              <w:rPr>
                <w:rFonts w:hint="eastAsia"/>
                <w:color w:val="auto"/>
                <w:sz w:val="24"/>
              </w:rPr>
              <w:t>塑料制品制造</w:t>
            </w:r>
            <w:r>
              <w:rPr>
                <w:rFonts w:hint="eastAsia"/>
                <w:color w:val="auto"/>
                <w:sz w:val="24"/>
                <w:lang w:eastAsia="zh-CN"/>
              </w:rPr>
              <w:t>；</w:t>
            </w:r>
            <w:r>
              <w:rPr>
                <w:rFonts w:hint="eastAsia"/>
                <w:color w:val="auto"/>
                <w:sz w:val="24"/>
              </w:rPr>
              <w:t>新鲜蔬菜批发</w:t>
            </w:r>
            <w:r>
              <w:rPr>
                <w:rFonts w:hint="eastAsia"/>
                <w:color w:val="auto"/>
                <w:sz w:val="24"/>
                <w:lang w:eastAsia="zh-CN"/>
              </w:rPr>
              <w:t>；</w:t>
            </w:r>
            <w:r>
              <w:rPr>
                <w:rFonts w:hint="eastAsia"/>
                <w:color w:val="auto"/>
                <w:sz w:val="24"/>
              </w:rPr>
              <w:t>新鲜水果批发</w:t>
            </w:r>
            <w:r>
              <w:rPr>
                <w:rFonts w:hint="eastAsia"/>
                <w:color w:val="auto"/>
                <w:sz w:val="24"/>
                <w:lang w:eastAsia="zh-CN"/>
              </w:rPr>
              <w:t>；</w:t>
            </w:r>
            <w:r>
              <w:rPr>
                <w:rFonts w:hint="eastAsia"/>
                <w:color w:val="auto"/>
                <w:sz w:val="24"/>
              </w:rPr>
              <w:t>新鲜水果零售</w:t>
            </w:r>
            <w:r>
              <w:rPr>
                <w:rFonts w:hint="eastAsia"/>
                <w:color w:val="auto"/>
                <w:sz w:val="24"/>
                <w:lang w:eastAsia="zh-CN"/>
              </w:rPr>
              <w:t>；</w:t>
            </w:r>
            <w:r>
              <w:rPr>
                <w:rFonts w:hint="eastAsia"/>
                <w:color w:val="auto"/>
                <w:sz w:val="24"/>
              </w:rPr>
              <w:t>新鲜蔬菜零售</w:t>
            </w:r>
            <w:r>
              <w:rPr>
                <w:rFonts w:hint="eastAsia"/>
                <w:color w:val="auto"/>
                <w:sz w:val="24"/>
                <w:lang w:eastAsia="zh-CN"/>
              </w:rPr>
              <w:t>；</w:t>
            </w:r>
            <w:r>
              <w:rPr>
                <w:rFonts w:hint="eastAsia"/>
                <w:color w:val="auto"/>
                <w:sz w:val="24"/>
              </w:rPr>
              <w:t>玻璃纤维</w:t>
            </w:r>
            <w:r>
              <w:rPr>
                <w:rFonts w:hint="eastAsia"/>
                <w:color w:val="auto"/>
                <w:sz w:val="24"/>
                <w:lang w:val="en-US" w:eastAsia="zh-CN"/>
              </w:rPr>
              <w:t>增强</w:t>
            </w:r>
            <w:r>
              <w:rPr>
                <w:rFonts w:hint="eastAsia"/>
                <w:color w:val="auto"/>
                <w:sz w:val="24"/>
              </w:rPr>
              <w:t>塑料制品销售</w:t>
            </w:r>
            <w:r>
              <w:rPr>
                <w:rFonts w:hint="eastAsia"/>
                <w:color w:val="auto"/>
                <w:sz w:val="24"/>
                <w:lang w:eastAsia="zh-CN"/>
              </w:rPr>
              <w:t>；</w:t>
            </w:r>
            <w:r>
              <w:rPr>
                <w:rFonts w:hint="eastAsia"/>
                <w:color w:val="auto"/>
                <w:sz w:val="24"/>
              </w:rPr>
              <w:t>玻璃纤维</w:t>
            </w:r>
            <w:r>
              <w:rPr>
                <w:rFonts w:hint="eastAsia"/>
                <w:color w:val="auto"/>
                <w:sz w:val="24"/>
                <w:lang w:val="en-US" w:eastAsia="zh-CN"/>
              </w:rPr>
              <w:t>增强</w:t>
            </w:r>
            <w:r>
              <w:rPr>
                <w:rFonts w:hint="eastAsia"/>
                <w:color w:val="auto"/>
                <w:sz w:val="24"/>
              </w:rPr>
              <w:t>塑料制品制造</w:t>
            </w:r>
            <w:r>
              <w:rPr>
                <w:rFonts w:hint="eastAsia"/>
                <w:color w:val="auto"/>
                <w:sz w:val="24"/>
                <w:lang w:eastAsia="zh-CN"/>
              </w:rPr>
              <w:t>；</w:t>
            </w:r>
            <w:r>
              <w:rPr>
                <w:rFonts w:hint="eastAsia"/>
                <w:color w:val="auto"/>
                <w:sz w:val="24"/>
              </w:rPr>
              <w:t>塑料包装箱及容器</w:t>
            </w:r>
            <w:r>
              <w:rPr>
                <w:rFonts w:hint="eastAsia"/>
                <w:color w:val="auto"/>
                <w:sz w:val="24"/>
                <w:lang w:val="en-US" w:eastAsia="zh-CN"/>
              </w:rPr>
              <w:t>制造</w:t>
            </w:r>
            <w:r>
              <w:rPr>
                <w:rFonts w:hint="eastAsia"/>
                <w:color w:val="auto"/>
                <w:sz w:val="24"/>
                <w:lang w:eastAsia="zh-CN"/>
              </w:rPr>
              <w:t>；</w:t>
            </w:r>
            <w:r>
              <w:rPr>
                <w:rFonts w:hint="eastAsia"/>
                <w:color w:val="auto"/>
                <w:sz w:val="24"/>
              </w:rPr>
              <w:t>工程塑料及合成树脂销售</w:t>
            </w:r>
            <w:r>
              <w:rPr>
                <w:rFonts w:hint="eastAsia"/>
                <w:color w:val="auto"/>
                <w:sz w:val="24"/>
                <w:lang w:eastAsia="zh-CN"/>
              </w:rPr>
              <w:t>；</w:t>
            </w:r>
            <w:r>
              <w:rPr>
                <w:rFonts w:hint="eastAsia"/>
                <w:color w:val="auto"/>
                <w:sz w:val="24"/>
              </w:rPr>
              <w:t>食品用塑料包装容器工具制品销售</w:t>
            </w:r>
            <w:r>
              <w:rPr>
                <w:rFonts w:hint="eastAsia"/>
                <w:color w:val="auto"/>
                <w:sz w:val="24"/>
                <w:lang w:eastAsia="zh-CN"/>
              </w:rPr>
              <w:t>；</w:t>
            </w:r>
            <w:r>
              <w:rPr>
                <w:rFonts w:hint="eastAsia"/>
                <w:color w:val="auto"/>
                <w:sz w:val="24"/>
              </w:rPr>
              <w:t>再生资源销售</w:t>
            </w:r>
            <w:r>
              <w:rPr>
                <w:rFonts w:hint="eastAsia"/>
                <w:color w:val="auto"/>
                <w:sz w:val="24"/>
                <w:lang w:eastAsia="zh-CN"/>
              </w:rPr>
              <w:t>；</w:t>
            </w:r>
            <w:r>
              <w:rPr>
                <w:rFonts w:hint="eastAsia"/>
                <w:color w:val="auto"/>
                <w:sz w:val="24"/>
              </w:rPr>
              <w:t>模具</w:t>
            </w:r>
            <w:r>
              <w:rPr>
                <w:rFonts w:hint="eastAsia"/>
                <w:color w:val="auto"/>
                <w:sz w:val="24"/>
                <w:lang w:val="en-US" w:eastAsia="zh-CN"/>
              </w:rPr>
              <w:t>制造</w:t>
            </w:r>
            <w:r>
              <w:rPr>
                <w:rFonts w:hint="eastAsia"/>
                <w:color w:val="auto"/>
                <w:sz w:val="24"/>
                <w:lang w:eastAsia="zh-CN"/>
              </w:rPr>
              <w:t>；</w:t>
            </w:r>
            <w:r>
              <w:rPr>
                <w:rFonts w:hint="eastAsia"/>
                <w:color w:val="auto"/>
                <w:sz w:val="24"/>
              </w:rPr>
              <w:t>模具销售</w:t>
            </w:r>
            <w:r>
              <w:rPr>
                <w:rFonts w:hint="eastAsia"/>
                <w:color w:val="auto"/>
                <w:sz w:val="24"/>
                <w:lang w:eastAsia="zh-CN"/>
              </w:rPr>
              <w:t>；</w:t>
            </w:r>
            <w:r>
              <w:rPr>
                <w:rFonts w:hint="eastAsia"/>
                <w:color w:val="auto"/>
                <w:sz w:val="24"/>
              </w:rPr>
              <w:t>机械零件、零部件销售</w:t>
            </w:r>
            <w:r>
              <w:rPr>
                <w:rFonts w:hint="eastAsia"/>
                <w:color w:val="auto"/>
                <w:sz w:val="24"/>
                <w:lang w:eastAsia="zh-CN"/>
              </w:rPr>
              <w:t>；</w:t>
            </w:r>
            <w:r>
              <w:rPr>
                <w:rFonts w:hint="eastAsia"/>
                <w:color w:val="auto"/>
                <w:sz w:val="24"/>
              </w:rPr>
              <w:t>机械零件、零部件加工</w:t>
            </w:r>
            <w:r>
              <w:rPr>
                <w:rFonts w:hint="eastAsia"/>
                <w:color w:val="auto"/>
                <w:sz w:val="24"/>
                <w:lang w:eastAsia="zh-CN"/>
              </w:rPr>
              <w:t>；</w:t>
            </w:r>
            <w:r>
              <w:rPr>
                <w:rFonts w:hint="eastAsia"/>
                <w:color w:val="auto"/>
                <w:sz w:val="24"/>
              </w:rPr>
              <w:t>家具零配件生产</w:t>
            </w:r>
            <w:r>
              <w:rPr>
                <w:rFonts w:hint="eastAsia"/>
                <w:color w:val="auto"/>
                <w:sz w:val="24"/>
                <w:lang w:eastAsia="zh-CN"/>
              </w:rPr>
              <w:t>；</w:t>
            </w:r>
            <w:r>
              <w:rPr>
                <w:rFonts w:hint="eastAsia"/>
                <w:color w:val="auto"/>
                <w:sz w:val="24"/>
              </w:rPr>
              <w:t>工业工程设计服务</w:t>
            </w:r>
            <w:r>
              <w:rPr>
                <w:rFonts w:hint="eastAsia"/>
                <w:color w:val="auto"/>
                <w:sz w:val="24"/>
                <w:lang w:eastAsia="zh-CN"/>
              </w:rPr>
              <w:t>；</w:t>
            </w:r>
            <w:r>
              <w:rPr>
                <w:rFonts w:hint="eastAsia"/>
                <w:color w:val="auto"/>
                <w:sz w:val="24"/>
              </w:rPr>
              <w:t>货物进出口</w:t>
            </w:r>
            <w:r>
              <w:rPr>
                <w:rFonts w:hint="eastAsia"/>
                <w:color w:val="auto"/>
                <w:sz w:val="24"/>
                <w:lang w:eastAsia="zh-CN"/>
              </w:rPr>
              <w:t>；</w:t>
            </w:r>
            <w:r>
              <w:rPr>
                <w:rFonts w:hint="eastAsia"/>
                <w:color w:val="auto"/>
                <w:sz w:val="24"/>
              </w:rPr>
              <w:t>技术进出口</w:t>
            </w:r>
            <w:r>
              <w:rPr>
                <w:rFonts w:hint="eastAsia"/>
                <w:color w:val="auto"/>
                <w:sz w:val="24"/>
                <w:lang w:eastAsia="zh-CN"/>
              </w:rPr>
              <w:t>；</w:t>
            </w:r>
            <w:r>
              <w:rPr>
                <w:rFonts w:hint="eastAsia"/>
                <w:color w:val="auto"/>
                <w:sz w:val="24"/>
              </w:rPr>
              <w:t>电镀加工</w:t>
            </w:r>
            <w:r>
              <w:rPr>
                <w:rFonts w:hint="eastAsia"/>
                <w:color w:val="auto"/>
                <w:sz w:val="24"/>
                <w:lang w:eastAsia="zh-CN"/>
              </w:rPr>
              <w:t>；</w:t>
            </w:r>
            <w:r>
              <w:rPr>
                <w:rFonts w:hint="eastAsia"/>
                <w:color w:val="auto"/>
                <w:sz w:val="24"/>
                <w:lang w:val="en-US" w:eastAsia="zh-CN"/>
              </w:rPr>
              <w:t>淬火</w:t>
            </w:r>
            <w:r>
              <w:rPr>
                <w:rFonts w:hint="eastAsia"/>
                <w:color w:val="auto"/>
                <w:sz w:val="24"/>
              </w:rPr>
              <w:t>加工</w:t>
            </w:r>
            <w:r>
              <w:rPr>
                <w:rFonts w:hint="eastAsia"/>
                <w:color w:val="auto"/>
                <w:sz w:val="24"/>
                <w:lang w:eastAsia="zh-CN"/>
              </w:rPr>
              <w:t>；</w:t>
            </w:r>
            <w:r>
              <w:rPr>
                <w:rFonts w:hint="eastAsia"/>
                <w:color w:val="auto"/>
                <w:sz w:val="24"/>
                <w:lang w:val="en-US" w:eastAsia="zh-CN"/>
              </w:rPr>
              <w:t>喷涂</w:t>
            </w:r>
            <w:r>
              <w:rPr>
                <w:rFonts w:hint="eastAsia"/>
                <w:color w:val="auto"/>
                <w:sz w:val="24"/>
              </w:rPr>
              <w:t>加工</w:t>
            </w:r>
            <w:r>
              <w:rPr>
                <w:rFonts w:hint="eastAsia"/>
                <w:color w:val="auto"/>
                <w:sz w:val="24"/>
                <w:lang w:eastAsia="zh-CN"/>
              </w:rPr>
              <w:t>；</w:t>
            </w:r>
            <w:r>
              <w:rPr>
                <w:rFonts w:hint="eastAsia"/>
                <w:color w:val="auto"/>
                <w:sz w:val="24"/>
              </w:rPr>
              <w:t>工程塑料及合成树脂制造</w:t>
            </w:r>
            <w:r>
              <w:rPr>
                <w:rFonts w:hint="eastAsia"/>
                <w:color w:val="auto"/>
                <w:sz w:val="24"/>
                <w:lang w:eastAsia="zh-CN"/>
              </w:rPr>
              <w:t>；</w:t>
            </w:r>
            <w:r>
              <w:rPr>
                <w:rFonts w:hint="eastAsia"/>
                <w:color w:val="auto"/>
                <w:sz w:val="24"/>
              </w:rPr>
              <w:t>再生资源加工</w:t>
            </w:r>
            <w:r>
              <w:rPr>
                <w:rFonts w:hint="eastAsia"/>
                <w:color w:val="auto"/>
                <w:sz w:val="24"/>
                <w:lang w:eastAsia="zh-CN"/>
              </w:rPr>
              <w:t>；</w:t>
            </w:r>
            <w:r>
              <w:rPr>
                <w:rFonts w:hint="eastAsia"/>
                <w:color w:val="auto"/>
                <w:sz w:val="24"/>
              </w:rPr>
              <w:t>日用产品修理</w:t>
            </w:r>
            <w:r>
              <w:rPr>
                <w:rFonts w:hint="eastAsia"/>
                <w:color w:val="auto"/>
                <w:sz w:val="24"/>
                <w:lang w:eastAsia="zh-CN"/>
              </w:rPr>
              <w:t>；</w:t>
            </w:r>
            <w:r>
              <w:rPr>
                <w:rFonts w:hint="eastAsia"/>
                <w:color w:val="auto"/>
                <w:sz w:val="24"/>
              </w:rPr>
              <w:t>机械设备租赁</w:t>
            </w:r>
            <w:r>
              <w:rPr>
                <w:rFonts w:hint="eastAsia"/>
                <w:color w:val="auto"/>
                <w:sz w:val="24"/>
                <w:lang w:eastAsia="zh-CN"/>
              </w:rPr>
              <w:t>；</w:t>
            </w:r>
            <w:r>
              <w:rPr>
                <w:rFonts w:hint="eastAsia"/>
                <w:color w:val="auto"/>
                <w:sz w:val="24"/>
              </w:rPr>
              <w:t>租赁服务</w:t>
            </w:r>
            <w:r>
              <w:rPr>
                <w:rFonts w:hint="eastAsia"/>
                <w:color w:val="auto"/>
                <w:sz w:val="24"/>
                <w:lang w:eastAsia="zh-CN"/>
              </w:rPr>
              <w:t>（</w:t>
            </w:r>
            <w:r>
              <w:rPr>
                <w:rFonts w:hint="eastAsia"/>
                <w:color w:val="auto"/>
                <w:sz w:val="24"/>
              </w:rPr>
              <w:t>不含许可</w:t>
            </w:r>
            <w:r>
              <w:rPr>
                <w:rFonts w:hint="eastAsia"/>
                <w:color w:val="auto"/>
                <w:sz w:val="24"/>
                <w:lang w:val="en-US" w:eastAsia="zh-CN"/>
              </w:rPr>
              <w:t>类</w:t>
            </w:r>
            <w:r>
              <w:rPr>
                <w:rFonts w:hint="eastAsia"/>
                <w:color w:val="auto"/>
                <w:sz w:val="24"/>
              </w:rPr>
              <w:t>租赁服务</w:t>
            </w:r>
            <w:r>
              <w:rPr>
                <w:rFonts w:hint="eastAsia"/>
                <w:color w:val="auto"/>
                <w:sz w:val="24"/>
                <w:lang w:eastAsia="zh-CN"/>
              </w:rPr>
              <w:t>）；</w:t>
            </w:r>
            <w:r>
              <w:rPr>
                <w:rFonts w:hint="eastAsia"/>
                <w:color w:val="auto"/>
                <w:sz w:val="24"/>
              </w:rPr>
              <w:t>五金产品零售</w:t>
            </w:r>
            <w:r>
              <w:rPr>
                <w:rFonts w:hint="eastAsia"/>
                <w:color w:val="auto"/>
                <w:sz w:val="24"/>
                <w:lang w:eastAsia="zh-CN"/>
              </w:rPr>
              <w:t>；</w:t>
            </w:r>
            <w:r>
              <w:rPr>
                <w:rFonts w:hint="eastAsia"/>
                <w:color w:val="auto"/>
                <w:sz w:val="24"/>
              </w:rPr>
              <w:t>国内货物运输代理。</w:t>
            </w:r>
            <w:r>
              <w:rPr>
                <w:rFonts w:hint="eastAsia"/>
                <w:color w:val="auto"/>
                <w:sz w:val="24"/>
                <w:lang w:eastAsia="zh-CN"/>
              </w:rPr>
              <w:t>（</w:t>
            </w:r>
            <w:r>
              <w:rPr>
                <w:rFonts w:hint="eastAsia"/>
                <w:color w:val="auto"/>
                <w:sz w:val="24"/>
              </w:rPr>
              <w:t>除依法须经批准的项目外，凭营业执照依法自主开展经营活动</w:t>
            </w:r>
            <w:r>
              <w:rPr>
                <w:rFonts w:hint="eastAsia"/>
                <w:color w:val="auto"/>
                <w:sz w:val="24"/>
                <w:lang w:eastAsia="zh-CN"/>
              </w:rPr>
              <w:t>）</w:t>
            </w:r>
            <w:r>
              <w:rPr>
                <w:rFonts w:hint="eastAsia"/>
                <w:color w:val="auto"/>
                <w:sz w:val="24"/>
              </w:rPr>
              <w:t>。</w:t>
            </w:r>
          </w:p>
          <w:p w14:paraId="28EC0866">
            <w:pPr>
              <w:keepNext w:val="0"/>
              <w:keepLines w:val="0"/>
              <w:pageBreakBefore w:val="0"/>
              <w:widowControl w:val="0"/>
              <w:shd w:val="clear"/>
              <w:kinsoku/>
              <w:wordWrap/>
              <w:overflowPunct/>
              <w:topLinePunct w:val="0"/>
              <w:autoSpaceDE/>
              <w:autoSpaceDN/>
              <w:bidi w:val="0"/>
              <w:spacing w:line="360" w:lineRule="auto"/>
              <w:ind w:firstLine="480" w:firstLineChars="200"/>
              <w:textAlignment w:val="auto"/>
              <w:rPr>
                <w:color w:val="auto"/>
                <w:sz w:val="24"/>
              </w:rPr>
            </w:pPr>
            <w:r>
              <w:rPr>
                <w:rFonts w:hint="eastAsia"/>
                <w:color w:val="auto"/>
                <w:sz w:val="24"/>
              </w:rPr>
              <w:t xml:space="preserve"> </w:t>
            </w:r>
            <w:r>
              <w:rPr>
                <w:rFonts w:hint="eastAsia" w:ascii="Times New Roman" w:hAnsi="Times New Roman" w:eastAsia="宋体" w:cs="Times New Roman"/>
                <w:color w:val="auto"/>
                <w:sz w:val="24"/>
                <w:lang w:eastAsia="zh-CN"/>
              </w:rPr>
              <w:t>云南合罡盛塑业科技</w:t>
            </w:r>
            <w:r>
              <w:rPr>
                <w:rFonts w:hint="eastAsia" w:ascii="Times New Roman" w:hAnsi="Times New Roman" w:eastAsia="宋体" w:cs="Times New Roman"/>
                <w:color w:val="auto"/>
                <w:sz w:val="24"/>
              </w:rPr>
              <w:t>有限公司</w:t>
            </w:r>
            <w:r>
              <w:rPr>
                <w:rFonts w:hint="default" w:ascii="Times New Roman" w:hAnsi="Times New Roman" w:eastAsia="宋体" w:cs="Times New Roman"/>
                <w:color w:val="auto"/>
                <w:sz w:val="24"/>
                <w:szCs w:val="24"/>
                <w:highlight w:val="none"/>
                <w:lang w:val="zh-CN"/>
              </w:rPr>
              <w:t>拟投资</w:t>
            </w:r>
            <w:r>
              <w:rPr>
                <w:rFonts w:hint="eastAsia" w:cs="Times New Roman"/>
                <w:color w:val="auto"/>
                <w:sz w:val="24"/>
                <w:szCs w:val="24"/>
                <w:highlight w:val="none"/>
                <w:lang w:val="en-US" w:eastAsia="zh-CN"/>
              </w:rPr>
              <w:t>30</w:t>
            </w:r>
            <w:r>
              <w:rPr>
                <w:rFonts w:hint="default" w:ascii="Times New Roman" w:hAnsi="Times New Roman" w:eastAsia="宋体" w:cs="Times New Roman"/>
                <w:color w:val="auto"/>
                <w:sz w:val="24"/>
                <w:szCs w:val="24"/>
                <w:highlight w:val="none"/>
                <w:lang w:val="en-US" w:eastAsia="zh-CN"/>
              </w:rPr>
              <w:t>00</w:t>
            </w:r>
            <w:r>
              <w:rPr>
                <w:rFonts w:hint="default" w:ascii="Times New Roman" w:hAnsi="Times New Roman" w:eastAsia="宋体" w:cs="Times New Roman"/>
                <w:color w:val="auto"/>
                <w:sz w:val="24"/>
                <w:szCs w:val="24"/>
                <w:highlight w:val="none"/>
                <w:lang w:val="zh-CN"/>
              </w:rPr>
              <w:t>万元在</w:t>
            </w:r>
            <w:r>
              <w:rPr>
                <w:rFonts w:hint="eastAsia" w:ascii="Times New Roman" w:hAnsi="Times New Roman" w:eastAsia="宋体" w:cs="Times New Roman"/>
                <w:color w:val="auto"/>
                <w:sz w:val="24"/>
                <w:szCs w:val="24"/>
                <w:highlight w:val="none"/>
                <w:lang w:val="en-US" w:eastAsia="zh-CN"/>
              </w:rPr>
              <w:t>云南省</w:t>
            </w:r>
            <w:r>
              <w:rPr>
                <w:rFonts w:hint="eastAsia" w:cs="Times New Roman"/>
                <w:color w:val="auto"/>
                <w:sz w:val="24"/>
                <w:szCs w:val="24"/>
                <w:highlight w:val="none"/>
                <w:lang w:val="en-US" w:eastAsia="zh-CN"/>
              </w:rPr>
              <w:t>玉溪市澄江市产业园区提古片区</w:t>
            </w:r>
            <w:r>
              <w:rPr>
                <w:rFonts w:hint="default" w:ascii="Times New Roman" w:hAnsi="Times New Roman" w:eastAsia="宋体" w:cs="Times New Roman"/>
                <w:color w:val="auto"/>
                <w:sz w:val="24"/>
                <w:szCs w:val="24"/>
                <w:highlight w:val="none"/>
              </w:rPr>
              <w:t>建设“</w:t>
            </w:r>
            <w:r>
              <w:rPr>
                <w:rFonts w:hint="eastAsia"/>
                <w:color w:val="auto"/>
                <w:sz w:val="24"/>
              </w:rPr>
              <w:t>塑料制品深加工新建项目</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该</w:t>
            </w:r>
            <w:r>
              <w:rPr>
                <w:rFonts w:hint="eastAsia"/>
                <w:color w:val="auto"/>
                <w:sz w:val="24"/>
              </w:rPr>
              <w:t>项目</w:t>
            </w:r>
            <w:r>
              <w:rPr>
                <w:rFonts w:hint="eastAsia"/>
                <w:color w:val="auto"/>
                <w:sz w:val="24"/>
                <w:lang w:eastAsia="zh-CN"/>
              </w:rPr>
              <w:t>租用</w:t>
            </w:r>
            <w:r>
              <w:rPr>
                <w:rFonts w:hint="eastAsia"/>
                <w:color w:val="auto"/>
                <w:sz w:val="24"/>
                <w:lang w:val="en-US" w:eastAsia="zh-CN"/>
              </w:rPr>
              <w:t>云南宝泰轻化机械</w:t>
            </w:r>
            <w:r>
              <w:rPr>
                <w:rFonts w:hint="eastAsia"/>
                <w:color w:val="auto"/>
                <w:sz w:val="24"/>
                <w:lang w:eastAsia="zh-CN"/>
              </w:rPr>
              <w:t>有限公司的已建标准厂房及办公楼进行生产。</w:t>
            </w:r>
            <w:r>
              <w:rPr>
                <w:rFonts w:hint="default" w:ascii="Times New Roman" w:hAnsi="Times New Roman" w:eastAsia="宋体" w:cs="Times New Roman"/>
                <w:color w:val="auto"/>
                <w:sz w:val="24"/>
                <w:szCs w:val="24"/>
                <w:highlight w:val="none"/>
                <w:lang w:val="en-US" w:eastAsia="zh-CN"/>
              </w:rPr>
              <w:t>本</w:t>
            </w:r>
            <w:r>
              <w:rPr>
                <w:rFonts w:hint="default" w:ascii="Times New Roman" w:hAnsi="Times New Roman" w:eastAsia="宋体" w:cs="Times New Roman"/>
                <w:color w:val="auto"/>
                <w:sz w:val="24"/>
                <w:szCs w:val="24"/>
                <w:highlight w:val="none"/>
              </w:rPr>
              <w:t>项目已于</w:t>
            </w:r>
            <w:r>
              <w:rPr>
                <w:rFonts w:hint="default" w:ascii="Times New Roman" w:hAnsi="Times New Roman" w:eastAsia="宋体" w:cs="Times New Roman"/>
                <w:color w:val="auto"/>
                <w:sz w:val="24"/>
                <w:szCs w:val="24"/>
                <w:highlight w:val="none"/>
                <w:lang w:val="en-US" w:eastAsia="zh-CN"/>
              </w:rPr>
              <w:t>202</w:t>
            </w:r>
            <w:r>
              <w:rPr>
                <w:rFonts w:hint="eastAsia"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年</w:t>
            </w:r>
            <w:r>
              <w:rPr>
                <w:rFonts w:hint="eastAsia" w:cs="Times New Roman"/>
                <w:color w:val="auto"/>
                <w:sz w:val="24"/>
                <w:szCs w:val="24"/>
                <w:highlight w:val="none"/>
                <w:lang w:val="en-US" w:eastAsia="zh-CN"/>
              </w:rPr>
              <w:t>06</w:t>
            </w:r>
            <w:r>
              <w:rPr>
                <w:rFonts w:hint="default" w:ascii="Times New Roman" w:hAnsi="Times New Roman" w:eastAsia="宋体" w:cs="Times New Roman"/>
                <w:color w:val="auto"/>
                <w:sz w:val="24"/>
                <w:szCs w:val="24"/>
                <w:highlight w:val="none"/>
                <w:lang w:val="en-US" w:eastAsia="zh-CN"/>
              </w:rPr>
              <w:t>月</w:t>
            </w:r>
            <w:r>
              <w:rPr>
                <w:rFonts w:hint="eastAsia" w:cs="Times New Roman"/>
                <w:color w:val="auto"/>
                <w:sz w:val="24"/>
                <w:szCs w:val="24"/>
                <w:highlight w:val="none"/>
                <w:lang w:val="en-US" w:eastAsia="zh-CN"/>
              </w:rPr>
              <w:t>17</w:t>
            </w:r>
            <w:r>
              <w:rPr>
                <w:rFonts w:hint="default" w:ascii="Times New Roman" w:hAnsi="Times New Roman" w:eastAsia="宋体" w:cs="Times New Roman"/>
                <w:color w:val="auto"/>
                <w:sz w:val="24"/>
                <w:szCs w:val="24"/>
                <w:highlight w:val="none"/>
                <w:lang w:val="en-US" w:eastAsia="zh-CN"/>
              </w:rPr>
              <w:t>日取得了</w:t>
            </w:r>
            <w:r>
              <w:rPr>
                <w:rFonts w:hint="eastAsia" w:ascii="Times New Roman" w:hAnsi="Times New Roman" w:eastAsia="宋体" w:cs="Times New Roman"/>
                <w:color w:val="auto"/>
                <w:sz w:val="24"/>
                <w:szCs w:val="24"/>
                <w:highlight w:val="none"/>
                <w:lang w:val="en-US" w:eastAsia="zh-CN"/>
              </w:rPr>
              <w:t>云南澄江</w:t>
            </w:r>
            <w:r>
              <w:rPr>
                <w:rFonts w:hint="default" w:ascii="Times New Roman" w:hAnsi="Times New Roman" w:eastAsia="宋体" w:cs="Times New Roman"/>
                <w:color w:val="auto"/>
                <w:sz w:val="24"/>
                <w:szCs w:val="24"/>
                <w:highlight w:val="none"/>
                <w:lang w:val="en-US" w:eastAsia="zh-CN"/>
              </w:rPr>
              <w:t>产业园区管理委员会出具的</w:t>
            </w:r>
            <w:r>
              <w:rPr>
                <w:rFonts w:hint="eastAsia" w:ascii="Times New Roman" w:hAnsi="Times New Roman" w:eastAsia="宋体" w:cs="Times New Roman"/>
                <w:color w:val="auto"/>
                <w:sz w:val="24"/>
                <w:lang w:eastAsia="zh-CN"/>
              </w:rPr>
              <w:t>云南合罡盛塑业科技</w:t>
            </w:r>
            <w:r>
              <w:rPr>
                <w:rFonts w:hint="eastAsia" w:ascii="Times New Roman" w:hAnsi="Times New Roman" w:eastAsia="宋体" w:cs="Times New Roman"/>
                <w:color w:val="auto"/>
                <w:sz w:val="24"/>
              </w:rPr>
              <w:t>有限公司</w:t>
            </w:r>
            <w:r>
              <w:rPr>
                <w:rFonts w:hint="eastAsia"/>
                <w:color w:val="auto"/>
                <w:sz w:val="24"/>
              </w:rPr>
              <w:t>塑料制品深加工新建项目</w:t>
            </w:r>
            <w:r>
              <w:rPr>
                <w:rFonts w:hint="default" w:ascii="Times New Roman" w:hAnsi="Times New Roman" w:eastAsia="宋体" w:cs="Times New Roman"/>
                <w:color w:val="auto"/>
                <w:sz w:val="24"/>
                <w:szCs w:val="24"/>
                <w:highlight w:val="none"/>
                <w:lang w:val="en-US" w:eastAsia="zh-CN"/>
              </w:rPr>
              <w:t>入园</w:t>
            </w:r>
            <w:r>
              <w:rPr>
                <w:rFonts w:hint="eastAsia" w:ascii="Times New Roman" w:hAnsi="Times New Roman" w:eastAsia="宋体" w:cs="Times New Roman"/>
                <w:color w:val="auto"/>
                <w:sz w:val="24"/>
                <w:szCs w:val="24"/>
                <w:highlight w:val="none"/>
                <w:lang w:val="en-US" w:eastAsia="zh-CN"/>
              </w:rPr>
              <w:t>证明</w:t>
            </w:r>
            <w:r>
              <w:rPr>
                <w:rFonts w:hint="default" w:ascii="Times New Roman" w:hAnsi="Times New Roman" w:eastAsia="宋体" w:cs="Times New Roman"/>
                <w:color w:val="auto"/>
                <w:sz w:val="24"/>
                <w:szCs w:val="24"/>
                <w:highlight w:val="none"/>
                <w:lang w:val="zh-CN"/>
              </w:rPr>
              <w:t>，</w:t>
            </w:r>
            <w:r>
              <w:rPr>
                <w:rFonts w:hint="eastAsia" w:ascii="Times New Roman" w:hAnsi="Times New Roman" w:eastAsia="宋体" w:cs="Times New Roman"/>
                <w:color w:val="auto"/>
                <w:sz w:val="24"/>
                <w:szCs w:val="24"/>
                <w:highlight w:val="none"/>
                <w:lang w:val="en-US" w:eastAsia="zh-CN"/>
              </w:rPr>
              <w:t>证明入园</w:t>
            </w:r>
            <w:r>
              <w:rPr>
                <w:rFonts w:hint="default" w:ascii="Times New Roman" w:hAnsi="Times New Roman" w:eastAsia="宋体" w:cs="Times New Roman"/>
                <w:color w:val="auto"/>
                <w:sz w:val="24"/>
                <w:szCs w:val="24"/>
                <w:highlight w:val="none"/>
                <w:lang w:val="en-US" w:eastAsia="zh-CN"/>
              </w:rPr>
              <w:t>中明确“</w:t>
            </w:r>
            <w:r>
              <w:rPr>
                <w:rFonts w:hint="eastAsia" w:ascii="Times New Roman" w:hAnsi="Times New Roman" w:eastAsia="宋体" w:cs="Times New Roman"/>
                <w:color w:val="auto"/>
                <w:sz w:val="24"/>
                <w:lang w:val="en-US" w:eastAsia="zh-CN"/>
              </w:rPr>
              <w:t>该项目符合园区产业规划，原则同意云南合罡盛塑业科技有限公司塑料制品深加工新建项目入园</w:t>
            </w:r>
            <w:r>
              <w:rPr>
                <w:rFonts w:hint="default" w:ascii="Times New Roman" w:hAnsi="Times New Roman" w:eastAsia="宋体" w:cs="Times New Roman"/>
                <w:color w:val="auto"/>
                <w:sz w:val="24"/>
                <w:szCs w:val="24"/>
                <w:highlight w:val="none"/>
                <w:lang w:val="en-US" w:eastAsia="zh-CN"/>
              </w:rPr>
              <w:t>”。202</w:t>
            </w:r>
            <w:r>
              <w:rPr>
                <w:rFonts w:hint="eastAsia"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年</w:t>
            </w:r>
            <w:r>
              <w:rPr>
                <w:rFonts w:hint="eastAsia" w:cs="Times New Roman"/>
                <w:color w:val="auto"/>
                <w:sz w:val="24"/>
                <w:szCs w:val="24"/>
                <w:highlight w:val="none"/>
                <w:lang w:val="en-US" w:eastAsia="zh-CN"/>
              </w:rPr>
              <w:t>06</w:t>
            </w:r>
            <w:r>
              <w:rPr>
                <w:rFonts w:hint="default" w:ascii="Times New Roman" w:hAnsi="Times New Roman" w:eastAsia="宋体" w:cs="Times New Roman"/>
                <w:color w:val="auto"/>
                <w:sz w:val="24"/>
                <w:szCs w:val="24"/>
                <w:highlight w:val="none"/>
                <w:lang w:val="en-US" w:eastAsia="zh-CN"/>
              </w:rPr>
              <w:t>月</w:t>
            </w:r>
            <w:r>
              <w:rPr>
                <w:rFonts w:hint="eastAsia" w:cs="Times New Roman"/>
                <w:color w:val="auto"/>
                <w:sz w:val="24"/>
                <w:szCs w:val="24"/>
                <w:highlight w:val="none"/>
                <w:lang w:val="en-US" w:eastAsia="zh-CN"/>
              </w:rPr>
              <w:t>18</w:t>
            </w:r>
            <w:r>
              <w:rPr>
                <w:rFonts w:hint="default" w:ascii="Times New Roman" w:hAnsi="Times New Roman" w:eastAsia="宋体" w:cs="Times New Roman"/>
                <w:color w:val="auto"/>
                <w:sz w:val="24"/>
                <w:szCs w:val="24"/>
                <w:highlight w:val="none"/>
                <w:lang w:val="en-US" w:eastAsia="zh-CN"/>
              </w:rPr>
              <w:t>日</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lang w:eastAsia="zh-CN"/>
              </w:rPr>
              <w:t>云南合罡盛塑业科技</w:t>
            </w:r>
            <w:r>
              <w:rPr>
                <w:rFonts w:hint="eastAsia" w:ascii="Times New Roman" w:hAnsi="Times New Roman" w:eastAsia="宋体" w:cs="Times New Roman"/>
                <w:color w:val="auto"/>
                <w:sz w:val="24"/>
              </w:rPr>
              <w:t>有限公司</w:t>
            </w:r>
            <w:r>
              <w:rPr>
                <w:rFonts w:hint="default" w:ascii="Times New Roman" w:hAnsi="Times New Roman" w:eastAsia="宋体" w:cs="Times New Roman"/>
                <w:color w:val="auto"/>
                <w:sz w:val="24"/>
                <w:szCs w:val="24"/>
                <w:highlight w:val="none"/>
              </w:rPr>
              <w:t>取得了</w:t>
            </w:r>
            <w:r>
              <w:rPr>
                <w:rFonts w:hint="eastAsia" w:ascii="Times New Roman" w:hAnsi="Times New Roman" w:eastAsia="宋体" w:cs="Times New Roman"/>
                <w:color w:val="auto"/>
                <w:sz w:val="24"/>
                <w:szCs w:val="24"/>
                <w:highlight w:val="none"/>
                <w:lang w:val="en-US" w:eastAsia="zh-CN"/>
              </w:rPr>
              <w:t>澄江市</w:t>
            </w:r>
            <w:r>
              <w:rPr>
                <w:rFonts w:hint="default" w:ascii="Times New Roman" w:hAnsi="Times New Roman" w:eastAsia="宋体" w:cs="Times New Roman"/>
                <w:color w:val="auto"/>
                <w:sz w:val="24"/>
                <w:szCs w:val="24"/>
                <w:highlight w:val="none"/>
                <w:lang w:val="en-US" w:eastAsia="zh-CN"/>
              </w:rPr>
              <w:t>发展和改革局</w:t>
            </w:r>
            <w:r>
              <w:rPr>
                <w:rFonts w:hint="default" w:ascii="Times New Roman" w:hAnsi="Times New Roman" w:eastAsia="宋体" w:cs="Times New Roman"/>
                <w:color w:val="auto"/>
                <w:sz w:val="24"/>
                <w:szCs w:val="24"/>
                <w:highlight w:val="none"/>
              </w:rPr>
              <w:t>核发的</w:t>
            </w:r>
            <w:r>
              <w:rPr>
                <w:rFonts w:hint="default" w:ascii="Times New Roman" w:hAnsi="Times New Roman" w:eastAsia="宋体" w:cs="Times New Roman"/>
                <w:color w:val="auto"/>
                <w:sz w:val="24"/>
                <w:szCs w:val="24"/>
                <w:highlight w:val="none"/>
                <w:lang w:val="en-US" w:eastAsia="zh-CN"/>
              </w:rPr>
              <w:t>云南省固定资产投资项目备案证</w:t>
            </w:r>
            <w:r>
              <w:rPr>
                <w:rFonts w:hint="default" w:ascii="Times New Roman" w:hAnsi="Times New Roman" w:eastAsia="宋体" w:cs="Times New Roman"/>
                <w:color w:val="auto"/>
                <w:sz w:val="24"/>
                <w:szCs w:val="24"/>
                <w:highlight w:val="none"/>
              </w:rPr>
              <w:t>，项目代码为：</w:t>
            </w:r>
            <w:r>
              <w:rPr>
                <w:color w:val="auto"/>
                <w:sz w:val="24"/>
              </w:rPr>
              <w:t>2</w:t>
            </w:r>
            <w:r>
              <w:rPr>
                <w:rFonts w:hint="eastAsia"/>
                <w:color w:val="auto"/>
                <w:sz w:val="24"/>
                <w:lang w:val="en-US" w:eastAsia="zh-CN"/>
              </w:rPr>
              <w:t>606</w:t>
            </w:r>
            <w:r>
              <w:rPr>
                <w:color w:val="auto"/>
                <w:sz w:val="24"/>
              </w:rPr>
              <w:t>-53</w:t>
            </w:r>
            <w:r>
              <w:rPr>
                <w:rFonts w:hint="eastAsia"/>
                <w:color w:val="auto"/>
                <w:sz w:val="24"/>
                <w:lang w:val="en-US" w:eastAsia="zh-CN"/>
              </w:rPr>
              <w:t>0422</w:t>
            </w:r>
            <w:r>
              <w:rPr>
                <w:color w:val="auto"/>
                <w:sz w:val="24"/>
              </w:rPr>
              <w:t>-04-0</w:t>
            </w:r>
            <w:r>
              <w:rPr>
                <w:rFonts w:hint="eastAsia"/>
                <w:color w:val="auto"/>
                <w:sz w:val="24"/>
                <w:lang w:val="en-US" w:eastAsia="zh-CN"/>
              </w:rPr>
              <w:t>1</w:t>
            </w:r>
            <w:r>
              <w:rPr>
                <w:color w:val="auto"/>
                <w:sz w:val="24"/>
              </w:rPr>
              <w:t>-</w:t>
            </w:r>
            <w:r>
              <w:rPr>
                <w:rFonts w:hint="eastAsia"/>
                <w:color w:val="auto"/>
                <w:sz w:val="24"/>
                <w:lang w:val="en-US" w:eastAsia="zh-CN"/>
              </w:rPr>
              <w:t>186611</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本项目为新建项目，总占地面积</w:t>
            </w:r>
            <w:r>
              <w:rPr>
                <w:rFonts w:hint="eastAsia" w:cs="Times New Roman"/>
                <w:color w:val="auto"/>
                <w:sz w:val="24"/>
                <w:szCs w:val="24"/>
                <w:highlight w:val="none"/>
                <w:lang w:val="en-US" w:eastAsia="zh-CN"/>
              </w:rPr>
              <w:t>69</w:t>
            </w:r>
            <w:r>
              <w:rPr>
                <w:rFonts w:hint="eastAsia"/>
                <w:color w:val="auto"/>
                <w:sz w:val="24"/>
                <w:lang w:val="en-US" w:eastAsia="zh-CN"/>
              </w:rPr>
              <w:t>15</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，总建筑面积</w:t>
            </w:r>
            <w:r>
              <w:rPr>
                <w:rFonts w:hint="eastAsia" w:cs="Times New Roman"/>
                <w:color w:val="auto"/>
                <w:sz w:val="24"/>
                <w:szCs w:val="24"/>
                <w:highlight w:val="none"/>
                <w:lang w:val="en-US" w:eastAsia="zh-CN"/>
              </w:rPr>
              <w:t>3470</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eastAsia" w:cs="Times New Roman"/>
                <w:color w:val="auto"/>
                <w:kern w:val="0"/>
                <w:sz w:val="24"/>
                <w:lang w:val="en-US" w:eastAsia="zh-CN"/>
              </w:rPr>
              <w:t>，</w:t>
            </w:r>
            <w:r>
              <w:rPr>
                <w:rFonts w:hint="eastAsia"/>
                <w:color w:val="auto"/>
                <w:kern w:val="0"/>
                <w:sz w:val="24"/>
                <w:lang w:val="en-US" w:eastAsia="zh-CN"/>
              </w:rPr>
              <w:t>设置</w:t>
            </w:r>
            <w:r>
              <w:rPr>
                <w:rFonts w:hint="eastAsia"/>
                <w:color w:val="auto"/>
                <w:kern w:val="0"/>
                <w:sz w:val="24"/>
              </w:rPr>
              <w:t>生产线</w:t>
            </w:r>
            <w:r>
              <w:rPr>
                <w:rFonts w:hint="eastAsia"/>
                <w:color w:val="auto"/>
                <w:kern w:val="0"/>
                <w:sz w:val="24"/>
                <w:lang w:val="en-US" w:eastAsia="zh-CN"/>
              </w:rPr>
              <w:t>20</w:t>
            </w:r>
            <w:r>
              <w:rPr>
                <w:rFonts w:hint="eastAsia"/>
                <w:color w:val="auto"/>
                <w:kern w:val="0"/>
                <w:sz w:val="24"/>
              </w:rPr>
              <w:t>条，用于生产</w:t>
            </w:r>
            <w:r>
              <w:rPr>
                <w:rFonts w:hint="eastAsia" w:ascii="Times New Roman" w:hAnsi="Times New Roman" w:eastAsia="宋体" w:cs="Times New Roman"/>
                <w:color w:val="auto"/>
                <w:sz w:val="24"/>
                <w:szCs w:val="24"/>
                <w:highlight w:val="none"/>
                <w:lang w:val="en-US" w:eastAsia="zh-CN"/>
              </w:rPr>
              <w:t>各类塑料包装箱及容器</w:t>
            </w:r>
            <w:r>
              <w:rPr>
                <w:rFonts w:hint="eastAsia"/>
                <w:color w:val="auto"/>
                <w:kern w:val="0"/>
                <w:sz w:val="24"/>
              </w:rPr>
              <w:t>，</w:t>
            </w:r>
            <w:r>
              <w:rPr>
                <w:rFonts w:hint="default" w:ascii="Times New Roman" w:hAnsi="Times New Roman" w:eastAsia="宋体" w:cs="Times New Roman"/>
                <w:color w:val="auto"/>
                <w:sz w:val="24"/>
                <w:szCs w:val="24"/>
                <w:highlight w:val="none"/>
                <w:lang w:val="en-US" w:eastAsia="zh-CN"/>
              </w:rPr>
              <w:t>建成后年产</w:t>
            </w:r>
            <w:r>
              <w:rPr>
                <w:rFonts w:hint="eastAsia" w:ascii="Times New Roman" w:hAnsi="Times New Roman" w:eastAsia="宋体" w:cs="Times New Roman"/>
                <w:color w:val="auto"/>
                <w:sz w:val="24"/>
                <w:szCs w:val="24"/>
                <w:highlight w:val="none"/>
                <w:lang w:val="en-US" w:eastAsia="zh-CN"/>
              </w:rPr>
              <w:t>各类塑料包装箱及容器8691吨</w:t>
            </w:r>
            <w:r>
              <w:rPr>
                <w:rFonts w:hint="default" w:ascii="Times New Roman" w:hAnsi="Times New Roman" w:eastAsia="宋体" w:cs="Times New Roman"/>
                <w:color w:val="auto"/>
                <w:sz w:val="24"/>
                <w:szCs w:val="24"/>
                <w:highlight w:val="none"/>
                <w:lang w:val="en-US" w:eastAsia="zh-CN"/>
              </w:rPr>
              <w:t>等。</w:t>
            </w:r>
          </w:p>
          <w:p w14:paraId="734C27A3">
            <w:pPr>
              <w:spacing w:line="356" w:lineRule="auto"/>
              <w:ind w:firstLine="480" w:firstLineChars="200"/>
              <w:rPr>
                <w:b/>
                <w:color w:val="auto"/>
                <w:sz w:val="24"/>
              </w:rPr>
            </w:pPr>
            <w:r>
              <w:rPr>
                <w:color w:val="auto"/>
                <w:kern w:val="0"/>
                <w:sz w:val="24"/>
                <w:lang w:bidi="ar"/>
              </w:rPr>
              <w:t>根据</w:t>
            </w:r>
            <w:r>
              <w:rPr>
                <w:rFonts w:ascii="Times New Roman" w:hAnsi="Times New Roman" w:eastAsia="宋体" w:cs="Times New Roman"/>
                <w:color w:val="auto"/>
                <w:kern w:val="0"/>
                <w:sz w:val="24"/>
                <w:lang w:bidi="ar"/>
              </w:rPr>
              <w:t>《</w:t>
            </w:r>
            <w:r>
              <w:rPr>
                <w:rFonts w:hint="eastAsia" w:ascii="Times New Roman" w:hAnsi="Times New Roman" w:eastAsia="宋体" w:cs="Times New Roman"/>
                <w:color w:val="auto"/>
                <w:kern w:val="0"/>
                <w:sz w:val="24"/>
                <w:lang w:bidi="ar"/>
              </w:rPr>
              <w:t>中华人民共和国</w:t>
            </w:r>
            <w:r>
              <w:rPr>
                <w:rFonts w:hint="eastAsia" w:ascii="Times New Roman" w:hAnsi="Times New Roman" w:eastAsia="宋体" w:cs="Times New Roman"/>
                <w:color w:val="auto"/>
                <w:kern w:val="0"/>
                <w:sz w:val="24"/>
                <w:lang w:eastAsia="zh-CN" w:bidi="ar"/>
              </w:rPr>
              <w:t>生态环境法典</w:t>
            </w:r>
            <w:r>
              <w:rPr>
                <w:rFonts w:ascii="Times New Roman" w:hAnsi="Times New Roman" w:eastAsia="宋体" w:cs="Times New Roman"/>
                <w:color w:val="auto"/>
                <w:kern w:val="0"/>
                <w:sz w:val="24"/>
                <w:lang w:bidi="ar"/>
              </w:rPr>
              <w:t>》</w:t>
            </w:r>
            <w:r>
              <w:rPr>
                <w:color w:val="auto"/>
                <w:kern w:val="0"/>
                <w:sz w:val="24"/>
                <w:lang w:bidi="ar"/>
              </w:rPr>
              <w:t>、《建设项目环境保护管理条例》和《云南省建设项目环境保护管理规定》的规定，建设项目必须履行环境影响评价制度。根据《建设项目环境影响评价分类管理名录》（2021年版）等有关法律、法规的要求，项目属于“</w:t>
            </w:r>
            <w:r>
              <w:rPr>
                <w:rFonts w:hint="default" w:ascii="Times New Roman" w:hAnsi="Times New Roman" w:cs="Times New Roman"/>
                <w:color w:val="auto"/>
                <w:sz w:val="24"/>
                <w:lang w:val="en-US" w:eastAsia="zh-CN"/>
              </w:rPr>
              <w:t>二十六、橡胶和塑料制品业</w:t>
            </w:r>
            <w:r>
              <w:rPr>
                <w:rFonts w:hint="eastAsia" w:ascii="Times New Roman" w:hAnsi="Times New Roman" w:cs="Times New Roman"/>
                <w:color w:val="auto"/>
                <w:sz w:val="24"/>
                <w:lang w:val="en-US" w:eastAsia="zh-CN"/>
              </w:rPr>
              <w:t>29-</w:t>
            </w:r>
            <w:r>
              <w:rPr>
                <w:rFonts w:hint="default" w:ascii="Times New Roman" w:hAnsi="Times New Roman" w:cs="Times New Roman"/>
                <w:color w:val="auto"/>
                <w:sz w:val="24"/>
                <w:lang w:val="en-US" w:eastAsia="zh-CN"/>
              </w:rPr>
              <w:t>53、塑料制品业</w:t>
            </w:r>
            <w:r>
              <w:rPr>
                <w:rFonts w:hint="eastAsia"/>
                <w:color w:val="auto"/>
                <w:sz w:val="24"/>
                <w:lang w:val="en-US" w:eastAsia="zh-CN"/>
              </w:rPr>
              <w:t>292</w:t>
            </w:r>
            <w:r>
              <w:rPr>
                <w:color w:val="auto"/>
                <w:sz w:val="24"/>
              </w:rPr>
              <w:t>；</w:t>
            </w:r>
            <w:r>
              <w:rPr>
                <w:rFonts w:hint="eastAsia"/>
                <w:color w:val="auto"/>
                <w:sz w:val="24"/>
              </w:rPr>
              <w:t>其他</w:t>
            </w:r>
            <w:r>
              <w:rPr>
                <w:rFonts w:hint="eastAsia"/>
                <w:color w:val="auto"/>
                <w:sz w:val="24"/>
                <w:lang w:eastAsia="zh-CN"/>
              </w:rPr>
              <w:t>（年用非溶剂型低</w:t>
            </w:r>
            <w:r>
              <w:rPr>
                <w:rFonts w:hint="eastAsia"/>
                <w:color w:val="auto"/>
                <w:sz w:val="24"/>
                <w:lang w:val="en-US" w:eastAsia="zh-CN"/>
              </w:rPr>
              <w:t>VOCs含量涂料10吨以下的除外</w:t>
            </w:r>
            <w:r>
              <w:rPr>
                <w:rFonts w:hint="eastAsia"/>
                <w:color w:val="auto"/>
                <w:sz w:val="24"/>
                <w:lang w:eastAsia="zh-CN"/>
              </w:rPr>
              <w:t>）</w:t>
            </w:r>
            <w:r>
              <w:rPr>
                <w:color w:val="auto"/>
                <w:kern w:val="0"/>
                <w:sz w:val="24"/>
                <w:lang w:bidi="ar"/>
              </w:rPr>
              <w:t>”，需编制</w:t>
            </w:r>
            <w:r>
              <w:rPr>
                <w:rFonts w:hint="eastAsia"/>
                <w:color w:val="auto"/>
                <w:kern w:val="0"/>
                <w:sz w:val="24"/>
                <w:lang w:eastAsia="zh-CN" w:bidi="ar"/>
              </w:rPr>
              <w:t>生态</w:t>
            </w:r>
            <w:r>
              <w:rPr>
                <w:color w:val="auto"/>
                <w:kern w:val="0"/>
                <w:sz w:val="24"/>
                <w:lang w:bidi="ar"/>
              </w:rPr>
              <w:t>环境影响报告表。为此，</w:t>
            </w:r>
            <w:r>
              <w:rPr>
                <w:rFonts w:hint="eastAsia" w:ascii="Times New Roman" w:hAnsi="Times New Roman" w:eastAsia="宋体" w:cs="Times New Roman"/>
                <w:color w:val="auto"/>
                <w:sz w:val="24"/>
                <w:lang w:eastAsia="zh-CN"/>
              </w:rPr>
              <w:t>云南合罡盛塑业科技</w:t>
            </w:r>
            <w:r>
              <w:rPr>
                <w:rFonts w:hint="eastAsia" w:ascii="Times New Roman" w:hAnsi="Times New Roman" w:eastAsia="宋体" w:cs="Times New Roman"/>
                <w:color w:val="auto"/>
                <w:sz w:val="24"/>
              </w:rPr>
              <w:t>有限公司</w:t>
            </w:r>
            <w:r>
              <w:rPr>
                <w:color w:val="auto"/>
                <w:kern w:val="0"/>
                <w:sz w:val="24"/>
                <w:lang w:bidi="ar"/>
              </w:rPr>
              <w:t>委托</w:t>
            </w:r>
            <w:r>
              <w:rPr>
                <w:rFonts w:hint="eastAsia"/>
                <w:color w:val="auto"/>
                <w:kern w:val="0"/>
                <w:sz w:val="24"/>
                <w:lang w:bidi="ar"/>
              </w:rPr>
              <w:t>云南载航环境科技有限公司</w:t>
            </w:r>
            <w:r>
              <w:rPr>
                <w:color w:val="auto"/>
                <w:kern w:val="0"/>
                <w:sz w:val="24"/>
                <w:lang w:bidi="ar"/>
              </w:rPr>
              <w:t>承担该项目的</w:t>
            </w:r>
            <w:r>
              <w:rPr>
                <w:rFonts w:hint="eastAsia"/>
                <w:color w:val="auto"/>
                <w:kern w:val="0"/>
                <w:sz w:val="24"/>
                <w:lang w:eastAsia="zh-CN" w:bidi="ar"/>
              </w:rPr>
              <w:t>生态</w:t>
            </w:r>
            <w:r>
              <w:rPr>
                <w:color w:val="auto"/>
                <w:kern w:val="0"/>
                <w:sz w:val="24"/>
                <w:lang w:bidi="ar"/>
              </w:rPr>
              <w:t>环境影响报告表编制工作（委托书见附件1）。我单位接受委托后，根据国家建设项目环境管理</w:t>
            </w:r>
            <w:r>
              <w:rPr>
                <w:color w:val="auto"/>
                <w:sz w:val="24"/>
              </w:rPr>
              <w:t>的有关规定，对项目建设地周围环境状况进行了实地调查，收集及核实了有关资料，按照环境影响评价有关技术规范编制了《</w:t>
            </w:r>
            <w:r>
              <w:rPr>
                <w:rFonts w:hint="eastAsia"/>
                <w:color w:val="auto"/>
                <w:sz w:val="24"/>
              </w:rPr>
              <w:t>塑料制品深加工新建项目</w:t>
            </w:r>
            <w:r>
              <w:rPr>
                <w:rFonts w:hint="eastAsia"/>
                <w:color w:val="auto"/>
                <w:sz w:val="24"/>
                <w:lang w:eastAsia="zh-CN"/>
              </w:rPr>
              <w:t>生态</w:t>
            </w:r>
            <w:r>
              <w:rPr>
                <w:color w:val="auto"/>
                <w:sz w:val="24"/>
              </w:rPr>
              <w:t>环境影响报告表》，供建设单位上报审批。</w:t>
            </w:r>
          </w:p>
          <w:p w14:paraId="3D3B575C">
            <w:pPr>
              <w:pStyle w:val="13"/>
              <w:tabs>
                <w:tab w:val="center" w:pos="4360"/>
              </w:tabs>
              <w:spacing w:line="356" w:lineRule="auto"/>
              <w:ind w:firstLine="482" w:firstLineChars="200"/>
              <w:rPr>
                <w:color w:val="auto"/>
                <w:sz w:val="24"/>
              </w:rPr>
            </w:pPr>
            <w:r>
              <w:rPr>
                <w:b/>
                <w:color w:val="auto"/>
                <w:sz w:val="24"/>
              </w:rPr>
              <w:t>二、工程内容及规模</w:t>
            </w:r>
          </w:p>
          <w:p w14:paraId="482000A3">
            <w:pPr>
              <w:pStyle w:val="17"/>
              <w:adjustRightInd w:val="0"/>
              <w:snapToGrid w:val="0"/>
              <w:spacing w:line="356" w:lineRule="auto"/>
              <w:ind w:firstLine="482" w:firstLineChars="200"/>
              <w:rPr>
                <w:rFonts w:ascii="Times New Roman" w:hAnsi="Times New Roman"/>
                <w:b/>
                <w:color w:val="auto"/>
                <w:sz w:val="24"/>
              </w:rPr>
            </w:pPr>
            <w:r>
              <w:rPr>
                <w:rFonts w:ascii="Times New Roman" w:hAnsi="Times New Roman"/>
                <w:b/>
                <w:color w:val="auto"/>
                <w:sz w:val="24"/>
              </w:rPr>
              <w:t>1、项目概况</w:t>
            </w:r>
          </w:p>
          <w:p w14:paraId="0CD90DEA">
            <w:pPr>
              <w:adjustRightInd w:val="0"/>
              <w:snapToGrid w:val="0"/>
              <w:spacing w:line="360" w:lineRule="auto"/>
              <w:ind w:firstLine="480" w:firstLineChars="200"/>
              <w:rPr>
                <w:color w:val="auto"/>
                <w:sz w:val="24"/>
              </w:rPr>
            </w:pPr>
            <w:r>
              <w:rPr>
                <w:color w:val="auto"/>
                <w:sz w:val="24"/>
              </w:rPr>
              <w:t>项目名称：</w:t>
            </w:r>
            <w:r>
              <w:rPr>
                <w:rFonts w:hint="eastAsia"/>
                <w:color w:val="auto"/>
                <w:sz w:val="24"/>
              </w:rPr>
              <w:t>塑料制品深加工新建项目</w:t>
            </w:r>
          </w:p>
          <w:p w14:paraId="2B60794B">
            <w:pPr>
              <w:adjustRightInd w:val="0"/>
              <w:snapToGrid w:val="0"/>
              <w:spacing w:line="360" w:lineRule="auto"/>
              <w:ind w:firstLine="480" w:firstLineChars="200"/>
              <w:rPr>
                <w:color w:val="auto"/>
                <w:sz w:val="24"/>
              </w:rPr>
            </w:pPr>
            <w:r>
              <w:rPr>
                <w:color w:val="auto"/>
                <w:sz w:val="24"/>
              </w:rPr>
              <w:t>建设地点：</w:t>
            </w:r>
            <w:r>
              <w:rPr>
                <w:rFonts w:hint="eastAsia" w:ascii="Times New Roman" w:hAnsi="Times New Roman" w:eastAsia="宋体" w:cs="Times New Roman"/>
                <w:color w:val="auto"/>
                <w:sz w:val="24"/>
                <w:szCs w:val="24"/>
                <w:highlight w:val="none"/>
                <w:lang w:val="en-US" w:eastAsia="zh-CN"/>
              </w:rPr>
              <w:t>云南省</w:t>
            </w:r>
            <w:r>
              <w:rPr>
                <w:rFonts w:hint="eastAsia" w:cs="Times New Roman"/>
                <w:color w:val="auto"/>
                <w:sz w:val="24"/>
                <w:szCs w:val="24"/>
                <w:highlight w:val="none"/>
                <w:lang w:val="en-US" w:eastAsia="zh-CN"/>
              </w:rPr>
              <w:t>玉溪市澄江市产业园区提古片区</w:t>
            </w:r>
            <w:r>
              <w:rPr>
                <w:color w:val="auto"/>
                <w:sz w:val="24"/>
              </w:rPr>
              <w:t>，地理位置中心坐标：</w:t>
            </w:r>
            <w:r>
              <w:rPr>
                <w:rFonts w:hint="eastAsia"/>
                <w:color w:val="auto"/>
                <w:sz w:val="24"/>
              </w:rPr>
              <w:t>东</w:t>
            </w:r>
            <w:r>
              <w:rPr>
                <w:color w:val="auto"/>
                <w:sz w:val="24"/>
              </w:rPr>
              <w:t>经</w:t>
            </w:r>
            <w:r>
              <w:rPr>
                <w:rFonts w:hint="eastAsia"/>
                <w:color w:val="auto"/>
                <w:sz w:val="24"/>
                <w:lang w:val="en-US" w:eastAsia="zh-CN"/>
              </w:rPr>
              <w:t>102</w:t>
            </w:r>
            <w:r>
              <w:rPr>
                <w:color w:val="auto"/>
                <w:sz w:val="24"/>
              </w:rPr>
              <w:t>°</w:t>
            </w:r>
            <w:r>
              <w:rPr>
                <w:rFonts w:hint="eastAsia"/>
                <w:color w:val="auto"/>
                <w:sz w:val="24"/>
                <w:lang w:val="en-US" w:eastAsia="zh-CN"/>
              </w:rPr>
              <w:t>51</w:t>
            </w:r>
            <w:r>
              <w:rPr>
                <w:color w:val="auto"/>
                <w:sz w:val="24"/>
              </w:rPr>
              <w:t>′</w:t>
            </w:r>
            <w:r>
              <w:rPr>
                <w:rFonts w:hint="eastAsia"/>
                <w:color w:val="auto"/>
                <w:sz w:val="24"/>
                <w:lang w:val="en-US" w:eastAsia="zh-CN"/>
              </w:rPr>
              <w:t>14.116</w:t>
            </w:r>
            <w:r>
              <w:rPr>
                <w:color w:val="auto"/>
                <w:sz w:val="24"/>
              </w:rPr>
              <w:t>″，北纬2</w:t>
            </w:r>
            <w:r>
              <w:rPr>
                <w:rFonts w:hint="eastAsia"/>
                <w:color w:val="auto"/>
                <w:sz w:val="24"/>
              </w:rPr>
              <w:t>4</w:t>
            </w:r>
            <w:r>
              <w:rPr>
                <w:color w:val="auto"/>
                <w:sz w:val="24"/>
              </w:rPr>
              <w:t>°</w:t>
            </w:r>
            <w:r>
              <w:rPr>
                <w:rFonts w:hint="eastAsia"/>
                <w:color w:val="auto"/>
                <w:sz w:val="24"/>
                <w:lang w:val="en-US" w:eastAsia="zh-CN"/>
              </w:rPr>
              <w:t>44</w:t>
            </w:r>
            <w:r>
              <w:rPr>
                <w:color w:val="auto"/>
                <w:sz w:val="24"/>
              </w:rPr>
              <w:t>′</w:t>
            </w:r>
            <w:r>
              <w:rPr>
                <w:rFonts w:hint="eastAsia"/>
                <w:color w:val="auto"/>
                <w:sz w:val="24"/>
                <w:lang w:val="en-US" w:eastAsia="zh-CN"/>
              </w:rPr>
              <w:t>27.610</w:t>
            </w:r>
            <w:r>
              <w:rPr>
                <w:color w:val="auto"/>
                <w:sz w:val="24"/>
              </w:rPr>
              <w:t>″</w:t>
            </w:r>
            <w:r>
              <w:rPr>
                <w:rFonts w:hint="eastAsia"/>
                <w:color w:val="auto"/>
                <w:sz w:val="24"/>
              </w:rPr>
              <w:t>。</w:t>
            </w:r>
          </w:p>
          <w:p w14:paraId="0280822D">
            <w:pPr>
              <w:adjustRightInd w:val="0"/>
              <w:snapToGrid w:val="0"/>
              <w:spacing w:line="360" w:lineRule="auto"/>
              <w:ind w:firstLine="480" w:firstLineChars="200"/>
              <w:rPr>
                <w:color w:val="auto"/>
                <w:sz w:val="24"/>
              </w:rPr>
            </w:pPr>
            <w:r>
              <w:rPr>
                <w:color w:val="auto"/>
                <w:sz w:val="24"/>
              </w:rPr>
              <w:t>建设单位：</w:t>
            </w:r>
            <w:r>
              <w:rPr>
                <w:rFonts w:hint="eastAsia" w:ascii="Times New Roman" w:hAnsi="Times New Roman" w:eastAsia="宋体" w:cs="Times New Roman"/>
                <w:color w:val="auto"/>
                <w:sz w:val="24"/>
                <w:lang w:eastAsia="zh-CN"/>
              </w:rPr>
              <w:t>云南合罡盛塑业科技</w:t>
            </w:r>
            <w:r>
              <w:rPr>
                <w:rFonts w:hint="eastAsia" w:ascii="Times New Roman" w:hAnsi="Times New Roman" w:eastAsia="宋体" w:cs="Times New Roman"/>
                <w:color w:val="auto"/>
                <w:sz w:val="24"/>
              </w:rPr>
              <w:t>有限公司</w:t>
            </w:r>
          </w:p>
          <w:p w14:paraId="0CAA389E">
            <w:pPr>
              <w:adjustRightInd w:val="0"/>
              <w:snapToGrid w:val="0"/>
              <w:spacing w:line="360" w:lineRule="auto"/>
              <w:ind w:firstLine="480" w:firstLineChars="200"/>
              <w:rPr>
                <w:color w:val="auto"/>
                <w:sz w:val="24"/>
              </w:rPr>
            </w:pPr>
            <w:r>
              <w:rPr>
                <w:color w:val="auto"/>
                <w:sz w:val="24"/>
              </w:rPr>
              <w:t>建设性质：新建</w:t>
            </w:r>
          </w:p>
          <w:p w14:paraId="46127032">
            <w:pPr>
              <w:adjustRightInd w:val="0"/>
              <w:snapToGrid w:val="0"/>
              <w:spacing w:line="360" w:lineRule="auto"/>
              <w:ind w:firstLine="480" w:firstLineChars="200"/>
              <w:rPr>
                <w:color w:val="auto"/>
                <w:sz w:val="24"/>
              </w:rPr>
            </w:pPr>
            <w:r>
              <w:rPr>
                <w:color w:val="auto"/>
                <w:sz w:val="24"/>
              </w:rPr>
              <w:t>项目投资：</w:t>
            </w:r>
            <w:r>
              <w:rPr>
                <w:color w:val="auto"/>
                <w:sz w:val="24"/>
                <w:highlight w:val="none"/>
              </w:rPr>
              <w:t>项目总投资</w:t>
            </w:r>
            <w:r>
              <w:rPr>
                <w:rFonts w:hint="eastAsia"/>
                <w:color w:val="auto"/>
                <w:sz w:val="24"/>
                <w:highlight w:val="none"/>
                <w:lang w:val="en-US" w:eastAsia="zh-CN"/>
              </w:rPr>
              <w:t>2770</w:t>
            </w:r>
            <w:r>
              <w:rPr>
                <w:color w:val="auto"/>
                <w:sz w:val="24"/>
                <w:highlight w:val="none"/>
              </w:rPr>
              <w:t>万元，其中环保投资</w:t>
            </w:r>
            <w:r>
              <w:rPr>
                <w:rFonts w:hint="eastAsia"/>
                <w:color w:val="auto"/>
                <w:sz w:val="24"/>
                <w:highlight w:val="none"/>
                <w:lang w:val="en-US" w:eastAsia="zh-CN"/>
              </w:rPr>
              <w:t>29.67</w:t>
            </w:r>
            <w:r>
              <w:rPr>
                <w:color w:val="auto"/>
                <w:sz w:val="24"/>
                <w:highlight w:val="none"/>
              </w:rPr>
              <w:t>万元，占总投资的</w:t>
            </w:r>
            <w:r>
              <w:rPr>
                <w:rFonts w:hint="eastAsia"/>
                <w:color w:val="auto"/>
                <w:sz w:val="24"/>
                <w:highlight w:val="none"/>
                <w:lang w:val="en-US" w:eastAsia="zh-CN"/>
              </w:rPr>
              <w:t>1.07</w:t>
            </w:r>
            <w:r>
              <w:rPr>
                <w:color w:val="auto"/>
                <w:sz w:val="24"/>
                <w:highlight w:val="none"/>
              </w:rPr>
              <w:t>%。</w:t>
            </w:r>
          </w:p>
          <w:p w14:paraId="40C0B6BC">
            <w:pPr>
              <w:pStyle w:val="17"/>
              <w:adjustRightInd w:val="0"/>
              <w:snapToGrid w:val="0"/>
              <w:spacing w:line="356" w:lineRule="auto"/>
              <w:ind w:firstLine="480" w:firstLineChars="200"/>
              <w:rPr>
                <w:rFonts w:ascii="Times New Roman" w:hAnsi="Times New Roman"/>
                <w:color w:val="auto"/>
                <w:sz w:val="24"/>
              </w:rPr>
            </w:pPr>
            <w:r>
              <w:rPr>
                <w:rFonts w:hint="eastAsia" w:ascii="Times New Roman" w:hAnsi="Times New Roman"/>
                <w:color w:val="auto"/>
                <w:sz w:val="24"/>
              </w:rPr>
              <w:t>用地面积</w:t>
            </w:r>
            <w:r>
              <w:rPr>
                <w:rFonts w:ascii="Times New Roman" w:hAnsi="Times New Roman"/>
                <w:color w:val="auto"/>
                <w:sz w:val="24"/>
              </w:rPr>
              <w:t>：</w:t>
            </w:r>
            <w:r>
              <w:rPr>
                <w:rFonts w:hint="eastAsia" w:ascii="Times New Roman" w:hAnsi="Times New Roman"/>
                <w:color w:val="auto"/>
                <w:sz w:val="24"/>
              </w:rPr>
              <w:t>项目</w:t>
            </w:r>
            <w:r>
              <w:rPr>
                <w:rFonts w:hint="default" w:ascii="Times New Roman" w:hAnsi="Times New Roman" w:eastAsia="宋体" w:cs="Times New Roman"/>
                <w:color w:val="auto"/>
                <w:sz w:val="24"/>
                <w:szCs w:val="24"/>
                <w:highlight w:val="none"/>
                <w:lang w:val="en-US" w:eastAsia="zh-CN"/>
              </w:rPr>
              <w:t>总占地面积</w:t>
            </w:r>
            <w:r>
              <w:rPr>
                <w:rFonts w:hint="eastAsia" w:ascii="Times New Roman" w:hAnsi="Times New Roman" w:cs="Times New Roman"/>
                <w:color w:val="auto"/>
                <w:sz w:val="24"/>
                <w:szCs w:val="24"/>
                <w:highlight w:val="none"/>
                <w:lang w:val="en-US" w:eastAsia="zh-CN"/>
              </w:rPr>
              <w:t>69</w:t>
            </w:r>
            <w:r>
              <w:rPr>
                <w:rFonts w:hint="eastAsia" w:ascii="Times New Roman" w:hAnsi="Times New Roman" w:eastAsia="宋体" w:cs="Times New Roman"/>
                <w:color w:val="auto"/>
                <w:kern w:val="2"/>
                <w:sz w:val="24"/>
                <w:szCs w:val="24"/>
                <w:lang w:val="en-US" w:eastAsia="zh-CN" w:bidi="ar-SA"/>
              </w:rPr>
              <w:t>15</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，总建筑面积</w:t>
            </w:r>
            <w:r>
              <w:rPr>
                <w:rFonts w:hint="eastAsia" w:ascii="Times New Roman" w:hAnsi="Times New Roman" w:eastAsia="宋体" w:cs="Times New Roman"/>
                <w:color w:val="auto"/>
                <w:sz w:val="24"/>
                <w:szCs w:val="24"/>
                <w:highlight w:val="none"/>
                <w:lang w:val="en-US" w:eastAsia="zh-CN"/>
              </w:rPr>
              <w:t>3470</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eastAsia" w:ascii="Times New Roman" w:hAnsi="Times New Roman" w:eastAsia="宋体" w:cs="Times New Roman"/>
                <w:color w:val="auto"/>
                <w:sz w:val="24"/>
                <w:szCs w:val="24"/>
                <w:highlight w:val="none"/>
                <w:lang w:val="en-US" w:eastAsia="zh-CN"/>
              </w:rPr>
              <w:t>。</w:t>
            </w:r>
          </w:p>
          <w:p w14:paraId="05F9A7AF">
            <w:pPr>
              <w:widowControl/>
              <w:adjustRightInd w:val="0"/>
              <w:snapToGrid w:val="0"/>
              <w:spacing w:line="360" w:lineRule="auto"/>
              <w:ind w:firstLine="480" w:firstLineChars="200"/>
              <w:jc w:val="left"/>
              <w:rPr>
                <w:b/>
                <w:color w:val="auto"/>
                <w:sz w:val="24"/>
              </w:rPr>
            </w:pPr>
            <w:r>
              <w:rPr>
                <w:color w:val="auto"/>
                <w:sz w:val="24"/>
              </w:rPr>
              <w:t>建设规模</w:t>
            </w:r>
            <w:r>
              <w:rPr>
                <w:rFonts w:hint="eastAsia"/>
                <w:color w:val="auto"/>
                <w:sz w:val="24"/>
              </w:rPr>
              <w:t>：</w:t>
            </w:r>
            <w:r>
              <w:rPr>
                <w:rFonts w:hint="eastAsia"/>
                <w:color w:val="auto"/>
                <w:kern w:val="0"/>
                <w:sz w:val="24"/>
                <w:highlight w:val="none"/>
              </w:rPr>
              <w:t>项目</w:t>
            </w:r>
            <w:r>
              <w:rPr>
                <w:rFonts w:hint="eastAsia"/>
                <w:color w:val="auto"/>
                <w:kern w:val="0"/>
                <w:sz w:val="24"/>
                <w:lang w:val="en-US" w:eastAsia="zh-CN"/>
              </w:rPr>
              <w:t>设置</w:t>
            </w:r>
            <w:r>
              <w:rPr>
                <w:rFonts w:hint="eastAsia"/>
                <w:color w:val="auto"/>
                <w:kern w:val="0"/>
                <w:sz w:val="24"/>
              </w:rPr>
              <w:t>生产线</w:t>
            </w:r>
            <w:r>
              <w:rPr>
                <w:rFonts w:hint="eastAsia"/>
                <w:color w:val="auto"/>
                <w:kern w:val="0"/>
                <w:sz w:val="24"/>
                <w:lang w:val="en-US" w:eastAsia="zh-CN"/>
              </w:rPr>
              <w:t>20</w:t>
            </w:r>
            <w:r>
              <w:rPr>
                <w:rFonts w:hint="eastAsia"/>
                <w:color w:val="auto"/>
                <w:kern w:val="0"/>
                <w:sz w:val="24"/>
              </w:rPr>
              <w:t>条，用于生产</w:t>
            </w:r>
            <w:r>
              <w:rPr>
                <w:rFonts w:hint="eastAsia" w:ascii="Times New Roman" w:hAnsi="Times New Roman" w:eastAsia="宋体" w:cs="Times New Roman"/>
                <w:color w:val="auto"/>
                <w:sz w:val="24"/>
                <w:szCs w:val="24"/>
                <w:highlight w:val="none"/>
                <w:lang w:val="en-US" w:eastAsia="zh-CN"/>
              </w:rPr>
              <w:t>各类塑料包装箱及容器</w:t>
            </w:r>
            <w:r>
              <w:rPr>
                <w:rFonts w:hint="eastAsia"/>
                <w:color w:val="auto"/>
                <w:kern w:val="0"/>
                <w:sz w:val="24"/>
              </w:rPr>
              <w:t>，项目建成后</w:t>
            </w:r>
            <w:r>
              <w:rPr>
                <w:rFonts w:hint="default" w:ascii="Times New Roman" w:hAnsi="Times New Roman" w:eastAsia="宋体" w:cs="Times New Roman"/>
                <w:color w:val="auto"/>
                <w:sz w:val="24"/>
                <w:szCs w:val="24"/>
                <w:highlight w:val="none"/>
                <w:lang w:val="en-US" w:eastAsia="zh-CN"/>
              </w:rPr>
              <w:t>年产</w:t>
            </w:r>
            <w:r>
              <w:rPr>
                <w:rFonts w:hint="eastAsia" w:ascii="Times New Roman" w:hAnsi="Times New Roman" w:eastAsia="宋体" w:cs="Times New Roman"/>
                <w:color w:val="auto"/>
                <w:sz w:val="24"/>
                <w:szCs w:val="24"/>
                <w:highlight w:val="none"/>
                <w:lang w:val="en-US" w:eastAsia="zh-CN"/>
              </w:rPr>
              <w:t>各类塑料包装箱及容器8691吨</w:t>
            </w:r>
            <w:r>
              <w:rPr>
                <w:rFonts w:hint="eastAsia"/>
                <w:color w:val="auto"/>
                <w:kern w:val="0"/>
                <w:sz w:val="24"/>
              </w:rPr>
              <w:t>。</w:t>
            </w:r>
          </w:p>
          <w:p w14:paraId="7DF2364E">
            <w:pPr>
              <w:pStyle w:val="17"/>
              <w:adjustRightInd w:val="0"/>
              <w:snapToGrid w:val="0"/>
              <w:spacing w:line="356" w:lineRule="auto"/>
              <w:ind w:firstLine="482" w:firstLineChars="200"/>
              <w:rPr>
                <w:rFonts w:ascii="Times New Roman" w:hAnsi="Times New Roman"/>
                <w:color w:val="auto"/>
                <w:kern w:val="0"/>
                <w:sz w:val="24"/>
              </w:rPr>
            </w:pPr>
            <w:r>
              <w:rPr>
                <w:rFonts w:ascii="Times New Roman" w:hAnsi="Times New Roman"/>
                <w:b/>
                <w:color w:val="auto"/>
                <w:sz w:val="24"/>
              </w:rPr>
              <w:t>2、项目建设内容及规模</w:t>
            </w:r>
          </w:p>
          <w:p w14:paraId="422232AC">
            <w:pPr>
              <w:widowControl/>
              <w:adjustRightInd w:val="0"/>
              <w:snapToGrid w:val="0"/>
              <w:spacing w:line="356" w:lineRule="auto"/>
              <w:ind w:firstLine="480" w:firstLineChars="200"/>
              <w:rPr>
                <w:color w:val="auto"/>
                <w:sz w:val="24"/>
              </w:rPr>
            </w:pPr>
            <w:r>
              <w:rPr>
                <w:rFonts w:hint="eastAsia"/>
                <w:color w:val="auto"/>
                <w:sz w:val="24"/>
              </w:rPr>
              <w:t>项目</w:t>
            </w:r>
            <w:r>
              <w:rPr>
                <w:rFonts w:hint="eastAsia"/>
                <w:color w:val="auto"/>
                <w:sz w:val="24"/>
                <w:lang w:eastAsia="zh-CN"/>
              </w:rPr>
              <w:t>一台注塑机即为一条生产线，</w:t>
            </w:r>
            <w:r>
              <w:rPr>
                <w:color w:val="auto"/>
                <w:sz w:val="24"/>
              </w:rPr>
              <w:t>建设内容包括主体工程、</w:t>
            </w:r>
            <w:r>
              <w:rPr>
                <w:rFonts w:hint="eastAsia"/>
                <w:color w:val="auto"/>
                <w:sz w:val="24"/>
              </w:rPr>
              <w:t>储运工程、</w:t>
            </w:r>
            <w:r>
              <w:rPr>
                <w:color w:val="auto"/>
                <w:sz w:val="24"/>
              </w:rPr>
              <w:t>辅助工程</w:t>
            </w:r>
            <w:r>
              <w:rPr>
                <w:rFonts w:hint="eastAsia"/>
                <w:color w:val="auto"/>
                <w:sz w:val="24"/>
              </w:rPr>
              <w:t>、</w:t>
            </w:r>
            <w:r>
              <w:rPr>
                <w:color w:val="auto"/>
                <w:sz w:val="24"/>
              </w:rPr>
              <w:t>公用工程、环保工程。</w:t>
            </w:r>
          </w:p>
          <w:p w14:paraId="71410BB4">
            <w:pPr>
              <w:widowControl/>
              <w:adjustRightInd w:val="0"/>
              <w:snapToGrid w:val="0"/>
              <w:spacing w:line="356" w:lineRule="auto"/>
              <w:ind w:firstLine="480" w:firstLineChars="200"/>
              <w:rPr>
                <w:b/>
                <w:bCs/>
                <w:color w:val="auto"/>
                <w:szCs w:val="21"/>
              </w:rPr>
            </w:pPr>
            <w:r>
              <w:rPr>
                <w:color w:val="auto"/>
                <w:sz w:val="24"/>
              </w:rPr>
              <w:t>本项目主要建设内容见表2-1。</w:t>
            </w:r>
            <w:bookmarkStart w:id="15" w:name="_Toc5921"/>
          </w:p>
          <w:p w14:paraId="2D2B2049">
            <w:pPr>
              <w:adjustRightInd w:val="0"/>
              <w:snapToGrid w:val="0"/>
              <w:jc w:val="center"/>
              <w:rPr>
                <w:b/>
                <w:bCs/>
                <w:color w:val="auto"/>
                <w:szCs w:val="21"/>
              </w:rPr>
            </w:pPr>
            <w:r>
              <w:rPr>
                <w:b/>
                <w:bCs/>
                <w:color w:val="auto"/>
                <w:szCs w:val="21"/>
              </w:rPr>
              <w:t>表2-1  本项目工程内容组成一览表</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953"/>
              <w:gridCol w:w="39"/>
              <w:gridCol w:w="914"/>
              <w:gridCol w:w="338"/>
              <w:gridCol w:w="668"/>
              <w:gridCol w:w="4420"/>
              <w:gridCol w:w="660"/>
            </w:tblGrid>
            <w:tr w14:paraId="21B2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53" w:type="pct"/>
                  <w:vMerge w:val="restart"/>
                  <w:vAlign w:val="center"/>
                </w:tcPr>
                <w:p w14:paraId="30D82CAD">
                  <w:pPr>
                    <w:adjustRightInd w:val="0"/>
                    <w:snapToGrid w:val="0"/>
                    <w:spacing w:line="0" w:lineRule="atLeast"/>
                    <w:jc w:val="center"/>
                    <w:rPr>
                      <w:b/>
                      <w:color w:val="auto"/>
                      <w:szCs w:val="21"/>
                    </w:rPr>
                  </w:pPr>
                  <w:r>
                    <w:rPr>
                      <w:b/>
                      <w:color w:val="auto"/>
                      <w:szCs w:val="21"/>
                    </w:rPr>
                    <w:t>工程分类</w:t>
                  </w:r>
                </w:p>
              </w:tc>
              <w:tc>
                <w:tcPr>
                  <w:tcW w:w="1132" w:type="pct"/>
                  <w:gridSpan w:val="3"/>
                  <w:vMerge w:val="restart"/>
                  <w:vAlign w:val="center"/>
                </w:tcPr>
                <w:p w14:paraId="2FEC2A98">
                  <w:pPr>
                    <w:adjustRightInd w:val="0"/>
                    <w:snapToGrid w:val="0"/>
                    <w:spacing w:line="0" w:lineRule="atLeast"/>
                    <w:jc w:val="center"/>
                    <w:rPr>
                      <w:b/>
                      <w:color w:val="auto"/>
                      <w:szCs w:val="21"/>
                    </w:rPr>
                  </w:pPr>
                  <w:r>
                    <w:rPr>
                      <w:b/>
                      <w:color w:val="auto"/>
                      <w:szCs w:val="21"/>
                    </w:rPr>
                    <w:t>项目名称</w:t>
                  </w:r>
                </w:p>
              </w:tc>
              <w:tc>
                <w:tcPr>
                  <w:tcW w:w="3222" w:type="pct"/>
                  <w:gridSpan w:val="3"/>
                  <w:vMerge w:val="restart"/>
                  <w:vAlign w:val="center"/>
                </w:tcPr>
                <w:p w14:paraId="72A59013">
                  <w:pPr>
                    <w:adjustRightInd w:val="0"/>
                    <w:snapToGrid w:val="0"/>
                    <w:spacing w:line="0" w:lineRule="atLeast"/>
                    <w:jc w:val="center"/>
                    <w:rPr>
                      <w:b/>
                      <w:color w:val="auto"/>
                      <w:szCs w:val="21"/>
                    </w:rPr>
                  </w:pPr>
                  <w:r>
                    <w:rPr>
                      <w:b/>
                      <w:color w:val="auto"/>
                      <w:szCs w:val="21"/>
                    </w:rPr>
                    <w:t>建设内容及规模</w:t>
                  </w:r>
                </w:p>
              </w:tc>
              <w:tc>
                <w:tcPr>
                  <w:tcW w:w="392" w:type="pct"/>
                  <w:vMerge w:val="restart"/>
                  <w:vAlign w:val="center"/>
                </w:tcPr>
                <w:p w14:paraId="53A3661D">
                  <w:pPr>
                    <w:adjustRightInd w:val="0"/>
                    <w:snapToGrid w:val="0"/>
                    <w:spacing w:line="0" w:lineRule="atLeast"/>
                    <w:jc w:val="center"/>
                    <w:rPr>
                      <w:b/>
                      <w:color w:val="auto"/>
                      <w:szCs w:val="21"/>
                    </w:rPr>
                  </w:pPr>
                  <w:r>
                    <w:rPr>
                      <w:b/>
                      <w:color w:val="auto"/>
                      <w:szCs w:val="21"/>
                    </w:rPr>
                    <w:t>备注</w:t>
                  </w:r>
                </w:p>
              </w:tc>
            </w:tr>
            <w:tr w14:paraId="620B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53" w:type="pct"/>
                  <w:vMerge w:val="continue"/>
                  <w:vAlign w:val="center"/>
                </w:tcPr>
                <w:p w14:paraId="13476352">
                  <w:pPr>
                    <w:adjustRightInd w:val="0"/>
                    <w:snapToGrid w:val="0"/>
                    <w:spacing w:line="0" w:lineRule="atLeast"/>
                    <w:jc w:val="center"/>
                    <w:rPr>
                      <w:bCs/>
                      <w:color w:val="auto"/>
                      <w:szCs w:val="21"/>
                    </w:rPr>
                  </w:pPr>
                </w:p>
              </w:tc>
              <w:tc>
                <w:tcPr>
                  <w:tcW w:w="1132" w:type="pct"/>
                  <w:gridSpan w:val="3"/>
                  <w:vMerge w:val="continue"/>
                  <w:vAlign w:val="center"/>
                </w:tcPr>
                <w:p w14:paraId="34099785">
                  <w:pPr>
                    <w:adjustRightInd w:val="0"/>
                    <w:snapToGrid w:val="0"/>
                    <w:spacing w:line="0" w:lineRule="atLeast"/>
                    <w:jc w:val="center"/>
                    <w:rPr>
                      <w:color w:val="auto"/>
                      <w:szCs w:val="21"/>
                    </w:rPr>
                  </w:pPr>
                </w:p>
              </w:tc>
              <w:tc>
                <w:tcPr>
                  <w:tcW w:w="3222" w:type="pct"/>
                  <w:gridSpan w:val="3"/>
                  <w:vMerge w:val="continue"/>
                  <w:vAlign w:val="center"/>
                </w:tcPr>
                <w:p w14:paraId="52D9A369">
                  <w:pPr>
                    <w:adjustRightInd w:val="0"/>
                    <w:snapToGrid w:val="0"/>
                    <w:spacing w:line="0" w:lineRule="atLeast"/>
                    <w:jc w:val="center"/>
                    <w:rPr>
                      <w:color w:val="auto"/>
                      <w:szCs w:val="21"/>
                    </w:rPr>
                  </w:pPr>
                </w:p>
              </w:tc>
              <w:tc>
                <w:tcPr>
                  <w:tcW w:w="392" w:type="pct"/>
                  <w:vMerge w:val="continue"/>
                  <w:vAlign w:val="center"/>
                </w:tcPr>
                <w:p w14:paraId="6901212E">
                  <w:pPr>
                    <w:adjustRightInd w:val="0"/>
                    <w:snapToGrid w:val="0"/>
                    <w:spacing w:line="0" w:lineRule="atLeast"/>
                    <w:jc w:val="center"/>
                    <w:rPr>
                      <w:color w:val="auto"/>
                      <w:szCs w:val="21"/>
                    </w:rPr>
                  </w:pPr>
                </w:p>
              </w:tc>
            </w:tr>
            <w:tr w14:paraId="681FA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53" w:type="pct"/>
                  <w:vMerge w:val="restart"/>
                  <w:vAlign w:val="center"/>
                </w:tcPr>
                <w:p w14:paraId="128340F2">
                  <w:pPr>
                    <w:adjustRightInd w:val="0"/>
                    <w:snapToGrid w:val="0"/>
                    <w:spacing w:line="0" w:lineRule="atLeast"/>
                    <w:jc w:val="center"/>
                    <w:rPr>
                      <w:bCs/>
                      <w:color w:val="auto"/>
                      <w:szCs w:val="21"/>
                    </w:rPr>
                  </w:pPr>
                  <w:r>
                    <w:rPr>
                      <w:bCs/>
                      <w:color w:val="auto"/>
                      <w:szCs w:val="21"/>
                    </w:rPr>
                    <w:t>主体工程</w:t>
                  </w:r>
                </w:p>
              </w:tc>
              <w:tc>
                <w:tcPr>
                  <w:tcW w:w="589" w:type="pct"/>
                  <w:gridSpan w:val="2"/>
                  <w:vMerge w:val="restart"/>
                  <w:vAlign w:val="center"/>
                </w:tcPr>
                <w:p w14:paraId="1244891E">
                  <w:pPr>
                    <w:pStyle w:val="19"/>
                    <w:adjustRightInd w:val="0"/>
                    <w:snapToGrid w:val="0"/>
                    <w:spacing w:line="0" w:lineRule="atLeast"/>
                    <w:jc w:val="both"/>
                    <w:rPr>
                      <w:color w:val="auto"/>
                      <w:sz w:val="21"/>
                      <w:szCs w:val="21"/>
                    </w:rPr>
                  </w:pPr>
                  <w:r>
                    <w:rPr>
                      <w:rFonts w:hint="default" w:ascii="Times New Roman" w:hAnsi="Times New Roman" w:eastAsia="宋体" w:cs="Times New Roman"/>
                      <w:color w:val="auto"/>
                      <w:sz w:val="21"/>
                      <w:szCs w:val="21"/>
                      <w:highlight w:val="none"/>
                      <w:lang w:val="en-US" w:eastAsia="zh-CN"/>
                    </w:rPr>
                    <w:t>生产厂房（</w:t>
                  </w:r>
                  <w:r>
                    <w:rPr>
                      <w:rFonts w:hint="eastAsia" w:ascii="Times New Roman" w:hAnsi="Times New Roman" w:eastAsia="宋体" w:cs="Times New Roman"/>
                      <w:color w:val="auto"/>
                      <w:sz w:val="21"/>
                      <w:szCs w:val="21"/>
                      <w:highlight w:val="none"/>
                      <w:lang w:val="en-US" w:eastAsia="zh-CN"/>
                    </w:rPr>
                    <w:t>3000</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2</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vertAlign w:val="baseline"/>
                      <w:lang w:val="en-US" w:eastAsia="zh-CN"/>
                    </w:rPr>
                    <w:t>1F钢架结构，长</w:t>
                  </w:r>
                  <w:r>
                    <w:rPr>
                      <w:rFonts w:hint="eastAsia" w:cs="Times New Roman"/>
                      <w:color w:val="auto"/>
                      <w:sz w:val="21"/>
                      <w:szCs w:val="21"/>
                      <w:highlight w:val="none"/>
                      <w:vertAlign w:val="baseline"/>
                      <w:lang w:val="en-US" w:eastAsia="zh-CN"/>
                    </w:rPr>
                    <w:t>61</w:t>
                  </w:r>
                  <w:r>
                    <w:rPr>
                      <w:rFonts w:hint="default" w:ascii="Times New Roman" w:hAnsi="Times New Roman" w:eastAsia="宋体" w:cs="Times New Roman"/>
                      <w:color w:val="auto"/>
                      <w:sz w:val="21"/>
                      <w:szCs w:val="21"/>
                      <w:highlight w:val="none"/>
                      <w:vertAlign w:val="baseline"/>
                      <w:lang w:val="en-US" w:eastAsia="zh-CN"/>
                    </w:rPr>
                    <w:t>m，宽</w:t>
                  </w:r>
                  <w:r>
                    <w:rPr>
                      <w:rFonts w:hint="eastAsia" w:cs="Times New Roman"/>
                      <w:color w:val="auto"/>
                      <w:sz w:val="21"/>
                      <w:szCs w:val="21"/>
                      <w:highlight w:val="none"/>
                      <w:vertAlign w:val="baseline"/>
                      <w:lang w:val="en-US" w:eastAsia="zh-CN"/>
                    </w:rPr>
                    <w:t>49.2</w:t>
                  </w:r>
                  <w:r>
                    <w:rPr>
                      <w:rFonts w:hint="default" w:ascii="Times New Roman" w:hAnsi="Times New Roman" w:eastAsia="宋体" w:cs="Times New Roman"/>
                      <w:color w:val="auto"/>
                      <w:sz w:val="21"/>
                      <w:szCs w:val="21"/>
                      <w:highlight w:val="none"/>
                      <w:vertAlign w:val="baseline"/>
                      <w:lang w:val="en-US" w:eastAsia="zh-CN"/>
                    </w:rPr>
                    <w:t>m，高</w:t>
                  </w:r>
                  <w:r>
                    <w:rPr>
                      <w:rFonts w:hint="eastAsia" w:cs="Times New Roman"/>
                      <w:color w:val="auto"/>
                      <w:sz w:val="21"/>
                      <w:szCs w:val="21"/>
                      <w:highlight w:val="none"/>
                      <w:vertAlign w:val="baseline"/>
                      <w:lang w:val="en-US" w:eastAsia="zh-CN"/>
                    </w:rPr>
                    <w:t>12</w:t>
                  </w:r>
                  <w:r>
                    <w:rPr>
                      <w:rFonts w:hint="default" w:ascii="Times New Roman" w:hAnsi="Times New Roman" w:eastAsia="宋体" w:cs="Times New Roman"/>
                      <w:color w:val="auto"/>
                      <w:sz w:val="21"/>
                      <w:szCs w:val="21"/>
                      <w:highlight w:val="none"/>
                      <w:vertAlign w:val="baseline"/>
                      <w:lang w:val="en-US" w:eastAsia="zh-CN"/>
                    </w:rPr>
                    <w:t>m。</w:t>
                  </w:r>
                  <w:r>
                    <w:rPr>
                      <w:rFonts w:hint="default" w:ascii="Times New Roman" w:hAnsi="Times New Roman" w:eastAsia="宋体" w:cs="Times New Roman"/>
                      <w:color w:val="auto"/>
                      <w:sz w:val="21"/>
                      <w:szCs w:val="21"/>
                      <w:highlight w:val="none"/>
                      <w:lang w:val="en-US" w:eastAsia="zh-CN"/>
                    </w:rPr>
                    <w:t>）</w:t>
                  </w:r>
                </w:p>
              </w:tc>
              <w:tc>
                <w:tcPr>
                  <w:tcW w:w="542" w:type="pct"/>
                  <w:vAlign w:val="center"/>
                </w:tcPr>
                <w:p w14:paraId="7EF8DA33">
                  <w:pPr>
                    <w:pStyle w:val="19"/>
                    <w:adjustRightInd w:val="0"/>
                    <w:snapToGrid w:val="0"/>
                    <w:spacing w:line="0" w:lineRule="atLeast"/>
                    <w:jc w:val="center"/>
                    <w:rPr>
                      <w:rFonts w:hint="default" w:eastAsia="宋体"/>
                      <w:color w:val="auto"/>
                      <w:sz w:val="21"/>
                      <w:szCs w:val="21"/>
                      <w:lang w:val="en-US" w:eastAsia="zh-CN"/>
                    </w:rPr>
                  </w:pPr>
                  <w:r>
                    <w:rPr>
                      <w:rFonts w:hint="eastAsia"/>
                      <w:color w:val="auto"/>
                      <w:sz w:val="21"/>
                      <w:szCs w:val="21"/>
                      <w:lang w:val="en-US" w:eastAsia="zh-CN"/>
                    </w:rPr>
                    <w:t>投料区</w:t>
                  </w:r>
                </w:p>
              </w:tc>
              <w:tc>
                <w:tcPr>
                  <w:tcW w:w="3222" w:type="pct"/>
                  <w:gridSpan w:val="3"/>
                  <w:vAlign w:val="center"/>
                </w:tcPr>
                <w:p w14:paraId="5DECB259">
                  <w:pPr>
                    <w:jc w:val="center"/>
                    <w:rPr>
                      <w:color w:val="auto"/>
                      <w:szCs w:val="21"/>
                    </w:rPr>
                  </w:pPr>
                  <w:r>
                    <w:rPr>
                      <w:rFonts w:hint="eastAsia"/>
                      <w:color w:val="auto"/>
                      <w:szCs w:val="21"/>
                      <w:lang w:val="en-US" w:eastAsia="zh-CN"/>
                    </w:rPr>
                    <w:t>投料区设置一处，</w:t>
                  </w:r>
                  <w:r>
                    <w:rPr>
                      <w:rFonts w:hint="eastAsia"/>
                      <w:color w:val="auto"/>
                      <w:szCs w:val="21"/>
                    </w:rPr>
                    <w:t>面积约</w:t>
                  </w:r>
                  <w:r>
                    <w:rPr>
                      <w:rFonts w:hint="eastAsia"/>
                      <w:color w:val="auto"/>
                      <w:szCs w:val="21"/>
                      <w:lang w:val="en-US" w:eastAsia="zh-CN"/>
                    </w:rPr>
                    <w:t>12</w:t>
                  </w:r>
                  <w:r>
                    <w:rPr>
                      <w:rFonts w:hint="eastAsia"/>
                      <w:color w:val="auto"/>
                      <w:szCs w:val="21"/>
                    </w:rPr>
                    <w:t>0</w:t>
                  </w:r>
                  <w:r>
                    <w:rPr>
                      <w:color w:val="auto"/>
                      <w:szCs w:val="21"/>
                    </w:rPr>
                    <w:t>m</w:t>
                  </w:r>
                  <w:r>
                    <w:rPr>
                      <w:color w:val="auto"/>
                      <w:szCs w:val="21"/>
                      <w:vertAlign w:val="superscript"/>
                    </w:rPr>
                    <w:t>2</w:t>
                  </w:r>
                  <w:r>
                    <w:rPr>
                      <w:color w:val="auto"/>
                      <w:szCs w:val="21"/>
                    </w:rPr>
                    <w:t>，</w:t>
                  </w:r>
                  <w:r>
                    <w:rPr>
                      <w:rFonts w:hint="eastAsia"/>
                      <w:color w:val="auto"/>
                      <w:szCs w:val="21"/>
                    </w:rPr>
                    <w:t>位于</w:t>
                  </w:r>
                  <w:r>
                    <w:rPr>
                      <w:rFonts w:hint="eastAsia"/>
                      <w:color w:val="auto"/>
                      <w:szCs w:val="21"/>
                      <w:lang w:val="en-US" w:eastAsia="zh-CN"/>
                    </w:rPr>
                    <w:t>生产厂房内东北</w:t>
                  </w:r>
                  <w:r>
                    <w:rPr>
                      <w:rFonts w:hint="eastAsia"/>
                      <w:color w:val="auto"/>
                      <w:szCs w:val="21"/>
                    </w:rPr>
                    <w:t>侧，</w:t>
                  </w:r>
                  <w:r>
                    <w:rPr>
                      <w:rFonts w:hint="eastAsia"/>
                      <w:color w:val="auto"/>
                      <w:szCs w:val="21"/>
                      <w:lang w:val="en-US" w:eastAsia="zh-CN"/>
                    </w:rPr>
                    <w:t>采用人工投料</w:t>
                  </w:r>
                  <w:r>
                    <w:rPr>
                      <w:rFonts w:hint="eastAsia"/>
                      <w:color w:val="auto"/>
                      <w:szCs w:val="21"/>
                    </w:rPr>
                    <w:t>。</w:t>
                  </w:r>
                </w:p>
              </w:tc>
              <w:tc>
                <w:tcPr>
                  <w:tcW w:w="392" w:type="pct"/>
                  <w:vAlign w:val="center"/>
                </w:tcPr>
                <w:p w14:paraId="16AF4A09">
                  <w:pPr>
                    <w:adjustRightInd w:val="0"/>
                    <w:snapToGrid w:val="0"/>
                    <w:spacing w:line="0" w:lineRule="atLeast"/>
                    <w:jc w:val="center"/>
                    <w:rPr>
                      <w:color w:val="auto"/>
                      <w:szCs w:val="21"/>
                    </w:rPr>
                  </w:pPr>
                  <w:r>
                    <w:rPr>
                      <w:rFonts w:hint="eastAsia"/>
                      <w:color w:val="auto"/>
                      <w:szCs w:val="21"/>
                      <w:lang w:val="en-US" w:eastAsia="zh-CN"/>
                    </w:rPr>
                    <w:t>新</w:t>
                  </w:r>
                  <w:r>
                    <w:rPr>
                      <w:rFonts w:hint="eastAsia"/>
                      <w:color w:val="auto"/>
                      <w:szCs w:val="21"/>
                    </w:rPr>
                    <w:t>建</w:t>
                  </w:r>
                </w:p>
              </w:tc>
            </w:tr>
            <w:tr w14:paraId="35C10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53" w:type="pct"/>
                  <w:vMerge w:val="continue"/>
                  <w:vAlign w:val="center"/>
                </w:tcPr>
                <w:p w14:paraId="0051B4C9">
                  <w:pPr>
                    <w:adjustRightInd w:val="0"/>
                    <w:snapToGrid w:val="0"/>
                    <w:spacing w:line="0" w:lineRule="atLeast"/>
                    <w:jc w:val="center"/>
                    <w:rPr>
                      <w:bCs/>
                      <w:color w:val="auto"/>
                      <w:szCs w:val="21"/>
                    </w:rPr>
                  </w:pPr>
                </w:p>
              </w:tc>
              <w:tc>
                <w:tcPr>
                  <w:tcW w:w="589" w:type="pct"/>
                  <w:gridSpan w:val="2"/>
                  <w:vMerge w:val="continue"/>
                  <w:vAlign w:val="center"/>
                </w:tcPr>
                <w:p w14:paraId="3F29FFBE">
                  <w:pPr>
                    <w:pStyle w:val="19"/>
                    <w:adjustRightInd w:val="0"/>
                    <w:snapToGrid w:val="0"/>
                    <w:spacing w:line="0" w:lineRule="atLeast"/>
                    <w:jc w:val="both"/>
                    <w:rPr>
                      <w:rFonts w:hint="default" w:ascii="Times New Roman" w:hAnsi="Times New Roman" w:eastAsia="宋体" w:cs="Times New Roman"/>
                      <w:color w:val="auto"/>
                      <w:sz w:val="21"/>
                      <w:szCs w:val="21"/>
                      <w:highlight w:val="none"/>
                      <w:lang w:val="en-US" w:eastAsia="zh-CN"/>
                    </w:rPr>
                  </w:pPr>
                </w:p>
              </w:tc>
              <w:tc>
                <w:tcPr>
                  <w:tcW w:w="542" w:type="pct"/>
                  <w:vAlign w:val="center"/>
                </w:tcPr>
                <w:p w14:paraId="624D1FB6">
                  <w:pPr>
                    <w:pStyle w:val="19"/>
                    <w:adjustRightInd w:val="0"/>
                    <w:snapToGrid w:val="0"/>
                    <w:spacing w:line="0" w:lineRule="atLeast"/>
                    <w:jc w:val="center"/>
                    <w:rPr>
                      <w:rFonts w:hint="default"/>
                      <w:color w:val="auto"/>
                      <w:sz w:val="21"/>
                      <w:szCs w:val="21"/>
                      <w:lang w:val="en-US" w:eastAsia="zh-CN"/>
                    </w:rPr>
                  </w:pPr>
                  <w:r>
                    <w:rPr>
                      <w:rFonts w:hint="eastAsia"/>
                      <w:color w:val="auto"/>
                      <w:sz w:val="21"/>
                      <w:szCs w:val="21"/>
                      <w:lang w:val="en-US" w:eastAsia="zh-CN"/>
                    </w:rPr>
                    <w:t>破碎区</w:t>
                  </w:r>
                </w:p>
              </w:tc>
              <w:tc>
                <w:tcPr>
                  <w:tcW w:w="3222" w:type="pct"/>
                  <w:gridSpan w:val="3"/>
                  <w:vAlign w:val="center"/>
                </w:tcPr>
                <w:p w14:paraId="694B70F1">
                  <w:pPr>
                    <w:jc w:val="center"/>
                    <w:rPr>
                      <w:rFonts w:hint="default"/>
                      <w:color w:val="auto"/>
                      <w:szCs w:val="21"/>
                      <w:lang w:val="en-US" w:eastAsia="zh-CN"/>
                    </w:rPr>
                  </w:pPr>
                  <w:r>
                    <w:rPr>
                      <w:rFonts w:hint="eastAsia"/>
                      <w:color w:val="auto"/>
                      <w:szCs w:val="21"/>
                      <w:lang w:val="en-US" w:eastAsia="zh-CN"/>
                    </w:rPr>
                    <w:t>破碎区设置一处，</w:t>
                  </w:r>
                  <w:r>
                    <w:rPr>
                      <w:rFonts w:hint="eastAsia"/>
                      <w:color w:val="auto"/>
                      <w:szCs w:val="21"/>
                    </w:rPr>
                    <w:t>面积约</w:t>
                  </w:r>
                  <w:r>
                    <w:rPr>
                      <w:rFonts w:hint="eastAsia"/>
                      <w:color w:val="auto"/>
                      <w:szCs w:val="21"/>
                      <w:lang w:val="en-US" w:eastAsia="zh-CN"/>
                    </w:rPr>
                    <w:t>12</w:t>
                  </w:r>
                  <w:r>
                    <w:rPr>
                      <w:rFonts w:hint="eastAsia"/>
                      <w:color w:val="auto"/>
                      <w:szCs w:val="21"/>
                    </w:rPr>
                    <w:t>0</w:t>
                  </w:r>
                  <w:r>
                    <w:rPr>
                      <w:color w:val="auto"/>
                      <w:szCs w:val="21"/>
                    </w:rPr>
                    <w:t>m</w:t>
                  </w:r>
                  <w:r>
                    <w:rPr>
                      <w:color w:val="auto"/>
                      <w:szCs w:val="21"/>
                      <w:vertAlign w:val="superscript"/>
                    </w:rPr>
                    <w:t>2</w:t>
                  </w:r>
                  <w:r>
                    <w:rPr>
                      <w:color w:val="auto"/>
                      <w:szCs w:val="21"/>
                    </w:rPr>
                    <w:t>，</w:t>
                  </w:r>
                  <w:r>
                    <w:rPr>
                      <w:rFonts w:hint="eastAsia"/>
                      <w:color w:val="auto"/>
                      <w:szCs w:val="21"/>
                    </w:rPr>
                    <w:t>位于</w:t>
                  </w:r>
                  <w:r>
                    <w:rPr>
                      <w:rFonts w:hint="eastAsia"/>
                      <w:color w:val="auto"/>
                      <w:szCs w:val="21"/>
                      <w:lang w:val="en-US" w:eastAsia="zh-CN"/>
                    </w:rPr>
                    <w:t>生产厂房内东北</w:t>
                  </w:r>
                  <w:r>
                    <w:rPr>
                      <w:rFonts w:hint="eastAsia"/>
                      <w:color w:val="auto"/>
                      <w:szCs w:val="21"/>
                    </w:rPr>
                    <w:t>侧，</w:t>
                  </w:r>
                  <w:r>
                    <w:rPr>
                      <w:rFonts w:hint="eastAsia"/>
                      <w:color w:val="auto"/>
                      <w:szCs w:val="21"/>
                      <w:lang w:val="en-US" w:eastAsia="zh-CN"/>
                    </w:rPr>
                    <w:t>主要用于未成型的产品、边角料、不合格的产品</w:t>
                  </w:r>
                  <w:r>
                    <w:rPr>
                      <w:color w:val="auto"/>
                      <w:szCs w:val="21"/>
                    </w:rPr>
                    <w:t>收集</w:t>
                  </w:r>
                  <w:r>
                    <w:rPr>
                      <w:rFonts w:hint="eastAsia"/>
                      <w:color w:val="auto"/>
                      <w:szCs w:val="21"/>
                    </w:rPr>
                    <w:t>破碎后</w:t>
                  </w:r>
                  <w:r>
                    <w:rPr>
                      <w:color w:val="auto"/>
                      <w:szCs w:val="21"/>
                    </w:rPr>
                    <w:t>，定期</w:t>
                  </w:r>
                  <w:r>
                    <w:rPr>
                      <w:rFonts w:hint="eastAsia"/>
                      <w:color w:val="auto"/>
                      <w:szCs w:val="21"/>
                    </w:rPr>
                    <w:t>外售</w:t>
                  </w:r>
                  <w:r>
                    <w:rPr>
                      <w:color w:val="auto"/>
                      <w:szCs w:val="21"/>
                    </w:rPr>
                    <w:t>。</w:t>
                  </w:r>
                </w:p>
              </w:tc>
              <w:tc>
                <w:tcPr>
                  <w:tcW w:w="392" w:type="pct"/>
                  <w:vAlign w:val="center"/>
                </w:tcPr>
                <w:p w14:paraId="6AF2BBA0">
                  <w:pPr>
                    <w:adjustRightInd w:val="0"/>
                    <w:snapToGrid w:val="0"/>
                    <w:spacing w:line="0" w:lineRule="atLeast"/>
                    <w:jc w:val="center"/>
                    <w:rPr>
                      <w:rFonts w:hint="default"/>
                      <w:color w:val="auto"/>
                      <w:szCs w:val="21"/>
                      <w:lang w:val="en-US" w:eastAsia="zh-CN"/>
                    </w:rPr>
                  </w:pPr>
                  <w:r>
                    <w:rPr>
                      <w:rFonts w:hint="eastAsia"/>
                      <w:color w:val="auto"/>
                      <w:szCs w:val="21"/>
                      <w:lang w:val="en-US" w:eastAsia="zh-CN"/>
                    </w:rPr>
                    <w:t>新建</w:t>
                  </w:r>
                </w:p>
              </w:tc>
            </w:tr>
            <w:tr w14:paraId="54530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53" w:type="pct"/>
                  <w:vMerge w:val="continue"/>
                  <w:vAlign w:val="center"/>
                </w:tcPr>
                <w:p w14:paraId="7B7C58E5">
                  <w:pPr>
                    <w:adjustRightInd w:val="0"/>
                    <w:snapToGrid w:val="0"/>
                    <w:spacing w:line="0" w:lineRule="atLeast"/>
                    <w:jc w:val="center"/>
                    <w:rPr>
                      <w:bCs/>
                      <w:color w:val="auto"/>
                      <w:szCs w:val="21"/>
                    </w:rPr>
                  </w:pPr>
                </w:p>
              </w:tc>
              <w:tc>
                <w:tcPr>
                  <w:tcW w:w="589" w:type="pct"/>
                  <w:gridSpan w:val="2"/>
                  <w:vMerge w:val="continue"/>
                  <w:vAlign w:val="center"/>
                </w:tcPr>
                <w:p w14:paraId="7B9AE529">
                  <w:pPr>
                    <w:pStyle w:val="19"/>
                    <w:adjustRightInd w:val="0"/>
                    <w:snapToGrid w:val="0"/>
                    <w:spacing w:line="0" w:lineRule="atLeast"/>
                    <w:jc w:val="center"/>
                    <w:rPr>
                      <w:color w:val="auto"/>
                      <w:sz w:val="21"/>
                      <w:szCs w:val="21"/>
                    </w:rPr>
                  </w:pPr>
                </w:p>
              </w:tc>
              <w:tc>
                <w:tcPr>
                  <w:tcW w:w="542" w:type="pct"/>
                  <w:vAlign w:val="center"/>
                </w:tcPr>
                <w:p w14:paraId="153062D9">
                  <w:pPr>
                    <w:pStyle w:val="19"/>
                    <w:adjustRightInd w:val="0"/>
                    <w:snapToGrid w:val="0"/>
                    <w:spacing w:line="0" w:lineRule="atLeast"/>
                    <w:jc w:val="center"/>
                    <w:rPr>
                      <w:rFonts w:hint="default" w:eastAsia="宋体"/>
                      <w:color w:val="auto"/>
                      <w:sz w:val="21"/>
                      <w:szCs w:val="21"/>
                      <w:lang w:val="en-US" w:eastAsia="zh-CN"/>
                    </w:rPr>
                  </w:pPr>
                  <w:r>
                    <w:rPr>
                      <w:rFonts w:hint="eastAsia"/>
                      <w:color w:val="auto"/>
                      <w:sz w:val="21"/>
                      <w:szCs w:val="21"/>
                      <w:lang w:val="en-US" w:eastAsia="zh-CN"/>
                    </w:rPr>
                    <w:t>注塑区</w:t>
                  </w:r>
                </w:p>
              </w:tc>
              <w:tc>
                <w:tcPr>
                  <w:tcW w:w="3222" w:type="pct"/>
                  <w:gridSpan w:val="3"/>
                  <w:vAlign w:val="center"/>
                </w:tcPr>
                <w:p w14:paraId="3335C0F2">
                  <w:pPr>
                    <w:jc w:val="center"/>
                    <w:rPr>
                      <w:color w:val="auto"/>
                      <w:szCs w:val="21"/>
                    </w:rPr>
                  </w:pPr>
                  <w:r>
                    <w:rPr>
                      <w:rFonts w:hint="eastAsia"/>
                      <w:color w:val="auto"/>
                      <w:szCs w:val="21"/>
                      <w:lang w:val="en-US" w:eastAsia="zh-CN"/>
                    </w:rPr>
                    <w:t>注塑区设置两处，总</w:t>
                  </w:r>
                  <w:r>
                    <w:rPr>
                      <w:rFonts w:hint="eastAsia"/>
                      <w:color w:val="auto"/>
                      <w:szCs w:val="21"/>
                    </w:rPr>
                    <w:t>面积约</w:t>
                  </w:r>
                  <w:r>
                    <w:rPr>
                      <w:rFonts w:hint="eastAsia"/>
                      <w:color w:val="auto"/>
                      <w:szCs w:val="21"/>
                      <w:lang w:val="en-US" w:eastAsia="zh-CN"/>
                    </w:rPr>
                    <w:t>13</w:t>
                  </w:r>
                  <w:r>
                    <w:rPr>
                      <w:rFonts w:hint="eastAsia"/>
                      <w:color w:val="auto"/>
                      <w:szCs w:val="21"/>
                    </w:rPr>
                    <w:t>00</w:t>
                  </w:r>
                  <w:r>
                    <w:rPr>
                      <w:color w:val="auto"/>
                      <w:szCs w:val="21"/>
                    </w:rPr>
                    <w:t>m</w:t>
                  </w:r>
                  <w:r>
                    <w:rPr>
                      <w:color w:val="auto"/>
                      <w:szCs w:val="21"/>
                      <w:vertAlign w:val="superscript"/>
                    </w:rPr>
                    <w:t>2</w:t>
                  </w:r>
                  <w:r>
                    <w:rPr>
                      <w:color w:val="auto"/>
                      <w:szCs w:val="21"/>
                    </w:rPr>
                    <w:t>，</w:t>
                  </w:r>
                  <w:r>
                    <w:rPr>
                      <w:rFonts w:hint="eastAsia"/>
                      <w:color w:val="auto"/>
                      <w:szCs w:val="21"/>
                    </w:rPr>
                    <w:t>位于生产厂房</w:t>
                  </w:r>
                  <w:r>
                    <w:rPr>
                      <w:rFonts w:hint="eastAsia"/>
                      <w:color w:val="auto"/>
                      <w:szCs w:val="21"/>
                      <w:lang w:val="en-US" w:eastAsia="zh-CN"/>
                    </w:rPr>
                    <w:t>内东</w:t>
                  </w:r>
                  <w:r>
                    <w:rPr>
                      <w:rFonts w:hint="eastAsia"/>
                      <w:color w:val="auto"/>
                      <w:szCs w:val="21"/>
                    </w:rPr>
                    <w:t>侧</w:t>
                  </w:r>
                  <w:r>
                    <w:rPr>
                      <w:rFonts w:hint="eastAsia"/>
                      <w:color w:val="auto"/>
                      <w:szCs w:val="21"/>
                      <w:lang w:val="en-US" w:eastAsia="zh-CN"/>
                    </w:rPr>
                    <w:t>中间及西侧中间位置</w:t>
                  </w:r>
                  <w:r>
                    <w:rPr>
                      <w:rFonts w:hint="eastAsia"/>
                      <w:color w:val="auto"/>
                      <w:szCs w:val="21"/>
                    </w:rPr>
                    <w:t>，</w:t>
                  </w:r>
                  <w:r>
                    <w:rPr>
                      <w:rFonts w:hint="eastAsia"/>
                      <w:color w:val="auto"/>
                      <w:szCs w:val="21"/>
                      <w:lang w:val="en-US" w:eastAsia="zh-CN"/>
                    </w:rPr>
                    <w:t>内设注塑机等配套设施，</w:t>
                  </w:r>
                  <w:r>
                    <w:rPr>
                      <w:rFonts w:hint="eastAsia"/>
                      <w:color w:val="auto"/>
                      <w:szCs w:val="21"/>
                    </w:rPr>
                    <w:t>主要用于</w:t>
                  </w:r>
                  <w:r>
                    <w:rPr>
                      <w:rFonts w:hint="eastAsia"/>
                      <w:color w:val="auto"/>
                      <w:szCs w:val="21"/>
                      <w:lang w:val="en-US" w:eastAsia="zh-CN"/>
                    </w:rPr>
                    <w:t>产品注塑成型</w:t>
                  </w:r>
                  <w:r>
                    <w:rPr>
                      <w:rFonts w:hint="eastAsia"/>
                      <w:color w:val="auto"/>
                      <w:szCs w:val="21"/>
                    </w:rPr>
                    <w:t>等。</w:t>
                  </w:r>
                </w:p>
              </w:tc>
              <w:tc>
                <w:tcPr>
                  <w:tcW w:w="392" w:type="pct"/>
                  <w:vAlign w:val="center"/>
                </w:tcPr>
                <w:p w14:paraId="6B5CDB36">
                  <w:pPr>
                    <w:adjustRightInd w:val="0"/>
                    <w:snapToGrid w:val="0"/>
                    <w:spacing w:line="0" w:lineRule="atLeast"/>
                    <w:jc w:val="center"/>
                    <w:rPr>
                      <w:color w:val="auto"/>
                      <w:szCs w:val="21"/>
                    </w:rPr>
                  </w:pPr>
                  <w:r>
                    <w:rPr>
                      <w:rFonts w:hint="eastAsia"/>
                      <w:color w:val="auto"/>
                      <w:szCs w:val="21"/>
                      <w:lang w:val="en-US" w:eastAsia="zh-CN"/>
                    </w:rPr>
                    <w:t>新</w:t>
                  </w:r>
                  <w:r>
                    <w:rPr>
                      <w:rFonts w:hint="eastAsia"/>
                      <w:color w:val="auto"/>
                      <w:szCs w:val="21"/>
                    </w:rPr>
                    <w:t>建</w:t>
                  </w:r>
                </w:p>
              </w:tc>
            </w:tr>
            <w:tr w14:paraId="20CF3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53" w:type="pct"/>
                  <w:vMerge w:val="continue"/>
                  <w:vAlign w:val="center"/>
                </w:tcPr>
                <w:p w14:paraId="683B9AB6">
                  <w:pPr>
                    <w:adjustRightInd w:val="0"/>
                    <w:snapToGrid w:val="0"/>
                    <w:spacing w:line="0" w:lineRule="atLeast"/>
                    <w:jc w:val="center"/>
                    <w:rPr>
                      <w:bCs/>
                      <w:color w:val="auto"/>
                      <w:szCs w:val="21"/>
                    </w:rPr>
                  </w:pPr>
                </w:p>
              </w:tc>
              <w:tc>
                <w:tcPr>
                  <w:tcW w:w="589" w:type="pct"/>
                  <w:gridSpan w:val="2"/>
                  <w:vMerge w:val="continue"/>
                  <w:vAlign w:val="center"/>
                </w:tcPr>
                <w:p w14:paraId="3E583BAE">
                  <w:pPr>
                    <w:pStyle w:val="19"/>
                    <w:adjustRightInd w:val="0"/>
                    <w:snapToGrid w:val="0"/>
                    <w:spacing w:line="0" w:lineRule="atLeast"/>
                    <w:jc w:val="center"/>
                    <w:rPr>
                      <w:color w:val="auto"/>
                      <w:sz w:val="21"/>
                      <w:szCs w:val="21"/>
                    </w:rPr>
                  </w:pPr>
                </w:p>
              </w:tc>
              <w:tc>
                <w:tcPr>
                  <w:tcW w:w="542" w:type="pct"/>
                  <w:vAlign w:val="center"/>
                </w:tcPr>
                <w:p w14:paraId="465665B1">
                  <w:pPr>
                    <w:pStyle w:val="19"/>
                    <w:adjustRightInd w:val="0"/>
                    <w:snapToGrid w:val="0"/>
                    <w:spacing w:line="0" w:lineRule="atLeast"/>
                    <w:jc w:val="center"/>
                    <w:rPr>
                      <w:rFonts w:hint="default" w:eastAsia="宋体"/>
                      <w:color w:val="auto"/>
                      <w:sz w:val="21"/>
                      <w:szCs w:val="21"/>
                      <w:lang w:val="en-US" w:eastAsia="zh-CN"/>
                    </w:rPr>
                  </w:pPr>
                  <w:r>
                    <w:rPr>
                      <w:rFonts w:hint="eastAsia"/>
                      <w:color w:val="auto"/>
                      <w:sz w:val="21"/>
                      <w:szCs w:val="21"/>
                      <w:lang w:val="en-US" w:eastAsia="zh-CN"/>
                    </w:rPr>
                    <w:t>模具存放区</w:t>
                  </w:r>
                </w:p>
              </w:tc>
              <w:tc>
                <w:tcPr>
                  <w:tcW w:w="3222" w:type="pct"/>
                  <w:gridSpan w:val="3"/>
                  <w:vAlign w:val="center"/>
                </w:tcPr>
                <w:p w14:paraId="6F4645D0">
                  <w:pPr>
                    <w:jc w:val="center"/>
                    <w:rPr>
                      <w:color w:val="auto"/>
                      <w:szCs w:val="21"/>
                    </w:rPr>
                  </w:pPr>
                  <w:r>
                    <w:rPr>
                      <w:rFonts w:hint="eastAsia"/>
                      <w:color w:val="auto"/>
                      <w:szCs w:val="21"/>
                      <w:lang w:val="en-US" w:eastAsia="zh-CN"/>
                    </w:rPr>
                    <w:t>模具存放区面积约40m</w:t>
                  </w:r>
                  <w:r>
                    <w:rPr>
                      <w:rFonts w:hint="eastAsia"/>
                      <w:color w:val="auto"/>
                      <w:szCs w:val="21"/>
                      <w:vertAlign w:val="superscript"/>
                      <w:lang w:val="en-US" w:eastAsia="zh-CN"/>
                    </w:rPr>
                    <w:t>2</w:t>
                  </w:r>
                  <w:r>
                    <w:rPr>
                      <w:rFonts w:hint="eastAsia"/>
                      <w:color w:val="auto"/>
                      <w:szCs w:val="21"/>
                      <w:vertAlign w:val="baseline"/>
                      <w:lang w:val="en-US" w:eastAsia="zh-CN"/>
                    </w:rPr>
                    <w:t>，</w:t>
                  </w:r>
                  <w:r>
                    <w:rPr>
                      <w:rFonts w:hint="eastAsia"/>
                      <w:color w:val="auto"/>
                      <w:szCs w:val="21"/>
                    </w:rPr>
                    <w:t>位于</w:t>
                  </w:r>
                  <w:r>
                    <w:rPr>
                      <w:rFonts w:hint="eastAsia"/>
                      <w:color w:val="auto"/>
                      <w:szCs w:val="21"/>
                      <w:lang w:val="en-US" w:eastAsia="zh-CN"/>
                    </w:rPr>
                    <w:t>,</w:t>
                  </w:r>
                  <w:r>
                    <w:rPr>
                      <w:rFonts w:hint="eastAsia"/>
                      <w:color w:val="auto"/>
                      <w:szCs w:val="21"/>
                    </w:rPr>
                    <w:t>生产厂房内</w:t>
                  </w:r>
                  <w:r>
                    <w:rPr>
                      <w:rFonts w:hint="eastAsia"/>
                      <w:color w:val="auto"/>
                      <w:szCs w:val="21"/>
                      <w:lang w:val="en-US" w:eastAsia="zh-CN"/>
                    </w:rPr>
                    <w:t>东南侧</w:t>
                  </w:r>
                  <w:r>
                    <w:rPr>
                      <w:rFonts w:hint="eastAsia"/>
                      <w:color w:val="auto"/>
                      <w:szCs w:val="21"/>
                    </w:rPr>
                    <w:t>，主要</w:t>
                  </w:r>
                  <w:r>
                    <w:rPr>
                      <w:rFonts w:hint="eastAsia"/>
                      <w:color w:val="auto"/>
                      <w:szCs w:val="21"/>
                      <w:lang w:val="en-US" w:eastAsia="zh-CN"/>
                    </w:rPr>
                    <w:t>注塑模具的存放</w:t>
                  </w:r>
                  <w:r>
                    <w:rPr>
                      <w:rFonts w:hint="eastAsia"/>
                      <w:color w:val="auto"/>
                      <w:szCs w:val="21"/>
                    </w:rPr>
                    <w:t>。</w:t>
                  </w:r>
                </w:p>
              </w:tc>
              <w:tc>
                <w:tcPr>
                  <w:tcW w:w="392" w:type="pct"/>
                  <w:vAlign w:val="center"/>
                </w:tcPr>
                <w:p w14:paraId="7C6D978C">
                  <w:pPr>
                    <w:adjustRightInd w:val="0"/>
                    <w:snapToGrid w:val="0"/>
                    <w:spacing w:line="0" w:lineRule="atLeast"/>
                    <w:jc w:val="center"/>
                    <w:rPr>
                      <w:color w:val="auto"/>
                      <w:szCs w:val="21"/>
                    </w:rPr>
                  </w:pPr>
                  <w:r>
                    <w:rPr>
                      <w:rFonts w:hint="eastAsia"/>
                      <w:color w:val="auto"/>
                      <w:szCs w:val="21"/>
                      <w:lang w:val="en-US" w:eastAsia="zh-CN"/>
                    </w:rPr>
                    <w:t>新</w:t>
                  </w:r>
                  <w:r>
                    <w:rPr>
                      <w:rFonts w:hint="eastAsia"/>
                      <w:color w:val="auto"/>
                      <w:szCs w:val="21"/>
                    </w:rPr>
                    <w:t>建</w:t>
                  </w:r>
                </w:p>
              </w:tc>
            </w:tr>
            <w:tr w14:paraId="2F82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253" w:type="pct"/>
                  <w:vMerge w:val="continue"/>
                  <w:vAlign w:val="center"/>
                </w:tcPr>
                <w:p w14:paraId="51649186">
                  <w:pPr>
                    <w:adjustRightInd w:val="0"/>
                    <w:snapToGrid w:val="0"/>
                    <w:spacing w:line="0" w:lineRule="atLeast"/>
                    <w:jc w:val="center"/>
                    <w:rPr>
                      <w:bCs/>
                      <w:color w:val="auto"/>
                      <w:szCs w:val="21"/>
                    </w:rPr>
                  </w:pPr>
                </w:p>
              </w:tc>
              <w:tc>
                <w:tcPr>
                  <w:tcW w:w="589" w:type="pct"/>
                  <w:gridSpan w:val="2"/>
                  <w:vMerge w:val="continue"/>
                  <w:vAlign w:val="center"/>
                </w:tcPr>
                <w:p w14:paraId="61EC86A3">
                  <w:pPr>
                    <w:pStyle w:val="19"/>
                    <w:adjustRightInd w:val="0"/>
                    <w:snapToGrid w:val="0"/>
                    <w:spacing w:line="0" w:lineRule="atLeast"/>
                    <w:jc w:val="center"/>
                    <w:rPr>
                      <w:color w:val="auto"/>
                      <w:sz w:val="21"/>
                      <w:szCs w:val="21"/>
                    </w:rPr>
                  </w:pPr>
                </w:p>
              </w:tc>
              <w:tc>
                <w:tcPr>
                  <w:tcW w:w="542" w:type="pct"/>
                  <w:vAlign w:val="center"/>
                </w:tcPr>
                <w:p w14:paraId="4233E7C8">
                  <w:pPr>
                    <w:pStyle w:val="19"/>
                    <w:adjustRightInd w:val="0"/>
                    <w:snapToGrid w:val="0"/>
                    <w:spacing w:line="0" w:lineRule="atLeast"/>
                    <w:jc w:val="center"/>
                    <w:rPr>
                      <w:rFonts w:hint="eastAsia" w:eastAsia="宋体"/>
                      <w:color w:val="auto"/>
                      <w:sz w:val="21"/>
                      <w:szCs w:val="21"/>
                      <w:lang w:eastAsia="zh-CN"/>
                    </w:rPr>
                  </w:pPr>
                  <w:r>
                    <w:rPr>
                      <w:rFonts w:hint="eastAsia"/>
                      <w:color w:val="auto"/>
                      <w:sz w:val="21"/>
                      <w:szCs w:val="21"/>
                      <w:lang w:val="en-US" w:eastAsia="zh-CN"/>
                    </w:rPr>
                    <w:t>成品暂存区</w:t>
                  </w:r>
                </w:p>
              </w:tc>
              <w:tc>
                <w:tcPr>
                  <w:tcW w:w="3222" w:type="pct"/>
                  <w:gridSpan w:val="3"/>
                  <w:vAlign w:val="center"/>
                </w:tcPr>
                <w:p w14:paraId="0BAC2AB6">
                  <w:pPr>
                    <w:jc w:val="center"/>
                    <w:rPr>
                      <w:color w:val="auto"/>
                      <w:szCs w:val="21"/>
                    </w:rPr>
                  </w:pPr>
                  <w:r>
                    <w:rPr>
                      <w:rFonts w:hint="eastAsia"/>
                      <w:color w:val="auto"/>
                      <w:szCs w:val="21"/>
                      <w:lang w:val="en-US" w:eastAsia="zh-CN"/>
                    </w:rPr>
                    <w:t>成品暂存区设置四处，总</w:t>
                  </w:r>
                  <w:r>
                    <w:rPr>
                      <w:rFonts w:hint="eastAsia"/>
                      <w:color w:val="auto"/>
                      <w:szCs w:val="21"/>
                    </w:rPr>
                    <w:t>面积约</w:t>
                  </w:r>
                  <w:r>
                    <w:rPr>
                      <w:rFonts w:hint="eastAsia"/>
                      <w:color w:val="auto"/>
                      <w:szCs w:val="21"/>
                      <w:lang w:val="en-US" w:eastAsia="zh-CN"/>
                    </w:rPr>
                    <w:t>290</w:t>
                  </w:r>
                  <w:r>
                    <w:rPr>
                      <w:color w:val="auto"/>
                      <w:szCs w:val="21"/>
                    </w:rPr>
                    <w:t>m</w:t>
                  </w:r>
                  <w:r>
                    <w:rPr>
                      <w:color w:val="auto"/>
                      <w:szCs w:val="21"/>
                      <w:vertAlign w:val="superscript"/>
                    </w:rPr>
                    <w:t>2</w:t>
                  </w:r>
                  <w:r>
                    <w:rPr>
                      <w:color w:val="auto"/>
                      <w:szCs w:val="21"/>
                    </w:rPr>
                    <w:t>，</w:t>
                  </w:r>
                  <w:r>
                    <w:rPr>
                      <w:rFonts w:hint="eastAsia"/>
                      <w:color w:val="auto"/>
                      <w:szCs w:val="21"/>
                      <w:lang w:val="en-US" w:eastAsia="zh-CN"/>
                    </w:rPr>
                    <w:t>分别位于东侧中部两处和西侧中部两处</w:t>
                  </w:r>
                  <w:r>
                    <w:rPr>
                      <w:rFonts w:hint="eastAsia"/>
                      <w:color w:val="auto"/>
                      <w:szCs w:val="21"/>
                    </w:rPr>
                    <w:t>，主要用于</w:t>
                  </w:r>
                  <w:r>
                    <w:rPr>
                      <w:rFonts w:hint="eastAsia"/>
                      <w:color w:val="auto"/>
                      <w:szCs w:val="21"/>
                      <w:lang w:val="en-US" w:eastAsia="zh-CN"/>
                    </w:rPr>
                    <w:t>对脱模后的成品进行修整。采用人工修整</w:t>
                  </w:r>
                  <w:r>
                    <w:rPr>
                      <w:rFonts w:hint="eastAsia"/>
                      <w:color w:val="auto"/>
                      <w:szCs w:val="21"/>
                    </w:rPr>
                    <w:t>。</w:t>
                  </w:r>
                </w:p>
              </w:tc>
              <w:tc>
                <w:tcPr>
                  <w:tcW w:w="392" w:type="pct"/>
                  <w:shd w:val="clear" w:color="auto" w:fill="auto"/>
                  <w:vAlign w:val="center"/>
                </w:tcPr>
                <w:p w14:paraId="0EE09502">
                  <w:pPr>
                    <w:adjustRightInd w:val="0"/>
                    <w:snapToGrid w:val="0"/>
                    <w:spacing w:line="0" w:lineRule="atLeast"/>
                    <w:jc w:val="center"/>
                    <w:rPr>
                      <w:color w:val="auto"/>
                      <w:szCs w:val="21"/>
                    </w:rPr>
                  </w:pPr>
                  <w:r>
                    <w:rPr>
                      <w:rFonts w:hint="eastAsia"/>
                      <w:color w:val="auto"/>
                      <w:szCs w:val="21"/>
                      <w:lang w:val="en-US" w:eastAsia="zh-CN"/>
                    </w:rPr>
                    <w:t>新</w:t>
                  </w:r>
                  <w:r>
                    <w:rPr>
                      <w:rFonts w:hint="eastAsia"/>
                      <w:color w:val="auto"/>
                      <w:szCs w:val="21"/>
                    </w:rPr>
                    <w:t>建</w:t>
                  </w:r>
                </w:p>
              </w:tc>
            </w:tr>
            <w:tr w14:paraId="43884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53" w:type="pct"/>
                  <w:vMerge w:val="restart"/>
                  <w:vAlign w:val="center"/>
                </w:tcPr>
                <w:p w14:paraId="1A79C60B">
                  <w:pPr>
                    <w:adjustRightInd w:val="0"/>
                    <w:snapToGrid w:val="0"/>
                    <w:spacing w:line="0" w:lineRule="atLeast"/>
                    <w:jc w:val="center"/>
                    <w:rPr>
                      <w:bCs/>
                      <w:color w:val="auto"/>
                      <w:szCs w:val="21"/>
                    </w:rPr>
                  </w:pPr>
                  <w:r>
                    <w:rPr>
                      <w:rFonts w:hint="eastAsia"/>
                      <w:color w:val="auto"/>
                      <w:szCs w:val="21"/>
                    </w:rPr>
                    <w:t>储运工程</w:t>
                  </w:r>
                </w:p>
              </w:tc>
              <w:tc>
                <w:tcPr>
                  <w:tcW w:w="1132" w:type="pct"/>
                  <w:gridSpan w:val="3"/>
                  <w:vAlign w:val="center"/>
                </w:tcPr>
                <w:p w14:paraId="2F028144">
                  <w:pPr>
                    <w:widowControl/>
                    <w:adjustRightInd w:val="0"/>
                    <w:snapToGrid w:val="0"/>
                    <w:jc w:val="center"/>
                    <w:rPr>
                      <w:rFonts w:hint="default" w:eastAsia="宋体"/>
                      <w:color w:val="auto"/>
                      <w:kern w:val="0"/>
                      <w:szCs w:val="21"/>
                      <w:lang w:val="en-US" w:eastAsia="zh-CN"/>
                    </w:rPr>
                  </w:pPr>
                  <w:r>
                    <w:rPr>
                      <w:rFonts w:hint="eastAsia"/>
                      <w:color w:val="auto"/>
                      <w:kern w:val="0"/>
                      <w:szCs w:val="21"/>
                      <w:lang w:val="en-US" w:eastAsia="zh-CN"/>
                    </w:rPr>
                    <w:t>原料存放区</w:t>
                  </w:r>
                </w:p>
              </w:tc>
              <w:tc>
                <w:tcPr>
                  <w:tcW w:w="3222" w:type="pct"/>
                  <w:gridSpan w:val="3"/>
                  <w:vAlign w:val="center"/>
                </w:tcPr>
                <w:p w14:paraId="69EA6F25">
                  <w:pPr>
                    <w:jc w:val="center"/>
                    <w:rPr>
                      <w:color w:val="auto"/>
                      <w:szCs w:val="21"/>
                    </w:rPr>
                  </w:pPr>
                  <w:r>
                    <w:rPr>
                      <w:rFonts w:hint="eastAsia"/>
                      <w:color w:val="auto"/>
                      <w:szCs w:val="21"/>
                      <w:lang w:val="en-US" w:eastAsia="zh-CN"/>
                    </w:rPr>
                    <w:t>原料存放区面积约130m</w:t>
                  </w:r>
                  <w:r>
                    <w:rPr>
                      <w:rFonts w:hint="eastAsia"/>
                      <w:color w:val="auto"/>
                      <w:szCs w:val="21"/>
                      <w:vertAlign w:val="superscript"/>
                      <w:lang w:val="en-US" w:eastAsia="zh-CN"/>
                    </w:rPr>
                    <w:t>2</w:t>
                  </w:r>
                  <w:r>
                    <w:rPr>
                      <w:rFonts w:hint="eastAsia"/>
                      <w:color w:val="auto"/>
                      <w:szCs w:val="21"/>
                      <w:lang w:val="en-US" w:eastAsia="zh-CN"/>
                    </w:rPr>
                    <w:t>，位于东北侧</w:t>
                  </w:r>
                  <w:r>
                    <w:rPr>
                      <w:rFonts w:hint="eastAsia"/>
                      <w:color w:val="auto"/>
                      <w:szCs w:val="21"/>
                    </w:rPr>
                    <w:t>，主要用于</w:t>
                  </w:r>
                  <w:r>
                    <w:rPr>
                      <w:rFonts w:hint="eastAsia"/>
                      <w:color w:val="auto"/>
                      <w:szCs w:val="21"/>
                      <w:lang w:val="en-US" w:eastAsia="zh-CN"/>
                    </w:rPr>
                    <w:t>原料的堆存</w:t>
                  </w:r>
                  <w:r>
                    <w:rPr>
                      <w:rFonts w:hint="eastAsia"/>
                      <w:color w:val="auto"/>
                      <w:szCs w:val="21"/>
                    </w:rPr>
                    <w:t>。</w:t>
                  </w:r>
                </w:p>
              </w:tc>
              <w:tc>
                <w:tcPr>
                  <w:tcW w:w="392" w:type="pct"/>
                  <w:vAlign w:val="center"/>
                </w:tcPr>
                <w:p w14:paraId="368208DC">
                  <w:pPr>
                    <w:adjustRightInd w:val="0"/>
                    <w:snapToGrid w:val="0"/>
                    <w:spacing w:line="0" w:lineRule="atLeast"/>
                    <w:jc w:val="center"/>
                    <w:rPr>
                      <w:color w:val="auto"/>
                      <w:szCs w:val="21"/>
                    </w:rPr>
                  </w:pPr>
                  <w:r>
                    <w:rPr>
                      <w:rFonts w:hint="eastAsia"/>
                      <w:color w:val="auto"/>
                      <w:szCs w:val="21"/>
                      <w:lang w:val="en-US" w:eastAsia="zh-CN"/>
                    </w:rPr>
                    <w:t>新</w:t>
                  </w:r>
                  <w:r>
                    <w:rPr>
                      <w:rFonts w:hint="eastAsia"/>
                      <w:color w:val="auto"/>
                      <w:szCs w:val="21"/>
                    </w:rPr>
                    <w:t>建</w:t>
                  </w:r>
                </w:p>
              </w:tc>
            </w:tr>
            <w:tr w14:paraId="29F5D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253" w:type="pct"/>
                  <w:vMerge w:val="continue"/>
                  <w:vAlign w:val="center"/>
                </w:tcPr>
                <w:p w14:paraId="2A9EE345">
                  <w:pPr>
                    <w:adjustRightInd w:val="0"/>
                    <w:snapToGrid w:val="0"/>
                    <w:spacing w:line="0" w:lineRule="atLeast"/>
                    <w:jc w:val="center"/>
                    <w:rPr>
                      <w:color w:val="auto"/>
                    </w:rPr>
                  </w:pPr>
                </w:p>
              </w:tc>
              <w:tc>
                <w:tcPr>
                  <w:tcW w:w="1132" w:type="pct"/>
                  <w:gridSpan w:val="3"/>
                  <w:vAlign w:val="center"/>
                </w:tcPr>
                <w:p w14:paraId="04E61806">
                  <w:pPr>
                    <w:adjustRightInd w:val="0"/>
                    <w:snapToGrid w:val="0"/>
                    <w:spacing w:line="0" w:lineRule="atLeast"/>
                    <w:jc w:val="center"/>
                    <w:rPr>
                      <w:rFonts w:hint="eastAsia" w:eastAsia="宋体"/>
                      <w:color w:val="auto"/>
                      <w:kern w:val="0"/>
                      <w:szCs w:val="21"/>
                      <w:lang w:eastAsia="zh-CN"/>
                    </w:rPr>
                  </w:pPr>
                  <w:r>
                    <w:rPr>
                      <w:rFonts w:hint="eastAsia"/>
                      <w:color w:val="auto"/>
                      <w:kern w:val="0"/>
                      <w:szCs w:val="21"/>
                      <w:lang w:val="en-US" w:eastAsia="zh-CN"/>
                    </w:rPr>
                    <w:t>成品仓库</w:t>
                  </w:r>
                </w:p>
              </w:tc>
              <w:tc>
                <w:tcPr>
                  <w:tcW w:w="3222" w:type="pct"/>
                  <w:gridSpan w:val="3"/>
                  <w:vAlign w:val="center"/>
                </w:tcPr>
                <w:p w14:paraId="5C377214">
                  <w:pPr>
                    <w:jc w:val="center"/>
                    <w:rPr>
                      <w:color w:val="auto"/>
                      <w:szCs w:val="21"/>
                    </w:rPr>
                  </w:pPr>
                  <w:r>
                    <w:rPr>
                      <w:rFonts w:hint="eastAsia"/>
                      <w:color w:val="auto"/>
                      <w:szCs w:val="21"/>
                      <w:lang w:val="en-US" w:eastAsia="zh-CN"/>
                    </w:rPr>
                    <w:t>成品仓库面积约1000m</w:t>
                  </w:r>
                  <w:r>
                    <w:rPr>
                      <w:rFonts w:hint="eastAsia"/>
                      <w:color w:val="auto"/>
                      <w:szCs w:val="21"/>
                      <w:vertAlign w:val="superscript"/>
                      <w:lang w:val="en-US" w:eastAsia="zh-CN"/>
                    </w:rPr>
                    <w:t>2</w:t>
                  </w:r>
                  <w:r>
                    <w:rPr>
                      <w:rFonts w:hint="eastAsia"/>
                      <w:color w:val="auto"/>
                      <w:szCs w:val="21"/>
                      <w:lang w:val="en-US" w:eastAsia="zh-CN"/>
                    </w:rPr>
                    <w:t>，</w:t>
                  </w:r>
                  <w:r>
                    <w:rPr>
                      <w:rFonts w:hint="eastAsia"/>
                      <w:color w:val="auto"/>
                      <w:szCs w:val="21"/>
                    </w:rPr>
                    <w:t>位于</w:t>
                  </w:r>
                  <w:r>
                    <w:rPr>
                      <w:rFonts w:hint="eastAsia"/>
                      <w:color w:val="auto"/>
                      <w:szCs w:val="21"/>
                      <w:lang w:val="en-US" w:eastAsia="zh-CN"/>
                    </w:rPr>
                    <w:t>生产厂房中间</w:t>
                  </w:r>
                  <w:r>
                    <w:rPr>
                      <w:rFonts w:hint="eastAsia"/>
                      <w:color w:val="auto"/>
                      <w:szCs w:val="21"/>
                    </w:rPr>
                    <w:t>，主要用于产品</w:t>
                  </w:r>
                  <w:r>
                    <w:rPr>
                      <w:rFonts w:hint="eastAsia"/>
                      <w:color w:val="auto"/>
                      <w:szCs w:val="21"/>
                      <w:lang w:val="en-US" w:eastAsia="zh-CN"/>
                    </w:rPr>
                    <w:t>堆存</w:t>
                  </w:r>
                  <w:r>
                    <w:rPr>
                      <w:rFonts w:hint="eastAsia"/>
                      <w:color w:val="auto"/>
                      <w:szCs w:val="21"/>
                    </w:rPr>
                    <w:t>。</w:t>
                  </w:r>
                </w:p>
              </w:tc>
              <w:tc>
                <w:tcPr>
                  <w:tcW w:w="392" w:type="pct"/>
                  <w:vAlign w:val="center"/>
                </w:tcPr>
                <w:p w14:paraId="0E03C595">
                  <w:pPr>
                    <w:adjustRightInd w:val="0"/>
                    <w:snapToGrid w:val="0"/>
                    <w:spacing w:line="0" w:lineRule="atLeast"/>
                    <w:jc w:val="center"/>
                    <w:rPr>
                      <w:color w:val="auto"/>
                      <w:kern w:val="0"/>
                      <w:szCs w:val="21"/>
                    </w:rPr>
                  </w:pPr>
                  <w:r>
                    <w:rPr>
                      <w:rFonts w:hint="eastAsia"/>
                      <w:color w:val="auto"/>
                      <w:szCs w:val="21"/>
                      <w:lang w:val="en-US" w:eastAsia="zh-CN"/>
                    </w:rPr>
                    <w:t>新</w:t>
                  </w:r>
                  <w:r>
                    <w:rPr>
                      <w:rFonts w:hint="eastAsia"/>
                      <w:color w:val="auto"/>
                      <w:szCs w:val="21"/>
                    </w:rPr>
                    <w:t>建</w:t>
                  </w:r>
                </w:p>
              </w:tc>
            </w:tr>
            <w:tr w14:paraId="7F0D9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253" w:type="pct"/>
                  <w:vMerge w:val="restart"/>
                  <w:vAlign w:val="center"/>
                </w:tcPr>
                <w:p w14:paraId="04A52CC3">
                  <w:pPr>
                    <w:adjustRightInd w:val="0"/>
                    <w:snapToGrid w:val="0"/>
                    <w:spacing w:line="0" w:lineRule="atLeast"/>
                    <w:jc w:val="center"/>
                    <w:rPr>
                      <w:bCs/>
                      <w:color w:val="auto"/>
                      <w:szCs w:val="21"/>
                    </w:rPr>
                  </w:pPr>
                  <w:r>
                    <w:rPr>
                      <w:bCs/>
                      <w:color w:val="auto"/>
                      <w:szCs w:val="21"/>
                    </w:rPr>
                    <w:t>辅助工程</w:t>
                  </w:r>
                </w:p>
              </w:tc>
              <w:tc>
                <w:tcPr>
                  <w:tcW w:w="1132" w:type="pct"/>
                  <w:gridSpan w:val="3"/>
                  <w:vAlign w:val="center"/>
                </w:tcPr>
                <w:p w14:paraId="57AF1D50">
                  <w:pPr>
                    <w:widowControl/>
                    <w:adjustRightInd w:val="0"/>
                    <w:snapToGrid w:val="0"/>
                    <w:jc w:val="center"/>
                    <w:rPr>
                      <w:rFonts w:hint="default" w:eastAsia="宋体"/>
                      <w:color w:val="auto"/>
                      <w:szCs w:val="21"/>
                      <w:lang w:val="en-US" w:eastAsia="zh-CN"/>
                    </w:rPr>
                  </w:pPr>
                  <w:r>
                    <w:rPr>
                      <w:rFonts w:hint="eastAsia"/>
                      <w:color w:val="auto"/>
                      <w:kern w:val="0"/>
                      <w:szCs w:val="21"/>
                      <w:lang w:val="en-US" w:eastAsia="zh-CN"/>
                    </w:rPr>
                    <w:t>冷却水塔及水箱</w:t>
                  </w:r>
                </w:p>
              </w:tc>
              <w:tc>
                <w:tcPr>
                  <w:tcW w:w="3222" w:type="pct"/>
                  <w:gridSpan w:val="3"/>
                  <w:vAlign w:val="center"/>
                </w:tcPr>
                <w:p w14:paraId="5C66DB03">
                  <w:pPr>
                    <w:widowControl/>
                    <w:adjustRightInd w:val="0"/>
                    <w:snapToGrid w:val="0"/>
                    <w:jc w:val="center"/>
                    <w:rPr>
                      <w:rFonts w:hint="default" w:eastAsia="宋体"/>
                      <w:color w:val="auto"/>
                      <w:szCs w:val="21"/>
                      <w:lang w:val="en-US" w:eastAsia="zh-CN"/>
                    </w:rPr>
                  </w:pPr>
                  <w:r>
                    <w:rPr>
                      <w:rFonts w:hint="eastAsia"/>
                      <w:color w:val="auto"/>
                      <w:szCs w:val="21"/>
                      <w:lang w:val="en-US" w:eastAsia="zh-CN"/>
                    </w:rPr>
                    <w:t>冷却水塔及水箱设置于项目区东北侧，</w:t>
                  </w:r>
                  <w:r>
                    <w:rPr>
                      <w:color w:val="auto"/>
                      <w:szCs w:val="21"/>
                    </w:rPr>
                    <w:t>设</w:t>
                  </w:r>
                  <w:r>
                    <w:rPr>
                      <w:rFonts w:hint="eastAsia"/>
                      <w:color w:val="auto"/>
                      <w:szCs w:val="21"/>
                    </w:rPr>
                    <w:t>1个冷却塔及水池，主要用于产品冷却工序，为间接冷却</w:t>
                  </w:r>
                  <w:r>
                    <w:rPr>
                      <w:color w:val="auto"/>
                      <w:szCs w:val="21"/>
                    </w:rPr>
                    <w:t>。</w:t>
                  </w:r>
                </w:p>
              </w:tc>
              <w:tc>
                <w:tcPr>
                  <w:tcW w:w="392" w:type="pct"/>
                  <w:vAlign w:val="center"/>
                </w:tcPr>
                <w:p w14:paraId="3A09CA8A">
                  <w:pPr>
                    <w:adjustRightInd w:val="0"/>
                    <w:snapToGrid w:val="0"/>
                    <w:spacing w:line="0" w:lineRule="atLeast"/>
                    <w:jc w:val="center"/>
                    <w:rPr>
                      <w:color w:val="auto"/>
                      <w:szCs w:val="21"/>
                    </w:rPr>
                  </w:pPr>
                  <w:r>
                    <w:rPr>
                      <w:rFonts w:hint="eastAsia"/>
                      <w:color w:val="auto"/>
                      <w:szCs w:val="21"/>
                      <w:lang w:val="en-US" w:eastAsia="zh-CN"/>
                    </w:rPr>
                    <w:t>新</w:t>
                  </w:r>
                  <w:r>
                    <w:rPr>
                      <w:rFonts w:hint="eastAsia"/>
                      <w:color w:val="auto"/>
                      <w:szCs w:val="21"/>
                    </w:rPr>
                    <w:t>建</w:t>
                  </w:r>
                </w:p>
              </w:tc>
            </w:tr>
            <w:tr w14:paraId="470E8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253" w:type="pct"/>
                  <w:vMerge w:val="continue"/>
                  <w:vAlign w:val="center"/>
                </w:tcPr>
                <w:p w14:paraId="10A794CF">
                  <w:pPr>
                    <w:adjustRightInd w:val="0"/>
                    <w:snapToGrid w:val="0"/>
                    <w:spacing w:line="0" w:lineRule="atLeast"/>
                    <w:jc w:val="center"/>
                    <w:rPr>
                      <w:color w:val="auto"/>
                    </w:rPr>
                  </w:pPr>
                </w:p>
              </w:tc>
              <w:tc>
                <w:tcPr>
                  <w:tcW w:w="1132" w:type="pct"/>
                  <w:gridSpan w:val="3"/>
                  <w:vAlign w:val="center"/>
                </w:tcPr>
                <w:p w14:paraId="63EE1FAA">
                  <w:pPr>
                    <w:adjustRightInd w:val="0"/>
                    <w:snapToGrid w:val="0"/>
                    <w:spacing w:line="0" w:lineRule="atLeast"/>
                    <w:jc w:val="center"/>
                    <w:rPr>
                      <w:rFonts w:hint="default"/>
                      <w:color w:val="auto"/>
                      <w:kern w:val="0"/>
                      <w:szCs w:val="21"/>
                      <w:lang w:val="en-US" w:eastAsia="zh-CN"/>
                    </w:rPr>
                  </w:pPr>
                  <w:r>
                    <w:rPr>
                      <w:rFonts w:hint="eastAsia"/>
                      <w:color w:val="auto"/>
                      <w:kern w:val="0"/>
                      <w:szCs w:val="21"/>
                      <w:lang w:val="en-US" w:eastAsia="zh-CN"/>
                    </w:rPr>
                    <w:t>空压机房</w:t>
                  </w:r>
                </w:p>
              </w:tc>
              <w:tc>
                <w:tcPr>
                  <w:tcW w:w="3222" w:type="pct"/>
                  <w:gridSpan w:val="3"/>
                  <w:vAlign w:val="center"/>
                </w:tcPr>
                <w:p w14:paraId="2E64487A">
                  <w:pPr>
                    <w:adjustRightInd w:val="0"/>
                    <w:snapToGrid w:val="0"/>
                    <w:spacing w:line="0" w:lineRule="atLeast"/>
                    <w:jc w:val="center"/>
                    <w:rPr>
                      <w:rFonts w:hint="default"/>
                      <w:color w:val="auto"/>
                      <w:kern w:val="0"/>
                      <w:szCs w:val="21"/>
                      <w:lang w:val="en-US" w:eastAsia="zh-CN"/>
                    </w:rPr>
                  </w:pPr>
                  <w:r>
                    <w:rPr>
                      <w:rFonts w:hint="eastAsia"/>
                      <w:color w:val="auto"/>
                      <w:kern w:val="0"/>
                      <w:szCs w:val="21"/>
                      <w:lang w:val="en-US" w:eastAsia="zh-CN"/>
                    </w:rPr>
                    <w:t>空压机房设置于项目西南侧，设1个空压机、1个除湿机、1个储气罐，主要用于为生产注塑过程服务。</w:t>
                  </w:r>
                </w:p>
              </w:tc>
              <w:tc>
                <w:tcPr>
                  <w:tcW w:w="392" w:type="pct"/>
                  <w:vAlign w:val="center"/>
                </w:tcPr>
                <w:p w14:paraId="1EBEA29A">
                  <w:pPr>
                    <w:adjustRightInd w:val="0"/>
                    <w:snapToGrid w:val="0"/>
                    <w:spacing w:line="0" w:lineRule="atLeast"/>
                    <w:jc w:val="center"/>
                    <w:rPr>
                      <w:rFonts w:hint="eastAsia"/>
                      <w:color w:val="auto"/>
                      <w:kern w:val="0"/>
                      <w:szCs w:val="21"/>
                      <w:lang w:val="en-US" w:eastAsia="zh-CN"/>
                    </w:rPr>
                  </w:pPr>
                  <w:r>
                    <w:rPr>
                      <w:rFonts w:hint="eastAsia"/>
                      <w:color w:val="auto"/>
                      <w:szCs w:val="21"/>
                      <w:lang w:val="en-US" w:eastAsia="zh-CN"/>
                    </w:rPr>
                    <w:t>新</w:t>
                  </w:r>
                  <w:r>
                    <w:rPr>
                      <w:rFonts w:hint="eastAsia"/>
                      <w:color w:val="auto"/>
                      <w:szCs w:val="21"/>
                    </w:rPr>
                    <w:t>建</w:t>
                  </w:r>
                </w:p>
              </w:tc>
            </w:tr>
            <w:tr w14:paraId="5B432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253" w:type="pct"/>
                  <w:vMerge w:val="continue"/>
                  <w:vAlign w:val="center"/>
                </w:tcPr>
                <w:p w14:paraId="1EB5594D">
                  <w:pPr>
                    <w:adjustRightInd w:val="0"/>
                    <w:snapToGrid w:val="0"/>
                    <w:spacing w:line="0" w:lineRule="atLeast"/>
                    <w:jc w:val="center"/>
                    <w:rPr>
                      <w:rFonts w:hint="eastAsia"/>
                      <w:color w:val="auto"/>
                      <w:kern w:val="0"/>
                      <w:szCs w:val="21"/>
                      <w:lang w:val="en-US" w:eastAsia="zh-CN"/>
                    </w:rPr>
                  </w:pPr>
                </w:p>
              </w:tc>
              <w:tc>
                <w:tcPr>
                  <w:tcW w:w="566" w:type="pct"/>
                  <w:vMerge w:val="restart"/>
                  <w:vAlign w:val="center"/>
                </w:tcPr>
                <w:p w14:paraId="1D89C773">
                  <w:pPr>
                    <w:widowControl/>
                    <w:adjustRightInd w:val="0"/>
                    <w:snapToGrid w:val="0"/>
                    <w:jc w:val="center"/>
                    <w:rPr>
                      <w:rFonts w:hint="default"/>
                      <w:color w:val="auto"/>
                      <w:kern w:val="0"/>
                      <w:szCs w:val="21"/>
                      <w:lang w:val="en-US" w:eastAsia="zh-CN"/>
                    </w:rPr>
                  </w:pPr>
                  <w:r>
                    <w:rPr>
                      <w:rFonts w:hint="eastAsia"/>
                      <w:color w:val="auto"/>
                      <w:kern w:val="0"/>
                      <w:szCs w:val="21"/>
                      <w:lang w:val="en-US" w:eastAsia="zh-CN"/>
                    </w:rPr>
                    <w:t>办公生活区（面积470m</w:t>
                  </w:r>
                  <w:r>
                    <w:rPr>
                      <w:rFonts w:hint="eastAsia"/>
                      <w:color w:val="auto"/>
                      <w:kern w:val="0"/>
                      <w:szCs w:val="21"/>
                      <w:vertAlign w:val="superscript"/>
                      <w:lang w:val="en-US" w:eastAsia="zh-CN"/>
                    </w:rPr>
                    <w:t>2</w:t>
                  </w:r>
                  <w:r>
                    <w:rPr>
                      <w:rFonts w:hint="eastAsia"/>
                      <w:color w:val="auto"/>
                      <w:kern w:val="0"/>
                      <w:szCs w:val="21"/>
                      <w:vertAlign w:val="baseline"/>
                      <w:lang w:val="en-US" w:eastAsia="zh-CN"/>
                    </w:rPr>
                    <w:t>，两层建筑物</w:t>
                  </w:r>
                  <w:r>
                    <w:rPr>
                      <w:rFonts w:hint="eastAsia"/>
                      <w:color w:val="auto"/>
                      <w:kern w:val="0"/>
                      <w:szCs w:val="21"/>
                      <w:lang w:val="en-US" w:eastAsia="zh-CN"/>
                    </w:rPr>
                    <w:t>）</w:t>
                  </w:r>
                </w:p>
              </w:tc>
              <w:tc>
                <w:tcPr>
                  <w:tcW w:w="566" w:type="pct"/>
                  <w:gridSpan w:val="2"/>
                  <w:vAlign w:val="center"/>
                </w:tcPr>
                <w:p w14:paraId="04D5CB8B">
                  <w:pPr>
                    <w:widowControl/>
                    <w:adjustRightInd w:val="0"/>
                    <w:snapToGrid w:val="0"/>
                    <w:jc w:val="center"/>
                    <w:rPr>
                      <w:rFonts w:hint="eastAsia"/>
                      <w:color w:val="auto"/>
                      <w:kern w:val="0"/>
                      <w:szCs w:val="21"/>
                      <w:lang w:val="en-US" w:eastAsia="zh-CN"/>
                    </w:rPr>
                  </w:pPr>
                  <w:r>
                    <w:rPr>
                      <w:rFonts w:hint="eastAsia"/>
                      <w:color w:val="auto"/>
                      <w:kern w:val="0"/>
                      <w:szCs w:val="21"/>
                      <w:lang w:val="en-US" w:eastAsia="zh-CN"/>
                    </w:rPr>
                    <w:t>办公室</w:t>
                  </w:r>
                </w:p>
              </w:tc>
              <w:tc>
                <w:tcPr>
                  <w:tcW w:w="597" w:type="pct"/>
                  <w:gridSpan w:val="2"/>
                  <w:vMerge w:val="restart"/>
                  <w:vAlign w:val="center"/>
                </w:tcPr>
                <w:p w14:paraId="7813D43A">
                  <w:pPr>
                    <w:widowControl/>
                    <w:adjustRightInd w:val="0"/>
                    <w:snapToGrid w:val="0"/>
                    <w:jc w:val="center"/>
                    <w:rPr>
                      <w:rFonts w:hint="default"/>
                      <w:color w:val="auto"/>
                      <w:kern w:val="0"/>
                      <w:szCs w:val="21"/>
                      <w:lang w:val="en-US" w:eastAsia="zh-CN"/>
                    </w:rPr>
                  </w:pPr>
                  <w:r>
                    <w:rPr>
                      <w:rFonts w:hint="eastAsia"/>
                      <w:color w:val="auto"/>
                      <w:kern w:val="0"/>
                      <w:szCs w:val="21"/>
                      <w:lang w:val="en-US" w:eastAsia="zh-CN"/>
                    </w:rPr>
                    <w:t>办公生活区位于生产厂房东侧</w:t>
                  </w:r>
                </w:p>
              </w:tc>
              <w:tc>
                <w:tcPr>
                  <w:tcW w:w="2625" w:type="pct"/>
                  <w:vAlign w:val="center"/>
                </w:tcPr>
                <w:p w14:paraId="34228BD2">
                  <w:pPr>
                    <w:widowControl/>
                    <w:adjustRightInd w:val="0"/>
                    <w:snapToGrid w:val="0"/>
                    <w:jc w:val="center"/>
                    <w:rPr>
                      <w:rFonts w:hint="eastAsia"/>
                      <w:color w:val="auto"/>
                      <w:szCs w:val="21"/>
                    </w:rPr>
                  </w:pPr>
                  <w:r>
                    <w:rPr>
                      <w:rFonts w:hint="eastAsia"/>
                      <w:color w:val="auto"/>
                      <w:szCs w:val="21"/>
                    </w:rPr>
                    <w:t>项目办公</w:t>
                  </w:r>
                  <w:r>
                    <w:rPr>
                      <w:rFonts w:hint="eastAsia"/>
                      <w:color w:val="auto"/>
                      <w:szCs w:val="21"/>
                      <w:lang w:val="en-US" w:eastAsia="zh-CN"/>
                    </w:rPr>
                    <w:t>室</w:t>
                  </w:r>
                  <w:r>
                    <w:rPr>
                      <w:rFonts w:hint="eastAsia"/>
                      <w:color w:val="auto"/>
                      <w:szCs w:val="21"/>
                    </w:rPr>
                    <w:t>位于</w:t>
                  </w:r>
                  <w:r>
                    <w:rPr>
                      <w:rFonts w:hint="eastAsia"/>
                      <w:color w:val="auto"/>
                      <w:szCs w:val="21"/>
                      <w:lang w:val="en-US" w:eastAsia="zh-CN"/>
                    </w:rPr>
                    <w:t>办公生活区一楼南侧，</w:t>
                  </w:r>
                  <w:r>
                    <w:rPr>
                      <w:rFonts w:hint="eastAsia"/>
                      <w:color w:val="auto"/>
                      <w:kern w:val="0"/>
                      <w:szCs w:val="21"/>
                    </w:rPr>
                    <w:t>用于日常办公</w:t>
                  </w:r>
                  <w:r>
                    <w:rPr>
                      <w:color w:val="auto"/>
                      <w:kern w:val="0"/>
                      <w:szCs w:val="21"/>
                    </w:rPr>
                    <w:t>。</w:t>
                  </w:r>
                </w:p>
              </w:tc>
              <w:tc>
                <w:tcPr>
                  <w:tcW w:w="392" w:type="pct"/>
                  <w:vAlign w:val="center"/>
                </w:tcPr>
                <w:p w14:paraId="3C898590">
                  <w:pPr>
                    <w:adjustRightInd w:val="0"/>
                    <w:snapToGrid w:val="0"/>
                    <w:spacing w:line="0" w:lineRule="atLeast"/>
                    <w:jc w:val="center"/>
                    <w:rPr>
                      <w:rFonts w:hint="eastAsia"/>
                      <w:color w:val="auto"/>
                      <w:kern w:val="0"/>
                      <w:szCs w:val="21"/>
                      <w:lang w:val="en-US" w:eastAsia="zh-CN"/>
                    </w:rPr>
                  </w:pPr>
                  <w:r>
                    <w:rPr>
                      <w:rFonts w:hint="eastAsia"/>
                      <w:color w:val="auto"/>
                      <w:szCs w:val="21"/>
                      <w:lang w:val="en-US" w:eastAsia="zh-CN"/>
                    </w:rPr>
                    <w:t>新</w:t>
                  </w:r>
                  <w:r>
                    <w:rPr>
                      <w:rFonts w:hint="eastAsia"/>
                      <w:color w:val="auto"/>
                      <w:szCs w:val="21"/>
                    </w:rPr>
                    <w:t>建</w:t>
                  </w:r>
                </w:p>
              </w:tc>
            </w:tr>
            <w:tr w14:paraId="0EED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53" w:type="pct"/>
                  <w:vMerge w:val="continue"/>
                  <w:vAlign w:val="center"/>
                </w:tcPr>
                <w:p w14:paraId="6933032D">
                  <w:pPr>
                    <w:adjustRightInd w:val="0"/>
                    <w:snapToGrid w:val="0"/>
                    <w:spacing w:line="0" w:lineRule="atLeast"/>
                    <w:jc w:val="center"/>
                    <w:rPr>
                      <w:color w:val="auto"/>
                    </w:rPr>
                  </w:pPr>
                </w:p>
              </w:tc>
              <w:tc>
                <w:tcPr>
                  <w:tcW w:w="566" w:type="pct"/>
                  <w:vMerge w:val="continue"/>
                  <w:vAlign w:val="center"/>
                </w:tcPr>
                <w:p w14:paraId="4AA4A099">
                  <w:pPr>
                    <w:adjustRightInd w:val="0"/>
                    <w:snapToGrid w:val="0"/>
                    <w:spacing w:line="0" w:lineRule="atLeast"/>
                    <w:jc w:val="center"/>
                    <w:rPr>
                      <w:color w:val="auto"/>
                      <w:kern w:val="0"/>
                      <w:szCs w:val="21"/>
                    </w:rPr>
                  </w:pPr>
                </w:p>
              </w:tc>
              <w:tc>
                <w:tcPr>
                  <w:tcW w:w="566" w:type="pct"/>
                  <w:gridSpan w:val="2"/>
                  <w:vAlign w:val="center"/>
                </w:tcPr>
                <w:p w14:paraId="651B186A">
                  <w:pPr>
                    <w:adjustRightInd w:val="0"/>
                    <w:snapToGrid w:val="0"/>
                    <w:spacing w:line="0" w:lineRule="atLeast"/>
                    <w:jc w:val="center"/>
                    <w:rPr>
                      <w:rFonts w:hint="eastAsia"/>
                      <w:color w:val="auto"/>
                      <w:kern w:val="0"/>
                      <w:szCs w:val="21"/>
                    </w:rPr>
                  </w:pPr>
                  <w:r>
                    <w:rPr>
                      <w:rFonts w:hint="eastAsia"/>
                      <w:color w:val="auto"/>
                      <w:kern w:val="0"/>
                      <w:szCs w:val="21"/>
                    </w:rPr>
                    <w:t>卫生间</w:t>
                  </w:r>
                </w:p>
              </w:tc>
              <w:tc>
                <w:tcPr>
                  <w:tcW w:w="597" w:type="pct"/>
                  <w:gridSpan w:val="2"/>
                  <w:vMerge w:val="continue"/>
                  <w:vAlign w:val="center"/>
                </w:tcPr>
                <w:p w14:paraId="1349F5E6">
                  <w:pPr>
                    <w:adjustRightInd w:val="0"/>
                    <w:snapToGrid w:val="0"/>
                    <w:spacing w:line="0" w:lineRule="atLeast"/>
                    <w:jc w:val="center"/>
                    <w:rPr>
                      <w:color w:val="auto"/>
                      <w:kern w:val="0"/>
                      <w:szCs w:val="21"/>
                    </w:rPr>
                  </w:pPr>
                </w:p>
              </w:tc>
              <w:tc>
                <w:tcPr>
                  <w:tcW w:w="2625" w:type="pct"/>
                  <w:vAlign w:val="center"/>
                </w:tcPr>
                <w:p w14:paraId="0BDD9515">
                  <w:pPr>
                    <w:adjustRightInd w:val="0"/>
                    <w:snapToGrid w:val="0"/>
                    <w:spacing w:line="0" w:lineRule="atLeast"/>
                    <w:jc w:val="center"/>
                    <w:rPr>
                      <w:rFonts w:hint="eastAsia"/>
                      <w:color w:val="auto"/>
                      <w:kern w:val="0"/>
                      <w:szCs w:val="21"/>
                    </w:rPr>
                  </w:pPr>
                  <w:r>
                    <w:rPr>
                      <w:rFonts w:hint="eastAsia"/>
                      <w:color w:val="auto"/>
                      <w:kern w:val="0"/>
                      <w:szCs w:val="21"/>
                    </w:rPr>
                    <w:t>项目卫生间位于</w:t>
                  </w:r>
                  <w:r>
                    <w:rPr>
                      <w:rFonts w:hint="eastAsia"/>
                      <w:color w:val="auto"/>
                      <w:kern w:val="0"/>
                      <w:szCs w:val="21"/>
                      <w:lang w:val="en-US" w:eastAsia="zh-CN"/>
                    </w:rPr>
                    <w:t>办公生活区一楼最北侧</w:t>
                  </w:r>
                  <w:r>
                    <w:rPr>
                      <w:rFonts w:hint="eastAsia"/>
                      <w:color w:val="auto"/>
                      <w:kern w:val="0"/>
                      <w:szCs w:val="21"/>
                    </w:rPr>
                    <w:t>。</w:t>
                  </w:r>
                </w:p>
              </w:tc>
              <w:tc>
                <w:tcPr>
                  <w:tcW w:w="392" w:type="pct"/>
                  <w:vAlign w:val="center"/>
                </w:tcPr>
                <w:p w14:paraId="60588FAA">
                  <w:pPr>
                    <w:adjustRightInd w:val="0"/>
                    <w:snapToGrid w:val="0"/>
                    <w:spacing w:line="0" w:lineRule="atLeast"/>
                    <w:jc w:val="center"/>
                    <w:rPr>
                      <w:color w:val="auto"/>
                      <w:kern w:val="0"/>
                      <w:szCs w:val="21"/>
                    </w:rPr>
                  </w:pPr>
                  <w:r>
                    <w:rPr>
                      <w:rFonts w:hint="eastAsia"/>
                      <w:color w:val="auto"/>
                      <w:szCs w:val="21"/>
                      <w:lang w:val="en-US" w:eastAsia="zh-CN"/>
                    </w:rPr>
                    <w:t>新</w:t>
                  </w:r>
                  <w:r>
                    <w:rPr>
                      <w:rFonts w:hint="eastAsia"/>
                      <w:color w:val="auto"/>
                      <w:szCs w:val="21"/>
                    </w:rPr>
                    <w:t>建</w:t>
                  </w:r>
                </w:p>
              </w:tc>
            </w:tr>
            <w:tr w14:paraId="34FAC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jc w:val="center"/>
              </w:trPr>
              <w:tc>
                <w:tcPr>
                  <w:tcW w:w="253" w:type="pct"/>
                  <w:vMerge w:val="continue"/>
                  <w:vAlign w:val="center"/>
                </w:tcPr>
                <w:p w14:paraId="589347BA">
                  <w:pPr>
                    <w:adjustRightInd w:val="0"/>
                    <w:snapToGrid w:val="0"/>
                    <w:spacing w:line="0" w:lineRule="atLeast"/>
                    <w:jc w:val="center"/>
                    <w:rPr>
                      <w:color w:val="auto"/>
                    </w:rPr>
                  </w:pPr>
                </w:p>
              </w:tc>
              <w:tc>
                <w:tcPr>
                  <w:tcW w:w="566" w:type="pct"/>
                  <w:vMerge w:val="continue"/>
                  <w:vAlign w:val="center"/>
                </w:tcPr>
                <w:p w14:paraId="6D2ED20A">
                  <w:pPr>
                    <w:pStyle w:val="19"/>
                    <w:adjustRightInd w:val="0"/>
                    <w:snapToGrid w:val="0"/>
                    <w:spacing w:line="0" w:lineRule="atLeast"/>
                    <w:jc w:val="center"/>
                    <w:rPr>
                      <w:color w:val="auto"/>
                      <w:kern w:val="0"/>
                      <w:sz w:val="21"/>
                      <w:szCs w:val="21"/>
                    </w:rPr>
                  </w:pPr>
                </w:p>
              </w:tc>
              <w:tc>
                <w:tcPr>
                  <w:tcW w:w="566" w:type="pct"/>
                  <w:gridSpan w:val="2"/>
                  <w:vAlign w:val="center"/>
                </w:tcPr>
                <w:p w14:paraId="33185CE6">
                  <w:pPr>
                    <w:pStyle w:val="19"/>
                    <w:adjustRightInd w:val="0"/>
                    <w:snapToGrid w:val="0"/>
                    <w:spacing w:line="0" w:lineRule="atLeast"/>
                    <w:jc w:val="center"/>
                    <w:rPr>
                      <w:rFonts w:hint="eastAsia"/>
                      <w:color w:val="auto"/>
                      <w:sz w:val="21"/>
                      <w:szCs w:val="21"/>
                    </w:rPr>
                  </w:pPr>
                  <w:r>
                    <w:rPr>
                      <w:rFonts w:hint="eastAsia"/>
                      <w:color w:val="auto"/>
                      <w:sz w:val="21"/>
                      <w:szCs w:val="21"/>
                    </w:rPr>
                    <w:t>食堂</w:t>
                  </w:r>
                </w:p>
              </w:tc>
              <w:tc>
                <w:tcPr>
                  <w:tcW w:w="597" w:type="pct"/>
                  <w:gridSpan w:val="2"/>
                  <w:vMerge w:val="continue"/>
                  <w:vAlign w:val="center"/>
                </w:tcPr>
                <w:p w14:paraId="2B015140">
                  <w:pPr>
                    <w:jc w:val="center"/>
                    <w:rPr>
                      <w:color w:val="auto"/>
                      <w:kern w:val="0"/>
                      <w:szCs w:val="21"/>
                    </w:rPr>
                  </w:pPr>
                </w:p>
              </w:tc>
              <w:tc>
                <w:tcPr>
                  <w:tcW w:w="2625" w:type="pct"/>
                  <w:vAlign w:val="center"/>
                </w:tcPr>
                <w:p w14:paraId="07D9F4C8">
                  <w:pPr>
                    <w:jc w:val="center"/>
                    <w:rPr>
                      <w:color w:val="auto"/>
                      <w:szCs w:val="21"/>
                    </w:rPr>
                  </w:pPr>
                  <w:r>
                    <w:rPr>
                      <w:rFonts w:hint="eastAsia"/>
                      <w:color w:val="auto"/>
                      <w:szCs w:val="21"/>
                      <w:lang w:val="en-US" w:eastAsia="zh-CN"/>
                    </w:rPr>
                    <w:t>项目食堂</w:t>
                  </w:r>
                  <w:r>
                    <w:rPr>
                      <w:color w:val="auto"/>
                      <w:szCs w:val="21"/>
                    </w:rPr>
                    <w:t>位于</w:t>
                  </w:r>
                  <w:r>
                    <w:rPr>
                      <w:rFonts w:hint="eastAsia"/>
                      <w:color w:val="auto"/>
                      <w:szCs w:val="21"/>
                      <w:lang w:val="en-US" w:eastAsia="zh-CN"/>
                    </w:rPr>
                    <w:t>办公室北侧</w:t>
                  </w:r>
                  <w:r>
                    <w:rPr>
                      <w:rFonts w:hint="eastAsia"/>
                      <w:color w:val="auto"/>
                      <w:szCs w:val="21"/>
                    </w:rPr>
                    <w:t>，主要用于为员工提供一日三餐</w:t>
                  </w:r>
                  <w:r>
                    <w:rPr>
                      <w:color w:val="auto"/>
                      <w:szCs w:val="21"/>
                    </w:rPr>
                    <w:t>。</w:t>
                  </w:r>
                </w:p>
              </w:tc>
              <w:tc>
                <w:tcPr>
                  <w:tcW w:w="392" w:type="pct"/>
                  <w:vAlign w:val="center"/>
                </w:tcPr>
                <w:p w14:paraId="20C01D26">
                  <w:pPr>
                    <w:adjustRightInd w:val="0"/>
                    <w:snapToGrid w:val="0"/>
                    <w:spacing w:line="0" w:lineRule="atLeast"/>
                    <w:jc w:val="center"/>
                    <w:rPr>
                      <w:color w:val="auto"/>
                      <w:kern w:val="0"/>
                      <w:szCs w:val="21"/>
                    </w:rPr>
                  </w:pPr>
                  <w:r>
                    <w:rPr>
                      <w:rFonts w:hint="eastAsia"/>
                      <w:color w:val="auto"/>
                      <w:szCs w:val="21"/>
                      <w:lang w:val="en-US" w:eastAsia="zh-CN"/>
                    </w:rPr>
                    <w:t>新</w:t>
                  </w:r>
                  <w:r>
                    <w:rPr>
                      <w:rFonts w:hint="eastAsia"/>
                      <w:color w:val="auto"/>
                      <w:szCs w:val="21"/>
                    </w:rPr>
                    <w:t>建</w:t>
                  </w:r>
                </w:p>
              </w:tc>
            </w:tr>
            <w:tr w14:paraId="49D12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jc w:val="center"/>
              </w:trPr>
              <w:tc>
                <w:tcPr>
                  <w:tcW w:w="253" w:type="pct"/>
                  <w:vMerge w:val="continue"/>
                  <w:vAlign w:val="center"/>
                </w:tcPr>
                <w:p w14:paraId="2FCAFE2D">
                  <w:pPr>
                    <w:adjustRightInd w:val="0"/>
                    <w:snapToGrid w:val="0"/>
                    <w:spacing w:line="0" w:lineRule="atLeast"/>
                    <w:jc w:val="center"/>
                    <w:rPr>
                      <w:color w:val="auto"/>
                    </w:rPr>
                  </w:pPr>
                </w:p>
              </w:tc>
              <w:tc>
                <w:tcPr>
                  <w:tcW w:w="566" w:type="pct"/>
                  <w:vMerge w:val="continue"/>
                  <w:vAlign w:val="center"/>
                </w:tcPr>
                <w:p w14:paraId="74BB1DA8">
                  <w:pPr>
                    <w:adjustRightInd w:val="0"/>
                    <w:snapToGrid w:val="0"/>
                    <w:spacing w:line="0" w:lineRule="atLeast"/>
                    <w:jc w:val="center"/>
                    <w:rPr>
                      <w:color w:val="auto"/>
                      <w:szCs w:val="21"/>
                    </w:rPr>
                  </w:pPr>
                </w:p>
              </w:tc>
              <w:tc>
                <w:tcPr>
                  <w:tcW w:w="566" w:type="pct"/>
                  <w:gridSpan w:val="2"/>
                  <w:vAlign w:val="center"/>
                </w:tcPr>
                <w:p w14:paraId="2E34D72C">
                  <w:pPr>
                    <w:adjustRightInd w:val="0"/>
                    <w:snapToGrid w:val="0"/>
                    <w:spacing w:line="0" w:lineRule="atLeast"/>
                    <w:jc w:val="center"/>
                    <w:rPr>
                      <w:rFonts w:hint="eastAsia"/>
                      <w:color w:val="auto"/>
                      <w:szCs w:val="21"/>
                    </w:rPr>
                  </w:pPr>
                  <w:r>
                    <w:rPr>
                      <w:rFonts w:hint="eastAsia"/>
                      <w:color w:val="auto"/>
                      <w:szCs w:val="21"/>
                    </w:rPr>
                    <w:t>宿舍</w:t>
                  </w:r>
                </w:p>
              </w:tc>
              <w:tc>
                <w:tcPr>
                  <w:tcW w:w="597" w:type="pct"/>
                  <w:gridSpan w:val="2"/>
                  <w:vMerge w:val="continue"/>
                  <w:vAlign w:val="center"/>
                </w:tcPr>
                <w:p w14:paraId="61F61840">
                  <w:pPr>
                    <w:adjustRightInd w:val="0"/>
                    <w:snapToGrid w:val="0"/>
                    <w:spacing w:line="0" w:lineRule="atLeast"/>
                    <w:jc w:val="center"/>
                    <w:rPr>
                      <w:color w:val="auto"/>
                      <w:szCs w:val="21"/>
                    </w:rPr>
                  </w:pPr>
                </w:p>
              </w:tc>
              <w:tc>
                <w:tcPr>
                  <w:tcW w:w="2625" w:type="pct"/>
                  <w:vAlign w:val="center"/>
                </w:tcPr>
                <w:p w14:paraId="48796BE4">
                  <w:pPr>
                    <w:adjustRightInd w:val="0"/>
                    <w:snapToGrid w:val="0"/>
                    <w:spacing w:line="0" w:lineRule="atLeast"/>
                    <w:jc w:val="center"/>
                    <w:rPr>
                      <w:rFonts w:hint="default" w:eastAsia="宋体"/>
                      <w:color w:val="auto"/>
                      <w:szCs w:val="21"/>
                      <w:lang w:val="en-US" w:eastAsia="zh-CN"/>
                    </w:rPr>
                  </w:pPr>
                  <w:r>
                    <w:rPr>
                      <w:rFonts w:hint="eastAsia"/>
                      <w:color w:val="auto"/>
                      <w:szCs w:val="21"/>
                      <w:lang w:val="en-US" w:eastAsia="zh-CN"/>
                    </w:rPr>
                    <w:t>项目宿舍</w:t>
                  </w:r>
                  <w:r>
                    <w:rPr>
                      <w:color w:val="auto"/>
                      <w:szCs w:val="21"/>
                    </w:rPr>
                    <w:t>位于</w:t>
                  </w:r>
                  <w:r>
                    <w:rPr>
                      <w:rFonts w:hint="eastAsia"/>
                      <w:color w:val="auto"/>
                      <w:szCs w:val="21"/>
                      <w:lang w:val="en-US" w:eastAsia="zh-CN"/>
                    </w:rPr>
                    <w:t>办公生活区二楼</w:t>
                  </w:r>
                  <w:r>
                    <w:rPr>
                      <w:rFonts w:hint="eastAsia"/>
                      <w:color w:val="auto"/>
                      <w:szCs w:val="21"/>
                    </w:rPr>
                    <w:t>，</w:t>
                  </w:r>
                  <w:r>
                    <w:rPr>
                      <w:rFonts w:hint="eastAsia"/>
                      <w:color w:val="auto"/>
                      <w:szCs w:val="21"/>
                      <w:lang w:val="en-US" w:eastAsia="zh-CN"/>
                    </w:rPr>
                    <w:t>主要</w:t>
                  </w:r>
                  <w:r>
                    <w:rPr>
                      <w:rFonts w:hint="eastAsia"/>
                      <w:color w:val="auto"/>
                      <w:szCs w:val="21"/>
                    </w:rPr>
                    <w:t>为员工</w:t>
                  </w:r>
                  <w:r>
                    <w:rPr>
                      <w:rFonts w:hint="eastAsia"/>
                      <w:color w:val="auto"/>
                      <w:szCs w:val="21"/>
                      <w:lang w:val="en-US" w:eastAsia="zh-CN"/>
                    </w:rPr>
                    <w:t>提供住宿。</w:t>
                  </w:r>
                </w:p>
              </w:tc>
              <w:tc>
                <w:tcPr>
                  <w:tcW w:w="392" w:type="pct"/>
                  <w:vAlign w:val="center"/>
                </w:tcPr>
                <w:p w14:paraId="00C8288B">
                  <w:pPr>
                    <w:adjustRightInd w:val="0"/>
                    <w:snapToGrid w:val="0"/>
                    <w:spacing w:line="0" w:lineRule="atLeast"/>
                    <w:jc w:val="center"/>
                    <w:rPr>
                      <w:color w:val="auto"/>
                      <w:szCs w:val="21"/>
                    </w:rPr>
                  </w:pPr>
                  <w:r>
                    <w:rPr>
                      <w:rFonts w:hint="eastAsia"/>
                      <w:color w:val="auto"/>
                      <w:szCs w:val="21"/>
                      <w:lang w:val="en-US" w:eastAsia="zh-CN"/>
                    </w:rPr>
                    <w:t>新</w:t>
                  </w:r>
                  <w:r>
                    <w:rPr>
                      <w:rFonts w:hint="eastAsia"/>
                      <w:color w:val="auto"/>
                      <w:szCs w:val="21"/>
                    </w:rPr>
                    <w:t>建</w:t>
                  </w:r>
                </w:p>
              </w:tc>
            </w:tr>
            <w:tr w14:paraId="192C7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Merge w:val="restart"/>
                  <w:vAlign w:val="center"/>
                </w:tcPr>
                <w:p w14:paraId="163B63A0">
                  <w:pPr>
                    <w:adjustRightInd w:val="0"/>
                    <w:snapToGrid w:val="0"/>
                    <w:spacing w:line="0" w:lineRule="atLeast"/>
                    <w:jc w:val="center"/>
                    <w:rPr>
                      <w:bCs/>
                      <w:color w:val="auto"/>
                      <w:szCs w:val="21"/>
                    </w:rPr>
                  </w:pPr>
                  <w:r>
                    <w:rPr>
                      <w:bCs/>
                      <w:color w:val="auto"/>
                      <w:szCs w:val="21"/>
                    </w:rPr>
                    <w:t>公用工程</w:t>
                  </w:r>
                </w:p>
              </w:tc>
              <w:tc>
                <w:tcPr>
                  <w:tcW w:w="1132" w:type="pct"/>
                  <w:gridSpan w:val="3"/>
                  <w:vAlign w:val="center"/>
                </w:tcPr>
                <w:p w14:paraId="695D1873">
                  <w:pPr>
                    <w:adjustRightInd w:val="0"/>
                    <w:snapToGrid w:val="0"/>
                    <w:jc w:val="center"/>
                    <w:rPr>
                      <w:bCs/>
                      <w:color w:val="auto"/>
                      <w:kern w:val="0"/>
                      <w:szCs w:val="21"/>
                    </w:rPr>
                  </w:pPr>
                  <w:r>
                    <w:rPr>
                      <w:color w:val="auto"/>
                      <w:kern w:val="0"/>
                      <w:szCs w:val="21"/>
                    </w:rPr>
                    <w:t>供水</w:t>
                  </w:r>
                </w:p>
              </w:tc>
              <w:tc>
                <w:tcPr>
                  <w:tcW w:w="3222" w:type="pct"/>
                  <w:gridSpan w:val="3"/>
                  <w:vAlign w:val="center"/>
                </w:tcPr>
                <w:p w14:paraId="4010EC22">
                  <w:pPr>
                    <w:adjustRightInd w:val="0"/>
                    <w:snapToGrid w:val="0"/>
                    <w:jc w:val="center"/>
                    <w:rPr>
                      <w:color w:val="auto"/>
                      <w:kern w:val="0"/>
                      <w:szCs w:val="21"/>
                    </w:rPr>
                  </w:pPr>
                  <w:r>
                    <w:rPr>
                      <w:color w:val="auto"/>
                      <w:kern w:val="0"/>
                      <w:szCs w:val="21"/>
                    </w:rPr>
                    <w:t>由</w:t>
                  </w:r>
                  <w:r>
                    <w:rPr>
                      <w:rFonts w:hint="eastAsia"/>
                      <w:color w:val="auto"/>
                      <w:kern w:val="0"/>
                      <w:szCs w:val="21"/>
                      <w:lang w:val="en-US" w:eastAsia="zh-CN"/>
                    </w:rPr>
                    <w:t>产业园区</w:t>
                  </w:r>
                  <w:r>
                    <w:rPr>
                      <w:color w:val="auto"/>
                      <w:kern w:val="0"/>
                      <w:szCs w:val="21"/>
                    </w:rPr>
                    <w:t>供水管网供给。</w:t>
                  </w:r>
                </w:p>
              </w:tc>
              <w:tc>
                <w:tcPr>
                  <w:tcW w:w="392" w:type="pct"/>
                  <w:vAlign w:val="center"/>
                </w:tcPr>
                <w:p w14:paraId="4014F46D">
                  <w:pPr>
                    <w:adjustRightInd w:val="0"/>
                    <w:snapToGrid w:val="0"/>
                    <w:spacing w:line="0" w:lineRule="atLeast"/>
                    <w:jc w:val="center"/>
                    <w:rPr>
                      <w:rFonts w:hint="eastAsia" w:eastAsia="宋体"/>
                      <w:color w:val="auto"/>
                      <w:szCs w:val="21"/>
                      <w:lang w:eastAsia="zh-CN"/>
                    </w:rPr>
                  </w:pPr>
                  <w:r>
                    <w:rPr>
                      <w:rFonts w:hint="eastAsia"/>
                      <w:color w:val="auto"/>
                      <w:kern w:val="0"/>
                      <w:szCs w:val="21"/>
                      <w:lang w:val="en-US" w:eastAsia="zh-CN"/>
                    </w:rPr>
                    <w:t>新建</w:t>
                  </w:r>
                </w:p>
              </w:tc>
            </w:tr>
            <w:tr w14:paraId="52E88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Merge w:val="continue"/>
                  <w:vAlign w:val="center"/>
                </w:tcPr>
                <w:p w14:paraId="22237252">
                  <w:pPr>
                    <w:adjustRightInd w:val="0"/>
                    <w:snapToGrid w:val="0"/>
                    <w:spacing w:line="0" w:lineRule="atLeast"/>
                    <w:jc w:val="center"/>
                    <w:rPr>
                      <w:bCs/>
                      <w:color w:val="auto"/>
                      <w:szCs w:val="21"/>
                    </w:rPr>
                  </w:pPr>
                </w:p>
              </w:tc>
              <w:tc>
                <w:tcPr>
                  <w:tcW w:w="1132" w:type="pct"/>
                  <w:gridSpan w:val="3"/>
                  <w:vAlign w:val="center"/>
                </w:tcPr>
                <w:p w14:paraId="00E03700">
                  <w:pPr>
                    <w:adjustRightInd w:val="0"/>
                    <w:snapToGrid w:val="0"/>
                    <w:jc w:val="center"/>
                    <w:rPr>
                      <w:color w:val="auto"/>
                      <w:kern w:val="0"/>
                      <w:szCs w:val="21"/>
                    </w:rPr>
                  </w:pPr>
                  <w:r>
                    <w:rPr>
                      <w:color w:val="auto"/>
                      <w:kern w:val="0"/>
                      <w:szCs w:val="21"/>
                    </w:rPr>
                    <w:t>排水</w:t>
                  </w:r>
                </w:p>
              </w:tc>
              <w:tc>
                <w:tcPr>
                  <w:tcW w:w="3222" w:type="pct"/>
                  <w:gridSpan w:val="3"/>
                  <w:vAlign w:val="center"/>
                </w:tcPr>
                <w:p w14:paraId="7C34CEB1">
                  <w:pPr>
                    <w:jc w:val="center"/>
                    <w:rPr>
                      <w:color w:val="auto"/>
                      <w:highlight w:val="yellow"/>
                    </w:rPr>
                  </w:pPr>
                  <w:r>
                    <w:rPr>
                      <w:rFonts w:hint="eastAsia"/>
                      <w:color w:val="auto"/>
                      <w:szCs w:val="21"/>
                      <w:lang w:val="en-US" w:eastAsia="zh-CN"/>
                    </w:rPr>
                    <w:t>项目排水采用雨污分流的排水方式，项目区建筑物屋面及地面雨水经厂区雨水沟收集后排入园区雨水市政管网；冷却水经冷却循环水箱冷却后循环使用，不外排；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达到</w:t>
                  </w:r>
                  <w:r>
                    <w:rPr>
                      <w:rFonts w:hint="default" w:ascii="Times New Roman" w:hAnsi="Times New Roman" w:eastAsia="宋体" w:cs="Times New Roman"/>
                      <w:b w:val="0"/>
                      <w:bCs w:val="0"/>
                      <w:color w:val="auto"/>
                      <w:sz w:val="21"/>
                      <w:szCs w:val="21"/>
                      <w:highlight w:val="none"/>
                      <w:lang w:val="en-US" w:eastAsia="zh-CN"/>
                    </w:rPr>
                    <w:t>《城市污水再生利用 城市杂用水水质》（GB/T18920-2020）中的城市绿化、道路清扫、消防、建筑施工标准后，用于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tc>
              <w:tc>
                <w:tcPr>
                  <w:tcW w:w="392" w:type="pct"/>
                  <w:vAlign w:val="center"/>
                </w:tcPr>
                <w:p w14:paraId="61719960">
                  <w:pPr>
                    <w:adjustRightInd w:val="0"/>
                    <w:snapToGrid w:val="0"/>
                    <w:spacing w:line="0" w:lineRule="atLeast"/>
                    <w:jc w:val="center"/>
                    <w:rPr>
                      <w:rFonts w:hint="eastAsia" w:eastAsia="宋体"/>
                      <w:color w:val="auto"/>
                      <w:szCs w:val="21"/>
                      <w:highlight w:val="yellow"/>
                      <w:lang w:eastAsia="zh-CN"/>
                    </w:rPr>
                  </w:pPr>
                  <w:r>
                    <w:rPr>
                      <w:rFonts w:hint="eastAsia"/>
                      <w:color w:val="auto"/>
                      <w:szCs w:val="21"/>
                      <w:highlight w:val="none"/>
                      <w:lang w:eastAsia="zh-CN"/>
                    </w:rPr>
                    <w:t>部分</w:t>
                  </w:r>
                  <w:r>
                    <w:rPr>
                      <w:rFonts w:hint="eastAsia"/>
                      <w:color w:val="auto"/>
                      <w:szCs w:val="21"/>
                      <w:highlight w:val="none"/>
                    </w:rPr>
                    <w:t>新建</w:t>
                  </w:r>
                  <w:r>
                    <w:rPr>
                      <w:rFonts w:hint="eastAsia"/>
                      <w:color w:val="auto"/>
                      <w:szCs w:val="21"/>
                      <w:highlight w:val="none"/>
                      <w:lang w:eastAsia="zh-CN"/>
                    </w:rPr>
                    <w:t>，部分依托</w:t>
                  </w:r>
                </w:p>
              </w:tc>
            </w:tr>
            <w:tr w14:paraId="67EE2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Merge w:val="continue"/>
                  <w:vAlign w:val="center"/>
                </w:tcPr>
                <w:p w14:paraId="39A418FE">
                  <w:pPr>
                    <w:adjustRightInd w:val="0"/>
                    <w:snapToGrid w:val="0"/>
                    <w:spacing w:line="0" w:lineRule="atLeast"/>
                    <w:jc w:val="center"/>
                    <w:rPr>
                      <w:bCs/>
                      <w:color w:val="auto"/>
                      <w:szCs w:val="21"/>
                    </w:rPr>
                  </w:pPr>
                </w:p>
              </w:tc>
              <w:tc>
                <w:tcPr>
                  <w:tcW w:w="1132" w:type="pct"/>
                  <w:gridSpan w:val="3"/>
                  <w:vAlign w:val="center"/>
                </w:tcPr>
                <w:p w14:paraId="4E0CF483">
                  <w:pPr>
                    <w:adjustRightInd w:val="0"/>
                    <w:snapToGrid w:val="0"/>
                    <w:jc w:val="center"/>
                    <w:rPr>
                      <w:bCs/>
                      <w:color w:val="auto"/>
                      <w:kern w:val="0"/>
                      <w:szCs w:val="21"/>
                    </w:rPr>
                  </w:pPr>
                  <w:r>
                    <w:rPr>
                      <w:color w:val="auto"/>
                      <w:kern w:val="0"/>
                      <w:szCs w:val="21"/>
                    </w:rPr>
                    <w:t>供电</w:t>
                  </w:r>
                </w:p>
              </w:tc>
              <w:tc>
                <w:tcPr>
                  <w:tcW w:w="3222" w:type="pct"/>
                  <w:gridSpan w:val="3"/>
                  <w:vAlign w:val="center"/>
                </w:tcPr>
                <w:p w14:paraId="27F4EE55">
                  <w:pPr>
                    <w:adjustRightInd w:val="0"/>
                    <w:snapToGrid w:val="0"/>
                    <w:jc w:val="center"/>
                    <w:rPr>
                      <w:color w:val="auto"/>
                      <w:kern w:val="0"/>
                      <w:szCs w:val="21"/>
                    </w:rPr>
                  </w:pPr>
                  <w:r>
                    <w:rPr>
                      <w:color w:val="auto"/>
                      <w:kern w:val="0"/>
                      <w:szCs w:val="21"/>
                    </w:rPr>
                    <w:t>从</w:t>
                  </w:r>
                  <w:r>
                    <w:rPr>
                      <w:rFonts w:hint="eastAsia"/>
                      <w:color w:val="auto"/>
                      <w:kern w:val="0"/>
                      <w:szCs w:val="21"/>
                      <w:lang w:val="en-US" w:eastAsia="zh-CN"/>
                    </w:rPr>
                    <w:t>产业园区</w:t>
                  </w:r>
                  <w:r>
                    <w:rPr>
                      <w:color w:val="auto"/>
                      <w:kern w:val="0"/>
                      <w:szCs w:val="21"/>
                    </w:rPr>
                    <w:t>已有供电系统接入。</w:t>
                  </w:r>
                </w:p>
              </w:tc>
              <w:tc>
                <w:tcPr>
                  <w:tcW w:w="392" w:type="pct"/>
                  <w:vAlign w:val="center"/>
                </w:tcPr>
                <w:p w14:paraId="142CDCF4">
                  <w:pPr>
                    <w:adjustRightInd w:val="0"/>
                    <w:snapToGrid w:val="0"/>
                    <w:spacing w:line="0" w:lineRule="atLeast"/>
                    <w:jc w:val="center"/>
                    <w:rPr>
                      <w:rFonts w:hint="eastAsia" w:eastAsia="宋体"/>
                      <w:color w:val="auto"/>
                      <w:szCs w:val="21"/>
                      <w:lang w:eastAsia="zh-CN"/>
                    </w:rPr>
                  </w:pPr>
                  <w:r>
                    <w:rPr>
                      <w:rFonts w:hint="eastAsia"/>
                      <w:color w:val="auto"/>
                      <w:kern w:val="0"/>
                      <w:szCs w:val="21"/>
                      <w:lang w:val="en-US" w:eastAsia="zh-CN"/>
                    </w:rPr>
                    <w:t>新建</w:t>
                  </w:r>
                </w:p>
              </w:tc>
            </w:tr>
            <w:tr w14:paraId="14A1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Merge w:val="continue"/>
                  <w:vAlign w:val="center"/>
                </w:tcPr>
                <w:p w14:paraId="4B67CCBA">
                  <w:pPr>
                    <w:adjustRightInd w:val="0"/>
                    <w:snapToGrid w:val="0"/>
                    <w:spacing w:line="0" w:lineRule="atLeast"/>
                    <w:jc w:val="center"/>
                    <w:rPr>
                      <w:bCs/>
                      <w:color w:val="auto"/>
                      <w:szCs w:val="21"/>
                    </w:rPr>
                  </w:pPr>
                </w:p>
              </w:tc>
              <w:tc>
                <w:tcPr>
                  <w:tcW w:w="1132" w:type="pct"/>
                  <w:gridSpan w:val="3"/>
                  <w:vAlign w:val="center"/>
                </w:tcPr>
                <w:p w14:paraId="54FC7C94">
                  <w:pPr>
                    <w:adjustRightInd w:val="0"/>
                    <w:snapToGrid w:val="0"/>
                    <w:jc w:val="center"/>
                    <w:rPr>
                      <w:color w:val="auto"/>
                      <w:kern w:val="0"/>
                      <w:szCs w:val="21"/>
                    </w:rPr>
                  </w:pPr>
                  <w:r>
                    <w:rPr>
                      <w:color w:val="auto"/>
                      <w:kern w:val="0"/>
                      <w:szCs w:val="21"/>
                    </w:rPr>
                    <w:t>供热</w:t>
                  </w:r>
                </w:p>
              </w:tc>
              <w:tc>
                <w:tcPr>
                  <w:tcW w:w="3222" w:type="pct"/>
                  <w:gridSpan w:val="3"/>
                  <w:vAlign w:val="center"/>
                </w:tcPr>
                <w:p w14:paraId="2977B750">
                  <w:pPr>
                    <w:adjustRightInd w:val="0"/>
                    <w:snapToGrid w:val="0"/>
                    <w:jc w:val="center"/>
                    <w:rPr>
                      <w:color w:val="auto"/>
                      <w:kern w:val="0"/>
                      <w:szCs w:val="21"/>
                    </w:rPr>
                  </w:pPr>
                  <w:r>
                    <w:rPr>
                      <w:color w:val="auto"/>
                      <w:szCs w:val="21"/>
                    </w:rPr>
                    <w:t>项目</w:t>
                  </w:r>
                  <w:r>
                    <w:rPr>
                      <w:rFonts w:hint="eastAsia"/>
                      <w:color w:val="auto"/>
                      <w:szCs w:val="21"/>
                    </w:rPr>
                    <w:t>使用电能进行供热。</w:t>
                  </w:r>
                </w:p>
              </w:tc>
              <w:tc>
                <w:tcPr>
                  <w:tcW w:w="392" w:type="pct"/>
                  <w:vAlign w:val="center"/>
                </w:tcPr>
                <w:p w14:paraId="1A16A459">
                  <w:pPr>
                    <w:adjustRightInd w:val="0"/>
                    <w:snapToGrid w:val="0"/>
                    <w:spacing w:line="0" w:lineRule="atLeast"/>
                    <w:jc w:val="center"/>
                    <w:rPr>
                      <w:rFonts w:hint="eastAsia" w:eastAsia="宋体"/>
                      <w:color w:val="auto"/>
                      <w:szCs w:val="21"/>
                      <w:lang w:eastAsia="zh-CN"/>
                    </w:rPr>
                  </w:pPr>
                  <w:r>
                    <w:rPr>
                      <w:rFonts w:hint="eastAsia"/>
                      <w:color w:val="auto"/>
                      <w:kern w:val="0"/>
                      <w:szCs w:val="21"/>
                      <w:lang w:val="en-US" w:eastAsia="zh-CN"/>
                    </w:rPr>
                    <w:t>新建</w:t>
                  </w:r>
                </w:p>
              </w:tc>
            </w:tr>
            <w:tr w14:paraId="49D9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Merge w:val="continue"/>
                  <w:vAlign w:val="center"/>
                </w:tcPr>
                <w:p w14:paraId="76A77611">
                  <w:pPr>
                    <w:adjustRightInd w:val="0"/>
                    <w:snapToGrid w:val="0"/>
                    <w:spacing w:line="0" w:lineRule="atLeast"/>
                    <w:jc w:val="center"/>
                    <w:rPr>
                      <w:bCs/>
                      <w:color w:val="auto"/>
                      <w:szCs w:val="21"/>
                    </w:rPr>
                  </w:pPr>
                </w:p>
              </w:tc>
              <w:tc>
                <w:tcPr>
                  <w:tcW w:w="1132" w:type="pct"/>
                  <w:gridSpan w:val="3"/>
                  <w:vAlign w:val="center"/>
                </w:tcPr>
                <w:p w14:paraId="2F3CC269">
                  <w:pPr>
                    <w:adjustRightInd w:val="0"/>
                    <w:snapToGrid w:val="0"/>
                    <w:jc w:val="center"/>
                    <w:rPr>
                      <w:color w:val="auto"/>
                      <w:kern w:val="0"/>
                      <w:szCs w:val="21"/>
                    </w:rPr>
                  </w:pPr>
                  <w:r>
                    <w:rPr>
                      <w:color w:val="auto"/>
                      <w:kern w:val="0"/>
                      <w:szCs w:val="21"/>
                    </w:rPr>
                    <w:t>消防</w:t>
                  </w:r>
                </w:p>
              </w:tc>
              <w:tc>
                <w:tcPr>
                  <w:tcW w:w="3222" w:type="pct"/>
                  <w:gridSpan w:val="3"/>
                  <w:vAlign w:val="center"/>
                </w:tcPr>
                <w:p w14:paraId="4F51980A">
                  <w:pPr>
                    <w:adjustRightInd w:val="0"/>
                    <w:snapToGrid w:val="0"/>
                    <w:jc w:val="center"/>
                    <w:rPr>
                      <w:color w:val="auto"/>
                      <w:kern w:val="0"/>
                      <w:szCs w:val="21"/>
                    </w:rPr>
                  </w:pPr>
                  <w:r>
                    <w:rPr>
                      <w:color w:val="auto"/>
                      <w:kern w:val="0"/>
                      <w:szCs w:val="21"/>
                    </w:rPr>
                    <w:t>项目建筑均配置灭火器材，消防水源为</w:t>
                  </w:r>
                  <w:r>
                    <w:rPr>
                      <w:rFonts w:hint="eastAsia"/>
                      <w:color w:val="auto"/>
                      <w:kern w:val="0"/>
                      <w:szCs w:val="21"/>
                      <w:lang w:val="en-US" w:eastAsia="zh-CN"/>
                    </w:rPr>
                    <w:t>市政</w:t>
                  </w:r>
                  <w:r>
                    <w:rPr>
                      <w:color w:val="auto"/>
                      <w:kern w:val="0"/>
                      <w:szCs w:val="21"/>
                    </w:rPr>
                    <w:t>管网水，水量水压能满足消防要求。</w:t>
                  </w:r>
                </w:p>
              </w:tc>
              <w:tc>
                <w:tcPr>
                  <w:tcW w:w="392" w:type="pct"/>
                  <w:vAlign w:val="center"/>
                </w:tcPr>
                <w:p w14:paraId="5B67A9C0">
                  <w:pPr>
                    <w:adjustRightInd w:val="0"/>
                    <w:snapToGrid w:val="0"/>
                    <w:spacing w:line="0" w:lineRule="atLeast"/>
                    <w:jc w:val="center"/>
                    <w:rPr>
                      <w:rFonts w:hint="eastAsia" w:eastAsia="宋体"/>
                      <w:color w:val="auto"/>
                      <w:szCs w:val="21"/>
                      <w:lang w:eastAsia="zh-CN"/>
                    </w:rPr>
                  </w:pPr>
                  <w:r>
                    <w:rPr>
                      <w:rFonts w:hint="eastAsia"/>
                      <w:color w:val="auto"/>
                      <w:kern w:val="0"/>
                      <w:szCs w:val="21"/>
                      <w:lang w:val="en-US" w:eastAsia="zh-CN"/>
                    </w:rPr>
                    <w:t>新建</w:t>
                  </w:r>
                </w:p>
              </w:tc>
            </w:tr>
            <w:tr w14:paraId="2E7EE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253" w:type="pct"/>
                  <w:vMerge w:val="restart"/>
                  <w:vAlign w:val="center"/>
                </w:tcPr>
                <w:p w14:paraId="0D63EC0C">
                  <w:pPr>
                    <w:adjustRightInd w:val="0"/>
                    <w:snapToGrid w:val="0"/>
                    <w:spacing w:line="0" w:lineRule="atLeast"/>
                    <w:jc w:val="center"/>
                    <w:rPr>
                      <w:bCs/>
                      <w:color w:val="auto"/>
                      <w:szCs w:val="21"/>
                    </w:rPr>
                  </w:pPr>
                  <w:r>
                    <w:rPr>
                      <w:bCs/>
                      <w:color w:val="auto"/>
                      <w:szCs w:val="21"/>
                    </w:rPr>
                    <w:t>环保工程</w:t>
                  </w:r>
                </w:p>
              </w:tc>
              <w:tc>
                <w:tcPr>
                  <w:tcW w:w="589" w:type="pct"/>
                  <w:gridSpan w:val="2"/>
                  <w:vMerge w:val="restart"/>
                  <w:vAlign w:val="center"/>
                </w:tcPr>
                <w:p w14:paraId="6B34CE64">
                  <w:pPr>
                    <w:adjustRightInd w:val="0"/>
                    <w:snapToGrid w:val="0"/>
                    <w:spacing w:line="0" w:lineRule="atLeast"/>
                    <w:jc w:val="center"/>
                    <w:rPr>
                      <w:color w:val="auto"/>
                      <w:szCs w:val="21"/>
                    </w:rPr>
                  </w:pPr>
                  <w:r>
                    <w:rPr>
                      <w:color w:val="auto"/>
                      <w:szCs w:val="21"/>
                    </w:rPr>
                    <w:t>废气处理设施</w:t>
                  </w:r>
                </w:p>
              </w:tc>
              <w:tc>
                <w:tcPr>
                  <w:tcW w:w="542" w:type="pct"/>
                  <w:tcBorders>
                    <w:bottom w:val="single" w:color="auto" w:sz="4" w:space="0"/>
                  </w:tcBorders>
                  <w:vAlign w:val="center"/>
                </w:tcPr>
                <w:p w14:paraId="2B5201E0">
                  <w:pPr>
                    <w:jc w:val="center"/>
                    <w:rPr>
                      <w:color w:val="auto"/>
                      <w:szCs w:val="21"/>
                    </w:rPr>
                  </w:pPr>
                  <w:r>
                    <w:rPr>
                      <w:rFonts w:hint="eastAsia"/>
                      <w:color w:val="auto"/>
                      <w:szCs w:val="21"/>
                      <w:lang w:val="en-US" w:eastAsia="zh-CN"/>
                    </w:rPr>
                    <w:t>投料</w:t>
                  </w:r>
                  <w:r>
                    <w:rPr>
                      <w:rFonts w:hint="eastAsia"/>
                      <w:color w:val="auto"/>
                      <w:szCs w:val="21"/>
                    </w:rPr>
                    <w:t>废气</w:t>
                  </w:r>
                </w:p>
              </w:tc>
              <w:tc>
                <w:tcPr>
                  <w:tcW w:w="3222" w:type="pct"/>
                  <w:gridSpan w:val="3"/>
                  <w:vAlign w:val="center"/>
                </w:tcPr>
                <w:p w14:paraId="715366A6">
                  <w:pPr>
                    <w:adjustRightInd w:val="0"/>
                    <w:snapToGrid w:val="0"/>
                    <w:spacing w:line="0" w:lineRule="atLeast"/>
                    <w:jc w:val="center"/>
                    <w:rPr>
                      <w:color w:val="auto"/>
                      <w:szCs w:val="21"/>
                    </w:rPr>
                  </w:pPr>
                  <w:r>
                    <w:rPr>
                      <w:rFonts w:hint="eastAsia"/>
                      <w:color w:val="auto"/>
                      <w:szCs w:val="21"/>
                    </w:rPr>
                    <w:t>厂房阻隔、</w:t>
                  </w:r>
                  <w:r>
                    <w:rPr>
                      <w:rFonts w:hint="eastAsia"/>
                      <w:color w:val="auto"/>
                      <w:szCs w:val="21"/>
                      <w:lang w:val="en-US" w:eastAsia="zh-CN"/>
                    </w:rPr>
                    <w:t>自然</w:t>
                  </w:r>
                  <w:r>
                    <w:rPr>
                      <w:rFonts w:hint="eastAsia"/>
                      <w:color w:val="auto"/>
                      <w:szCs w:val="21"/>
                    </w:rPr>
                    <w:t>沉降</w:t>
                  </w:r>
                  <w:r>
                    <w:rPr>
                      <w:rFonts w:hint="eastAsia"/>
                      <w:color w:val="auto"/>
                      <w:szCs w:val="21"/>
                      <w:lang w:eastAsia="zh-CN"/>
                    </w:rPr>
                    <w:t>。</w:t>
                  </w:r>
                </w:p>
              </w:tc>
              <w:tc>
                <w:tcPr>
                  <w:tcW w:w="392" w:type="pct"/>
                  <w:vAlign w:val="center"/>
                </w:tcPr>
                <w:p w14:paraId="45302A99">
                  <w:pPr>
                    <w:adjustRightInd w:val="0"/>
                    <w:snapToGrid w:val="0"/>
                    <w:spacing w:line="0" w:lineRule="atLeast"/>
                    <w:jc w:val="center"/>
                    <w:rPr>
                      <w:color w:val="auto"/>
                      <w:szCs w:val="21"/>
                    </w:rPr>
                  </w:pPr>
                  <w:r>
                    <w:rPr>
                      <w:rFonts w:hint="eastAsia"/>
                      <w:color w:val="auto"/>
                      <w:kern w:val="0"/>
                      <w:szCs w:val="21"/>
                      <w:lang w:val="en-US" w:eastAsia="zh-CN"/>
                    </w:rPr>
                    <w:t>新建</w:t>
                  </w:r>
                </w:p>
              </w:tc>
            </w:tr>
            <w:tr w14:paraId="5B9E3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253" w:type="pct"/>
                  <w:vMerge w:val="continue"/>
                  <w:vAlign w:val="center"/>
                </w:tcPr>
                <w:p w14:paraId="79A1B6D2">
                  <w:pPr>
                    <w:adjustRightInd w:val="0"/>
                    <w:snapToGrid w:val="0"/>
                    <w:spacing w:line="0" w:lineRule="atLeast"/>
                    <w:jc w:val="center"/>
                    <w:rPr>
                      <w:color w:val="auto"/>
                    </w:rPr>
                  </w:pPr>
                </w:p>
              </w:tc>
              <w:tc>
                <w:tcPr>
                  <w:tcW w:w="589" w:type="pct"/>
                  <w:gridSpan w:val="2"/>
                  <w:vMerge w:val="continue"/>
                  <w:vAlign w:val="center"/>
                </w:tcPr>
                <w:p w14:paraId="612F699E">
                  <w:pPr>
                    <w:adjustRightInd w:val="0"/>
                    <w:snapToGrid w:val="0"/>
                    <w:spacing w:line="0" w:lineRule="atLeast"/>
                    <w:jc w:val="center"/>
                    <w:rPr>
                      <w:color w:val="auto"/>
                    </w:rPr>
                  </w:pPr>
                </w:p>
              </w:tc>
              <w:tc>
                <w:tcPr>
                  <w:tcW w:w="542" w:type="pct"/>
                  <w:tcBorders>
                    <w:bottom w:val="single" w:color="auto" w:sz="4" w:space="0"/>
                  </w:tcBorders>
                  <w:vAlign w:val="center"/>
                </w:tcPr>
                <w:p w14:paraId="2202226B">
                  <w:pPr>
                    <w:jc w:val="center"/>
                    <w:rPr>
                      <w:rFonts w:hint="eastAsia"/>
                      <w:color w:val="auto"/>
                      <w:szCs w:val="21"/>
                      <w:lang w:eastAsia="zh-CN"/>
                    </w:rPr>
                  </w:pPr>
                  <w:r>
                    <w:rPr>
                      <w:rFonts w:hint="eastAsia"/>
                      <w:color w:val="auto"/>
                      <w:szCs w:val="21"/>
                      <w:lang w:eastAsia="zh-CN"/>
                    </w:rPr>
                    <w:t>注塑</w:t>
                  </w:r>
                  <w:r>
                    <w:rPr>
                      <w:rFonts w:hint="eastAsia"/>
                      <w:color w:val="auto"/>
                      <w:szCs w:val="21"/>
                    </w:rPr>
                    <w:t>废气</w:t>
                  </w:r>
                </w:p>
              </w:tc>
              <w:tc>
                <w:tcPr>
                  <w:tcW w:w="3222" w:type="pct"/>
                  <w:gridSpan w:val="3"/>
                  <w:vAlign w:val="center"/>
                </w:tcPr>
                <w:p w14:paraId="0C706E74">
                  <w:pPr>
                    <w:adjustRightInd w:val="0"/>
                    <w:snapToGrid w:val="0"/>
                    <w:spacing w:line="0" w:lineRule="atLeast"/>
                    <w:jc w:val="center"/>
                    <w:rPr>
                      <w:rFonts w:hint="eastAsia"/>
                      <w:color w:val="auto"/>
                      <w:szCs w:val="21"/>
                      <w:lang w:eastAsia="zh-CN"/>
                    </w:rPr>
                  </w:pPr>
                  <w:r>
                    <w:rPr>
                      <w:color w:val="auto"/>
                      <w:szCs w:val="21"/>
                    </w:rPr>
                    <w:t>本项目在</w:t>
                  </w:r>
                  <w:r>
                    <w:rPr>
                      <w:rFonts w:hint="eastAsia"/>
                      <w:color w:val="auto"/>
                      <w:szCs w:val="21"/>
                      <w:lang w:eastAsia="zh-CN"/>
                    </w:rPr>
                    <w:t>注塑</w:t>
                  </w:r>
                  <w:r>
                    <w:rPr>
                      <w:rFonts w:hint="eastAsia"/>
                      <w:color w:val="auto"/>
                      <w:szCs w:val="21"/>
                    </w:rPr>
                    <w:t>机</w:t>
                  </w:r>
                  <w:r>
                    <w:rPr>
                      <w:rFonts w:hint="eastAsia"/>
                      <w:color w:val="auto"/>
                      <w:szCs w:val="21"/>
                      <w:lang w:eastAsia="zh-CN"/>
                    </w:rPr>
                    <w:t>上方</w:t>
                  </w:r>
                  <w:r>
                    <w:rPr>
                      <w:color w:val="auto"/>
                      <w:szCs w:val="21"/>
                    </w:rPr>
                    <w:t>分别设置集气罩，共设置</w:t>
                  </w:r>
                  <w:r>
                    <w:rPr>
                      <w:rFonts w:hint="eastAsia"/>
                      <w:color w:val="auto"/>
                      <w:szCs w:val="21"/>
                    </w:rPr>
                    <w:t>“</w:t>
                  </w:r>
                  <w:r>
                    <w:rPr>
                      <w:rFonts w:hint="eastAsia"/>
                      <w:color w:val="auto"/>
                      <w:szCs w:val="21"/>
                      <w:lang w:val="en-US" w:eastAsia="zh-CN"/>
                    </w:rPr>
                    <w:t>20</w:t>
                  </w:r>
                  <w:r>
                    <w:rPr>
                      <w:color w:val="auto"/>
                      <w:szCs w:val="21"/>
                    </w:rPr>
                    <w:t>个集气罩将废气统一收集进入</w:t>
                  </w:r>
                  <w:r>
                    <w:rPr>
                      <w:rFonts w:hint="eastAsia"/>
                      <w:color w:val="auto"/>
                      <w:szCs w:val="21"/>
                    </w:rPr>
                    <w:t>1</w:t>
                  </w:r>
                  <w:r>
                    <w:rPr>
                      <w:color w:val="auto"/>
                      <w:szCs w:val="21"/>
                    </w:rPr>
                    <w:t>套“</w:t>
                  </w:r>
                  <w:r>
                    <w:rPr>
                      <w:rFonts w:hint="eastAsia"/>
                      <w:color w:val="auto"/>
                      <w:kern w:val="0"/>
                      <w:szCs w:val="21"/>
                      <w:lang w:val="zh-CN" w:bidi="ar"/>
                    </w:rPr>
                    <w:t>三级活性炭吸附装置</w:t>
                  </w:r>
                  <w:r>
                    <w:rPr>
                      <w:color w:val="auto"/>
                      <w:szCs w:val="21"/>
                    </w:rPr>
                    <w:t>”处理达标后由1根15m高排气筒（DA00</w:t>
                  </w:r>
                  <w:r>
                    <w:rPr>
                      <w:rFonts w:hint="eastAsia"/>
                      <w:color w:val="auto"/>
                      <w:szCs w:val="21"/>
                      <w:lang w:val="en-US" w:eastAsia="zh-CN"/>
                    </w:rPr>
                    <w:t>1</w:t>
                  </w:r>
                  <w:r>
                    <w:rPr>
                      <w:color w:val="auto"/>
                      <w:szCs w:val="21"/>
                    </w:rPr>
                    <w:t>）排放，配套</w:t>
                  </w:r>
                  <w:r>
                    <w:rPr>
                      <w:bCs/>
                      <w:color w:val="auto"/>
                      <w:szCs w:val="21"/>
                    </w:rPr>
                    <w:t>风量为</w:t>
                  </w:r>
                  <w:r>
                    <w:rPr>
                      <w:rFonts w:hint="eastAsia"/>
                      <w:color w:val="auto"/>
                      <w:kern w:val="0"/>
                      <w:szCs w:val="21"/>
                      <w:highlight w:val="none"/>
                      <w:lang w:val="en-US" w:eastAsia="zh-CN" w:bidi="ar"/>
                    </w:rPr>
                    <w:t>20000</w:t>
                  </w:r>
                  <w:r>
                    <w:rPr>
                      <w:color w:val="auto"/>
                      <w:kern w:val="0"/>
                      <w:szCs w:val="21"/>
                      <w:highlight w:val="none"/>
                      <w:lang w:bidi="ar"/>
                    </w:rPr>
                    <w:t>m</w:t>
                  </w:r>
                  <w:r>
                    <w:rPr>
                      <w:color w:val="auto"/>
                      <w:kern w:val="0"/>
                      <w:szCs w:val="21"/>
                      <w:highlight w:val="none"/>
                      <w:vertAlign w:val="superscript"/>
                      <w:lang w:bidi="ar"/>
                    </w:rPr>
                    <w:t>3</w:t>
                  </w:r>
                  <w:r>
                    <w:rPr>
                      <w:color w:val="auto"/>
                      <w:kern w:val="0"/>
                      <w:szCs w:val="21"/>
                      <w:highlight w:val="none"/>
                      <w:lang w:bidi="ar"/>
                    </w:rPr>
                    <w:t>/h</w:t>
                  </w:r>
                  <w:r>
                    <w:rPr>
                      <w:color w:val="auto"/>
                      <w:szCs w:val="21"/>
                    </w:rPr>
                    <w:t>。废气收集效率为</w:t>
                  </w:r>
                  <w:r>
                    <w:rPr>
                      <w:rFonts w:hint="eastAsia"/>
                      <w:color w:val="auto"/>
                      <w:szCs w:val="21"/>
                    </w:rPr>
                    <w:t>8</w:t>
                  </w:r>
                  <w:r>
                    <w:rPr>
                      <w:color w:val="auto"/>
                      <w:szCs w:val="21"/>
                    </w:rPr>
                    <w:t>0%，</w:t>
                  </w:r>
                  <w:r>
                    <w:rPr>
                      <w:bCs/>
                      <w:color w:val="auto"/>
                      <w:szCs w:val="21"/>
                    </w:rPr>
                    <w:t>去除效率</w:t>
                  </w:r>
                  <w:r>
                    <w:rPr>
                      <w:rFonts w:hint="eastAsia"/>
                      <w:bCs/>
                      <w:color w:val="auto"/>
                      <w:szCs w:val="21"/>
                    </w:rPr>
                    <w:t>80</w:t>
                  </w:r>
                  <w:r>
                    <w:rPr>
                      <w:bCs/>
                      <w:color w:val="auto"/>
                      <w:szCs w:val="21"/>
                    </w:rPr>
                    <w:t>%，排气筒内径</w:t>
                  </w:r>
                  <w:r>
                    <w:rPr>
                      <w:rFonts w:hint="eastAsia"/>
                      <w:bCs/>
                      <w:color w:val="auto"/>
                      <w:szCs w:val="21"/>
                      <w:highlight w:val="none"/>
                    </w:rPr>
                    <w:t>0.</w:t>
                  </w:r>
                  <w:r>
                    <w:rPr>
                      <w:rFonts w:hint="eastAsia"/>
                      <w:bCs/>
                      <w:color w:val="auto"/>
                      <w:szCs w:val="21"/>
                      <w:highlight w:val="none"/>
                      <w:lang w:val="en-US" w:eastAsia="zh-CN"/>
                    </w:rPr>
                    <w:t>6</w:t>
                  </w:r>
                  <w:r>
                    <w:rPr>
                      <w:bCs/>
                      <w:color w:val="auto"/>
                      <w:szCs w:val="21"/>
                      <w:highlight w:val="none"/>
                    </w:rPr>
                    <w:t>m</w:t>
                  </w:r>
                  <w:r>
                    <w:rPr>
                      <w:color w:val="auto"/>
                      <w:szCs w:val="21"/>
                      <w:highlight w:val="none"/>
                    </w:rPr>
                    <w:t>。</w:t>
                  </w:r>
                </w:p>
              </w:tc>
              <w:tc>
                <w:tcPr>
                  <w:tcW w:w="392" w:type="pct"/>
                  <w:vAlign w:val="center"/>
                </w:tcPr>
                <w:p w14:paraId="76A6BEAE">
                  <w:pPr>
                    <w:adjustRightInd w:val="0"/>
                    <w:snapToGrid w:val="0"/>
                    <w:spacing w:line="0" w:lineRule="atLeast"/>
                    <w:jc w:val="center"/>
                    <w:rPr>
                      <w:rFonts w:hint="eastAsia"/>
                      <w:color w:val="auto"/>
                      <w:szCs w:val="21"/>
                      <w:lang w:eastAsia="zh-CN"/>
                    </w:rPr>
                  </w:pPr>
                  <w:r>
                    <w:rPr>
                      <w:rFonts w:hint="eastAsia"/>
                      <w:color w:val="auto"/>
                      <w:kern w:val="0"/>
                      <w:szCs w:val="21"/>
                      <w:lang w:val="en-US" w:eastAsia="zh-CN"/>
                    </w:rPr>
                    <w:t>新建</w:t>
                  </w:r>
                </w:p>
              </w:tc>
            </w:tr>
            <w:tr w14:paraId="428C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Merge w:val="continue"/>
                  <w:vAlign w:val="center"/>
                </w:tcPr>
                <w:p w14:paraId="498DCAA6">
                  <w:pPr>
                    <w:adjustRightInd w:val="0"/>
                    <w:snapToGrid w:val="0"/>
                    <w:spacing w:line="0" w:lineRule="atLeast"/>
                    <w:jc w:val="center"/>
                    <w:rPr>
                      <w:bCs/>
                      <w:color w:val="auto"/>
                      <w:szCs w:val="21"/>
                    </w:rPr>
                  </w:pPr>
                </w:p>
              </w:tc>
              <w:tc>
                <w:tcPr>
                  <w:tcW w:w="589" w:type="pct"/>
                  <w:gridSpan w:val="2"/>
                  <w:vMerge w:val="continue"/>
                  <w:vAlign w:val="center"/>
                </w:tcPr>
                <w:p w14:paraId="360132AE">
                  <w:pPr>
                    <w:adjustRightInd w:val="0"/>
                    <w:snapToGrid w:val="0"/>
                    <w:spacing w:line="0" w:lineRule="atLeast"/>
                    <w:jc w:val="center"/>
                    <w:rPr>
                      <w:color w:val="auto"/>
                      <w:szCs w:val="21"/>
                    </w:rPr>
                  </w:pPr>
                </w:p>
              </w:tc>
              <w:tc>
                <w:tcPr>
                  <w:tcW w:w="542" w:type="pct"/>
                  <w:tcBorders>
                    <w:bottom w:val="single" w:color="auto" w:sz="4" w:space="0"/>
                  </w:tcBorders>
                  <w:vAlign w:val="center"/>
                </w:tcPr>
                <w:p w14:paraId="71DF9B71">
                  <w:pPr>
                    <w:jc w:val="center"/>
                    <w:rPr>
                      <w:color w:val="auto"/>
                      <w:szCs w:val="21"/>
                    </w:rPr>
                  </w:pPr>
                  <w:r>
                    <w:rPr>
                      <w:rFonts w:hint="eastAsia"/>
                      <w:color w:val="auto"/>
                      <w:szCs w:val="21"/>
                      <w:lang w:eastAsia="zh-CN"/>
                    </w:rPr>
                    <w:t>破碎</w:t>
                  </w:r>
                  <w:r>
                    <w:rPr>
                      <w:rFonts w:hint="eastAsia"/>
                      <w:color w:val="auto"/>
                      <w:szCs w:val="21"/>
                    </w:rPr>
                    <w:t>废气</w:t>
                  </w:r>
                </w:p>
                <w:p w14:paraId="06F56545">
                  <w:pPr>
                    <w:jc w:val="center"/>
                    <w:rPr>
                      <w:color w:val="auto"/>
                      <w:szCs w:val="21"/>
                    </w:rPr>
                  </w:pPr>
                </w:p>
              </w:tc>
              <w:tc>
                <w:tcPr>
                  <w:tcW w:w="3222" w:type="pct"/>
                  <w:gridSpan w:val="3"/>
                  <w:vAlign w:val="center"/>
                </w:tcPr>
                <w:p w14:paraId="0B947DD5">
                  <w:pPr>
                    <w:adjustRightInd w:val="0"/>
                    <w:snapToGrid w:val="0"/>
                    <w:spacing w:line="0" w:lineRule="atLeast"/>
                    <w:jc w:val="center"/>
                    <w:rPr>
                      <w:color w:val="auto"/>
                      <w:szCs w:val="21"/>
                    </w:rPr>
                  </w:pPr>
                  <w:r>
                    <w:rPr>
                      <w:color w:val="auto"/>
                      <w:szCs w:val="21"/>
                    </w:rPr>
                    <w:t>本项目在</w:t>
                  </w:r>
                  <w:r>
                    <w:rPr>
                      <w:rFonts w:hint="eastAsia"/>
                      <w:color w:val="auto"/>
                      <w:szCs w:val="21"/>
                      <w:lang w:val="en-US" w:eastAsia="zh-CN"/>
                    </w:rPr>
                    <w:t>破碎</w:t>
                  </w:r>
                  <w:r>
                    <w:rPr>
                      <w:rFonts w:hint="eastAsia"/>
                      <w:color w:val="auto"/>
                      <w:szCs w:val="21"/>
                    </w:rPr>
                    <w:t>机</w:t>
                  </w:r>
                  <w:r>
                    <w:rPr>
                      <w:rFonts w:hint="eastAsia"/>
                      <w:color w:val="auto"/>
                      <w:szCs w:val="21"/>
                      <w:lang w:eastAsia="zh-CN"/>
                    </w:rPr>
                    <w:t>上方</w:t>
                  </w:r>
                  <w:r>
                    <w:rPr>
                      <w:color w:val="auto"/>
                      <w:szCs w:val="21"/>
                    </w:rPr>
                    <w:t>分别设置集气罩，共设置</w:t>
                  </w:r>
                  <w:r>
                    <w:rPr>
                      <w:rFonts w:hint="eastAsia"/>
                      <w:color w:val="auto"/>
                      <w:szCs w:val="21"/>
                    </w:rPr>
                    <w:t>“</w:t>
                  </w:r>
                  <w:r>
                    <w:rPr>
                      <w:rFonts w:hint="eastAsia"/>
                      <w:color w:val="auto"/>
                      <w:szCs w:val="21"/>
                      <w:lang w:val="en-US" w:eastAsia="zh-CN"/>
                    </w:rPr>
                    <w:t>2</w:t>
                  </w:r>
                  <w:r>
                    <w:rPr>
                      <w:color w:val="auto"/>
                      <w:szCs w:val="21"/>
                    </w:rPr>
                    <w:t>个集气罩将废气统一收集进入</w:t>
                  </w:r>
                  <w:r>
                    <w:rPr>
                      <w:rFonts w:hint="eastAsia"/>
                      <w:color w:val="auto"/>
                      <w:szCs w:val="21"/>
                    </w:rPr>
                    <w:t>1</w:t>
                  </w:r>
                  <w:r>
                    <w:rPr>
                      <w:color w:val="auto"/>
                      <w:szCs w:val="21"/>
                    </w:rPr>
                    <w:t>套“</w:t>
                  </w:r>
                  <w:r>
                    <w:rPr>
                      <w:rFonts w:hint="eastAsia"/>
                      <w:color w:val="auto"/>
                      <w:kern w:val="0"/>
                      <w:szCs w:val="21"/>
                      <w:lang w:val="en-US" w:eastAsia="zh-CN" w:bidi="ar"/>
                    </w:rPr>
                    <w:t>布袋除尘器</w:t>
                  </w:r>
                  <w:r>
                    <w:rPr>
                      <w:color w:val="auto"/>
                      <w:szCs w:val="21"/>
                    </w:rPr>
                    <w:t>”处理达标后由1根15m高排气筒（DA00</w:t>
                  </w:r>
                  <w:r>
                    <w:rPr>
                      <w:rFonts w:hint="eastAsia"/>
                      <w:color w:val="auto"/>
                      <w:szCs w:val="21"/>
                      <w:lang w:val="en-US" w:eastAsia="zh-CN"/>
                    </w:rPr>
                    <w:t>2</w:t>
                  </w:r>
                  <w:r>
                    <w:rPr>
                      <w:color w:val="auto"/>
                      <w:szCs w:val="21"/>
                    </w:rPr>
                    <w:t>）排放，配套</w:t>
                  </w:r>
                  <w:r>
                    <w:rPr>
                      <w:bCs/>
                      <w:color w:val="auto"/>
                      <w:szCs w:val="21"/>
                    </w:rPr>
                    <w:t>风量为</w:t>
                  </w:r>
                  <w:r>
                    <w:rPr>
                      <w:rFonts w:hint="eastAsia"/>
                      <w:bCs/>
                      <w:color w:val="auto"/>
                      <w:szCs w:val="21"/>
                      <w:lang w:val="en-US" w:eastAsia="zh-CN"/>
                    </w:rPr>
                    <w:t>1000</w:t>
                  </w:r>
                  <w:r>
                    <w:rPr>
                      <w:color w:val="auto"/>
                      <w:kern w:val="0"/>
                      <w:szCs w:val="21"/>
                      <w:highlight w:val="none"/>
                      <w:lang w:bidi="ar"/>
                    </w:rPr>
                    <w:t>m</w:t>
                  </w:r>
                  <w:r>
                    <w:rPr>
                      <w:color w:val="auto"/>
                      <w:kern w:val="0"/>
                      <w:szCs w:val="21"/>
                      <w:highlight w:val="none"/>
                      <w:vertAlign w:val="superscript"/>
                      <w:lang w:bidi="ar"/>
                    </w:rPr>
                    <w:t>3</w:t>
                  </w:r>
                  <w:r>
                    <w:rPr>
                      <w:color w:val="auto"/>
                      <w:kern w:val="0"/>
                      <w:szCs w:val="21"/>
                      <w:highlight w:val="none"/>
                      <w:lang w:bidi="ar"/>
                    </w:rPr>
                    <w:t>/h</w:t>
                  </w:r>
                  <w:r>
                    <w:rPr>
                      <w:color w:val="auto"/>
                      <w:szCs w:val="21"/>
                      <w:highlight w:val="none"/>
                    </w:rPr>
                    <w:t>。废气收集效率为</w:t>
                  </w:r>
                  <w:r>
                    <w:rPr>
                      <w:rFonts w:hint="eastAsia"/>
                      <w:color w:val="auto"/>
                      <w:szCs w:val="21"/>
                      <w:highlight w:val="none"/>
                    </w:rPr>
                    <w:t>8</w:t>
                  </w:r>
                  <w:r>
                    <w:rPr>
                      <w:color w:val="auto"/>
                      <w:szCs w:val="21"/>
                      <w:highlight w:val="none"/>
                    </w:rPr>
                    <w:t>0%，</w:t>
                  </w:r>
                  <w:r>
                    <w:rPr>
                      <w:bCs/>
                      <w:color w:val="auto"/>
                      <w:szCs w:val="21"/>
                      <w:highlight w:val="none"/>
                    </w:rPr>
                    <w:t>去除效率</w:t>
                  </w:r>
                  <w:r>
                    <w:rPr>
                      <w:rFonts w:hint="eastAsia"/>
                      <w:bCs/>
                      <w:color w:val="auto"/>
                      <w:szCs w:val="21"/>
                      <w:highlight w:val="none"/>
                      <w:lang w:val="en-US" w:eastAsia="zh-CN"/>
                    </w:rPr>
                    <w:t>99</w:t>
                  </w:r>
                  <w:r>
                    <w:rPr>
                      <w:bCs/>
                      <w:color w:val="auto"/>
                      <w:szCs w:val="21"/>
                      <w:highlight w:val="none"/>
                    </w:rPr>
                    <w:t>%，排气筒内径</w:t>
                  </w:r>
                  <w:r>
                    <w:rPr>
                      <w:rFonts w:hint="eastAsia"/>
                      <w:bCs/>
                      <w:color w:val="auto"/>
                      <w:szCs w:val="21"/>
                      <w:highlight w:val="none"/>
                    </w:rPr>
                    <w:t>0.</w:t>
                  </w:r>
                  <w:r>
                    <w:rPr>
                      <w:rFonts w:hint="eastAsia"/>
                      <w:bCs/>
                      <w:color w:val="auto"/>
                      <w:szCs w:val="21"/>
                      <w:highlight w:val="none"/>
                      <w:lang w:val="en-US" w:eastAsia="zh-CN"/>
                    </w:rPr>
                    <w:t>15</w:t>
                  </w:r>
                  <w:r>
                    <w:rPr>
                      <w:bCs/>
                      <w:color w:val="auto"/>
                      <w:szCs w:val="21"/>
                      <w:highlight w:val="none"/>
                    </w:rPr>
                    <w:t>m</w:t>
                  </w:r>
                  <w:r>
                    <w:rPr>
                      <w:color w:val="auto"/>
                      <w:szCs w:val="21"/>
                      <w:highlight w:val="none"/>
                    </w:rPr>
                    <w:t>。</w:t>
                  </w:r>
                </w:p>
              </w:tc>
              <w:tc>
                <w:tcPr>
                  <w:tcW w:w="392" w:type="pct"/>
                  <w:vAlign w:val="center"/>
                </w:tcPr>
                <w:p w14:paraId="6D11369C">
                  <w:pPr>
                    <w:adjustRightInd w:val="0"/>
                    <w:snapToGrid w:val="0"/>
                    <w:spacing w:line="0" w:lineRule="atLeast"/>
                    <w:jc w:val="center"/>
                    <w:rPr>
                      <w:color w:val="auto"/>
                      <w:szCs w:val="21"/>
                    </w:rPr>
                  </w:pPr>
                  <w:r>
                    <w:rPr>
                      <w:rFonts w:hint="eastAsia"/>
                      <w:color w:val="auto"/>
                      <w:kern w:val="0"/>
                      <w:szCs w:val="21"/>
                      <w:lang w:val="en-US" w:eastAsia="zh-CN"/>
                    </w:rPr>
                    <w:t>新建</w:t>
                  </w:r>
                </w:p>
              </w:tc>
            </w:tr>
            <w:tr w14:paraId="6384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Merge w:val="continue"/>
                  <w:vAlign w:val="center"/>
                </w:tcPr>
                <w:p w14:paraId="568C92D2">
                  <w:pPr>
                    <w:adjustRightInd w:val="0"/>
                    <w:snapToGrid w:val="0"/>
                    <w:spacing w:line="0" w:lineRule="atLeast"/>
                    <w:jc w:val="center"/>
                    <w:rPr>
                      <w:bCs/>
                      <w:color w:val="auto"/>
                      <w:szCs w:val="21"/>
                    </w:rPr>
                  </w:pPr>
                </w:p>
              </w:tc>
              <w:tc>
                <w:tcPr>
                  <w:tcW w:w="589" w:type="pct"/>
                  <w:gridSpan w:val="2"/>
                  <w:vMerge w:val="continue"/>
                  <w:vAlign w:val="center"/>
                </w:tcPr>
                <w:p w14:paraId="52322882">
                  <w:pPr>
                    <w:adjustRightInd w:val="0"/>
                    <w:snapToGrid w:val="0"/>
                    <w:spacing w:line="0" w:lineRule="atLeast"/>
                    <w:jc w:val="center"/>
                    <w:rPr>
                      <w:color w:val="auto"/>
                      <w:szCs w:val="21"/>
                    </w:rPr>
                  </w:pPr>
                </w:p>
              </w:tc>
              <w:tc>
                <w:tcPr>
                  <w:tcW w:w="542" w:type="pct"/>
                  <w:tcBorders>
                    <w:bottom w:val="single" w:color="auto" w:sz="4" w:space="0"/>
                  </w:tcBorders>
                  <w:vAlign w:val="center"/>
                </w:tcPr>
                <w:p w14:paraId="54298808">
                  <w:pPr>
                    <w:shd w:val="clear"/>
                    <w:adjustRightInd w:val="0"/>
                    <w:snapToGrid w:val="0"/>
                    <w:jc w:val="center"/>
                    <w:rPr>
                      <w:color w:val="auto"/>
                      <w:szCs w:val="21"/>
                    </w:rPr>
                  </w:pPr>
                  <w:r>
                    <w:rPr>
                      <w:rFonts w:hint="default" w:ascii="Times New Roman" w:hAnsi="Times New Roman" w:eastAsia="宋体" w:cs="Times New Roman"/>
                      <w:color w:val="auto"/>
                      <w:sz w:val="21"/>
                      <w:szCs w:val="21"/>
                      <w:highlight w:val="none"/>
                      <w:lang w:val="en-US" w:eastAsia="zh-CN"/>
                    </w:rPr>
                    <w:t>生产车间</w:t>
                  </w:r>
                  <w:r>
                    <w:rPr>
                      <w:rFonts w:hint="eastAsia" w:ascii="Times New Roman" w:hAnsi="Times New Roman" w:eastAsia="宋体" w:cs="Times New Roman"/>
                      <w:color w:val="auto"/>
                      <w:sz w:val="21"/>
                      <w:szCs w:val="21"/>
                      <w:highlight w:val="none"/>
                      <w:lang w:val="en-US" w:eastAsia="zh-CN"/>
                    </w:rPr>
                    <w:t>注塑</w:t>
                  </w:r>
                  <w:r>
                    <w:rPr>
                      <w:rFonts w:hint="default" w:ascii="Times New Roman" w:hAnsi="Times New Roman" w:eastAsia="宋体" w:cs="Times New Roman"/>
                      <w:color w:val="auto"/>
                      <w:sz w:val="21"/>
                      <w:szCs w:val="21"/>
                      <w:highlight w:val="none"/>
                      <w:lang w:val="en-US" w:eastAsia="zh-CN"/>
                    </w:rPr>
                    <w:t>过程未收集无组织废气</w:t>
                  </w:r>
                  <w:r>
                    <w:rPr>
                      <w:rFonts w:hint="eastAsia" w:ascii="Times New Roman" w:hAnsi="Times New Roman" w:eastAsia="宋体" w:cs="Times New Roman"/>
                      <w:color w:val="auto"/>
                      <w:sz w:val="21"/>
                      <w:szCs w:val="21"/>
                      <w:highlight w:val="none"/>
                      <w:lang w:val="en-US" w:eastAsia="zh-CN"/>
                    </w:rPr>
                    <w:t>及破碎工段无组织废气</w:t>
                  </w:r>
                </w:p>
              </w:tc>
              <w:tc>
                <w:tcPr>
                  <w:tcW w:w="3222" w:type="pct"/>
                  <w:gridSpan w:val="3"/>
                  <w:tcBorders>
                    <w:bottom w:val="single" w:color="auto" w:sz="4" w:space="0"/>
                  </w:tcBorders>
                  <w:vAlign w:val="center"/>
                </w:tcPr>
                <w:p w14:paraId="134375A8">
                  <w:pPr>
                    <w:adjustRightInd w:val="0"/>
                    <w:snapToGrid w:val="0"/>
                    <w:spacing w:line="0" w:lineRule="atLeast"/>
                    <w:jc w:val="center"/>
                    <w:rPr>
                      <w:color w:val="auto"/>
                      <w:szCs w:val="21"/>
                    </w:rPr>
                  </w:pPr>
                  <w:r>
                    <w:rPr>
                      <w:rFonts w:hint="eastAsia"/>
                      <w:color w:val="auto"/>
                      <w:szCs w:val="21"/>
                      <w:lang w:eastAsia="zh-CN"/>
                    </w:rPr>
                    <w:t>加强通风及管理</w:t>
                  </w:r>
                </w:p>
              </w:tc>
              <w:tc>
                <w:tcPr>
                  <w:tcW w:w="392" w:type="pct"/>
                  <w:vAlign w:val="center"/>
                </w:tcPr>
                <w:p w14:paraId="2EC24629">
                  <w:pPr>
                    <w:adjustRightInd w:val="0"/>
                    <w:snapToGrid w:val="0"/>
                    <w:spacing w:line="0" w:lineRule="atLeast"/>
                    <w:jc w:val="center"/>
                    <w:rPr>
                      <w:color w:val="auto"/>
                      <w:szCs w:val="21"/>
                    </w:rPr>
                  </w:pPr>
                  <w:r>
                    <w:rPr>
                      <w:rFonts w:hint="eastAsia"/>
                      <w:color w:val="auto"/>
                      <w:kern w:val="0"/>
                      <w:szCs w:val="21"/>
                      <w:lang w:val="en-US" w:eastAsia="zh-CN"/>
                    </w:rPr>
                    <w:t>新建</w:t>
                  </w:r>
                </w:p>
              </w:tc>
            </w:tr>
            <w:tr w14:paraId="722D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Merge w:val="continue"/>
                  <w:vAlign w:val="center"/>
                </w:tcPr>
                <w:p w14:paraId="5140B10D">
                  <w:pPr>
                    <w:adjustRightInd w:val="0"/>
                    <w:snapToGrid w:val="0"/>
                    <w:spacing w:line="0" w:lineRule="atLeast"/>
                    <w:jc w:val="center"/>
                    <w:rPr>
                      <w:bCs/>
                      <w:color w:val="auto"/>
                      <w:szCs w:val="21"/>
                    </w:rPr>
                  </w:pPr>
                </w:p>
              </w:tc>
              <w:tc>
                <w:tcPr>
                  <w:tcW w:w="589" w:type="pct"/>
                  <w:gridSpan w:val="2"/>
                  <w:vMerge w:val="continue"/>
                  <w:vAlign w:val="center"/>
                </w:tcPr>
                <w:p w14:paraId="230AE90F">
                  <w:pPr>
                    <w:adjustRightInd w:val="0"/>
                    <w:snapToGrid w:val="0"/>
                    <w:spacing w:line="0" w:lineRule="atLeast"/>
                    <w:jc w:val="center"/>
                    <w:rPr>
                      <w:color w:val="auto"/>
                      <w:szCs w:val="21"/>
                    </w:rPr>
                  </w:pPr>
                </w:p>
              </w:tc>
              <w:tc>
                <w:tcPr>
                  <w:tcW w:w="542" w:type="pct"/>
                  <w:tcBorders>
                    <w:bottom w:val="single" w:color="auto" w:sz="4" w:space="0"/>
                  </w:tcBorders>
                  <w:vAlign w:val="center"/>
                </w:tcPr>
                <w:p w14:paraId="1968A540">
                  <w:pPr>
                    <w:pStyle w:val="28"/>
                    <w:shd w:val="clear"/>
                    <w:spacing w:after="0"/>
                    <w:ind w:firstLine="0" w:firstLineChars="0"/>
                    <w:jc w:val="center"/>
                    <w:rPr>
                      <w:color w:val="auto"/>
                      <w:szCs w:val="21"/>
                    </w:rPr>
                  </w:pPr>
                  <w:r>
                    <w:rPr>
                      <w:rFonts w:hint="default" w:ascii="Times New Roman" w:hAnsi="Times New Roman" w:eastAsia="宋体" w:cs="Times New Roman"/>
                      <w:color w:val="auto"/>
                      <w:sz w:val="21"/>
                      <w:szCs w:val="21"/>
                      <w:highlight w:val="none"/>
                      <w:lang w:val="en-US" w:eastAsia="zh-CN"/>
                    </w:rPr>
                    <w:t>生产过程、</w:t>
                  </w:r>
                  <w:r>
                    <w:rPr>
                      <w:rFonts w:hint="eastAsia" w:cs="Times New Roman"/>
                      <w:color w:val="auto"/>
                      <w:sz w:val="21"/>
                      <w:szCs w:val="21"/>
                      <w:highlight w:val="none"/>
                      <w:lang w:val="en-US" w:eastAsia="zh-CN"/>
                    </w:rPr>
                    <w:t>卫生间、</w:t>
                  </w:r>
                  <w:r>
                    <w:rPr>
                      <w:rFonts w:hint="default" w:ascii="Times New Roman" w:hAnsi="Times New Roman" w:eastAsia="宋体" w:cs="Times New Roman"/>
                      <w:color w:val="auto"/>
                      <w:sz w:val="21"/>
                      <w:szCs w:val="21"/>
                      <w:highlight w:val="none"/>
                      <w:lang w:val="en-US" w:eastAsia="zh-CN"/>
                    </w:rPr>
                    <w:t>化粪池</w:t>
                  </w:r>
                </w:p>
              </w:tc>
              <w:tc>
                <w:tcPr>
                  <w:tcW w:w="3222" w:type="pct"/>
                  <w:gridSpan w:val="3"/>
                  <w:tcBorders>
                    <w:bottom w:val="single" w:color="auto" w:sz="4" w:space="0"/>
                  </w:tcBorders>
                  <w:vAlign w:val="center"/>
                </w:tcPr>
                <w:p w14:paraId="29D7CB24">
                  <w:pPr>
                    <w:adjustRightInd w:val="0"/>
                    <w:snapToGrid w:val="0"/>
                    <w:spacing w:line="0" w:lineRule="atLeast"/>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highlight w:val="none"/>
                      <w:lang w:val="en-US" w:eastAsia="zh-CN"/>
                    </w:rPr>
                    <w:t>项目生活垃圾日产日清</w:t>
                  </w: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卫生间为水冲厕，设置专人打扫；化粪池为全封闭加盖设计</w:t>
                  </w: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加强通风及管理。</w:t>
                  </w:r>
                </w:p>
              </w:tc>
              <w:tc>
                <w:tcPr>
                  <w:tcW w:w="392" w:type="pct"/>
                  <w:vAlign w:val="center"/>
                </w:tcPr>
                <w:p w14:paraId="2D6904A2">
                  <w:pPr>
                    <w:adjustRightInd w:val="0"/>
                    <w:snapToGrid w:val="0"/>
                    <w:spacing w:line="0" w:lineRule="atLeast"/>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新建</w:t>
                  </w:r>
                </w:p>
              </w:tc>
            </w:tr>
            <w:tr w14:paraId="5276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253" w:type="pct"/>
                  <w:vMerge w:val="continue"/>
                  <w:vAlign w:val="center"/>
                </w:tcPr>
                <w:p w14:paraId="7D86D0D3">
                  <w:pPr>
                    <w:adjustRightInd w:val="0"/>
                    <w:snapToGrid w:val="0"/>
                    <w:spacing w:line="0" w:lineRule="atLeast"/>
                    <w:jc w:val="center"/>
                    <w:rPr>
                      <w:bCs/>
                      <w:color w:val="auto"/>
                      <w:szCs w:val="21"/>
                    </w:rPr>
                  </w:pPr>
                </w:p>
              </w:tc>
              <w:tc>
                <w:tcPr>
                  <w:tcW w:w="589" w:type="pct"/>
                  <w:gridSpan w:val="2"/>
                  <w:vMerge w:val="continue"/>
                  <w:vAlign w:val="center"/>
                </w:tcPr>
                <w:p w14:paraId="76EF4548">
                  <w:pPr>
                    <w:adjustRightInd w:val="0"/>
                    <w:snapToGrid w:val="0"/>
                    <w:spacing w:line="0" w:lineRule="atLeast"/>
                    <w:jc w:val="center"/>
                    <w:rPr>
                      <w:color w:val="auto"/>
                      <w:szCs w:val="21"/>
                    </w:rPr>
                  </w:pPr>
                </w:p>
              </w:tc>
              <w:tc>
                <w:tcPr>
                  <w:tcW w:w="542" w:type="pct"/>
                  <w:vAlign w:val="center"/>
                </w:tcPr>
                <w:p w14:paraId="12D789FD">
                  <w:pPr>
                    <w:pStyle w:val="28"/>
                    <w:spacing w:after="0"/>
                    <w:ind w:firstLine="0" w:firstLineChars="0"/>
                    <w:jc w:val="center"/>
                    <w:rPr>
                      <w:color w:val="auto"/>
                      <w:szCs w:val="21"/>
                    </w:rPr>
                  </w:pPr>
                  <w:r>
                    <w:rPr>
                      <w:color w:val="auto"/>
                      <w:sz w:val="21"/>
                      <w:szCs w:val="21"/>
                    </w:rPr>
                    <w:t>食堂</w:t>
                  </w:r>
                </w:p>
              </w:tc>
              <w:tc>
                <w:tcPr>
                  <w:tcW w:w="3222" w:type="pct"/>
                  <w:gridSpan w:val="3"/>
                  <w:vAlign w:val="center"/>
                </w:tcPr>
                <w:p w14:paraId="29969E52">
                  <w:pPr>
                    <w:pStyle w:val="14"/>
                    <w:rPr>
                      <w:color w:val="auto"/>
                      <w:szCs w:val="21"/>
                    </w:rPr>
                  </w:pPr>
                  <w:r>
                    <w:rPr>
                      <w:color w:val="auto"/>
                      <w:szCs w:val="21"/>
                    </w:rPr>
                    <w:t>食堂油烟配套“1台油烟净化设施+高于食堂房顶1.5m高的排气筒”，油烟净化器净化效率不低于60%。</w:t>
                  </w:r>
                </w:p>
              </w:tc>
              <w:tc>
                <w:tcPr>
                  <w:tcW w:w="392" w:type="pct"/>
                  <w:vAlign w:val="center"/>
                </w:tcPr>
                <w:p w14:paraId="75B134C1">
                  <w:pPr>
                    <w:jc w:val="center"/>
                    <w:rPr>
                      <w:color w:val="auto"/>
                      <w:szCs w:val="21"/>
                    </w:rPr>
                  </w:pPr>
                  <w:r>
                    <w:rPr>
                      <w:rFonts w:hint="eastAsia"/>
                      <w:color w:val="auto"/>
                      <w:szCs w:val="21"/>
                    </w:rPr>
                    <w:t>新建</w:t>
                  </w:r>
                </w:p>
              </w:tc>
            </w:tr>
            <w:tr w14:paraId="09ED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3" w:type="pct"/>
                  <w:vMerge w:val="continue"/>
                  <w:vAlign w:val="center"/>
                </w:tcPr>
                <w:p w14:paraId="5E1E5D1B">
                  <w:pPr>
                    <w:adjustRightInd w:val="0"/>
                    <w:snapToGrid w:val="0"/>
                    <w:spacing w:line="0" w:lineRule="atLeast"/>
                    <w:jc w:val="center"/>
                    <w:rPr>
                      <w:color w:val="auto"/>
                      <w:szCs w:val="21"/>
                    </w:rPr>
                  </w:pPr>
                </w:p>
              </w:tc>
              <w:tc>
                <w:tcPr>
                  <w:tcW w:w="589" w:type="pct"/>
                  <w:gridSpan w:val="2"/>
                  <w:vMerge w:val="restart"/>
                  <w:vAlign w:val="center"/>
                </w:tcPr>
                <w:p w14:paraId="1483A6E0">
                  <w:pPr>
                    <w:pStyle w:val="19"/>
                    <w:adjustRightInd w:val="0"/>
                    <w:snapToGrid w:val="0"/>
                    <w:spacing w:line="0" w:lineRule="atLeast"/>
                    <w:jc w:val="center"/>
                    <w:rPr>
                      <w:color w:val="auto"/>
                      <w:sz w:val="21"/>
                      <w:szCs w:val="21"/>
                    </w:rPr>
                  </w:pPr>
                  <w:r>
                    <w:rPr>
                      <w:color w:val="auto"/>
                      <w:sz w:val="21"/>
                      <w:szCs w:val="21"/>
                    </w:rPr>
                    <w:t>废水处理设施</w:t>
                  </w:r>
                </w:p>
              </w:tc>
              <w:tc>
                <w:tcPr>
                  <w:tcW w:w="542" w:type="pct"/>
                  <w:vAlign w:val="center"/>
                </w:tcPr>
                <w:p w14:paraId="081DC9C7">
                  <w:pPr>
                    <w:widowControl/>
                    <w:jc w:val="center"/>
                    <w:rPr>
                      <w:color w:val="auto"/>
                      <w:szCs w:val="21"/>
                    </w:rPr>
                  </w:pPr>
                  <w:r>
                    <w:rPr>
                      <w:color w:val="auto"/>
                      <w:szCs w:val="21"/>
                    </w:rPr>
                    <w:t>雨污分流</w:t>
                  </w:r>
                </w:p>
              </w:tc>
              <w:tc>
                <w:tcPr>
                  <w:tcW w:w="3222" w:type="pct"/>
                  <w:gridSpan w:val="3"/>
                  <w:vAlign w:val="center"/>
                </w:tcPr>
                <w:p w14:paraId="4C12653C">
                  <w:pPr>
                    <w:widowControl/>
                    <w:jc w:val="center"/>
                    <w:rPr>
                      <w:color w:val="auto"/>
                      <w:szCs w:val="21"/>
                    </w:rPr>
                  </w:pPr>
                  <w:r>
                    <w:rPr>
                      <w:rFonts w:hint="eastAsia"/>
                      <w:color w:val="auto"/>
                      <w:szCs w:val="21"/>
                      <w:lang w:val="en-US" w:eastAsia="zh-CN"/>
                    </w:rPr>
                    <w:t>项目排水采用雨污分流的排水方式，项目区建筑物屋面及地面雨水经厂区雨水沟收集后排入园区雨水市政管网；冷却水经冷却循环水箱冷却后循环使用，不外排；</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达到</w:t>
                  </w:r>
                  <w:r>
                    <w:rPr>
                      <w:rFonts w:hint="default" w:ascii="Times New Roman" w:hAnsi="Times New Roman" w:eastAsia="宋体" w:cs="Times New Roman"/>
                      <w:b w:val="0"/>
                      <w:bCs w:val="0"/>
                      <w:color w:val="auto"/>
                      <w:sz w:val="21"/>
                      <w:szCs w:val="21"/>
                      <w:highlight w:val="none"/>
                      <w:lang w:val="en-US" w:eastAsia="zh-CN"/>
                    </w:rPr>
                    <w:t>《城市污水再生利用 城市杂用水水质》（GB/T18920-2020）中的城市绿化、道路清扫、消防、建筑施工标准后，用于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tc>
              <w:tc>
                <w:tcPr>
                  <w:tcW w:w="392" w:type="pct"/>
                  <w:vAlign w:val="center"/>
                </w:tcPr>
                <w:p w14:paraId="61D8D236">
                  <w:pPr>
                    <w:adjustRightInd w:val="0"/>
                    <w:snapToGrid w:val="0"/>
                    <w:spacing w:line="0" w:lineRule="atLeast"/>
                    <w:jc w:val="center"/>
                    <w:rPr>
                      <w:rFonts w:hint="eastAsia" w:eastAsia="宋体"/>
                      <w:color w:val="auto"/>
                      <w:szCs w:val="21"/>
                      <w:lang w:eastAsia="zh-CN"/>
                    </w:rPr>
                  </w:pPr>
                  <w:r>
                    <w:rPr>
                      <w:rFonts w:hint="eastAsia"/>
                      <w:color w:val="auto"/>
                      <w:szCs w:val="21"/>
                      <w:lang w:eastAsia="zh-CN"/>
                    </w:rPr>
                    <w:t>部分</w:t>
                  </w:r>
                  <w:r>
                    <w:rPr>
                      <w:rFonts w:hint="eastAsia"/>
                      <w:color w:val="auto"/>
                      <w:szCs w:val="21"/>
                    </w:rPr>
                    <w:t>新建</w:t>
                  </w:r>
                  <w:r>
                    <w:rPr>
                      <w:rFonts w:hint="eastAsia"/>
                      <w:color w:val="auto"/>
                      <w:szCs w:val="21"/>
                      <w:lang w:eastAsia="zh-CN"/>
                    </w:rPr>
                    <w:t>，部分依托</w:t>
                  </w:r>
                </w:p>
              </w:tc>
            </w:tr>
            <w:tr w14:paraId="7F846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253" w:type="pct"/>
                  <w:vMerge w:val="continue"/>
                  <w:vAlign w:val="center"/>
                </w:tcPr>
                <w:p w14:paraId="7C498F01">
                  <w:pPr>
                    <w:adjustRightInd w:val="0"/>
                    <w:snapToGrid w:val="0"/>
                    <w:spacing w:line="0" w:lineRule="atLeast"/>
                    <w:jc w:val="center"/>
                    <w:rPr>
                      <w:color w:val="auto"/>
                      <w:szCs w:val="21"/>
                    </w:rPr>
                  </w:pPr>
                </w:p>
              </w:tc>
              <w:tc>
                <w:tcPr>
                  <w:tcW w:w="589" w:type="pct"/>
                  <w:gridSpan w:val="2"/>
                  <w:vMerge w:val="continue"/>
                  <w:vAlign w:val="center"/>
                </w:tcPr>
                <w:p w14:paraId="62A16690">
                  <w:pPr>
                    <w:pStyle w:val="19"/>
                    <w:adjustRightInd w:val="0"/>
                    <w:snapToGrid w:val="0"/>
                    <w:spacing w:line="0" w:lineRule="atLeast"/>
                    <w:jc w:val="center"/>
                    <w:rPr>
                      <w:color w:val="auto"/>
                      <w:sz w:val="21"/>
                      <w:szCs w:val="21"/>
                    </w:rPr>
                  </w:pPr>
                </w:p>
              </w:tc>
              <w:tc>
                <w:tcPr>
                  <w:tcW w:w="542" w:type="pct"/>
                  <w:vAlign w:val="center"/>
                </w:tcPr>
                <w:p w14:paraId="5EB77BA9">
                  <w:pPr>
                    <w:widowControl/>
                    <w:adjustRightInd w:val="0"/>
                    <w:snapToGrid w:val="0"/>
                    <w:jc w:val="center"/>
                    <w:rPr>
                      <w:color w:val="auto"/>
                      <w:kern w:val="0"/>
                      <w:szCs w:val="21"/>
                    </w:rPr>
                  </w:pPr>
                  <w:r>
                    <w:rPr>
                      <w:rFonts w:hint="eastAsia"/>
                      <w:color w:val="auto"/>
                      <w:kern w:val="0"/>
                      <w:szCs w:val="21"/>
                    </w:rPr>
                    <w:t>隔油池</w:t>
                  </w:r>
                </w:p>
              </w:tc>
              <w:tc>
                <w:tcPr>
                  <w:tcW w:w="3222" w:type="pct"/>
                  <w:gridSpan w:val="3"/>
                  <w:vAlign w:val="center"/>
                </w:tcPr>
                <w:p w14:paraId="0CD6CCAA">
                  <w:pPr>
                    <w:widowControl/>
                    <w:adjustRightInd w:val="0"/>
                    <w:snapToGrid w:val="0"/>
                    <w:rPr>
                      <w:color w:val="auto"/>
                      <w:kern w:val="0"/>
                    </w:rPr>
                  </w:pPr>
                  <w:r>
                    <w:rPr>
                      <w:rFonts w:hint="eastAsia"/>
                      <w:color w:val="auto"/>
                      <w:kern w:val="0"/>
                    </w:rPr>
                    <w:t>设置1个隔油池，位于食堂旁，容积为0.</w:t>
                  </w:r>
                  <w:r>
                    <w:rPr>
                      <w:rFonts w:hint="eastAsia"/>
                      <w:color w:val="auto"/>
                      <w:kern w:val="0"/>
                      <w:lang w:val="en-US" w:eastAsia="zh-CN"/>
                    </w:rPr>
                    <w:t>1</w:t>
                  </w:r>
                  <w:r>
                    <w:rPr>
                      <w:rFonts w:hint="eastAsia"/>
                      <w:color w:val="auto"/>
                      <w:kern w:val="0"/>
                    </w:rPr>
                    <w:t>m</w:t>
                  </w:r>
                  <w:r>
                    <w:rPr>
                      <w:rFonts w:hint="eastAsia"/>
                      <w:color w:val="auto"/>
                      <w:kern w:val="0"/>
                      <w:vertAlign w:val="superscript"/>
                    </w:rPr>
                    <w:t>3</w:t>
                  </w:r>
                  <w:r>
                    <w:rPr>
                      <w:rFonts w:hint="eastAsia"/>
                      <w:color w:val="auto"/>
                      <w:kern w:val="0"/>
                    </w:rPr>
                    <w:t>，用于处理食堂含油废水。</w:t>
                  </w:r>
                </w:p>
              </w:tc>
              <w:tc>
                <w:tcPr>
                  <w:tcW w:w="392" w:type="pct"/>
                  <w:vAlign w:val="center"/>
                </w:tcPr>
                <w:p w14:paraId="08C0C33C">
                  <w:pPr>
                    <w:widowControl/>
                    <w:adjustRightInd w:val="0"/>
                    <w:snapToGrid w:val="0"/>
                    <w:jc w:val="center"/>
                    <w:rPr>
                      <w:color w:val="auto"/>
                      <w:kern w:val="0"/>
                      <w:szCs w:val="21"/>
                    </w:rPr>
                  </w:pPr>
                  <w:r>
                    <w:rPr>
                      <w:rFonts w:hint="eastAsia"/>
                      <w:color w:val="auto"/>
                      <w:szCs w:val="21"/>
                    </w:rPr>
                    <w:t>新建</w:t>
                  </w:r>
                </w:p>
              </w:tc>
            </w:tr>
            <w:tr w14:paraId="3EF8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253" w:type="pct"/>
                  <w:vMerge w:val="continue"/>
                  <w:vAlign w:val="center"/>
                </w:tcPr>
                <w:p w14:paraId="17159381">
                  <w:pPr>
                    <w:adjustRightInd w:val="0"/>
                    <w:snapToGrid w:val="0"/>
                    <w:spacing w:line="0" w:lineRule="atLeast"/>
                    <w:jc w:val="center"/>
                    <w:rPr>
                      <w:color w:val="auto"/>
                      <w:szCs w:val="21"/>
                    </w:rPr>
                  </w:pPr>
                </w:p>
              </w:tc>
              <w:tc>
                <w:tcPr>
                  <w:tcW w:w="589" w:type="pct"/>
                  <w:gridSpan w:val="2"/>
                  <w:vMerge w:val="continue"/>
                  <w:vAlign w:val="center"/>
                </w:tcPr>
                <w:p w14:paraId="65785717">
                  <w:pPr>
                    <w:pStyle w:val="19"/>
                    <w:adjustRightInd w:val="0"/>
                    <w:snapToGrid w:val="0"/>
                    <w:spacing w:line="0" w:lineRule="atLeast"/>
                    <w:jc w:val="center"/>
                    <w:rPr>
                      <w:color w:val="auto"/>
                      <w:sz w:val="21"/>
                      <w:szCs w:val="21"/>
                    </w:rPr>
                  </w:pPr>
                </w:p>
              </w:tc>
              <w:tc>
                <w:tcPr>
                  <w:tcW w:w="542" w:type="pct"/>
                  <w:vAlign w:val="center"/>
                </w:tcPr>
                <w:p w14:paraId="57510FA0">
                  <w:pPr>
                    <w:widowControl/>
                    <w:adjustRightInd w:val="0"/>
                    <w:snapToGrid w:val="0"/>
                    <w:jc w:val="center"/>
                    <w:rPr>
                      <w:color w:val="auto"/>
                      <w:szCs w:val="21"/>
                    </w:rPr>
                  </w:pPr>
                  <w:r>
                    <w:rPr>
                      <w:color w:val="auto"/>
                      <w:kern w:val="0"/>
                      <w:szCs w:val="21"/>
                    </w:rPr>
                    <w:t>化粪池</w:t>
                  </w:r>
                </w:p>
              </w:tc>
              <w:tc>
                <w:tcPr>
                  <w:tcW w:w="3222" w:type="pct"/>
                  <w:gridSpan w:val="3"/>
                  <w:vAlign w:val="center"/>
                </w:tcPr>
                <w:p w14:paraId="3A421DB1">
                  <w:pPr>
                    <w:widowControl/>
                    <w:adjustRightInd w:val="0"/>
                    <w:snapToGrid w:val="0"/>
                    <w:rPr>
                      <w:color w:val="auto"/>
                      <w:szCs w:val="21"/>
                    </w:rPr>
                  </w:pPr>
                  <w:r>
                    <w:rPr>
                      <w:rFonts w:hint="eastAsia"/>
                      <w:color w:val="auto"/>
                      <w:kern w:val="0"/>
                    </w:rPr>
                    <w:t>设置</w:t>
                  </w:r>
                  <w:r>
                    <w:rPr>
                      <w:rFonts w:hint="eastAsia"/>
                      <w:color w:val="auto"/>
                      <w:kern w:val="0"/>
                      <w:lang w:val="en-US" w:eastAsia="zh-CN"/>
                    </w:rPr>
                    <w:t>1</w:t>
                  </w:r>
                  <w:r>
                    <w:rPr>
                      <w:rFonts w:hint="eastAsia"/>
                      <w:color w:val="auto"/>
                      <w:kern w:val="0"/>
                    </w:rPr>
                    <w:t>个</w:t>
                  </w:r>
                  <w:r>
                    <w:rPr>
                      <w:rFonts w:hint="eastAsia"/>
                      <w:color w:val="auto"/>
                      <w:kern w:val="0"/>
                      <w:lang w:val="en-US" w:eastAsia="zh-CN"/>
                    </w:rPr>
                    <w:t>容积为6m</w:t>
                  </w:r>
                  <w:r>
                    <w:rPr>
                      <w:rFonts w:hint="eastAsia"/>
                      <w:color w:val="auto"/>
                      <w:kern w:val="0"/>
                      <w:vertAlign w:val="superscript"/>
                      <w:lang w:val="en-US" w:eastAsia="zh-CN"/>
                    </w:rPr>
                    <w:t>3</w:t>
                  </w:r>
                  <w:r>
                    <w:rPr>
                      <w:rFonts w:hint="eastAsia"/>
                      <w:color w:val="auto"/>
                      <w:kern w:val="0"/>
                    </w:rPr>
                    <w:t>化粪池，</w:t>
                  </w:r>
                  <w:r>
                    <w:rPr>
                      <w:color w:val="auto"/>
                      <w:kern w:val="0"/>
                    </w:rPr>
                    <w:t>用于处理项目内的</w:t>
                  </w:r>
                  <w:r>
                    <w:rPr>
                      <w:rFonts w:hint="eastAsia"/>
                      <w:color w:val="auto"/>
                      <w:kern w:val="0"/>
                    </w:rPr>
                    <w:t>生活污水</w:t>
                  </w:r>
                  <w:r>
                    <w:rPr>
                      <w:color w:val="auto"/>
                      <w:kern w:val="0"/>
                    </w:rPr>
                    <w:t>。</w:t>
                  </w:r>
                </w:p>
              </w:tc>
              <w:tc>
                <w:tcPr>
                  <w:tcW w:w="392" w:type="pct"/>
                  <w:vAlign w:val="center"/>
                </w:tcPr>
                <w:p w14:paraId="679EC6FF">
                  <w:pPr>
                    <w:widowControl/>
                    <w:adjustRightInd w:val="0"/>
                    <w:snapToGrid w:val="0"/>
                    <w:jc w:val="center"/>
                    <w:rPr>
                      <w:rFonts w:hint="default" w:eastAsia="宋体"/>
                      <w:color w:val="auto"/>
                      <w:szCs w:val="21"/>
                      <w:lang w:val="en-US" w:eastAsia="zh-CN"/>
                    </w:rPr>
                  </w:pPr>
                  <w:r>
                    <w:rPr>
                      <w:rFonts w:hint="eastAsia"/>
                      <w:color w:val="auto"/>
                      <w:kern w:val="0"/>
                      <w:szCs w:val="21"/>
                      <w:lang w:val="en-US" w:eastAsia="zh-CN"/>
                    </w:rPr>
                    <w:t>厂房配套、依托使用</w:t>
                  </w:r>
                </w:p>
              </w:tc>
            </w:tr>
            <w:tr w14:paraId="022C0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53" w:type="pct"/>
                  <w:vMerge w:val="continue"/>
                  <w:vAlign w:val="center"/>
                </w:tcPr>
                <w:p w14:paraId="51F313A8">
                  <w:pPr>
                    <w:widowControl/>
                    <w:adjustRightInd w:val="0"/>
                    <w:snapToGrid w:val="0"/>
                    <w:jc w:val="center"/>
                    <w:rPr>
                      <w:color w:val="auto"/>
                    </w:rPr>
                  </w:pPr>
                </w:p>
              </w:tc>
              <w:tc>
                <w:tcPr>
                  <w:tcW w:w="589" w:type="pct"/>
                  <w:gridSpan w:val="2"/>
                  <w:vMerge w:val="continue"/>
                  <w:vAlign w:val="center"/>
                </w:tcPr>
                <w:p w14:paraId="7114E852">
                  <w:pPr>
                    <w:widowControl/>
                    <w:adjustRightInd w:val="0"/>
                    <w:snapToGrid w:val="0"/>
                    <w:jc w:val="center"/>
                    <w:rPr>
                      <w:color w:val="auto"/>
                    </w:rPr>
                  </w:pPr>
                </w:p>
              </w:tc>
              <w:tc>
                <w:tcPr>
                  <w:tcW w:w="542" w:type="pct"/>
                  <w:vAlign w:val="center"/>
                </w:tcPr>
                <w:p w14:paraId="19D55EF7">
                  <w:pPr>
                    <w:widowControl/>
                    <w:adjustRightInd w:val="0"/>
                    <w:snapToGrid w:val="0"/>
                    <w:jc w:val="center"/>
                    <w:rPr>
                      <w:color w:val="auto"/>
                      <w:kern w:val="0"/>
                      <w:szCs w:val="21"/>
                      <w:highlight w:val="yellow"/>
                    </w:rPr>
                  </w:pPr>
                  <w:r>
                    <w:rPr>
                      <w:rFonts w:hint="default" w:ascii="Times New Roman" w:hAnsi="Times New Roman" w:eastAsia="宋体" w:cs="Times New Roman"/>
                      <w:color w:val="auto"/>
                      <w:sz w:val="21"/>
                      <w:szCs w:val="21"/>
                      <w:highlight w:val="none"/>
                    </w:rPr>
                    <w:t>一体化生活污水处理</w:t>
                  </w:r>
                  <w:r>
                    <w:rPr>
                      <w:rFonts w:hint="eastAsia" w:cs="Times New Roman"/>
                      <w:color w:val="auto"/>
                      <w:sz w:val="21"/>
                      <w:szCs w:val="21"/>
                      <w:highlight w:val="none"/>
                      <w:lang w:eastAsia="zh-CN"/>
                    </w:rPr>
                    <w:t>站</w:t>
                  </w:r>
                </w:p>
              </w:tc>
              <w:tc>
                <w:tcPr>
                  <w:tcW w:w="3222" w:type="pct"/>
                  <w:gridSpan w:val="3"/>
                  <w:vAlign w:val="center"/>
                </w:tcPr>
                <w:p w14:paraId="3ED221C2">
                  <w:pPr>
                    <w:widowControl/>
                    <w:adjustRightInd w:val="0"/>
                    <w:snapToGrid w:val="0"/>
                    <w:jc w:val="center"/>
                    <w:rPr>
                      <w:rFonts w:hint="eastAsia" w:eastAsia="宋体"/>
                      <w:color w:val="auto"/>
                      <w:kern w:val="0"/>
                      <w:szCs w:val="21"/>
                      <w:highlight w:val="yellow"/>
                      <w:lang w:eastAsia="zh-CN"/>
                    </w:rPr>
                  </w:pPr>
                  <w:r>
                    <w:rPr>
                      <w:rFonts w:hint="default" w:ascii="Times New Roman" w:hAnsi="Times New Roman" w:eastAsia="宋体" w:cs="Times New Roman"/>
                      <w:color w:val="auto"/>
                      <w:sz w:val="21"/>
                      <w:szCs w:val="21"/>
                      <w:highlight w:val="none"/>
                    </w:rPr>
                    <w:t>1套处理规模</w:t>
                  </w:r>
                  <w:r>
                    <w:rPr>
                      <w:rFonts w:hint="default" w:ascii="Times New Roman" w:hAnsi="Times New Roman" w:eastAsia="宋体" w:cs="Times New Roman"/>
                      <w:color w:val="auto"/>
                      <w:sz w:val="21"/>
                      <w:szCs w:val="21"/>
                      <w:highlight w:val="none"/>
                      <w:lang w:val="en-US" w:eastAsia="zh-CN"/>
                    </w:rPr>
                    <w:t>为</w:t>
                  </w:r>
                  <w:r>
                    <w:rPr>
                      <w:rFonts w:hint="eastAsia"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/d的一体化生活污水处理设备</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处理工艺为“</w:t>
                  </w:r>
                  <w:r>
                    <w:rPr>
                      <w:rFonts w:hint="eastAsia" w:cs="Times New Roman"/>
                      <w:color w:val="auto"/>
                      <w:sz w:val="21"/>
                      <w:szCs w:val="21"/>
                      <w:highlight w:val="none"/>
                      <w:lang w:val="en-US" w:eastAsia="zh-CN"/>
                    </w:rPr>
                    <w:t>曝气+沉降+光催化氧化+消毒</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，用于处理项目区产生的生活</w:t>
                  </w:r>
                  <w:r>
                    <w:rPr>
                      <w:rFonts w:hint="eastAsia" w:cs="Times New Roman"/>
                      <w:color w:val="auto"/>
                      <w:sz w:val="21"/>
                      <w:szCs w:val="21"/>
                      <w:highlight w:val="none"/>
                      <w:lang w:eastAsia="zh-CN"/>
                    </w:rPr>
                    <w:t>污</w:t>
                  </w:r>
                  <w:r>
                    <w:rPr>
                      <w:rFonts w:hint="default" w:ascii="Times New Roman" w:hAnsi="Times New Roman" w:eastAsia="宋体" w:cs="Times New Roman"/>
                      <w:color w:val="auto"/>
                      <w:sz w:val="21"/>
                      <w:szCs w:val="21"/>
                      <w:highlight w:val="none"/>
                    </w:rPr>
                    <w:t>水</w:t>
                  </w:r>
                  <w:r>
                    <w:rPr>
                      <w:rFonts w:hint="eastAsia" w:eastAsia="宋体" w:cs="Times New Roman"/>
                      <w:color w:val="auto"/>
                      <w:sz w:val="21"/>
                      <w:szCs w:val="21"/>
                      <w:highlight w:val="none"/>
                      <w:lang w:eastAsia="zh-CN"/>
                    </w:rPr>
                    <w:t>。</w:t>
                  </w:r>
                </w:p>
              </w:tc>
              <w:tc>
                <w:tcPr>
                  <w:tcW w:w="392" w:type="pct"/>
                  <w:vAlign w:val="center"/>
                </w:tcPr>
                <w:p w14:paraId="3EF79E3B">
                  <w:pPr>
                    <w:widowControl/>
                    <w:adjustRightInd w:val="0"/>
                    <w:snapToGrid w:val="0"/>
                    <w:jc w:val="center"/>
                    <w:rPr>
                      <w:color w:val="auto"/>
                      <w:kern w:val="0"/>
                      <w:szCs w:val="21"/>
                      <w:highlight w:val="yellow"/>
                    </w:rPr>
                  </w:pPr>
                  <w:r>
                    <w:rPr>
                      <w:rFonts w:hint="eastAsia"/>
                      <w:color w:val="auto"/>
                      <w:kern w:val="0"/>
                      <w:szCs w:val="21"/>
                      <w:lang w:val="en-US" w:eastAsia="zh-CN"/>
                    </w:rPr>
                    <w:t>依托使用</w:t>
                  </w:r>
                </w:p>
              </w:tc>
            </w:tr>
            <w:tr w14:paraId="77571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53" w:type="pct"/>
                  <w:vMerge w:val="continue"/>
                  <w:vAlign w:val="center"/>
                </w:tcPr>
                <w:p w14:paraId="1F6B3557">
                  <w:pPr>
                    <w:widowControl/>
                    <w:adjustRightInd w:val="0"/>
                    <w:snapToGrid w:val="0"/>
                    <w:jc w:val="center"/>
                    <w:rPr>
                      <w:color w:val="auto"/>
                    </w:rPr>
                  </w:pPr>
                </w:p>
              </w:tc>
              <w:tc>
                <w:tcPr>
                  <w:tcW w:w="589" w:type="pct"/>
                  <w:gridSpan w:val="2"/>
                  <w:vMerge w:val="continue"/>
                  <w:vAlign w:val="center"/>
                </w:tcPr>
                <w:p w14:paraId="3E612556">
                  <w:pPr>
                    <w:widowControl/>
                    <w:adjustRightInd w:val="0"/>
                    <w:snapToGrid w:val="0"/>
                    <w:jc w:val="center"/>
                    <w:rPr>
                      <w:color w:val="auto"/>
                    </w:rPr>
                  </w:pPr>
                </w:p>
              </w:tc>
              <w:tc>
                <w:tcPr>
                  <w:tcW w:w="542" w:type="pct"/>
                  <w:vAlign w:val="center"/>
                </w:tcPr>
                <w:p w14:paraId="2CBCF91D">
                  <w:pPr>
                    <w:widowControl/>
                    <w:adjustRightInd w:val="0"/>
                    <w:snapToGrid w:val="0"/>
                    <w:jc w:val="center"/>
                    <w:rPr>
                      <w:rFonts w:hint="eastAsia" w:eastAsia="宋体"/>
                      <w:color w:val="auto"/>
                      <w:kern w:val="0"/>
                      <w:szCs w:val="21"/>
                      <w:highlight w:val="yellow"/>
                      <w:lang w:val="en-US" w:eastAsia="zh-CN"/>
                    </w:rPr>
                  </w:pPr>
                  <w:r>
                    <w:rPr>
                      <w:rFonts w:hint="eastAsia"/>
                      <w:color w:val="auto"/>
                      <w:kern w:val="0"/>
                      <w:szCs w:val="21"/>
                      <w:highlight w:val="none"/>
                      <w:lang w:val="en-US" w:eastAsia="zh-CN"/>
                    </w:rPr>
                    <w:t>蓄水池</w:t>
                  </w:r>
                </w:p>
              </w:tc>
              <w:tc>
                <w:tcPr>
                  <w:tcW w:w="3222" w:type="pct"/>
                  <w:gridSpan w:val="3"/>
                  <w:vAlign w:val="center"/>
                </w:tcPr>
                <w:p w14:paraId="674517BF">
                  <w:pPr>
                    <w:widowControl/>
                    <w:adjustRightInd w:val="0"/>
                    <w:snapToGrid w:val="0"/>
                    <w:jc w:val="center"/>
                    <w:rPr>
                      <w:rFonts w:hint="eastAsia"/>
                      <w:color w:val="auto"/>
                      <w:kern w:val="0"/>
                      <w:szCs w:val="21"/>
                      <w:highlight w:val="yellow"/>
                      <w:lang w:val="en-US" w:eastAsia="zh-CN"/>
                    </w:rPr>
                  </w:pPr>
                  <w:r>
                    <w:rPr>
                      <w:rFonts w:hint="default" w:ascii="Times New Roman" w:hAnsi="Times New Roman" w:eastAsia="宋体" w:cs="Times New Roman"/>
                      <w:color w:val="auto"/>
                      <w:sz w:val="21"/>
                      <w:szCs w:val="21"/>
                      <w:highlight w:val="none"/>
                    </w:rPr>
                    <w:t>设置1个容积为</w:t>
                  </w:r>
                  <w:r>
                    <w:rPr>
                      <w:rFonts w:hint="eastAsia"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的蓄水池，对雨天项目区内处理达标后的生活污水进行收集暂存。</w:t>
                  </w:r>
                </w:p>
              </w:tc>
              <w:tc>
                <w:tcPr>
                  <w:tcW w:w="392" w:type="pct"/>
                  <w:vAlign w:val="center"/>
                </w:tcPr>
                <w:p w14:paraId="14045CAB">
                  <w:pPr>
                    <w:widowControl/>
                    <w:adjustRightInd w:val="0"/>
                    <w:snapToGrid w:val="0"/>
                    <w:jc w:val="center"/>
                    <w:rPr>
                      <w:rFonts w:hint="eastAsia"/>
                      <w:color w:val="auto"/>
                      <w:kern w:val="0"/>
                      <w:szCs w:val="21"/>
                      <w:highlight w:val="yellow"/>
                      <w:lang w:val="en-US" w:eastAsia="zh-CN"/>
                    </w:rPr>
                  </w:pPr>
                  <w:r>
                    <w:rPr>
                      <w:rFonts w:hint="eastAsia"/>
                      <w:color w:val="auto"/>
                      <w:kern w:val="0"/>
                      <w:szCs w:val="21"/>
                      <w:lang w:val="en-US" w:eastAsia="zh-CN"/>
                    </w:rPr>
                    <w:t>依托使用</w:t>
                  </w:r>
                </w:p>
              </w:tc>
            </w:tr>
            <w:tr w14:paraId="168B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Merge w:val="continue"/>
                  <w:vAlign w:val="center"/>
                </w:tcPr>
                <w:p w14:paraId="63F88D4C">
                  <w:pPr>
                    <w:adjustRightInd w:val="0"/>
                    <w:snapToGrid w:val="0"/>
                    <w:spacing w:line="0" w:lineRule="atLeast"/>
                    <w:jc w:val="center"/>
                    <w:rPr>
                      <w:color w:val="auto"/>
                      <w:szCs w:val="21"/>
                    </w:rPr>
                  </w:pPr>
                </w:p>
              </w:tc>
              <w:tc>
                <w:tcPr>
                  <w:tcW w:w="589" w:type="pct"/>
                  <w:gridSpan w:val="2"/>
                  <w:vAlign w:val="center"/>
                </w:tcPr>
                <w:p w14:paraId="0C20A0E5">
                  <w:pPr>
                    <w:pStyle w:val="19"/>
                    <w:adjustRightInd w:val="0"/>
                    <w:snapToGrid w:val="0"/>
                    <w:spacing w:line="0" w:lineRule="atLeast"/>
                    <w:jc w:val="center"/>
                    <w:rPr>
                      <w:color w:val="auto"/>
                      <w:sz w:val="21"/>
                      <w:szCs w:val="21"/>
                    </w:rPr>
                  </w:pPr>
                  <w:r>
                    <w:rPr>
                      <w:color w:val="auto"/>
                      <w:sz w:val="21"/>
                      <w:szCs w:val="21"/>
                    </w:rPr>
                    <w:t>噪声</w:t>
                  </w:r>
                </w:p>
              </w:tc>
              <w:tc>
                <w:tcPr>
                  <w:tcW w:w="3765" w:type="pct"/>
                  <w:gridSpan w:val="4"/>
                  <w:vAlign w:val="center"/>
                </w:tcPr>
                <w:p w14:paraId="05DF5F25">
                  <w:pPr>
                    <w:jc w:val="center"/>
                    <w:rPr>
                      <w:color w:val="auto"/>
                      <w:szCs w:val="21"/>
                    </w:rPr>
                  </w:pPr>
                  <w:r>
                    <w:rPr>
                      <w:color w:val="auto"/>
                      <w:szCs w:val="21"/>
                    </w:rPr>
                    <w:t>项目区所有生产设备均置于厂房内，高噪声设备安装消声、减振装置。</w:t>
                  </w:r>
                </w:p>
              </w:tc>
              <w:tc>
                <w:tcPr>
                  <w:tcW w:w="392" w:type="pct"/>
                  <w:vAlign w:val="center"/>
                </w:tcPr>
                <w:p w14:paraId="06A62FEC">
                  <w:pPr>
                    <w:adjustRightInd w:val="0"/>
                    <w:snapToGrid w:val="0"/>
                    <w:spacing w:line="0" w:lineRule="atLeast"/>
                    <w:jc w:val="center"/>
                    <w:rPr>
                      <w:rFonts w:hint="eastAsia" w:eastAsia="宋体"/>
                      <w:color w:val="auto"/>
                      <w:szCs w:val="21"/>
                      <w:lang w:val="en-US" w:eastAsia="zh-CN"/>
                    </w:rPr>
                  </w:pPr>
                  <w:r>
                    <w:rPr>
                      <w:rFonts w:hint="eastAsia"/>
                      <w:color w:val="auto"/>
                      <w:szCs w:val="21"/>
                      <w:lang w:val="en-US" w:eastAsia="zh-CN"/>
                    </w:rPr>
                    <w:t>新建</w:t>
                  </w:r>
                </w:p>
              </w:tc>
            </w:tr>
            <w:tr w14:paraId="320E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Merge w:val="continue"/>
                  <w:vAlign w:val="center"/>
                </w:tcPr>
                <w:p w14:paraId="4048960F">
                  <w:pPr>
                    <w:adjustRightInd w:val="0"/>
                    <w:snapToGrid w:val="0"/>
                    <w:spacing w:line="0" w:lineRule="atLeast"/>
                    <w:jc w:val="center"/>
                    <w:rPr>
                      <w:color w:val="auto"/>
                      <w:szCs w:val="21"/>
                    </w:rPr>
                  </w:pPr>
                </w:p>
              </w:tc>
              <w:tc>
                <w:tcPr>
                  <w:tcW w:w="589" w:type="pct"/>
                  <w:gridSpan w:val="2"/>
                  <w:vMerge w:val="restart"/>
                  <w:vAlign w:val="center"/>
                </w:tcPr>
                <w:p w14:paraId="2EFF8709">
                  <w:pPr>
                    <w:pStyle w:val="19"/>
                    <w:adjustRightInd w:val="0"/>
                    <w:snapToGrid w:val="0"/>
                    <w:spacing w:line="0" w:lineRule="atLeast"/>
                    <w:jc w:val="center"/>
                    <w:rPr>
                      <w:color w:val="auto"/>
                      <w:sz w:val="21"/>
                      <w:szCs w:val="21"/>
                    </w:rPr>
                  </w:pPr>
                  <w:r>
                    <w:rPr>
                      <w:color w:val="auto"/>
                      <w:sz w:val="21"/>
                      <w:szCs w:val="21"/>
                    </w:rPr>
                    <w:t>固废处理设施</w:t>
                  </w:r>
                </w:p>
              </w:tc>
              <w:tc>
                <w:tcPr>
                  <w:tcW w:w="542" w:type="pct"/>
                  <w:vAlign w:val="center"/>
                </w:tcPr>
                <w:p w14:paraId="66AA17E3">
                  <w:pPr>
                    <w:widowControl/>
                    <w:jc w:val="center"/>
                    <w:rPr>
                      <w:color w:val="auto"/>
                      <w:szCs w:val="21"/>
                    </w:rPr>
                  </w:pPr>
                  <w:r>
                    <w:rPr>
                      <w:color w:val="auto"/>
                      <w:szCs w:val="21"/>
                    </w:rPr>
                    <w:t>带盖垃圾收集桶</w:t>
                  </w:r>
                </w:p>
              </w:tc>
              <w:tc>
                <w:tcPr>
                  <w:tcW w:w="3222" w:type="pct"/>
                  <w:gridSpan w:val="3"/>
                  <w:vAlign w:val="center"/>
                </w:tcPr>
                <w:p w14:paraId="54E46B60">
                  <w:pPr>
                    <w:widowControl/>
                    <w:jc w:val="center"/>
                    <w:rPr>
                      <w:color w:val="auto"/>
                      <w:szCs w:val="21"/>
                    </w:rPr>
                  </w:pPr>
                  <w:r>
                    <w:rPr>
                      <w:color w:val="auto"/>
                      <w:szCs w:val="21"/>
                    </w:rPr>
                    <w:t>厂区内分散设置若干带盖垃圾收集桶，用于收集生活垃圾。</w:t>
                  </w:r>
                </w:p>
              </w:tc>
              <w:tc>
                <w:tcPr>
                  <w:tcW w:w="392" w:type="pct"/>
                  <w:vAlign w:val="center"/>
                </w:tcPr>
                <w:p w14:paraId="52D21B45">
                  <w:pPr>
                    <w:adjustRightInd w:val="0"/>
                    <w:snapToGrid w:val="0"/>
                    <w:spacing w:line="0" w:lineRule="atLeast"/>
                    <w:jc w:val="center"/>
                    <w:rPr>
                      <w:color w:val="auto"/>
                      <w:szCs w:val="21"/>
                    </w:rPr>
                  </w:pPr>
                  <w:r>
                    <w:rPr>
                      <w:rFonts w:hint="eastAsia"/>
                      <w:color w:val="auto"/>
                      <w:szCs w:val="21"/>
                      <w:lang w:val="en-US" w:eastAsia="zh-CN"/>
                    </w:rPr>
                    <w:t>新建</w:t>
                  </w:r>
                </w:p>
              </w:tc>
            </w:tr>
            <w:tr w14:paraId="55EC1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Merge w:val="continue"/>
                  <w:vAlign w:val="center"/>
                </w:tcPr>
                <w:p w14:paraId="6C224739">
                  <w:pPr>
                    <w:adjustRightInd w:val="0"/>
                    <w:snapToGrid w:val="0"/>
                    <w:spacing w:line="0" w:lineRule="atLeast"/>
                    <w:jc w:val="center"/>
                    <w:rPr>
                      <w:color w:val="auto"/>
                      <w:szCs w:val="21"/>
                    </w:rPr>
                  </w:pPr>
                </w:p>
              </w:tc>
              <w:tc>
                <w:tcPr>
                  <w:tcW w:w="589" w:type="pct"/>
                  <w:gridSpan w:val="2"/>
                  <w:vMerge w:val="continue"/>
                  <w:vAlign w:val="center"/>
                </w:tcPr>
                <w:p w14:paraId="018FE0C2">
                  <w:pPr>
                    <w:pStyle w:val="19"/>
                    <w:adjustRightInd w:val="0"/>
                    <w:snapToGrid w:val="0"/>
                    <w:spacing w:line="0" w:lineRule="atLeast"/>
                    <w:jc w:val="center"/>
                    <w:rPr>
                      <w:color w:val="auto"/>
                      <w:sz w:val="21"/>
                      <w:szCs w:val="21"/>
                    </w:rPr>
                  </w:pPr>
                </w:p>
              </w:tc>
              <w:tc>
                <w:tcPr>
                  <w:tcW w:w="542" w:type="pct"/>
                  <w:vAlign w:val="center"/>
                </w:tcPr>
                <w:p w14:paraId="5CF015B2">
                  <w:pPr>
                    <w:widowControl/>
                    <w:jc w:val="center"/>
                    <w:rPr>
                      <w:color w:val="auto"/>
                      <w:szCs w:val="21"/>
                    </w:rPr>
                  </w:pPr>
                  <w:r>
                    <w:rPr>
                      <w:color w:val="auto"/>
                      <w:szCs w:val="21"/>
                    </w:rPr>
                    <w:t>泔水桶</w:t>
                  </w:r>
                </w:p>
              </w:tc>
              <w:tc>
                <w:tcPr>
                  <w:tcW w:w="3222" w:type="pct"/>
                  <w:gridSpan w:val="3"/>
                  <w:vAlign w:val="center"/>
                </w:tcPr>
                <w:p w14:paraId="56C1A51B">
                  <w:pPr>
                    <w:widowControl/>
                    <w:jc w:val="center"/>
                    <w:rPr>
                      <w:color w:val="auto"/>
                      <w:szCs w:val="21"/>
                    </w:rPr>
                  </w:pPr>
                  <w:r>
                    <w:rPr>
                      <w:color w:val="auto"/>
                      <w:szCs w:val="21"/>
                    </w:rPr>
                    <w:t>食堂内设置2只泔水桶，1用1备，用于收集食堂泔水。</w:t>
                  </w:r>
                </w:p>
              </w:tc>
              <w:tc>
                <w:tcPr>
                  <w:tcW w:w="392" w:type="pct"/>
                  <w:vAlign w:val="center"/>
                </w:tcPr>
                <w:p w14:paraId="152810FA">
                  <w:pPr>
                    <w:widowControl/>
                    <w:jc w:val="center"/>
                    <w:rPr>
                      <w:color w:val="auto"/>
                      <w:szCs w:val="21"/>
                    </w:rPr>
                  </w:pPr>
                  <w:r>
                    <w:rPr>
                      <w:rFonts w:hint="eastAsia"/>
                      <w:color w:val="auto"/>
                      <w:szCs w:val="21"/>
                      <w:lang w:val="en-US" w:eastAsia="zh-CN"/>
                    </w:rPr>
                    <w:t>新建</w:t>
                  </w:r>
                </w:p>
              </w:tc>
            </w:tr>
            <w:tr w14:paraId="60123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Merge w:val="continue"/>
                  <w:vAlign w:val="center"/>
                </w:tcPr>
                <w:p w14:paraId="4FABFA5C">
                  <w:pPr>
                    <w:adjustRightInd w:val="0"/>
                    <w:snapToGrid w:val="0"/>
                    <w:spacing w:line="0" w:lineRule="atLeast"/>
                    <w:jc w:val="center"/>
                    <w:rPr>
                      <w:color w:val="auto"/>
                      <w:szCs w:val="21"/>
                    </w:rPr>
                  </w:pPr>
                </w:p>
              </w:tc>
              <w:tc>
                <w:tcPr>
                  <w:tcW w:w="589" w:type="pct"/>
                  <w:gridSpan w:val="2"/>
                  <w:vMerge w:val="continue"/>
                  <w:vAlign w:val="center"/>
                </w:tcPr>
                <w:p w14:paraId="42A9DA29">
                  <w:pPr>
                    <w:pStyle w:val="19"/>
                    <w:adjustRightInd w:val="0"/>
                    <w:snapToGrid w:val="0"/>
                    <w:spacing w:line="0" w:lineRule="atLeast"/>
                    <w:jc w:val="center"/>
                    <w:rPr>
                      <w:color w:val="auto"/>
                      <w:sz w:val="21"/>
                      <w:szCs w:val="21"/>
                    </w:rPr>
                  </w:pPr>
                </w:p>
              </w:tc>
              <w:tc>
                <w:tcPr>
                  <w:tcW w:w="542" w:type="pct"/>
                  <w:vAlign w:val="center"/>
                </w:tcPr>
                <w:p w14:paraId="6C4A529C">
                  <w:pPr>
                    <w:jc w:val="center"/>
                    <w:rPr>
                      <w:color w:val="auto"/>
                      <w:szCs w:val="21"/>
                    </w:rPr>
                  </w:pPr>
                  <w:r>
                    <w:rPr>
                      <w:color w:val="auto"/>
                      <w:szCs w:val="21"/>
                    </w:rPr>
                    <w:t>废油脂收集桶</w:t>
                  </w:r>
                </w:p>
              </w:tc>
              <w:tc>
                <w:tcPr>
                  <w:tcW w:w="3222" w:type="pct"/>
                  <w:gridSpan w:val="3"/>
                  <w:vAlign w:val="center"/>
                </w:tcPr>
                <w:p w14:paraId="0FD3E9BD">
                  <w:pPr>
                    <w:widowControl/>
                    <w:jc w:val="center"/>
                    <w:rPr>
                      <w:color w:val="auto"/>
                      <w:szCs w:val="21"/>
                    </w:rPr>
                  </w:pPr>
                  <w:r>
                    <w:rPr>
                      <w:color w:val="auto"/>
                      <w:szCs w:val="21"/>
                    </w:rPr>
                    <w:t>2只，1用1备，用于收集食堂隔油池</w:t>
                  </w:r>
                  <w:r>
                    <w:rPr>
                      <w:rFonts w:hint="eastAsia"/>
                      <w:color w:val="auto"/>
                      <w:szCs w:val="21"/>
                      <w:lang w:eastAsia="zh-CN"/>
                    </w:rPr>
                    <w:t>油污</w:t>
                  </w:r>
                  <w:r>
                    <w:rPr>
                      <w:color w:val="auto"/>
                      <w:szCs w:val="21"/>
                    </w:rPr>
                    <w:t>。</w:t>
                  </w:r>
                </w:p>
              </w:tc>
              <w:tc>
                <w:tcPr>
                  <w:tcW w:w="392" w:type="pct"/>
                  <w:vAlign w:val="center"/>
                </w:tcPr>
                <w:p w14:paraId="2B41721A">
                  <w:pPr>
                    <w:widowControl/>
                    <w:jc w:val="center"/>
                    <w:rPr>
                      <w:color w:val="auto"/>
                      <w:szCs w:val="21"/>
                    </w:rPr>
                  </w:pPr>
                  <w:r>
                    <w:rPr>
                      <w:rFonts w:hint="eastAsia"/>
                      <w:color w:val="auto"/>
                      <w:szCs w:val="21"/>
                      <w:lang w:val="en-US" w:eastAsia="zh-CN"/>
                    </w:rPr>
                    <w:t>新建</w:t>
                  </w:r>
                </w:p>
              </w:tc>
            </w:tr>
            <w:tr w14:paraId="646F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Merge w:val="continue"/>
                  <w:vAlign w:val="center"/>
                </w:tcPr>
                <w:p w14:paraId="7239AE1D">
                  <w:pPr>
                    <w:adjustRightInd w:val="0"/>
                    <w:snapToGrid w:val="0"/>
                    <w:spacing w:line="0" w:lineRule="atLeast"/>
                    <w:jc w:val="center"/>
                    <w:rPr>
                      <w:color w:val="auto"/>
                      <w:szCs w:val="21"/>
                    </w:rPr>
                  </w:pPr>
                </w:p>
              </w:tc>
              <w:tc>
                <w:tcPr>
                  <w:tcW w:w="589" w:type="pct"/>
                  <w:gridSpan w:val="2"/>
                  <w:vMerge w:val="continue"/>
                  <w:vAlign w:val="center"/>
                </w:tcPr>
                <w:p w14:paraId="57155C5B">
                  <w:pPr>
                    <w:pStyle w:val="19"/>
                    <w:adjustRightInd w:val="0"/>
                    <w:snapToGrid w:val="0"/>
                    <w:spacing w:line="0" w:lineRule="atLeast"/>
                    <w:jc w:val="center"/>
                    <w:rPr>
                      <w:color w:val="auto"/>
                      <w:sz w:val="21"/>
                      <w:szCs w:val="21"/>
                    </w:rPr>
                  </w:pPr>
                </w:p>
              </w:tc>
              <w:tc>
                <w:tcPr>
                  <w:tcW w:w="542" w:type="pct"/>
                  <w:vAlign w:val="center"/>
                </w:tcPr>
                <w:p w14:paraId="2302CA07">
                  <w:pPr>
                    <w:widowControl/>
                    <w:jc w:val="center"/>
                    <w:rPr>
                      <w:rFonts w:hint="eastAsia" w:eastAsia="宋体"/>
                      <w:color w:val="auto"/>
                      <w:szCs w:val="21"/>
                      <w:lang w:eastAsia="zh-CN"/>
                    </w:rPr>
                  </w:pPr>
                  <w:r>
                    <w:rPr>
                      <w:color w:val="auto"/>
                      <w:szCs w:val="21"/>
                    </w:rPr>
                    <w:t>一般固废暂存</w:t>
                  </w:r>
                  <w:r>
                    <w:rPr>
                      <w:rFonts w:hint="eastAsia"/>
                      <w:color w:val="auto"/>
                      <w:szCs w:val="21"/>
                      <w:lang w:val="en-US" w:eastAsia="zh-CN"/>
                    </w:rPr>
                    <w:t>间</w:t>
                  </w:r>
                </w:p>
              </w:tc>
              <w:tc>
                <w:tcPr>
                  <w:tcW w:w="3222" w:type="pct"/>
                  <w:gridSpan w:val="3"/>
                  <w:vAlign w:val="center"/>
                </w:tcPr>
                <w:p w14:paraId="32F31FFF">
                  <w:pPr>
                    <w:widowControl/>
                    <w:jc w:val="center"/>
                    <w:rPr>
                      <w:color w:val="auto"/>
                      <w:szCs w:val="21"/>
                    </w:rPr>
                  </w:pPr>
                  <w:r>
                    <w:rPr>
                      <w:color w:val="auto"/>
                      <w:szCs w:val="21"/>
                    </w:rPr>
                    <w:t>建筑面积</w:t>
                  </w:r>
                  <w:r>
                    <w:rPr>
                      <w:rFonts w:hint="eastAsia"/>
                      <w:color w:val="auto"/>
                      <w:szCs w:val="21"/>
                    </w:rPr>
                    <w:t>1</w:t>
                  </w:r>
                  <w:r>
                    <w:rPr>
                      <w:color w:val="auto"/>
                      <w:szCs w:val="21"/>
                    </w:rPr>
                    <w:t>0m</w:t>
                  </w:r>
                  <w:r>
                    <w:rPr>
                      <w:color w:val="auto"/>
                      <w:szCs w:val="21"/>
                      <w:vertAlign w:val="superscript"/>
                    </w:rPr>
                    <w:t>2</w:t>
                  </w:r>
                  <w:r>
                    <w:rPr>
                      <w:color w:val="auto"/>
                      <w:szCs w:val="21"/>
                    </w:rPr>
                    <w:t>，用于收集暂存生产过程产生的一般固体废弃物，定期收集后外售。</w:t>
                  </w:r>
                </w:p>
              </w:tc>
              <w:tc>
                <w:tcPr>
                  <w:tcW w:w="392" w:type="pct"/>
                  <w:vAlign w:val="center"/>
                </w:tcPr>
                <w:p w14:paraId="5A94903E">
                  <w:pPr>
                    <w:adjustRightInd w:val="0"/>
                    <w:snapToGrid w:val="0"/>
                    <w:spacing w:line="0" w:lineRule="atLeast"/>
                    <w:jc w:val="center"/>
                    <w:rPr>
                      <w:color w:val="auto"/>
                      <w:szCs w:val="21"/>
                    </w:rPr>
                  </w:pPr>
                  <w:r>
                    <w:rPr>
                      <w:rFonts w:hint="eastAsia"/>
                      <w:color w:val="auto"/>
                      <w:szCs w:val="21"/>
                      <w:lang w:val="en-US" w:eastAsia="zh-CN"/>
                    </w:rPr>
                    <w:t>新建</w:t>
                  </w:r>
                </w:p>
              </w:tc>
            </w:tr>
            <w:tr w14:paraId="0C7E6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Merge w:val="continue"/>
                  <w:vAlign w:val="center"/>
                </w:tcPr>
                <w:p w14:paraId="034EFE9E">
                  <w:pPr>
                    <w:adjustRightInd w:val="0"/>
                    <w:snapToGrid w:val="0"/>
                    <w:spacing w:line="0" w:lineRule="atLeast"/>
                    <w:jc w:val="center"/>
                    <w:rPr>
                      <w:color w:val="auto"/>
                      <w:szCs w:val="21"/>
                    </w:rPr>
                  </w:pPr>
                </w:p>
              </w:tc>
              <w:tc>
                <w:tcPr>
                  <w:tcW w:w="589" w:type="pct"/>
                  <w:gridSpan w:val="2"/>
                  <w:vMerge w:val="continue"/>
                  <w:vAlign w:val="center"/>
                </w:tcPr>
                <w:p w14:paraId="29B438C3">
                  <w:pPr>
                    <w:pStyle w:val="19"/>
                    <w:adjustRightInd w:val="0"/>
                    <w:snapToGrid w:val="0"/>
                    <w:spacing w:line="0" w:lineRule="atLeast"/>
                    <w:jc w:val="center"/>
                    <w:rPr>
                      <w:color w:val="auto"/>
                      <w:sz w:val="21"/>
                      <w:szCs w:val="21"/>
                    </w:rPr>
                  </w:pPr>
                </w:p>
              </w:tc>
              <w:tc>
                <w:tcPr>
                  <w:tcW w:w="743" w:type="pct"/>
                  <w:gridSpan w:val="2"/>
                  <w:vAlign w:val="center"/>
                </w:tcPr>
                <w:p w14:paraId="4B0AC599">
                  <w:pPr>
                    <w:widowControl/>
                    <w:jc w:val="center"/>
                    <w:rPr>
                      <w:color w:val="auto"/>
                      <w:szCs w:val="21"/>
                    </w:rPr>
                  </w:pPr>
                  <w:r>
                    <w:rPr>
                      <w:rFonts w:hint="eastAsia"/>
                      <w:color w:val="auto"/>
                      <w:szCs w:val="21"/>
                      <w:lang w:val="en-US" w:eastAsia="zh-CN"/>
                    </w:rPr>
                    <w:t>危险废物贮存库</w:t>
                  </w:r>
                </w:p>
              </w:tc>
              <w:tc>
                <w:tcPr>
                  <w:tcW w:w="3022" w:type="pct"/>
                  <w:gridSpan w:val="2"/>
                  <w:vAlign w:val="center"/>
                </w:tcPr>
                <w:p w14:paraId="09645889">
                  <w:pPr>
                    <w:pStyle w:val="12"/>
                    <w:rPr>
                      <w:color w:val="auto"/>
                      <w:szCs w:val="21"/>
                      <w:vertAlign w:val="subscript"/>
                    </w:rPr>
                  </w:pPr>
                  <w:r>
                    <w:rPr>
                      <w:color w:val="auto"/>
                      <w:szCs w:val="21"/>
                    </w:rPr>
                    <w:t>设置1间占地面积为</w:t>
                  </w:r>
                  <w:r>
                    <w:rPr>
                      <w:rFonts w:hint="eastAsia"/>
                      <w:color w:val="auto"/>
                      <w:szCs w:val="21"/>
                      <w:lang w:val="en-US" w:eastAsia="zh-CN"/>
                    </w:rPr>
                    <w:t>8</w:t>
                  </w:r>
                  <w:r>
                    <w:rPr>
                      <w:color w:val="auto"/>
                      <w:szCs w:val="21"/>
                    </w:rPr>
                    <w:t>m</w:t>
                  </w:r>
                  <w:r>
                    <w:rPr>
                      <w:color w:val="auto"/>
                      <w:szCs w:val="21"/>
                      <w:vertAlign w:val="superscript"/>
                    </w:rPr>
                    <w:t>2</w:t>
                  </w:r>
                  <w:r>
                    <w:rPr>
                      <w:color w:val="auto"/>
                      <w:szCs w:val="21"/>
                    </w:rPr>
                    <w:t>的</w:t>
                  </w:r>
                  <w:r>
                    <w:rPr>
                      <w:rFonts w:hint="eastAsia"/>
                      <w:color w:val="auto"/>
                      <w:szCs w:val="21"/>
                      <w:lang w:val="en-US" w:eastAsia="zh-CN"/>
                    </w:rPr>
                    <w:t>危险废物贮存库</w:t>
                  </w:r>
                  <w:r>
                    <w:rPr>
                      <w:color w:val="auto"/>
                      <w:sz w:val="21"/>
                      <w:szCs w:val="21"/>
                    </w:rPr>
                    <w:t>，并配套</w:t>
                  </w:r>
                  <w:r>
                    <w:rPr>
                      <w:rFonts w:hint="eastAsia"/>
                      <w:color w:val="auto"/>
                      <w:sz w:val="21"/>
                      <w:szCs w:val="21"/>
                      <w:lang w:val="en-US" w:eastAsia="zh-CN"/>
                    </w:rPr>
                    <w:t>3</w:t>
                  </w:r>
                  <w:r>
                    <w:rPr>
                      <w:color w:val="auto"/>
                      <w:sz w:val="21"/>
                      <w:szCs w:val="21"/>
                    </w:rPr>
                    <w:t>个危险废物专用收集容器，用于收集暂存</w:t>
                  </w:r>
                  <w:r>
                    <w:rPr>
                      <w:rFonts w:hint="eastAsia"/>
                      <w:color w:val="auto"/>
                      <w:sz w:val="21"/>
                      <w:szCs w:val="21"/>
                      <w:lang w:eastAsia="zh-CN"/>
                    </w:rPr>
                    <w:t>废气处理过程中产生的废活性炭、</w:t>
                  </w:r>
                  <w:r>
                    <w:rPr>
                      <w:rFonts w:hint="eastAsia"/>
                      <w:color w:val="auto"/>
                      <w:sz w:val="21"/>
                      <w:szCs w:val="21"/>
                      <w:lang w:val="en-US" w:eastAsia="zh-CN"/>
                    </w:rPr>
                    <w:t>设备维护保养</w:t>
                  </w:r>
                  <w:r>
                    <w:rPr>
                      <w:color w:val="auto"/>
                      <w:sz w:val="21"/>
                      <w:szCs w:val="21"/>
                    </w:rPr>
                    <w:t>过程产生的废机油及</w:t>
                  </w:r>
                  <w:r>
                    <w:rPr>
                      <w:rFonts w:hint="eastAsia"/>
                      <w:color w:val="auto"/>
                      <w:sz w:val="21"/>
                      <w:szCs w:val="21"/>
                      <w:lang w:val="en-US" w:eastAsia="zh-CN"/>
                    </w:rPr>
                    <w:t>维护保养</w:t>
                  </w:r>
                  <w:r>
                    <w:rPr>
                      <w:color w:val="auto"/>
                      <w:sz w:val="21"/>
                      <w:szCs w:val="21"/>
                    </w:rPr>
                    <w:t>废物</w:t>
                  </w:r>
                  <w:r>
                    <w:rPr>
                      <w:color w:val="auto"/>
                      <w:szCs w:val="21"/>
                    </w:rPr>
                    <w:t>。</w:t>
                  </w:r>
                  <w:r>
                    <w:rPr>
                      <w:rFonts w:hint="eastAsia"/>
                      <w:color w:val="auto"/>
                      <w:lang w:val="en-US" w:eastAsia="zh-CN"/>
                    </w:rPr>
                    <w:t>危险废物贮存库</w:t>
                  </w:r>
                  <w:r>
                    <w:rPr>
                      <w:color w:val="auto"/>
                      <w:szCs w:val="21"/>
                    </w:rPr>
                    <w:t>地面和四周墙裙脚</w:t>
                  </w:r>
                  <w:r>
                    <w:rPr>
                      <w:color w:val="auto"/>
                      <w:szCs w:val="21"/>
                      <w:lang w:val="zh-CN"/>
                    </w:rPr>
                    <w:t>采用</w:t>
                  </w:r>
                  <w:r>
                    <w:rPr>
                      <w:color w:val="auto"/>
                      <w:szCs w:val="21"/>
                    </w:rPr>
                    <w:t>“抗渗混凝土+2mm厚HDPE+环氧树脂涂料”进行重点防渗处理</w:t>
                  </w:r>
                  <w:r>
                    <w:rPr>
                      <w:color w:val="auto"/>
                      <w:szCs w:val="21"/>
                      <w:lang w:val="zh-CN"/>
                    </w:rPr>
                    <w:t>，渗透系数≤10</w:t>
                  </w:r>
                  <w:r>
                    <w:rPr>
                      <w:color w:val="auto"/>
                      <w:szCs w:val="21"/>
                      <w:vertAlign w:val="superscript"/>
                      <w:lang w:val="zh-CN"/>
                    </w:rPr>
                    <w:t>-10</w:t>
                  </w:r>
                  <w:r>
                    <w:rPr>
                      <w:color w:val="auto"/>
                      <w:szCs w:val="21"/>
                      <w:lang w:val="zh-CN"/>
                    </w:rPr>
                    <w:t>cm/s</w:t>
                  </w:r>
                  <w:r>
                    <w:rPr>
                      <w:color w:val="auto"/>
                      <w:szCs w:val="21"/>
                    </w:rPr>
                    <w:t>，并按照要求设置规范的标识标牌。</w:t>
                  </w:r>
                </w:p>
              </w:tc>
              <w:tc>
                <w:tcPr>
                  <w:tcW w:w="392" w:type="pct"/>
                  <w:vAlign w:val="center"/>
                </w:tcPr>
                <w:p w14:paraId="6BF9B666">
                  <w:pPr>
                    <w:adjustRightInd w:val="0"/>
                    <w:snapToGrid w:val="0"/>
                    <w:spacing w:line="0" w:lineRule="atLeast"/>
                    <w:jc w:val="center"/>
                    <w:rPr>
                      <w:color w:val="auto"/>
                      <w:szCs w:val="21"/>
                    </w:rPr>
                  </w:pPr>
                  <w:r>
                    <w:rPr>
                      <w:rFonts w:hint="eastAsia"/>
                      <w:color w:val="auto"/>
                      <w:szCs w:val="21"/>
                      <w:lang w:val="en-US" w:eastAsia="zh-CN"/>
                    </w:rPr>
                    <w:t>新建</w:t>
                  </w:r>
                </w:p>
              </w:tc>
            </w:tr>
            <w:tr w14:paraId="19335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 w:type="pct"/>
                  <w:vMerge w:val="continue"/>
                  <w:vAlign w:val="center"/>
                </w:tcPr>
                <w:p w14:paraId="506FCFF0">
                  <w:pPr>
                    <w:adjustRightInd w:val="0"/>
                    <w:snapToGrid w:val="0"/>
                    <w:spacing w:line="0" w:lineRule="atLeast"/>
                    <w:jc w:val="center"/>
                    <w:rPr>
                      <w:color w:val="auto"/>
                      <w:szCs w:val="21"/>
                    </w:rPr>
                  </w:pPr>
                </w:p>
              </w:tc>
              <w:tc>
                <w:tcPr>
                  <w:tcW w:w="589" w:type="pct"/>
                  <w:gridSpan w:val="2"/>
                  <w:vAlign w:val="center"/>
                </w:tcPr>
                <w:p w14:paraId="01E83D8F">
                  <w:pPr>
                    <w:widowControl/>
                    <w:jc w:val="center"/>
                    <w:rPr>
                      <w:color w:val="auto"/>
                      <w:szCs w:val="21"/>
                    </w:rPr>
                  </w:pPr>
                  <w:r>
                    <w:rPr>
                      <w:color w:val="auto"/>
                      <w:szCs w:val="21"/>
                    </w:rPr>
                    <w:t>分区防渗</w:t>
                  </w:r>
                </w:p>
              </w:tc>
              <w:tc>
                <w:tcPr>
                  <w:tcW w:w="3765" w:type="pct"/>
                  <w:gridSpan w:val="4"/>
                  <w:vAlign w:val="center"/>
                </w:tcPr>
                <w:p w14:paraId="7BE715A8">
                  <w:pPr>
                    <w:widowControl/>
                    <w:jc w:val="center"/>
                    <w:rPr>
                      <w:color w:val="auto"/>
                      <w:szCs w:val="21"/>
                    </w:rPr>
                  </w:pPr>
                  <w:r>
                    <w:rPr>
                      <w:b/>
                      <w:bCs/>
                      <w:color w:val="auto"/>
                      <w:szCs w:val="21"/>
                    </w:rPr>
                    <w:t>重点防渗：</w:t>
                  </w:r>
                  <w:r>
                    <w:rPr>
                      <w:rFonts w:hint="eastAsia"/>
                      <w:color w:val="auto"/>
                      <w:szCs w:val="21"/>
                      <w:lang w:val="en-US" w:eastAsia="zh-CN"/>
                    </w:rPr>
                    <w:t>危险废物贮存库</w:t>
                  </w:r>
                  <w:r>
                    <w:rPr>
                      <w:color w:val="auto"/>
                      <w:szCs w:val="21"/>
                      <w:lang w:val="zh-CN"/>
                    </w:rPr>
                    <w:t>地面及</w:t>
                  </w:r>
                  <w:r>
                    <w:rPr>
                      <w:color w:val="auto"/>
                      <w:szCs w:val="21"/>
                    </w:rPr>
                    <w:t>四周墙裙脚</w:t>
                  </w:r>
                  <w:r>
                    <w:rPr>
                      <w:color w:val="auto"/>
                      <w:szCs w:val="21"/>
                      <w:lang w:val="zh-CN"/>
                    </w:rPr>
                    <w:t>采用“</w:t>
                  </w:r>
                  <w:r>
                    <w:rPr>
                      <w:color w:val="auto"/>
                      <w:szCs w:val="21"/>
                    </w:rPr>
                    <w:t>抗渗混凝土</w:t>
                  </w:r>
                  <w:r>
                    <w:rPr>
                      <w:color w:val="auto"/>
                      <w:szCs w:val="21"/>
                      <w:lang w:val="zh-CN"/>
                    </w:rPr>
                    <w:t>+2mm厚HDPE+环氧树脂”</w:t>
                  </w:r>
                  <w:r>
                    <w:rPr>
                      <w:color w:val="auto"/>
                      <w:szCs w:val="21"/>
                    </w:rPr>
                    <w:t>进行重点防渗处理</w:t>
                  </w:r>
                  <w:r>
                    <w:rPr>
                      <w:color w:val="auto"/>
                      <w:szCs w:val="21"/>
                      <w:lang w:val="zh-CN"/>
                    </w:rPr>
                    <w:t>，渗透系数≤10</w:t>
                  </w:r>
                  <w:r>
                    <w:rPr>
                      <w:color w:val="auto"/>
                      <w:szCs w:val="21"/>
                      <w:vertAlign w:val="superscript"/>
                      <w:lang w:val="zh-CN"/>
                    </w:rPr>
                    <w:t>-10</w:t>
                  </w:r>
                  <w:r>
                    <w:rPr>
                      <w:color w:val="auto"/>
                      <w:szCs w:val="21"/>
                      <w:lang w:val="zh-CN"/>
                    </w:rPr>
                    <w:t>cm/s</w:t>
                  </w:r>
                  <w:r>
                    <w:rPr>
                      <w:color w:val="auto"/>
                      <w:szCs w:val="21"/>
                    </w:rPr>
                    <w:t>，并按照要求设置规范的标识、标牌；</w:t>
                  </w:r>
                  <w:r>
                    <w:rPr>
                      <w:color w:val="auto"/>
                      <w:szCs w:val="21"/>
                      <w:lang w:val="zh-CN"/>
                    </w:rPr>
                    <w:t>采用“</w:t>
                  </w:r>
                  <w:r>
                    <w:rPr>
                      <w:color w:val="auto"/>
                      <w:szCs w:val="21"/>
                    </w:rPr>
                    <w:t>抗渗混凝土</w:t>
                  </w:r>
                  <w:r>
                    <w:rPr>
                      <w:color w:val="auto"/>
                      <w:szCs w:val="21"/>
                      <w:lang w:val="zh-CN"/>
                    </w:rPr>
                    <w:t>+2mm厚HDPE+环氧树脂”</w:t>
                  </w:r>
                  <w:r>
                    <w:rPr>
                      <w:color w:val="auto"/>
                      <w:szCs w:val="21"/>
                    </w:rPr>
                    <w:t>进行重点防渗处理，</w:t>
                  </w:r>
                  <w:r>
                    <w:rPr>
                      <w:color w:val="auto"/>
                      <w:kern w:val="0"/>
                      <w:szCs w:val="21"/>
                    </w:rPr>
                    <w:t>等效粘土防渗层Mb≥6.0m，渗透系数≤1×10</w:t>
                  </w:r>
                  <w:r>
                    <w:rPr>
                      <w:color w:val="auto"/>
                      <w:kern w:val="0"/>
                      <w:szCs w:val="21"/>
                      <w:vertAlign w:val="superscript"/>
                    </w:rPr>
                    <w:t>-10</w:t>
                  </w:r>
                  <w:r>
                    <w:rPr>
                      <w:color w:val="auto"/>
                      <w:kern w:val="0"/>
                      <w:szCs w:val="21"/>
                    </w:rPr>
                    <w:t>cm/s</w:t>
                  </w:r>
                  <w:r>
                    <w:rPr>
                      <w:color w:val="auto"/>
                      <w:szCs w:val="21"/>
                    </w:rPr>
                    <w:t>。</w:t>
                  </w:r>
                </w:p>
                <w:p w14:paraId="65F858BD">
                  <w:pPr>
                    <w:widowControl/>
                    <w:jc w:val="center"/>
                    <w:rPr>
                      <w:color w:val="auto"/>
                      <w:szCs w:val="21"/>
                    </w:rPr>
                  </w:pPr>
                  <w:r>
                    <w:rPr>
                      <w:b/>
                      <w:bCs/>
                      <w:color w:val="auto"/>
                      <w:szCs w:val="21"/>
                    </w:rPr>
                    <w:t>一般防渗区：</w:t>
                  </w:r>
                  <w:r>
                    <w:rPr>
                      <w:rFonts w:hint="eastAsia"/>
                      <w:color w:val="auto"/>
                      <w:sz w:val="21"/>
                      <w:szCs w:val="21"/>
                      <w:highlight w:val="none"/>
                      <w:lang w:val="en-US" w:eastAsia="zh-CN"/>
                    </w:rPr>
                    <w:t>一体化</w:t>
                  </w:r>
                  <w:r>
                    <w:rPr>
                      <w:rFonts w:hint="eastAsia"/>
                      <w:color w:val="auto"/>
                      <w:sz w:val="21"/>
                      <w:szCs w:val="21"/>
                      <w:highlight w:val="none"/>
                    </w:rPr>
                    <w:t>污水处理</w:t>
                  </w:r>
                  <w:r>
                    <w:rPr>
                      <w:rFonts w:hint="eastAsia"/>
                      <w:color w:val="auto"/>
                      <w:sz w:val="21"/>
                      <w:szCs w:val="21"/>
                      <w:highlight w:val="none"/>
                      <w:lang w:val="en-US" w:eastAsia="zh-CN"/>
                    </w:rPr>
                    <w:t>站</w:t>
                  </w:r>
                  <w:r>
                    <w:rPr>
                      <w:rFonts w:hint="eastAsia"/>
                      <w:color w:val="auto"/>
                      <w:sz w:val="21"/>
                      <w:szCs w:val="21"/>
                      <w:highlight w:val="none"/>
                    </w:rPr>
                    <w:t>、</w:t>
                  </w:r>
                  <w:r>
                    <w:rPr>
                      <w:rFonts w:hint="eastAsia" w:ascii="Times New Roman" w:hAnsi="Times New Roman" w:eastAsia="宋体" w:cs="Times New Roman"/>
                      <w:color w:val="auto"/>
                      <w:kern w:val="0"/>
                      <w:sz w:val="21"/>
                      <w:szCs w:val="21"/>
                    </w:rPr>
                    <w:t>化粪池、隔油池、</w:t>
                  </w:r>
                  <w:r>
                    <w:rPr>
                      <w:rFonts w:hint="eastAsia" w:ascii="Times New Roman" w:hAnsi="Times New Roman" w:eastAsia="宋体" w:cs="Times New Roman"/>
                      <w:color w:val="auto"/>
                      <w:kern w:val="0"/>
                      <w:sz w:val="21"/>
                      <w:szCs w:val="21"/>
                      <w:lang w:val="en-US" w:eastAsia="zh-CN"/>
                    </w:rPr>
                    <w:t>蓄水池</w:t>
                  </w:r>
                  <w:r>
                    <w:rPr>
                      <w:rFonts w:hint="eastAsia" w:cs="Times New Roman"/>
                      <w:color w:val="auto"/>
                      <w:kern w:val="0"/>
                      <w:sz w:val="21"/>
                      <w:szCs w:val="21"/>
                      <w:lang w:val="en-US" w:eastAsia="zh-CN"/>
                    </w:rPr>
                    <w:t>、</w:t>
                  </w:r>
                  <w:r>
                    <w:rPr>
                      <w:rFonts w:ascii="Times New Roman" w:hAnsi="Times New Roman" w:eastAsia="宋体" w:cs="Times New Roman"/>
                      <w:color w:val="auto"/>
                      <w:kern w:val="0"/>
                      <w:sz w:val="21"/>
                      <w:szCs w:val="21"/>
                    </w:rPr>
                    <w:t>一般固体废物暂存</w:t>
                  </w:r>
                  <w:r>
                    <w:rPr>
                      <w:rFonts w:hint="eastAsia" w:ascii="Times New Roman" w:hAnsi="Times New Roman" w:eastAsia="宋体" w:cs="Times New Roman"/>
                      <w:color w:val="auto"/>
                      <w:kern w:val="0"/>
                      <w:sz w:val="21"/>
                      <w:szCs w:val="21"/>
                    </w:rPr>
                    <w:t>间</w:t>
                  </w:r>
                  <w:r>
                    <w:rPr>
                      <w:color w:val="auto"/>
                      <w:szCs w:val="21"/>
                      <w:lang w:val="zh-CN"/>
                    </w:rPr>
                    <w:t>防渗技术要求达到等效黏土防渗层Mb≥1.5m，渗透系数≤10</w:t>
                  </w:r>
                  <w:r>
                    <w:rPr>
                      <w:color w:val="auto"/>
                      <w:szCs w:val="21"/>
                      <w:vertAlign w:val="superscript"/>
                      <w:lang w:val="zh-CN"/>
                    </w:rPr>
                    <w:t>-</w:t>
                  </w:r>
                  <w:r>
                    <w:rPr>
                      <w:color w:val="auto"/>
                      <w:szCs w:val="21"/>
                      <w:vertAlign w:val="superscript"/>
                    </w:rPr>
                    <w:t>7</w:t>
                  </w:r>
                  <w:r>
                    <w:rPr>
                      <w:color w:val="auto"/>
                      <w:szCs w:val="21"/>
                      <w:lang w:val="zh-CN"/>
                    </w:rPr>
                    <w:t>cm/s。</w:t>
                  </w:r>
                </w:p>
                <w:p w14:paraId="0FB19517">
                  <w:pPr>
                    <w:widowControl/>
                    <w:jc w:val="center"/>
                    <w:rPr>
                      <w:color w:val="auto"/>
                      <w:szCs w:val="21"/>
                    </w:rPr>
                  </w:pPr>
                  <w:r>
                    <w:rPr>
                      <w:b/>
                      <w:bCs/>
                      <w:color w:val="auto"/>
                      <w:szCs w:val="21"/>
                    </w:rPr>
                    <w:t>简单防渗区：</w:t>
                  </w:r>
                  <w:r>
                    <w:rPr>
                      <w:color w:val="auto"/>
                      <w:szCs w:val="21"/>
                      <w:lang w:val="zh-CN"/>
                    </w:rPr>
                    <w:t>其余生产区、</w:t>
                  </w:r>
                  <w:r>
                    <w:rPr>
                      <w:color w:val="auto"/>
                      <w:szCs w:val="21"/>
                    </w:rPr>
                    <w:t>道路及办公区域（除绿化外）</w:t>
                  </w:r>
                  <w:r>
                    <w:rPr>
                      <w:color w:val="auto"/>
                      <w:szCs w:val="21"/>
                      <w:lang w:val="zh-CN"/>
                    </w:rPr>
                    <w:t>进行一般</w:t>
                  </w:r>
                  <w:r>
                    <w:rPr>
                      <w:color w:val="auto"/>
                      <w:szCs w:val="21"/>
                    </w:rPr>
                    <w:t>硬化处理。</w:t>
                  </w:r>
                </w:p>
              </w:tc>
              <w:tc>
                <w:tcPr>
                  <w:tcW w:w="392" w:type="pct"/>
                  <w:vAlign w:val="center"/>
                </w:tcPr>
                <w:p w14:paraId="11313147">
                  <w:pPr>
                    <w:adjustRightInd w:val="0"/>
                    <w:snapToGrid w:val="0"/>
                    <w:spacing w:line="0" w:lineRule="atLeast"/>
                    <w:jc w:val="center"/>
                    <w:rPr>
                      <w:color w:val="auto"/>
                      <w:szCs w:val="21"/>
                    </w:rPr>
                  </w:pPr>
                  <w:r>
                    <w:rPr>
                      <w:rFonts w:hint="eastAsia"/>
                      <w:color w:val="auto"/>
                      <w:szCs w:val="21"/>
                    </w:rPr>
                    <w:t>新建</w:t>
                  </w:r>
                </w:p>
              </w:tc>
            </w:tr>
            <w:tr w14:paraId="3E73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2" w:type="pct"/>
                  <w:gridSpan w:val="3"/>
                  <w:vAlign w:val="center"/>
                </w:tcPr>
                <w:p w14:paraId="48A01FE5">
                  <w:pPr>
                    <w:widowControl/>
                    <w:spacing w:line="240" w:lineRule="auto"/>
                    <w:ind w:firstLine="0" w:firstLineChars="0"/>
                    <w:jc w:val="center"/>
                    <w:rPr>
                      <w:color w:val="auto"/>
                      <w:szCs w:val="21"/>
                    </w:rPr>
                  </w:pPr>
                  <w:r>
                    <w:rPr>
                      <w:rFonts w:hint="default" w:ascii="Times New Roman" w:hAnsi="Times New Roman" w:eastAsia="宋体" w:cs="Times New Roman"/>
                      <w:color w:val="auto"/>
                      <w:sz w:val="21"/>
                      <w:szCs w:val="21"/>
                      <w:highlight w:val="none"/>
                      <w:lang w:val="en-US" w:eastAsia="zh-CN"/>
                    </w:rPr>
                    <w:t>绿化</w:t>
                  </w:r>
                </w:p>
              </w:tc>
              <w:tc>
                <w:tcPr>
                  <w:tcW w:w="3765" w:type="pct"/>
                  <w:gridSpan w:val="4"/>
                  <w:vAlign w:val="center"/>
                </w:tcPr>
                <w:p w14:paraId="6EA3B067">
                  <w:pPr>
                    <w:widowControl/>
                    <w:spacing w:line="240" w:lineRule="auto"/>
                    <w:ind w:firstLine="0" w:firstLineChars="0"/>
                    <w:jc w:val="center"/>
                    <w:rPr>
                      <w:b/>
                      <w:bCs/>
                      <w:color w:val="auto"/>
                      <w:szCs w:val="21"/>
                    </w:rPr>
                  </w:pPr>
                  <w:r>
                    <w:rPr>
                      <w:rFonts w:hint="default" w:ascii="Times New Roman" w:hAnsi="Times New Roman" w:eastAsia="宋体" w:cs="Times New Roman"/>
                      <w:color w:val="auto"/>
                      <w:kern w:val="0"/>
                      <w:sz w:val="21"/>
                      <w:szCs w:val="21"/>
                      <w:highlight w:val="none"/>
                    </w:rPr>
                    <w:t>厂区</w:t>
                  </w:r>
                  <w:r>
                    <w:rPr>
                      <w:rFonts w:hint="default" w:ascii="Times New Roman" w:hAnsi="Times New Roman" w:eastAsia="宋体" w:cs="Times New Roman"/>
                      <w:color w:val="auto"/>
                      <w:kern w:val="0"/>
                      <w:sz w:val="21"/>
                      <w:szCs w:val="21"/>
                      <w:highlight w:val="none"/>
                      <w:lang w:val="en-US" w:eastAsia="zh-CN"/>
                    </w:rPr>
                    <w:t>设置了</w:t>
                  </w:r>
                  <w:r>
                    <w:rPr>
                      <w:rFonts w:hint="default" w:ascii="Times New Roman" w:hAnsi="Times New Roman" w:eastAsia="宋体" w:cs="Times New Roman"/>
                      <w:color w:val="auto"/>
                      <w:kern w:val="0"/>
                      <w:sz w:val="21"/>
                      <w:szCs w:val="21"/>
                      <w:highlight w:val="none"/>
                    </w:rPr>
                    <w:t>面积约</w:t>
                  </w:r>
                  <w:r>
                    <w:rPr>
                      <w:rFonts w:hint="default" w:ascii="Times New Roman" w:hAnsi="Times New Roman" w:eastAsia="宋体" w:cs="Times New Roman"/>
                      <w:color w:val="auto"/>
                      <w:kern w:val="0"/>
                      <w:sz w:val="21"/>
                      <w:szCs w:val="21"/>
                      <w:highlight w:val="none"/>
                      <w:lang w:val="en-US" w:eastAsia="zh-CN"/>
                    </w:rPr>
                    <w:t>为10</w:t>
                  </w:r>
                  <w:r>
                    <w:rPr>
                      <w:rFonts w:hint="default" w:ascii="Times New Roman" w:hAnsi="Times New Roman" w:eastAsia="宋体" w:cs="Times New Roman"/>
                      <w:color w:val="auto"/>
                      <w:kern w:val="0"/>
                      <w:sz w:val="21"/>
                      <w:szCs w:val="21"/>
                      <w:highlight w:val="none"/>
                    </w:rPr>
                    <w:t>0m</w:t>
                  </w:r>
                  <w:r>
                    <w:rPr>
                      <w:rFonts w:hint="default" w:ascii="Times New Roman" w:hAnsi="Times New Roman" w:eastAsia="宋体" w:cs="Times New Roman"/>
                      <w:color w:val="auto"/>
                      <w:kern w:val="0"/>
                      <w:sz w:val="21"/>
                      <w:szCs w:val="21"/>
                      <w:highlight w:val="none"/>
                      <w:vertAlign w:val="superscript"/>
                    </w:rPr>
                    <w:t>2</w:t>
                  </w:r>
                  <w:r>
                    <w:rPr>
                      <w:rFonts w:hint="default" w:ascii="Times New Roman" w:hAnsi="Times New Roman" w:eastAsia="宋体" w:cs="Times New Roman"/>
                      <w:color w:val="auto"/>
                      <w:kern w:val="0"/>
                      <w:sz w:val="21"/>
                      <w:szCs w:val="21"/>
                      <w:highlight w:val="none"/>
                      <w:lang w:val="en-US" w:eastAsia="zh-CN"/>
                    </w:rPr>
                    <w:t>的</w:t>
                  </w:r>
                  <w:r>
                    <w:rPr>
                      <w:rFonts w:hint="default" w:ascii="Times New Roman" w:hAnsi="Times New Roman" w:eastAsia="宋体" w:cs="Times New Roman"/>
                      <w:color w:val="auto"/>
                      <w:kern w:val="0"/>
                      <w:sz w:val="21"/>
                      <w:szCs w:val="21"/>
                      <w:highlight w:val="none"/>
                    </w:rPr>
                    <w:t>绿化。</w:t>
                  </w:r>
                </w:p>
              </w:tc>
              <w:tc>
                <w:tcPr>
                  <w:tcW w:w="392" w:type="pct"/>
                  <w:vAlign w:val="center"/>
                </w:tcPr>
                <w:p w14:paraId="1499BB08">
                  <w:pPr>
                    <w:widowControl/>
                    <w:spacing w:line="240" w:lineRule="auto"/>
                    <w:ind w:firstLine="0" w:firstLineChars="0"/>
                    <w:jc w:val="center"/>
                    <w:rPr>
                      <w:rFonts w:hint="eastAsia"/>
                      <w:color w:val="auto"/>
                      <w:szCs w:val="21"/>
                    </w:rPr>
                  </w:pPr>
                  <w:r>
                    <w:rPr>
                      <w:rFonts w:hint="eastAsia"/>
                      <w:color w:val="auto"/>
                      <w:kern w:val="0"/>
                      <w:szCs w:val="21"/>
                      <w:lang w:val="en-US" w:eastAsia="zh-CN"/>
                    </w:rPr>
                    <w:t>厂房配套、依托使用</w:t>
                  </w:r>
                </w:p>
              </w:tc>
            </w:tr>
          </w:tbl>
          <w:p w14:paraId="2B57C65E">
            <w:pPr>
              <w:pStyle w:val="17"/>
              <w:adjustRightInd w:val="0"/>
              <w:snapToGrid w:val="0"/>
              <w:spacing w:line="360" w:lineRule="auto"/>
              <w:ind w:firstLine="482" w:firstLineChars="200"/>
              <w:rPr>
                <w:rFonts w:ascii="Times New Roman" w:hAnsi="Times New Roman"/>
                <w:b/>
                <w:color w:val="auto"/>
                <w:sz w:val="24"/>
              </w:rPr>
            </w:pPr>
            <w:r>
              <w:rPr>
                <w:rFonts w:hint="eastAsia" w:ascii="Times New Roman" w:hAnsi="Times New Roman"/>
                <w:b/>
                <w:color w:val="auto"/>
                <w:sz w:val="24"/>
              </w:rPr>
              <w:t>3、</w:t>
            </w:r>
            <w:r>
              <w:rPr>
                <w:rFonts w:ascii="Times New Roman" w:hAnsi="Times New Roman"/>
                <w:b/>
                <w:color w:val="auto"/>
                <w:sz w:val="24"/>
              </w:rPr>
              <w:t>产品方案及规模</w:t>
            </w:r>
          </w:p>
          <w:p w14:paraId="013963B7">
            <w:pPr>
              <w:widowControl/>
              <w:adjustRightInd w:val="0"/>
              <w:snapToGrid w:val="0"/>
              <w:spacing w:line="360" w:lineRule="auto"/>
              <w:ind w:left="479" w:leftChars="228"/>
              <w:jc w:val="left"/>
              <w:rPr>
                <w:color w:val="auto"/>
                <w:sz w:val="24"/>
              </w:rPr>
            </w:pPr>
            <w:r>
              <w:rPr>
                <w:rFonts w:hint="eastAsia"/>
                <w:color w:val="auto"/>
                <w:kern w:val="0"/>
                <w:sz w:val="24"/>
              </w:rPr>
              <w:t>项目建成后</w:t>
            </w:r>
            <w:r>
              <w:rPr>
                <w:rFonts w:hint="default" w:ascii="Times New Roman" w:hAnsi="Times New Roman" w:eastAsia="宋体" w:cs="Times New Roman"/>
                <w:color w:val="auto"/>
                <w:sz w:val="24"/>
                <w:szCs w:val="24"/>
                <w:highlight w:val="none"/>
                <w:lang w:val="en-US" w:eastAsia="zh-CN"/>
              </w:rPr>
              <w:t>年产</w:t>
            </w:r>
            <w:r>
              <w:rPr>
                <w:rFonts w:hint="eastAsia" w:ascii="Times New Roman" w:hAnsi="Times New Roman" w:eastAsia="宋体" w:cs="Times New Roman"/>
                <w:color w:val="auto"/>
                <w:sz w:val="24"/>
                <w:szCs w:val="24"/>
                <w:highlight w:val="none"/>
                <w:lang w:val="en-US" w:eastAsia="zh-CN"/>
              </w:rPr>
              <w:t>各类塑料包装箱及容器8691吨</w:t>
            </w:r>
            <w:r>
              <w:rPr>
                <w:rFonts w:hint="eastAsia"/>
                <w:color w:val="auto"/>
                <w:kern w:val="0"/>
                <w:sz w:val="24"/>
              </w:rPr>
              <w:t>。</w:t>
            </w:r>
          </w:p>
          <w:p w14:paraId="0F6A47FF">
            <w:pPr>
              <w:adjustRightInd w:val="0"/>
              <w:snapToGrid w:val="0"/>
              <w:spacing w:line="360" w:lineRule="auto"/>
              <w:ind w:firstLine="480" w:firstLineChars="200"/>
              <w:rPr>
                <w:color w:val="auto"/>
                <w:sz w:val="24"/>
              </w:rPr>
            </w:pPr>
            <w:r>
              <w:rPr>
                <w:color w:val="auto"/>
                <w:sz w:val="24"/>
              </w:rPr>
              <w:t>项目主要产品见表2-</w:t>
            </w:r>
            <w:r>
              <w:rPr>
                <w:rFonts w:hint="eastAsia"/>
                <w:color w:val="auto"/>
                <w:sz w:val="24"/>
              </w:rPr>
              <w:t>2</w:t>
            </w:r>
            <w:r>
              <w:rPr>
                <w:color w:val="auto"/>
                <w:sz w:val="24"/>
              </w:rPr>
              <w:t>。</w:t>
            </w:r>
          </w:p>
          <w:p w14:paraId="062CE771">
            <w:pPr>
              <w:jc w:val="center"/>
              <w:rPr>
                <w:rFonts w:hint="default" w:ascii="Times New Roman" w:hAnsi="Times New Roman" w:eastAsia="宋体" w:cs="Times New Roman"/>
                <w:b/>
                <w:bCs/>
                <w:color w:val="auto"/>
                <w:sz w:val="21"/>
                <w:szCs w:val="21"/>
                <w:highlight w:val="none"/>
              </w:rPr>
            </w:pPr>
            <w:r>
              <w:rPr>
                <w:b/>
                <w:bCs/>
                <w:color w:val="auto"/>
                <w:szCs w:val="21"/>
              </w:rPr>
              <w:t>表2-</w:t>
            </w:r>
            <w:r>
              <w:rPr>
                <w:rFonts w:hint="eastAsia"/>
                <w:b/>
                <w:bCs/>
                <w:color w:val="auto"/>
                <w:szCs w:val="21"/>
              </w:rPr>
              <w:t>2</w:t>
            </w:r>
            <w:r>
              <w:rPr>
                <w:b/>
                <w:bCs/>
                <w:color w:val="auto"/>
                <w:szCs w:val="21"/>
              </w:rPr>
              <w:t xml:space="preserve">  项目产品方案一览</w:t>
            </w:r>
            <w:r>
              <w:rPr>
                <w:rFonts w:hint="default" w:ascii="Times New Roman" w:hAnsi="Times New Roman" w:eastAsia="宋体" w:cs="Times New Roman"/>
                <w:b/>
                <w:bCs/>
                <w:color w:val="auto"/>
                <w:sz w:val="21"/>
                <w:szCs w:val="21"/>
                <w:highlight w:val="none"/>
              </w:rPr>
              <w:t>表</w:t>
            </w:r>
          </w:p>
          <w:tbl>
            <w:tblPr>
              <w:tblStyle w:val="30"/>
              <w:tblW w:w="4995"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649"/>
              <w:gridCol w:w="1310"/>
              <w:gridCol w:w="1207"/>
              <w:gridCol w:w="1092"/>
              <w:gridCol w:w="1241"/>
              <w:gridCol w:w="1879"/>
              <w:gridCol w:w="1043"/>
            </w:tblGrid>
            <w:tr w14:paraId="4EC494A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5" w:type="pct"/>
                  <w:tcBorders>
                    <w:tl2br w:val="nil"/>
                    <w:tr2bl w:val="nil"/>
                  </w:tcBorders>
                  <w:noWrap w:val="0"/>
                  <w:vAlign w:val="center"/>
                </w:tcPr>
                <w:p w14:paraId="017AAC7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777" w:type="pct"/>
                  <w:tcBorders>
                    <w:tl2br w:val="nil"/>
                    <w:tr2bl w:val="nil"/>
                  </w:tcBorders>
                  <w:noWrap w:val="0"/>
                  <w:vAlign w:val="center"/>
                </w:tcPr>
                <w:p w14:paraId="7F3DAD3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产品</w:t>
                  </w:r>
                  <w:r>
                    <w:rPr>
                      <w:rFonts w:hint="default" w:ascii="Times New Roman" w:hAnsi="Times New Roman" w:eastAsia="宋体" w:cs="Times New Roman"/>
                      <w:b/>
                      <w:bCs/>
                      <w:color w:val="auto"/>
                      <w:sz w:val="21"/>
                      <w:szCs w:val="21"/>
                      <w:highlight w:val="none"/>
                    </w:rPr>
                    <w:t>名称</w:t>
                  </w:r>
                </w:p>
              </w:tc>
              <w:tc>
                <w:tcPr>
                  <w:tcW w:w="716" w:type="pct"/>
                  <w:tcBorders>
                    <w:tl2br w:val="nil"/>
                    <w:tr2bl w:val="nil"/>
                  </w:tcBorders>
                  <w:noWrap w:val="0"/>
                  <w:vAlign w:val="center"/>
                </w:tcPr>
                <w:p w14:paraId="3151C83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产品</w:t>
                  </w:r>
                  <w:r>
                    <w:rPr>
                      <w:rFonts w:hint="default" w:ascii="Times New Roman" w:hAnsi="Times New Roman" w:eastAsia="宋体" w:cs="Times New Roman"/>
                      <w:b/>
                      <w:bCs/>
                      <w:color w:val="auto"/>
                      <w:sz w:val="21"/>
                      <w:szCs w:val="21"/>
                      <w:highlight w:val="none"/>
                      <w:lang w:val="en-US" w:eastAsia="zh-CN"/>
                    </w:rPr>
                    <w:t>重量</w:t>
                  </w:r>
                </w:p>
              </w:tc>
              <w:tc>
                <w:tcPr>
                  <w:tcW w:w="648" w:type="pct"/>
                  <w:tcBorders>
                    <w:tl2br w:val="nil"/>
                    <w:tr2bl w:val="nil"/>
                  </w:tcBorders>
                  <w:noWrap w:val="0"/>
                  <w:vAlign w:val="center"/>
                </w:tcPr>
                <w:p w14:paraId="65550C2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产量</w:t>
                  </w:r>
                </w:p>
              </w:tc>
              <w:tc>
                <w:tcPr>
                  <w:tcW w:w="736" w:type="pct"/>
                  <w:tcBorders>
                    <w:tl2br w:val="nil"/>
                    <w:tr2bl w:val="nil"/>
                  </w:tcBorders>
                  <w:noWrap w:val="0"/>
                  <w:vAlign w:val="center"/>
                </w:tcPr>
                <w:p w14:paraId="6B874E3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产品总重</w:t>
                  </w:r>
                </w:p>
              </w:tc>
              <w:tc>
                <w:tcPr>
                  <w:tcW w:w="1115" w:type="pct"/>
                  <w:tcBorders>
                    <w:tl2br w:val="nil"/>
                    <w:tr2bl w:val="nil"/>
                  </w:tcBorders>
                  <w:noWrap w:val="0"/>
                  <w:vAlign w:val="center"/>
                </w:tcPr>
                <w:p w14:paraId="66F5D78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备注</w:t>
                  </w:r>
                </w:p>
              </w:tc>
              <w:tc>
                <w:tcPr>
                  <w:tcW w:w="619" w:type="pct"/>
                  <w:tcBorders>
                    <w:tl2br w:val="nil"/>
                    <w:tr2bl w:val="nil"/>
                  </w:tcBorders>
                  <w:noWrap w:val="0"/>
                  <w:vAlign w:val="center"/>
                </w:tcPr>
                <w:p w14:paraId="3FCD55BC">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原料</w:t>
                  </w:r>
                </w:p>
              </w:tc>
            </w:tr>
            <w:tr w14:paraId="0B099EC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5" w:type="pct"/>
                  <w:tcBorders>
                    <w:tl2br w:val="nil"/>
                    <w:tr2bl w:val="nil"/>
                  </w:tcBorders>
                  <w:noWrap w:val="0"/>
                  <w:vAlign w:val="center"/>
                </w:tcPr>
                <w:p w14:paraId="6FBEE3D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777" w:type="pct"/>
                  <w:tcBorders>
                    <w:tl2br w:val="nil"/>
                    <w:tr2bl w:val="nil"/>
                  </w:tcBorders>
                  <w:noWrap w:val="0"/>
                  <w:vAlign w:val="center"/>
                </w:tcPr>
                <w:p w14:paraId="1B650F7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周转筐</w:t>
                  </w:r>
                </w:p>
              </w:tc>
              <w:tc>
                <w:tcPr>
                  <w:tcW w:w="716" w:type="pct"/>
                  <w:tcBorders>
                    <w:tl2br w:val="nil"/>
                    <w:tr2bl w:val="nil"/>
                  </w:tcBorders>
                  <w:noWrap w:val="0"/>
                  <w:vAlign w:val="center"/>
                </w:tcPr>
                <w:p w14:paraId="5DD5DF2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1250</w:t>
                  </w:r>
                  <w:r>
                    <w:rPr>
                      <w:rFonts w:hint="default" w:ascii="Times New Roman" w:hAnsi="Times New Roman" w:eastAsia="宋体" w:cs="Times New Roman"/>
                      <w:b w:val="0"/>
                      <w:bCs w:val="0"/>
                      <w:color w:val="auto"/>
                      <w:sz w:val="21"/>
                      <w:szCs w:val="21"/>
                      <w:highlight w:val="none"/>
                      <w:lang w:val="en-US" w:eastAsia="zh-CN"/>
                    </w:rPr>
                    <w:t>g/</w:t>
                  </w:r>
                  <w:r>
                    <w:rPr>
                      <w:rFonts w:hint="eastAsia" w:ascii="Times New Roman" w:hAnsi="Times New Roman" w:eastAsia="宋体" w:cs="Times New Roman"/>
                      <w:b w:val="0"/>
                      <w:bCs w:val="0"/>
                      <w:color w:val="auto"/>
                      <w:sz w:val="21"/>
                      <w:szCs w:val="21"/>
                      <w:highlight w:val="none"/>
                      <w:lang w:val="en-US" w:eastAsia="zh-CN"/>
                    </w:rPr>
                    <w:t>套</w:t>
                  </w:r>
                </w:p>
              </w:tc>
              <w:tc>
                <w:tcPr>
                  <w:tcW w:w="648" w:type="pct"/>
                  <w:tcBorders>
                    <w:tl2br w:val="nil"/>
                    <w:tr2bl w:val="nil"/>
                  </w:tcBorders>
                  <w:noWrap w:val="0"/>
                  <w:vAlign w:val="center"/>
                </w:tcPr>
                <w:p w14:paraId="42E688C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1800套</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d</w:t>
                  </w:r>
                </w:p>
              </w:tc>
              <w:tc>
                <w:tcPr>
                  <w:tcW w:w="736" w:type="pct"/>
                  <w:tcBorders>
                    <w:tl2br w:val="nil"/>
                    <w:tr2bl w:val="nil"/>
                  </w:tcBorders>
                  <w:noWrap w:val="0"/>
                  <w:vAlign w:val="center"/>
                </w:tcPr>
                <w:p w14:paraId="38B20D4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675</w:t>
                  </w:r>
                  <w:r>
                    <w:rPr>
                      <w:rFonts w:hint="default" w:ascii="Times New Roman" w:hAnsi="Times New Roman" w:eastAsia="宋体" w:cs="Times New Roman"/>
                      <w:b w:val="0"/>
                      <w:bCs w:val="0"/>
                      <w:color w:val="auto"/>
                      <w:sz w:val="21"/>
                      <w:szCs w:val="21"/>
                      <w:highlight w:val="none"/>
                      <w:lang w:val="en-US" w:eastAsia="zh-CN"/>
                    </w:rPr>
                    <w:t>t/a</w:t>
                  </w:r>
                </w:p>
              </w:tc>
              <w:tc>
                <w:tcPr>
                  <w:tcW w:w="1115" w:type="pct"/>
                  <w:tcBorders>
                    <w:tl2br w:val="nil"/>
                    <w:tr2bl w:val="nil"/>
                  </w:tcBorders>
                  <w:noWrap w:val="0"/>
                  <w:vAlign w:val="center"/>
                </w:tcPr>
                <w:p w14:paraId="15142C3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长约58cm，宽约38cm，高约16cm</w:t>
                  </w:r>
                </w:p>
              </w:tc>
              <w:tc>
                <w:tcPr>
                  <w:tcW w:w="619" w:type="pct"/>
                  <w:vMerge w:val="restart"/>
                  <w:tcBorders>
                    <w:tl2br w:val="nil"/>
                    <w:tr2bl w:val="nil"/>
                  </w:tcBorders>
                  <w:noWrap w:val="0"/>
                  <w:vAlign w:val="center"/>
                </w:tcPr>
                <w:p w14:paraId="625B59B3">
                  <w:pPr>
                    <w:keepNext w:val="0"/>
                    <w:keepLines w:val="0"/>
                    <w:widowControl w:val="0"/>
                    <w:suppressLineNumbers w:val="0"/>
                    <w:spacing w:before="0" w:beforeAutospacing="0" w:after="0" w:afterAutospacing="0"/>
                    <w:ind w:left="0" w:leftChars="0" w:right="0" w:rightChars="0"/>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聚丙烯（PP）新料、聚乙烯（PE）</w:t>
                  </w:r>
                  <w:r>
                    <w:rPr>
                      <w:rFonts w:hint="default" w:ascii="Times New Roman" w:hAnsi="Times New Roman" w:eastAsia="宋体" w:cs="Times New Roman"/>
                      <w:b w:val="0"/>
                      <w:bCs w:val="0"/>
                      <w:color w:val="auto"/>
                      <w:sz w:val="21"/>
                      <w:szCs w:val="21"/>
                      <w:highlight w:val="none"/>
                      <w:lang w:val="en-US" w:eastAsia="zh-CN"/>
                    </w:rPr>
                    <w:t>新料</w:t>
                  </w:r>
                  <w:r>
                    <w:rPr>
                      <w:rFonts w:hint="eastAsia" w:ascii="Times New Roman" w:hAnsi="Times New Roman" w:eastAsia="宋体" w:cs="Times New Roman"/>
                      <w:b w:val="0"/>
                      <w:bCs w:val="0"/>
                      <w:color w:val="auto"/>
                      <w:sz w:val="21"/>
                      <w:szCs w:val="21"/>
                      <w:highlight w:val="none"/>
                      <w:lang w:val="en-US" w:eastAsia="zh-CN"/>
                    </w:rPr>
                    <w:t>、色母</w:t>
                  </w:r>
                </w:p>
              </w:tc>
            </w:tr>
            <w:tr w14:paraId="02A71F7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5" w:type="pct"/>
                  <w:tcBorders>
                    <w:tl2br w:val="nil"/>
                    <w:tr2bl w:val="nil"/>
                  </w:tcBorders>
                  <w:noWrap w:val="0"/>
                  <w:vAlign w:val="center"/>
                </w:tcPr>
                <w:p w14:paraId="36EE620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777" w:type="pct"/>
                  <w:tcBorders>
                    <w:tl2br w:val="nil"/>
                    <w:tr2bl w:val="nil"/>
                  </w:tcBorders>
                  <w:noWrap w:val="0"/>
                  <w:vAlign w:val="center"/>
                </w:tcPr>
                <w:p w14:paraId="17C5884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长方筐</w:t>
                  </w:r>
                </w:p>
              </w:tc>
              <w:tc>
                <w:tcPr>
                  <w:tcW w:w="716" w:type="pct"/>
                  <w:tcBorders>
                    <w:tl2br w:val="nil"/>
                    <w:tr2bl w:val="nil"/>
                  </w:tcBorders>
                  <w:noWrap w:val="0"/>
                  <w:vAlign w:val="center"/>
                </w:tcPr>
                <w:p w14:paraId="670256B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300</w:t>
                  </w:r>
                  <w:r>
                    <w:rPr>
                      <w:rFonts w:hint="default" w:ascii="Times New Roman" w:hAnsi="Times New Roman" w:eastAsia="宋体" w:cs="Times New Roman"/>
                      <w:b w:val="0"/>
                      <w:bCs w:val="0"/>
                      <w:color w:val="auto"/>
                      <w:sz w:val="21"/>
                      <w:szCs w:val="21"/>
                      <w:highlight w:val="none"/>
                      <w:lang w:val="en-US" w:eastAsia="zh-CN"/>
                    </w:rPr>
                    <w:t>g/</w:t>
                  </w:r>
                  <w:r>
                    <w:rPr>
                      <w:rFonts w:hint="eastAsia" w:ascii="Times New Roman" w:hAnsi="Times New Roman" w:eastAsia="宋体" w:cs="Times New Roman"/>
                      <w:b w:val="0"/>
                      <w:bCs w:val="0"/>
                      <w:color w:val="auto"/>
                      <w:sz w:val="21"/>
                      <w:szCs w:val="21"/>
                      <w:highlight w:val="none"/>
                      <w:lang w:val="en-US" w:eastAsia="zh-CN"/>
                    </w:rPr>
                    <w:t>套</w:t>
                  </w:r>
                </w:p>
              </w:tc>
              <w:tc>
                <w:tcPr>
                  <w:tcW w:w="648" w:type="pct"/>
                  <w:tcBorders>
                    <w:tl2br w:val="nil"/>
                    <w:tr2bl w:val="nil"/>
                  </w:tcBorders>
                  <w:noWrap w:val="0"/>
                  <w:vAlign w:val="center"/>
                </w:tcPr>
                <w:p w14:paraId="1976318C">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4000套</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d</w:t>
                  </w:r>
                </w:p>
              </w:tc>
              <w:tc>
                <w:tcPr>
                  <w:tcW w:w="736" w:type="pct"/>
                  <w:tcBorders>
                    <w:tl2br w:val="nil"/>
                    <w:tr2bl w:val="nil"/>
                  </w:tcBorders>
                  <w:noWrap w:val="0"/>
                  <w:vAlign w:val="center"/>
                </w:tcPr>
                <w:p w14:paraId="6F78C55F">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360</w:t>
                  </w:r>
                  <w:r>
                    <w:rPr>
                      <w:rFonts w:hint="default" w:ascii="Times New Roman" w:hAnsi="Times New Roman" w:eastAsia="宋体" w:cs="Times New Roman"/>
                      <w:b w:val="0"/>
                      <w:bCs w:val="0"/>
                      <w:color w:val="auto"/>
                      <w:sz w:val="21"/>
                      <w:szCs w:val="21"/>
                      <w:highlight w:val="none"/>
                      <w:lang w:val="en-US" w:eastAsia="zh-CN"/>
                    </w:rPr>
                    <w:t>t/a</w:t>
                  </w:r>
                </w:p>
              </w:tc>
              <w:tc>
                <w:tcPr>
                  <w:tcW w:w="1115" w:type="pct"/>
                  <w:tcBorders>
                    <w:tl2br w:val="nil"/>
                    <w:tr2bl w:val="nil"/>
                  </w:tcBorders>
                  <w:noWrap w:val="0"/>
                  <w:vAlign w:val="center"/>
                </w:tcPr>
                <w:p w14:paraId="38A9DC9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长约36cm，宽约26cm，高约8.5cm</w:t>
                  </w:r>
                </w:p>
              </w:tc>
              <w:tc>
                <w:tcPr>
                  <w:tcW w:w="619" w:type="pct"/>
                  <w:vMerge w:val="continue"/>
                  <w:tcBorders>
                    <w:tl2br w:val="nil"/>
                    <w:tr2bl w:val="nil"/>
                  </w:tcBorders>
                  <w:noWrap w:val="0"/>
                  <w:vAlign w:val="center"/>
                </w:tcPr>
                <w:p w14:paraId="5D27B46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r>
            <w:tr w14:paraId="33E5F79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5" w:type="pct"/>
                  <w:tcBorders>
                    <w:tl2br w:val="nil"/>
                    <w:tr2bl w:val="nil"/>
                  </w:tcBorders>
                  <w:noWrap w:val="0"/>
                  <w:vAlign w:val="center"/>
                </w:tcPr>
                <w:p w14:paraId="000D2A9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c>
                <w:tcPr>
                  <w:tcW w:w="777" w:type="pct"/>
                  <w:tcBorders>
                    <w:tl2br w:val="nil"/>
                    <w:tr2bl w:val="nil"/>
                  </w:tcBorders>
                  <w:noWrap w:val="0"/>
                  <w:vAlign w:val="center"/>
                </w:tcPr>
                <w:p w14:paraId="4C6C4E7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正方筐</w:t>
                  </w:r>
                </w:p>
              </w:tc>
              <w:tc>
                <w:tcPr>
                  <w:tcW w:w="716" w:type="pct"/>
                  <w:tcBorders>
                    <w:tl2br w:val="nil"/>
                    <w:tr2bl w:val="nil"/>
                  </w:tcBorders>
                  <w:noWrap w:val="0"/>
                  <w:vAlign w:val="center"/>
                </w:tcPr>
                <w:p w14:paraId="4698B78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300</w:t>
                  </w:r>
                  <w:r>
                    <w:rPr>
                      <w:rFonts w:hint="default" w:ascii="Times New Roman" w:hAnsi="Times New Roman" w:eastAsia="宋体" w:cs="Times New Roman"/>
                      <w:b w:val="0"/>
                      <w:bCs w:val="0"/>
                      <w:color w:val="auto"/>
                      <w:sz w:val="21"/>
                      <w:szCs w:val="21"/>
                      <w:highlight w:val="none"/>
                      <w:lang w:val="en-US" w:eastAsia="zh-CN"/>
                    </w:rPr>
                    <w:t>g/</w:t>
                  </w:r>
                  <w:r>
                    <w:rPr>
                      <w:rFonts w:hint="eastAsia" w:ascii="Times New Roman" w:hAnsi="Times New Roman" w:eastAsia="宋体" w:cs="Times New Roman"/>
                      <w:b w:val="0"/>
                      <w:bCs w:val="0"/>
                      <w:color w:val="auto"/>
                      <w:sz w:val="21"/>
                      <w:szCs w:val="21"/>
                      <w:highlight w:val="none"/>
                      <w:lang w:val="en-US" w:eastAsia="zh-CN"/>
                    </w:rPr>
                    <w:t>套</w:t>
                  </w:r>
                </w:p>
              </w:tc>
              <w:tc>
                <w:tcPr>
                  <w:tcW w:w="648" w:type="pct"/>
                  <w:tcBorders>
                    <w:tl2br w:val="nil"/>
                    <w:tr2bl w:val="nil"/>
                  </w:tcBorders>
                  <w:noWrap w:val="0"/>
                  <w:vAlign w:val="center"/>
                </w:tcPr>
                <w:p w14:paraId="064DFAC2">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4000套</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d</w:t>
                  </w:r>
                </w:p>
              </w:tc>
              <w:tc>
                <w:tcPr>
                  <w:tcW w:w="736" w:type="pct"/>
                  <w:tcBorders>
                    <w:tl2br w:val="nil"/>
                    <w:tr2bl w:val="nil"/>
                  </w:tcBorders>
                  <w:noWrap w:val="0"/>
                  <w:vAlign w:val="center"/>
                </w:tcPr>
                <w:p w14:paraId="2C9E534B">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360</w:t>
                  </w:r>
                  <w:r>
                    <w:rPr>
                      <w:rFonts w:hint="default" w:ascii="Times New Roman" w:hAnsi="Times New Roman" w:eastAsia="宋体" w:cs="Times New Roman"/>
                      <w:b w:val="0"/>
                      <w:bCs w:val="0"/>
                      <w:color w:val="auto"/>
                      <w:sz w:val="21"/>
                      <w:szCs w:val="21"/>
                      <w:highlight w:val="none"/>
                      <w:lang w:val="en-US" w:eastAsia="zh-CN"/>
                    </w:rPr>
                    <w:t>t/a</w:t>
                  </w:r>
                </w:p>
              </w:tc>
              <w:tc>
                <w:tcPr>
                  <w:tcW w:w="1115" w:type="pct"/>
                  <w:tcBorders>
                    <w:tl2br w:val="nil"/>
                    <w:tr2bl w:val="nil"/>
                  </w:tcBorders>
                  <w:noWrap w:val="0"/>
                  <w:vAlign w:val="center"/>
                </w:tcPr>
                <w:p w14:paraId="20B4A10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长约30.5cm，宽约30.5cm，高约8.5cm</w:t>
                  </w:r>
                </w:p>
              </w:tc>
              <w:tc>
                <w:tcPr>
                  <w:tcW w:w="619" w:type="pct"/>
                  <w:vMerge w:val="continue"/>
                  <w:tcBorders>
                    <w:tl2br w:val="nil"/>
                    <w:tr2bl w:val="nil"/>
                  </w:tcBorders>
                  <w:noWrap w:val="0"/>
                  <w:vAlign w:val="center"/>
                </w:tcPr>
                <w:p w14:paraId="74663B4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r>
            <w:tr w14:paraId="5ABEC9D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5" w:type="pct"/>
                  <w:tcBorders>
                    <w:tl2br w:val="nil"/>
                    <w:tr2bl w:val="nil"/>
                  </w:tcBorders>
                  <w:noWrap w:val="0"/>
                  <w:vAlign w:val="center"/>
                </w:tcPr>
                <w:p w14:paraId="295DF24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w:t>
                  </w:r>
                </w:p>
              </w:tc>
              <w:tc>
                <w:tcPr>
                  <w:tcW w:w="777" w:type="pct"/>
                  <w:tcBorders>
                    <w:tl2br w:val="nil"/>
                    <w:tr2bl w:val="nil"/>
                  </w:tcBorders>
                  <w:noWrap w:val="0"/>
                  <w:vAlign w:val="center"/>
                </w:tcPr>
                <w:p w14:paraId="159B590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小圆桶</w:t>
                  </w:r>
                </w:p>
              </w:tc>
              <w:tc>
                <w:tcPr>
                  <w:tcW w:w="716" w:type="pct"/>
                  <w:tcBorders>
                    <w:tl2br w:val="nil"/>
                    <w:tr2bl w:val="nil"/>
                  </w:tcBorders>
                  <w:noWrap w:val="0"/>
                  <w:vAlign w:val="center"/>
                </w:tcPr>
                <w:p w14:paraId="2FC88AD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85</w:t>
                  </w:r>
                  <w:r>
                    <w:rPr>
                      <w:rFonts w:hint="default" w:ascii="Times New Roman" w:hAnsi="Times New Roman" w:eastAsia="宋体" w:cs="Times New Roman"/>
                      <w:b w:val="0"/>
                      <w:bCs w:val="0"/>
                      <w:color w:val="auto"/>
                      <w:sz w:val="21"/>
                      <w:szCs w:val="21"/>
                      <w:highlight w:val="none"/>
                      <w:lang w:val="en-US" w:eastAsia="zh-CN"/>
                    </w:rPr>
                    <w:t>g/</w:t>
                  </w:r>
                  <w:r>
                    <w:rPr>
                      <w:rFonts w:hint="eastAsia" w:ascii="Times New Roman" w:hAnsi="Times New Roman" w:eastAsia="宋体" w:cs="Times New Roman"/>
                      <w:b w:val="0"/>
                      <w:bCs w:val="0"/>
                      <w:color w:val="auto"/>
                      <w:sz w:val="21"/>
                      <w:szCs w:val="21"/>
                      <w:highlight w:val="none"/>
                      <w:lang w:val="en-US" w:eastAsia="zh-CN"/>
                    </w:rPr>
                    <w:t>套</w:t>
                  </w:r>
                </w:p>
              </w:tc>
              <w:tc>
                <w:tcPr>
                  <w:tcW w:w="648" w:type="pct"/>
                  <w:tcBorders>
                    <w:tl2br w:val="nil"/>
                    <w:tr2bl w:val="nil"/>
                  </w:tcBorders>
                  <w:noWrap w:val="0"/>
                  <w:vAlign w:val="center"/>
                </w:tcPr>
                <w:p w14:paraId="0AA97137">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8000套</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d</w:t>
                  </w:r>
                </w:p>
              </w:tc>
              <w:tc>
                <w:tcPr>
                  <w:tcW w:w="736" w:type="pct"/>
                  <w:tcBorders>
                    <w:tl2br w:val="nil"/>
                    <w:tr2bl w:val="nil"/>
                  </w:tcBorders>
                  <w:noWrap w:val="0"/>
                  <w:vAlign w:val="center"/>
                </w:tcPr>
                <w:p w14:paraId="06C9494B">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204</w:t>
                  </w:r>
                  <w:r>
                    <w:rPr>
                      <w:rFonts w:hint="default" w:ascii="Times New Roman" w:hAnsi="Times New Roman" w:eastAsia="宋体" w:cs="Times New Roman"/>
                      <w:b w:val="0"/>
                      <w:bCs w:val="0"/>
                      <w:color w:val="auto"/>
                      <w:sz w:val="21"/>
                      <w:szCs w:val="21"/>
                      <w:highlight w:val="none"/>
                      <w:lang w:val="en-US" w:eastAsia="zh-CN"/>
                    </w:rPr>
                    <w:t>t/a</w:t>
                  </w:r>
                </w:p>
              </w:tc>
              <w:tc>
                <w:tcPr>
                  <w:tcW w:w="1115" w:type="pct"/>
                  <w:tcBorders>
                    <w:tl2br w:val="nil"/>
                    <w:tr2bl w:val="nil"/>
                  </w:tcBorders>
                  <w:noWrap w:val="0"/>
                  <w:vAlign w:val="center"/>
                </w:tcPr>
                <w:p w14:paraId="4227455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高约6cm，最大直径约10cm</w:t>
                  </w:r>
                </w:p>
              </w:tc>
              <w:tc>
                <w:tcPr>
                  <w:tcW w:w="619" w:type="pct"/>
                  <w:vMerge w:val="continue"/>
                  <w:tcBorders>
                    <w:tl2br w:val="nil"/>
                    <w:tr2bl w:val="nil"/>
                  </w:tcBorders>
                  <w:noWrap w:val="0"/>
                  <w:vAlign w:val="center"/>
                </w:tcPr>
                <w:p w14:paraId="3C4EF50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r>
            <w:tr w14:paraId="7EC58EE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5" w:type="pct"/>
                  <w:tcBorders>
                    <w:tl2br w:val="nil"/>
                    <w:tr2bl w:val="nil"/>
                  </w:tcBorders>
                  <w:noWrap w:val="0"/>
                  <w:vAlign w:val="center"/>
                </w:tcPr>
                <w:p w14:paraId="2CCFA35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w:t>
                  </w:r>
                </w:p>
              </w:tc>
              <w:tc>
                <w:tcPr>
                  <w:tcW w:w="777" w:type="pct"/>
                  <w:tcBorders>
                    <w:tl2br w:val="nil"/>
                    <w:tr2bl w:val="nil"/>
                  </w:tcBorders>
                  <w:noWrap w:val="0"/>
                  <w:vAlign w:val="center"/>
                </w:tcPr>
                <w:p w14:paraId="166D7FD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500g小圆桶</w:t>
                  </w:r>
                </w:p>
              </w:tc>
              <w:tc>
                <w:tcPr>
                  <w:tcW w:w="716" w:type="pct"/>
                  <w:tcBorders>
                    <w:tl2br w:val="nil"/>
                    <w:tr2bl w:val="nil"/>
                  </w:tcBorders>
                  <w:noWrap w:val="0"/>
                  <w:vAlign w:val="center"/>
                </w:tcPr>
                <w:p w14:paraId="1BD53E5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500</w:t>
                  </w:r>
                  <w:r>
                    <w:rPr>
                      <w:rFonts w:hint="default" w:ascii="Times New Roman" w:hAnsi="Times New Roman" w:eastAsia="宋体" w:cs="Times New Roman"/>
                      <w:b w:val="0"/>
                      <w:bCs w:val="0"/>
                      <w:color w:val="auto"/>
                      <w:sz w:val="21"/>
                      <w:szCs w:val="21"/>
                      <w:highlight w:val="none"/>
                      <w:lang w:val="en-US" w:eastAsia="zh-CN"/>
                    </w:rPr>
                    <w:t>g/</w:t>
                  </w:r>
                  <w:r>
                    <w:rPr>
                      <w:rFonts w:hint="eastAsia" w:ascii="Times New Roman" w:hAnsi="Times New Roman" w:eastAsia="宋体" w:cs="Times New Roman"/>
                      <w:b w:val="0"/>
                      <w:bCs w:val="0"/>
                      <w:color w:val="auto"/>
                      <w:sz w:val="21"/>
                      <w:szCs w:val="21"/>
                      <w:highlight w:val="none"/>
                      <w:lang w:val="en-US" w:eastAsia="zh-CN"/>
                    </w:rPr>
                    <w:t>套</w:t>
                  </w:r>
                </w:p>
              </w:tc>
              <w:tc>
                <w:tcPr>
                  <w:tcW w:w="648" w:type="pct"/>
                  <w:tcBorders>
                    <w:tl2br w:val="nil"/>
                    <w:tr2bl w:val="nil"/>
                  </w:tcBorders>
                  <w:noWrap w:val="0"/>
                  <w:vAlign w:val="center"/>
                </w:tcPr>
                <w:p w14:paraId="49C115F3">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8000套</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d</w:t>
                  </w:r>
                </w:p>
              </w:tc>
              <w:tc>
                <w:tcPr>
                  <w:tcW w:w="736" w:type="pct"/>
                  <w:tcBorders>
                    <w:tl2br w:val="nil"/>
                    <w:tr2bl w:val="nil"/>
                  </w:tcBorders>
                  <w:noWrap w:val="0"/>
                  <w:vAlign w:val="center"/>
                </w:tcPr>
                <w:p w14:paraId="28D92344">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1200</w:t>
                  </w:r>
                  <w:r>
                    <w:rPr>
                      <w:rFonts w:hint="default" w:ascii="Times New Roman" w:hAnsi="Times New Roman" w:eastAsia="宋体" w:cs="Times New Roman"/>
                      <w:b w:val="0"/>
                      <w:bCs w:val="0"/>
                      <w:color w:val="auto"/>
                      <w:sz w:val="21"/>
                      <w:szCs w:val="21"/>
                      <w:highlight w:val="none"/>
                      <w:lang w:val="en-US" w:eastAsia="zh-CN"/>
                    </w:rPr>
                    <w:t>t/a</w:t>
                  </w:r>
                </w:p>
              </w:tc>
              <w:tc>
                <w:tcPr>
                  <w:tcW w:w="1115" w:type="pct"/>
                  <w:tcBorders>
                    <w:tl2br w:val="nil"/>
                    <w:tr2bl w:val="nil"/>
                  </w:tcBorders>
                  <w:noWrap w:val="0"/>
                  <w:vAlign w:val="center"/>
                </w:tcPr>
                <w:p w14:paraId="5230BBC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高约12cm，最大直径约19.5cm</w:t>
                  </w:r>
                </w:p>
              </w:tc>
              <w:tc>
                <w:tcPr>
                  <w:tcW w:w="619" w:type="pct"/>
                  <w:vMerge w:val="continue"/>
                  <w:tcBorders>
                    <w:tl2br w:val="nil"/>
                    <w:tr2bl w:val="nil"/>
                  </w:tcBorders>
                  <w:noWrap w:val="0"/>
                  <w:vAlign w:val="center"/>
                </w:tcPr>
                <w:p w14:paraId="459C1F7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r>
            <w:tr w14:paraId="3CC78AA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5" w:type="pct"/>
                  <w:tcBorders>
                    <w:tl2br w:val="nil"/>
                    <w:tr2bl w:val="nil"/>
                  </w:tcBorders>
                  <w:noWrap w:val="0"/>
                  <w:vAlign w:val="center"/>
                </w:tcPr>
                <w:p w14:paraId="6051681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w:t>
                  </w:r>
                </w:p>
              </w:tc>
              <w:tc>
                <w:tcPr>
                  <w:tcW w:w="777" w:type="pct"/>
                  <w:tcBorders>
                    <w:tl2br w:val="nil"/>
                    <w:tr2bl w:val="nil"/>
                  </w:tcBorders>
                  <w:noWrap w:val="0"/>
                  <w:vAlign w:val="center"/>
                </w:tcPr>
                <w:p w14:paraId="668D714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500g小方筐</w:t>
                  </w:r>
                </w:p>
              </w:tc>
              <w:tc>
                <w:tcPr>
                  <w:tcW w:w="716" w:type="pct"/>
                  <w:tcBorders>
                    <w:tl2br w:val="nil"/>
                    <w:tr2bl w:val="nil"/>
                  </w:tcBorders>
                  <w:noWrap w:val="0"/>
                  <w:vAlign w:val="center"/>
                </w:tcPr>
                <w:p w14:paraId="2BB46D8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500</w:t>
                  </w:r>
                  <w:r>
                    <w:rPr>
                      <w:rFonts w:hint="default" w:ascii="Times New Roman" w:hAnsi="Times New Roman" w:eastAsia="宋体" w:cs="Times New Roman"/>
                      <w:b w:val="0"/>
                      <w:bCs w:val="0"/>
                      <w:color w:val="auto"/>
                      <w:sz w:val="21"/>
                      <w:szCs w:val="21"/>
                      <w:highlight w:val="none"/>
                      <w:lang w:val="en-US" w:eastAsia="zh-CN"/>
                    </w:rPr>
                    <w:t>g/</w:t>
                  </w:r>
                  <w:r>
                    <w:rPr>
                      <w:rFonts w:hint="eastAsia" w:ascii="Times New Roman" w:hAnsi="Times New Roman" w:eastAsia="宋体" w:cs="Times New Roman"/>
                      <w:b w:val="0"/>
                      <w:bCs w:val="0"/>
                      <w:color w:val="auto"/>
                      <w:sz w:val="21"/>
                      <w:szCs w:val="21"/>
                      <w:highlight w:val="none"/>
                      <w:lang w:val="en-US" w:eastAsia="zh-CN"/>
                    </w:rPr>
                    <w:t>套</w:t>
                  </w:r>
                </w:p>
              </w:tc>
              <w:tc>
                <w:tcPr>
                  <w:tcW w:w="648" w:type="pct"/>
                  <w:tcBorders>
                    <w:tl2br w:val="nil"/>
                    <w:tr2bl w:val="nil"/>
                  </w:tcBorders>
                  <w:noWrap w:val="0"/>
                  <w:vAlign w:val="center"/>
                </w:tcPr>
                <w:p w14:paraId="44032268">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8000套</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d</w:t>
                  </w:r>
                </w:p>
              </w:tc>
              <w:tc>
                <w:tcPr>
                  <w:tcW w:w="736" w:type="pct"/>
                  <w:tcBorders>
                    <w:tl2br w:val="nil"/>
                    <w:tr2bl w:val="nil"/>
                  </w:tcBorders>
                  <w:noWrap w:val="0"/>
                  <w:vAlign w:val="center"/>
                </w:tcPr>
                <w:p w14:paraId="21DE3146">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1200</w:t>
                  </w:r>
                  <w:r>
                    <w:rPr>
                      <w:rFonts w:hint="default" w:ascii="Times New Roman" w:hAnsi="Times New Roman" w:eastAsia="宋体" w:cs="Times New Roman"/>
                      <w:b w:val="0"/>
                      <w:bCs w:val="0"/>
                      <w:color w:val="auto"/>
                      <w:sz w:val="21"/>
                      <w:szCs w:val="21"/>
                      <w:highlight w:val="none"/>
                      <w:lang w:val="en-US" w:eastAsia="zh-CN"/>
                    </w:rPr>
                    <w:t>t/a</w:t>
                  </w:r>
                </w:p>
              </w:tc>
              <w:tc>
                <w:tcPr>
                  <w:tcW w:w="1115" w:type="pct"/>
                  <w:tcBorders>
                    <w:tl2br w:val="nil"/>
                    <w:tr2bl w:val="nil"/>
                  </w:tcBorders>
                  <w:noWrap w:val="0"/>
                  <w:vAlign w:val="center"/>
                </w:tcPr>
                <w:p w14:paraId="098B820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高约15cm，最大直径约15cm</w:t>
                  </w:r>
                </w:p>
              </w:tc>
              <w:tc>
                <w:tcPr>
                  <w:tcW w:w="619" w:type="pct"/>
                  <w:vMerge w:val="continue"/>
                  <w:tcBorders>
                    <w:tl2br w:val="nil"/>
                    <w:tr2bl w:val="nil"/>
                  </w:tcBorders>
                  <w:noWrap w:val="0"/>
                  <w:vAlign w:val="center"/>
                </w:tcPr>
                <w:p w14:paraId="741EABB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r>
            <w:tr w14:paraId="2CE3CD7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5" w:type="pct"/>
                  <w:tcBorders>
                    <w:tl2br w:val="nil"/>
                    <w:tr2bl w:val="nil"/>
                  </w:tcBorders>
                  <w:noWrap w:val="0"/>
                  <w:vAlign w:val="center"/>
                </w:tcPr>
                <w:p w14:paraId="1DFF6BF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w:t>
                  </w:r>
                </w:p>
              </w:tc>
              <w:tc>
                <w:tcPr>
                  <w:tcW w:w="777" w:type="pct"/>
                  <w:tcBorders>
                    <w:tl2br w:val="nil"/>
                    <w:tr2bl w:val="nil"/>
                  </w:tcBorders>
                  <w:noWrap w:val="0"/>
                  <w:vAlign w:val="center"/>
                </w:tcPr>
                <w:p w14:paraId="5C4353A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种植盆</w:t>
                  </w:r>
                </w:p>
              </w:tc>
              <w:tc>
                <w:tcPr>
                  <w:tcW w:w="716" w:type="pct"/>
                  <w:tcBorders>
                    <w:tl2br w:val="nil"/>
                    <w:tr2bl w:val="nil"/>
                  </w:tcBorders>
                  <w:noWrap w:val="0"/>
                  <w:vAlign w:val="center"/>
                </w:tcPr>
                <w:p w14:paraId="69E9167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600</w:t>
                  </w:r>
                  <w:r>
                    <w:rPr>
                      <w:rFonts w:hint="default" w:ascii="Times New Roman" w:hAnsi="Times New Roman" w:eastAsia="宋体" w:cs="Times New Roman"/>
                      <w:b w:val="0"/>
                      <w:bCs w:val="0"/>
                      <w:color w:val="auto"/>
                      <w:sz w:val="21"/>
                      <w:szCs w:val="21"/>
                      <w:highlight w:val="none"/>
                      <w:lang w:val="en-US" w:eastAsia="zh-CN"/>
                    </w:rPr>
                    <w:t>g/</w:t>
                  </w:r>
                  <w:r>
                    <w:rPr>
                      <w:rFonts w:hint="eastAsia" w:ascii="Times New Roman" w:hAnsi="Times New Roman" w:eastAsia="宋体" w:cs="Times New Roman"/>
                      <w:b w:val="0"/>
                      <w:bCs w:val="0"/>
                      <w:color w:val="auto"/>
                      <w:sz w:val="21"/>
                      <w:szCs w:val="21"/>
                      <w:highlight w:val="none"/>
                      <w:lang w:val="en-US" w:eastAsia="zh-CN"/>
                    </w:rPr>
                    <w:t>套</w:t>
                  </w:r>
                </w:p>
              </w:tc>
              <w:tc>
                <w:tcPr>
                  <w:tcW w:w="648" w:type="pct"/>
                  <w:tcBorders>
                    <w:tl2br w:val="nil"/>
                    <w:tr2bl w:val="nil"/>
                  </w:tcBorders>
                  <w:noWrap w:val="0"/>
                  <w:vAlign w:val="center"/>
                </w:tcPr>
                <w:p w14:paraId="2C1BAF15">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3500套</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d</w:t>
                  </w:r>
                </w:p>
              </w:tc>
              <w:tc>
                <w:tcPr>
                  <w:tcW w:w="736" w:type="pct"/>
                  <w:tcBorders>
                    <w:tl2br w:val="nil"/>
                    <w:tr2bl w:val="nil"/>
                  </w:tcBorders>
                  <w:noWrap w:val="0"/>
                  <w:vAlign w:val="center"/>
                </w:tcPr>
                <w:p w14:paraId="7B410B61">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630</w:t>
                  </w:r>
                  <w:r>
                    <w:rPr>
                      <w:rFonts w:hint="default" w:ascii="Times New Roman" w:hAnsi="Times New Roman" w:eastAsia="宋体" w:cs="Times New Roman"/>
                      <w:b w:val="0"/>
                      <w:bCs w:val="0"/>
                      <w:color w:val="auto"/>
                      <w:sz w:val="21"/>
                      <w:szCs w:val="21"/>
                      <w:highlight w:val="none"/>
                      <w:lang w:val="en-US" w:eastAsia="zh-CN"/>
                    </w:rPr>
                    <w:t>t/a</w:t>
                  </w:r>
                </w:p>
              </w:tc>
              <w:tc>
                <w:tcPr>
                  <w:tcW w:w="1115" w:type="pct"/>
                  <w:tcBorders>
                    <w:tl2br w:val="nil"/>
                    <w:tr2bl w:val="nil"/>
                  </w:tcBorders>
                  <w:noWrap w:val="0"/>
                  <w:vAlign w:val="center"/>
                </w:tcPr>
                <w:p w14:paraId="195515E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高约33cm，最大直径约39cm</w:t>
                  </w:r>
                </w:p>
              </w:tc>
              <w:tc>
                <w:tcPr>
                  <w:tcW w:w="619" w:type="pct"/>
                  <w:vMerge w:val="continue"/>
                  <w:tcBorders>
                    <w:tl2br w:val="nil"/>
                    <w:tr2bl w:val="nil"/>
                  </w:tcBorders>
                  <w:noWrap w:val="0"/>
                  <w:vAlign w:val="center"/>
                </w:tcPr>
                <w:p w14:paraId="52DCE24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r>
            <w:tr w14:paraId="62CF1CE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5" w:type="pct"/>
                  <w:tcBorders>
                    <w:tl2br w:val="nil"/>
                    <w:tr2bl w:val="nil"/>
                  </w:tcBorders>
                  <w:noWrap w:val="0"/>
                  <w:vAlign w:val="center"/>
                </w:tcPr>
                <w:p w14:paraId="6A6F016A">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w:t>
                  </w:r>
                </w:p>
              </w:tc>
              <w:tc>
                <w:tcPr>
                  <w:tcW w:w="777" w:type="pct"/>
                  <w:tcBorders>
                    <w:tl2br w:val="nil"/>
                    <w:tr2bl w:val="nil"/>
                  </w:tcBorders>
                  <w:noWrap w:val="0"/>
                  <w:vAlign w:val="center"/>
                </w:tcPr>
                <w:p w14:paraId="1CF9EBA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种植盆底</w:t>
                  </w:r>
                </w:p>
              </w:tc>
              <w:tc>
                <w:tcPr>
                  <w:tcW w:w="716" w:type="pct"/>
                  <w:tcBorders>
                    <w:tl2br w:val="nil"/>
                    <w:tr2bl w:val="nil"/>
                  </w:tcBorders>
                  <w:noWrap w:val="0"/>
                  <w:vAlign w:val="center"/>
                </w:tcPr>
                <w:p w14:paraId="1532094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400</w:t>
                  </w:r>
                  <w:r>
                    <w:rPr>
                      <w:rFonts w:hint="default" w:ascii="Times New Roman" w:hAnsi="Times New Roman" w:eastAsia="宋体" w:cs="Times New Roman"/>
                      <w:b w:val="0"/>
                      <w:bCs w:val="0"/>
                      <w:color w:val="auto"/>
                      <w:sz w:val="21"/>
                      <w:szCs w:val="21"/>
                      <w:highlight w:val="none"/>
                      <w:lang w:val="en-US" w:eastAsia="zh-CN"/>
                    </w:rPr>
                    <w:t>g/</w:t>
                  </w:r>
                  <w:r>
                    <w:rPr>
                      <w:rFonts w:hint="eastAsia" w:ascii="Times New Roman" w:hAnsi="Times New Roman" w:eastAsia="宋体" w:cs="Times New Roman"/>
                      <w:b w:val="0"/>
                      <w:bCs w:val="0"/>
                      <w:color w:val="auto"/>
                      <w:sz w:val="21"/>
                      <w:szCs w:val="21"/>
                      <w:highlight w:val="none"/>
                      <w:lang w:val="en-US" w:eastAsia="zh-CN"/>
                    </w:rPr>
                    <w:t>套</w:t>
                  </w:r>
                </w:p>
              </w:tc>
              <w:tc>
                <w:tcPr>
                  <w:tcW w:w="648" w:type="pct"/>
                  <w:tcBorders>
                    <w:tl2br w:val="nil"/>
                    <w:tr2bl w:val="nil"/>
                  </w:tcBorders>
                  <w:noWrap w:val="0"/>
                  <w:vAlign w:val="center"/>
                </w:tcPr>
                <w:p w14:paraId="41910518">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3500套</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d</w:t>
                  </w:r>
                </w:p>
              </w:tc>
              <w:tc>
                <w:tcPr>
                  <w:tcW w:w="736" w:type="pct"/>
                  <w:tcBorders>
                    <w:tl2br w:val="nil"/>
                    <w:tr2bl w:val="nil"/>
                  </w:tcBorders>
                  <w:noWrap w:val="0"/>
                  <w:vAlign w:val="center"/>
                </w:tcPr>
                <w:p w14:paraId="5D571AE7">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420</w:t>
                  </w:r>
                  <w:r>
                    <w:rPr>
                      <w:rFonts w:hint="default" w:ascii="Times New Roman" w:hAnsi="Times New Roman" w:eastAsia="宋体" w:cs="Times New Roman"/>
                      <w:b w:val="0"/>
                      <w:bCs w:val="0"/>
                      <w:color w:val="auto"/>
                      <w:sz w:val="21"/>
                      <w:szCs w:val="21"/>
                      <w:highlight w:val="none"/>
                      <w:lang w:val="en-US" w:eastAsia="zh-CN"/>
                    </w:rPr>
                    <w:t>t/a</w:t>
                  </w:r>
                </w:p>
              </w:tc>
              <w:tc>
                <w:tcPr>
                  <w:tcW w:w="1115" w:type="pct"/>
                  <w:tcBorders>
                    <w:tl2br w:val="nil"/>
                    <w:tr2bl w:val="nil"/>
                  </w:tcBorders>
                  <w:noWrap w:val="0"/>
                  <w:vAlign w:val="center"/>
                </w:tcPr>
                <w:p w14:paraId="4C1AC2E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高约2cm，最大直径约40cm</w:t>
                  </w:r>
                </w:p>
              </w:tc>
              <w:tc>
                <w:tcPr>
                  <w:tcW w:w="619" w:type="pct"/>
                  <w:vMerge w:val="continue"/>
                  <w:tcBorders>
                    <w:tl2br w:val="nil"/>
                    <w:tr2bl w:val="nil"/>
                  </w:tcBorders>
                  <w:noWrap w:val="0"/>
                  <w:vAlign w:val="center"/>
                </w:tcPr>
                <w:p w14:paraId="05B1151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r>
            <w:tr w14:paraId="0653E09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385" w:type="pct"/>
                  <w:tcBorders>
                    <w:tl2br w:val="nil"/>
                    <w:tr2bl w:val="nil"/>
                  </w:tcBorders>
                  <w:noWrap w:val="0"/>
                  <w:vAlign w:val="center"/>
                </w:tcPr>
                <w:p w14:paraId="0C4F2F9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w:t>
                  </w:r>
                </w:p>
              </w:tc>
              <w:tc>
                <w:tcPr>
                  <w:tcW w:w="777" w:type="pct"/>
                  <w:tcBorders>
                    <w:tl2br w:val="nil"/>
                    <w:tr2bl w:val="nil"/>
                  </w:tcBorders>
                  <w:noWrap w:val="0"/>
                  <w:vAlign w:val="center"/>
                </w:tcPr>
                <w:p w14:paraId="329DE9F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树莓筐</w:t>
                  </w:r>
                </w:p>
              </w:tc>
              <w:tc>
                <w:tcPr>
                  <w:tcW w:w="716" w:type="pct"/>
                  <w:tcBorders>
                    <w:tl2br w:val="nil"/>
                    <w:tr2bl w:val="nil"/>
                  </w:tcBorders>
                  <w:noWrap w:val="0"/>
                  <w:vAlign w:val="center"/>
                </w:tcPr>
                <w:p w14:paraId="3EA4B1E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300</w:t>
                  </w:r>
                  <w:r>
                    <w:rPr>
                      <w:rFonts w:hint="default" w:ascii="Times New Roman" w:hAnsi="Times New Roman" w:eastAsia="宋体" w:cs="Times New Roman"/>
                      <w:b w:val="0"/>
                      <w:bCs w:val="0"/>
                      <w:color w:val="auto"/>
                      <w:sz w:val="21"/>
                      <w:szCs w:val="21"/>
                      <w:highlight w:val="none"/>
                      <w:lang w:val="en-US" w:eastAsia="zh-CN"/>
                    </w:rPr>
                    <w:t>g/</w:t>
                  </w:r>
                  <w:r>
                    <w:rPr>
                      <w:rFonts w:hint="eastAsia" w:ascii="Times New Roman" w:hAnsi="Times New Roman" w:eastAsia="宋体" w:cs="Times New Roman"/>
                      <w:b w:val="0"/>
                      <w:bCs w:val="0"/>
                      <w:color w:val="auto"/>
                      <w:sz w:val="21"/>
                      <w:szCs w:val="21"/>
                      <w:highlight w:val="none"/>
                      <w:lang w:val="en-US" w:eastAsia="zh-CN"/>
                    </w:rPr>
                    <w:t>套</w:t>
                  </w:r>
                </w:p>
              </w:tc>
              <w:tc>
                <w:tcPr>
                  <w:tcW w:w="648" w:type="pct"/>
                  <w:tcBorders>
                    <w:tl2br w:val="nil"/>
                    <w:tr2bl w:val="nil"/>
                  </w:tcBorders>
                  <w:noWrap w:val="0"/>
                  <w:vAlign w:val="center"/>
                </w:tcPr>
                <w:p w14:paraId="2DC4846C">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5000套</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d</w:t>
                  </w:r>
                </w:p>
              </w:tc>
              <w:tc>
                <w:tcPr>
                  <w:tcW w:w="736" w:type="pct"/>
                  <w:tcBorders>
                    <w:tl2br w:val="nil"/>
                    <w:tr2bl w:val="nil"/>
                  </w:tcBorders>
                  <w:noWrap w:val="0"/>
                  <w:vAlign w:val="center"/>
                </w:tcPr>
                <w:p w14:paraId="565685F0">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450</w:t>
                  </w:r>
                  <w:r>
                    <w:rPr>
                      <w:rFonts w:hint="default" w:ascii="Times New Roman" w:hAnsi="Times New Roman" w:eastAsia="宋体" w:cs="Times New Roman"/>
                      <w:b w:val="0"/>
                      <w:bCs w:val="0"/>
                      <w:color w:val="auto"/>
                      <w:sz w:val="21"/>
                      <w:szCs w:val="21"/>
                      <w:highlight w:val="none"/>
                      <w:lang w:val="en-US" w:eastAsia="zh-CN"/>
                    </w:rPr>
                    <w:t>t/a</w:t>
                  </w:r>
                </w:p>
              </w:tc>
              <w:tc>
                <w:tcPr>
                  <w:tcW w:w="1115" w:type="pct"/>
                  <w:tcBorders>
                    <w:tl2br w:val="nil"/>
                    <w:tr2bl w:val="nil"/>
                  </w:tcBorders>
                  <w:noWrap w:val="0"/>
                  <w:vAlign w:val="center"/>
                </w:tcPr>
                <w:p w14:paraId="4E83DDE3">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长约30.5cm，宽约30.5cm，高约8.5cm</w:t>
                  </w:r>
                </w:p>
              </w:tc>
              <w:tc>
                <w:tcPr>
                  <w:tcW w:w="619" w:type="pct"/>
                  <w:vMerge w:val="continue"/>
                  <w:tcBorders>
                    <w:tl2br w:val="nil"/>
                    <w:tr2bl w:val="nil"/>
                  </w:tcBorders>
                  <w:noWrap w:val="0"/>
                  <w:vAlign w:val="center"/>
                </w:tcPr>
                <w:p w14:paraId="60FCFD6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r>
            <w:tr w14:paraId="5F7211F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5" w:type="pct"/>
                  <w:tcBorders>
                    <w:tl2br w:val="nil"/>
                    <w:tr2bl w:val="nil"/>
                  </w:tcBorders>
                  <w:noWrap w:val="0"/>
                  <w:vAlign w:val="center"/>
                </w:tcPr>
                <w:p w14:paraId="3CE7264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w:t>
                  </w:r>
                </w:p>
              </w:tc>
              <w:tc>
                <w:tcPr>
                  <w:tcW w:w="777" w:type="pct"/>
                  <w:tcBorders>
                    <w:tl2br w:val="nil"/>
                    <w:tr2bl w:val="nil"/>
                  </w:tcBorders>
                  <w:noWrap w:val="0"/>
                  <w:vAlign w:val="center"/>
                </w:tcPr>
                <w:p w14:paraId="5E43B57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树莓盆</w:t>
                  </w:r>
                </w:p>
              </w:tc>
              <w:tc>
                <w:tcPr>
                  <w:tcW w:w="716" w:type="pct"/>
                  <w:tcBorders>
                    <w:tl2br w:val="nil"/>
                    <w:tr2bl w:val="nil"/>
                  </w:tcBorders>
                  <w:noWrap w:val="0"/>
                  <w:vAlign w:val="center"/>
                </w:tcPr>
                <w:p w14:paraId="2A3C88B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400</w:t>
                  </w:r>
                  <w:r>
                    <w:rPr>
                      <w:rFonts w:hint="default" w:ascii="Times New Roman" w:hAnsi="Times New Roman" w:eastAsia="宋体" w:cs="Times New Roman"/>
                      <w:b w:val="0"/>
                      <w:bCs w:val="0"/>
                      <w:color w:val="auto"/>
                      <w:sz w:val="21"/>
                      <w:szCs w:val="21"/>
                      <w:highlight w:val="none"/>
                      <w:lang w:val="en-US" w:eastAsia="zh-CN"/>
                    </w:rPr>
                    <w:t>g/</w:t>
                  </w:r>
                  <w:r>
                    <w:rPr>
                      <w:rFonts w:hint="eastAsia" w:ascii="Times New Roman" w:hAnsi="Times New Roman" w:eastAsia="宋体" w:cs="Times New Roman"/>
                      <w:b w:val="0"/>
                      <w:bCs w:val="0"/>
                      <w:color w:val="auto"/>
                      <w:sz w:val="21"/>
                      <w:szCs w:val="21"/>
                      <w:highlight w:val="none"/>
                      <w:lang w:val="en-US" w:eastAsia="zh-CN"/>
                    </w:rPr>
                    <w:t>套</w:t>
                  </w:r>
                </w:p>
              </w:tc>
              <w:tc>
                <w:tcPr>
                  <w:tcW w:w="648" w:type="pct"/>
                  <w:tcBorders>
                    <w:tl2br w:val="nil"/>
                    <w:tr2bl w:val="nil"/>
                  </w:tcBorders>
                  <w:noWrap w:val="0"/>
                  <w:vAlign w:val="center"/>
                </w:tcPr>
                <w:p w14:paraId="52ECC5E1">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3800套</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d</w:t>
                  </w:r>
                </w:p>
              </w:tc>
              <w:tc>
                <w:tcPr>
                  <w:tcW w:w="736" w:type="pct"/>
                  <w:tcBorders>
                    <w:tl2br w:val="nil"/>
                    <w:tr2bl w:val="nil"/>
                  </w:tcBorders>
                  <w:noWrap w:val="0"/>
                  <w:vAlign w:val="center"/>
                </w:tcPr>
                <w:p w14:paraId="148BAFC2">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456</w:t>
                  </w:r>
                  <w:r>
                    <w:rPr>
                      <w:rFonts w:hint="default" w:ascii="Times New Roman" w:hAnsi="Times New Roman" w:eastAsia="宋体" w:cs="Times New Roman"/>
                      <w:b w:val="0"/>
                      <w:bCs w:val="0"/>
                      <w:color w:val="auto"/>
                      <w:sz w:val="21"/>
                      <w:szCs w:val="21"/>
                      <w:highlight w:val="none"/>
                      <w:lang w:val="en-US" w:eastAsia="zh-CN"/>
                    </w:rPr>
                    <w:t>t/a</w:t>
                  </w:r>
                </w:p>
              </w:tc>
              <w:tc>
                <w:tcPr>
                  <w:tcW w:w="1115" w:type="pct"/>
                  <w:tcBorders>
                    <w:tl2br w:val="nil"/>
                    <w:tr2bl w:val="nil"/>
                  </w:tcBorders>
                  <w:noWrap w:val="0"/>
                  <w:vAlign w:val="center"/>
                </w:tcPr>
                <w:p w14:paraId="6FE3729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高约30cm，最大直径约35cm</w:t>
                  </w:r>
                </w:p>
              </w:tc>
              <w:tc>
                <w:tcPr>
                  <w:tcW w:w="619" w:type="pct"/>
                  <w:vMerge w:val="continue"/>
                  <w:tcBorders>
                    <w:tl2br w:val="nil"/>
                    <w:tr2bl w:val="nil"/>
                  </w:tcBorders>
                  <w:noWrap w:val="0"/>
                  <w:vAlign w:val="center"/>
                </w:tcPr>
                <w:p w14:paraId="2CA8C960">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r>
            <w:tr w14:paraId="5C4BD4A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5" w:type="pct"/>
                  <w:tcBorders>
                    <w:tl2br w:val="nil"/>
                    <w:tr2bl w:val="nil"/>
                  </w:tcBorders>
                  <w:noWrap w:val="0"/>
                  <w:vAlign w:val="center"/>
                </w:tcPr>
                <w:p w14:paraId="3EE4CE99">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11</w:t>
                  </w:r>
                </w:p>
              </w:tc>
              <w:tc>
                <w:tcPr>
                  <w:tcW w:w="777" w:type="pct"/>
                  <w:tcBorders>
                    <w:tl2br w:val="nil"/>
                    <w:tr2bl w:val="nil"/>
                  </w:tcBorders>
                  <w:noWrap w:val="0"/>
                  <w:vAlign w:val="center"/>
                </w:tcPr>
                <w:p w14:paraId="1A83FE6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豌豆筐</w:t>
                  </w:r>
                </w:p>
              </w:tc>
              <w:tc>
                <w:tcPr>
                  <w:tcW w:w="716" w:type="pct"/>
                  <w:tcBorders>
                    <w:tl2br w:val="nil"/>
                    <w:tr2bl w:val="nil"/>
                  </w:tcBorders>
                  <w:noWrap w:val="0"/>
                  <w:vAlign w:val="center"/>
                </w:tcPr>
                <w:p w14:paraId="086653F8">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300</w:t>
                  </w:r>
                  <w:r>
                    <w:rPr>
                      <w:rFonts w:hint="default" w:ascii="Times New Roman" w:hAnsi="Times New Roman" w:eastAsia="宋体" w:cs="Times New Roman"/>
                      <w:b w:val="0"/>
                      <w:bCs w:val="0"/>
                      <w:color w:val="auto"/>
                      <w:sz w:val="21"/>
                      <w:szCs w:val="21"/>
                      <w:highlight w:val="none"/>
                      <w:lang w:val="en-US" w:eastAsia="zh-CN"/>
                    </w:rPr>
                    <w:t>g/</w:t>
                  </w:r>
                  <w:r>
                    <w:rPr>
                      <w:rFonts w:hint="eastAsia" w:ascii="Times New Roman" w:hAnsi="Times New Roman" w:eastAsia="宋体" w:cs="Times New Roman"/>
                      <w:b w:val="0"/>
                      <w:bCs w:val="0"/>
                      <w:color w:val="auto"/>
                      <w:sz w:val="21"/>
                      <w:szCs w:val="21"/>
                      <w:highlight w:val="none"/>
                      <w:lang w:val="en-US" w:eastAsia="zh-CN"/>
                    </w:rPr>
                    <w:t>套</w:t>
                  </w:r>
                </w:p>
              </w:tc>
              <w:tc>
                <w:tcPr>
                  <w:tcW w:w="648" w:type="pct"/>
                  <w:tcBorders>
                    <w:tl2br w:val="nil"/>
                    <w:tr2bl w:val="nil"/>
                  </w:tcBorders>
                  <w:noWrap w:val="0"/>
                  <w:vAlign w:val="center"/>
                </w:tcPr>
                <w:p w14:paraId="0F100B8A">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4000套</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d</w:t>
                  </w:r>
                </w:p>
              </w:tc>
              <w:tc>
                <w:tcPr>
                  <w:tcW w:w="736" w:type="pct"/>
                  <w:tcBorders>
                    <w:tl2br w:val="nil"/>
                    <w:tr2bl w:val="nil"/>
                  </w:tcBorders>
                  <w:noWrap w:val="0"/>
                  <w:vAlign w:val="center"/>
                </w:tcPr>
                <w:p w14:paraId="18291598">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360</w:t>
                  </w:r>
                  <w:r>
                    <w:rPr>
                      <w:rFonts w:hint="default" w:ascii="Times New Roman" w:hAnsi="Times New Roman" w:eastAsia="宋体" w:cs="Times New Roman"/>
                      <w:b w:val="0"/>
                      <w:bCs w:val="0"/>
                      <w:color w:val="auto"/>
                      <w:sz w:val="21"/>
                      <w:szCs w:val="21"/>
                      <w:highlight w:val="none"/>
                      <w:lang w:val="en-US" w:eastAsia="zh-CN"/>
                    </w:rPr>
                    <w:t>t/a</w:t>
                  </w:r>
                </w:p>
              </w:tc>
              <w:tc>
                <w:tcPr>
                  <w:tcW w:w="1115" w:type="pct"/>
                  <w:tcBorders>
                    <w:tl2br w:val="nil"/>
                    <w:tr2bl w:val="nil"/>
                  </w:tcBorders>
                  <w:noWrap w:val="0"/>
                  <w:vAlign w:val="center"/>
                </w:tcPr>
                <w:p w14:paraId="602062CE">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长约30.5cm，宽约30.5cm，高约8.5cm</w:t>
                  </w:r>
                </w:p>
              </w:tc>
              <w:tc>
                <w:tcPr>
                  <w:tcW w:w="619" w:type="pct"/>
                  <w:vMerge w:val="continue"/>
                  <w:tcBorders>
                    <w:tl2br w:val="nil"/>
                    <w:tr2bl w:val="nil"/>
                  </w:tcBorders>
                  <w:noWrap w:val="0"/>
                  <w:vAlign w:val="center"/>
                </w:tcPr>
                <w:p w14:paraId="2F580FA4">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r>
            <w:tr w14:paraId="4472998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5" w:type="pct"/>
                  <w:tcBorders>
                    <w:tl2br w:val="nil"/>
                    <w:tr2bl w:val="nil"/>
                  </w:tcBorders>
                  <w:noWrap w:val="0"/>
                  <w:vAlign w:val="center"/>
                </w:tcPr>
                <w:p w14:paraId="729922C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w:t>
                  </w:r>
                </w:p>
              </w:tc>
              <w:tc>
                <w:tcPr>
                  <w:tcW w:w="777" w:type="pct"/>
                  <w:tcBorders>
                    <w:tl2br w:val="nil"/>
                    <w:tr2bl w:val="nil"/>
                  </w:tcBorders>
                  <w:noWrap w:val="0"/>
                  <w:vAlign w:val="center"/>
                </w:tcPr>
                <w:p w14:paraId="70AD243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小米辣筐</w:t>
                  </w:r>
                </w:p>
              </w:tc>
              <w:tc>
                <w:tcPr>
                  <w:tcW w:w="716" w:type="pct"/>
                  <w:tcBorders>
                    <w:tl2br w:val="nil"/>
                    <w:tr2bl w:val="nil"/>
                  </w:tcBorders>
                  <w:noWrap w:val="0"/>
                  <w:vAlign w:val="center"/>
                </w:tcPr>
                <w:p w14:paraId="754D6E3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800</w:t>
                  </w:r>
                  <w:r>
                    <w:rPr>
                      <w:rFonts w:hint="default" w:ascii="Times New Roman" w:hAnsi="Times New Roman" w:eastAsia="宋体" w:cs="Times New Roman"/>
                      <w:b w:val="0"/>
                      <w:bCs w:val="0"/>
                      <w:color w:val="auto"/>
                      <w:sz w:val="21"/>
                      <w:szCs w:val="21"/>
                      <w:highlight w:val="none"/>
                      <w:lang w:val="en-US" w:eastAsia="zh-CN"/>
                    </w:rPr>
                    <w:t>g/</w:t>
                  </w:r>
                  <w:r>
                    <w:rPr>
                      <w:rFonts w:hint="eastAsia" w:ascii="Times New Roman" w:hAnsi="Times New Roman" w:eastAsia="宋体" w:cs="Times New Roman"/>
                      <w:b w:val="0"/>
                      <w:bCs w:val="0"/>
                      <w:color w:val="auto"/>
                      <w:sz w:val="21"/>
                      <w:szCs w:val="21"/>
                      <w:highlight w:val="none"/>
                      <w:lang w:val="en-US" w:eastAsia="zh-CN"/>
                    </w:rPr>
                    <w:t>套</w:t>
                  </w:r>
                </w:p>
              </w:tc>
              <w:tc>
                <w:tcPr>
                  <w:tcW w:w="648" w:type="pct"/>
                  <w:tcBorders>
                    <w:tl2br w:val="nil"/>
                    <w:tr2bl w:val="nil"/>
                  </w:tcBorders>
                  <w:noWrap w:val="0"/>
                  <w:vAlign w:val="center"/>
                </w:tcPr>
                <w:p w14:paraId="3C7B6C4A">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3300套</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d</w:t>
                  </w:r>
                </w:p>
              </w:tc>
              <w:tc>
                <w:tcPr>
                  <w:tcW w:w="736" w:type="pct"/>
                  <w:tcBorders>
                    <w:tl2br w:val="nil"/>
                    <w:tr2bl w:val="nil"/>
                  </w:tcBorders>
                  <w:noWrap w:val="0"/>
                  <w:vAlign w:val="center"/>
                </w:tcPr>
                <w:p w14:paraId="07389DA1">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792</w:t>
                  </w:r>
                  <w:r>
                    <w:rPr>
                      <w:rFonts w:hint="default" w:ascii="Times New Roman" w:hAnsi="Times New Roman" w:eastAsia="宋体" w:cs="Times New Roman"/>
                      <w:b w:val="0"/>
                      <w:bCs w:val="0"/>
                      <w:color w:val="auto"/>
                      <w:sz w:val="21"/>
                      <w:szCs w:val="21"/>
                      <w:highlight w:val="none"/>
                      <w:lang w:val="en-US" w:eastAsia="zh-CN"/>
                    </w:rPr>
                    <w:t>t/a</w:t>
                  </w:r>
                </w:p>
              </w:tc>
              <w:tc>
                <w:tcPr>
                  <w:tcW w:w="1115" w:type="pct"/>
                  <w:vMerge w:val="restart"/>
                  <w:tcBorders>
                    <w:tl2br w:val="nil"/>
                    <w:tr2bl w:val="nil"/>
                  </w:tcBorders>
                  <w:noWrap w:val="0"/>
                  <w:vAlign w:val="center"/>
                </w:tcPr>
                <w:p w14:paraId="1802841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长约45cm，宽约30cm，高约12cm</w:t>
                  </w:r>
                </w:p>
              </w:tc>
              <w:tc>
                <w:tcPr>
                  <w:tcW w:w="619" w:type="pct"/>
                  <w:vMerge w:val="continue"/>
                  <w:tcBorders>
                    <w:tl2br w:val="nil"/>
                    <w:tr2bl w:val="nil"/>
                  </w:tcBorders>
                  <w:noWrap w:val="0"/>
                  <w:vAlign w:val="center"/>
                </w:tcPr>
                <w:p w14:paraId="2EC0AA77">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r>
            <w:tr w14:paraId="09F8387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5" w:type="pct"/>
                  <w:tcBorders>
                    <w:tl2br w:val="nil"/>
                    <w:tr2bl w:val="nil"/>
                  </w:tcBorders>
                  <w:noWrap w:val="0"/>
                  <w:vAlign w:val="center"/>
                </w:tcPr>
                <w:p w14:paraId="0030909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13</w:t>
                  </w:r>
                </w:p>
              </w:tc>
              <w:tc>
                <w:tcPr>
                  <w:tcW w:w="777" w:type="pct"/>
                  <w:tcBorders>
                    <w:tl2br w:val="nil"/>
                    <w:tr2bl w:val="nil"/>
                  </w:tcBorders>
                  <w:noWrap w:val="0"/>
                  <w:vAlign w:val="center"/>
                </w:tcPr>
                <w:p w14:paraId="0FF4D4A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蔬菜筐</w:t>
                  </w:r>
                </w:p>
              </w:tc>
              <w:tc>
                <w:tcPr>
                  <w:tcW w:w="716" w:type="pct"/>
                  <w:tcBorders>
                    <w:tl2br w:val="nil"/>
                    <w:tr2bl w:val="nil"/>
                  </w:tcBorders>
                  <w:noWrap w:val="0"/>
                  <w:vAlign w:val="center"/>
                </w:tcPr>
                <w:p w14:paraId="0B700746">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800</w:t>
                  </w:r>
                  <w:r>
                    <w:rPr>
                      <w:rFonts w:hint="default" w:ascii="Times New Roman" w:hAnsi="Times New Roman" w:eastAsia="宋体" w:cs="Times New Roman"/>
                      <w:b w:val="0"/>
                      <w:bCs w:val="0"/>
                      <w:color w:val="auto"/>
                      <w:sz w:val="21"/>
                      <w:szCs w:val="21"/>
                      <w:highlight w:val="none"/>
                      <w:lang w:val="en-US" w:eastAsia="zh-CN"/>
                    </w:rPr>
                    <w:t>g/</w:t>
                  </w:r>
                  <w:r>
                    <w:rPr>
                      <w:rFonts w:hint="eastAsia" w:ascii="Times New Roman" w:hAnsi="Times New Roman" w:eastAsia="宋体" w:cs="Times New Roman"/>
                      <w:b w:val="0"/>
                      <w:bCs w:val="0"/>
                      <w:color w:val="auto"/>
                      <w:sz w:val="21"/>
                      <w:szCs w:val="21"/>
                      <w:highlight w:val="none"/>
                      <w:lang w:val="en-US" w:eastAsia="zh-CN"/>
                    </w:rPr>
                    <w:t>套</w:t>
                  </w:r>
                </w:p>
              </w:tc>
              <w:tc>
                <w:tcPr>
                  <w:tcW w:w="648" w:type="pct"/>
                  <w:tcBorders>
                    <w:tl2br w:val="nil"/>
                    <w:tr2bl w:val="nil"/>
                  </w:tcBorders>
                  <w:noWrap w:val="0"/>
                  <w:vAlign w:val="center"/>
                </w:tcPr>
                <w:p w14:paraId="73B04BF9">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3300套</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d</w:t>
                  </w:r>
                </w:p>
              </w:tc>
              <w:tc>
                <w:tcPr>
                  <w:tcW w:w="736" w:type="pct"/>
                  <w:tcBorders>
                    <w:tl2br w:val="nil"/>
                    <w:tr2bl w:val="nil"/>
                  </w:tcBorders>
                  <w:noWrap w:val="0"/>
                  <w:vAlign w:val="center"/>
                </w:tcPr>
                <w:p w14:paraId="0E3060E2">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792</w:t>
                  </w:r>
                  <w:r>
                    <w:rPr>
                      <w:rFonts w:hint="default" w:ascii="Times New Roman" w:hAnsi="Times New Roman" w:eastAsia="宋体" w:cs="Times New Roman"/>
                      <w:b w:val="0"/>
                      <w:bCs w:val="0"/>
                      <w:color w:val="auto"/>
                      <w:sz w:val="21"/>
                      <w:szCs w:val="21"/>
                      <w:highlight w:val="none"/>
                      <w:lang w:val="en-US" w:eastAsia="zh-CN"/>
                    </w:rPr>
                    <w:t>t/a</w:t>
                  </w:r>
                </w:p>
              </w:tc>
              <w:tc>
                <w:tcPr>
                  <w:tcW w:w="1115" w:type="pct"/>
                  <w:vMerge w:val="continue"/>
                  <w:tcBorders>
                    <w:tl2br w:val="nil"/>
                    <w:tr2bl w:val="nil"/>
                  </w:tcBorders>
                  <w:noWrap w:val="0"/>
                  <w:vAlign w:val="center"/>
                </w:tcPr>
                <w:p w14:paraId="1B9571C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c>
                <w:tcPr>
                  <w:tcW w:w="619" w:type="pct"/>
                  <w:vMerge w:val="continue"/>
                  <w:tcBorders>
                    <w:tl2br w:val="nil"/>
                    <w:tr2bl w:val="nil"/>
                  </w:tcBorders>
                  <w:noWrap w:val="0"/>
                  <w:vAlign w:val="center"/>
                </w:tcPr>
                <w:p w14:paraId="3D5097E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r>
            <w:tr w14:paraId="6CF7944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5" w:type="pct"/>
                  <w:tcBorders>
                    <w:tl2br w:val="nil"/>
                    <w:tr2bl w:val="nil"/>
                  </w:tcBorders>
                  <w:noWrap w:val="0"/>
                  <w:vAlign w:val="center"/>
                </w:tcPr>
                <w:p w14:paraId="5EC7F4EC">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w:t>
                  </w:r>
                </w:p>
              </w:tc>
              <w:tc>
                <w:tcPr>
                  <w:tcW w:w="777" w:type="pct"/>
                  <w:tcBorders>
                    <w:tl2br w:val="nil"/>
                    <w:tr2bl w:val="nil"/>
                  </w:tcBorders>
                  <w:noWrap w:val="0"/>
                  <w:vAlign w:val="center"/>
                </w:tcPr>
                <w:p w14:paraId="4847278D">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水果筐</w:t>
                  </w:r>
                </w:p>
              </w:tc>
              <w:tc>
                <w:tcPr>
                  <w:tcW w:w="716" w:type="pct"/>
                  <w:tcBorders>
                    <w:tl2br w:val="nil"/>
                    <w:tr2bl w:val="nil"/>
                  </w:tcBorders>
                  <w:noWrap w:val="0"/>
                  <w:vAlign w:val="center"/>
                </w:tcPr>
                <w:p w14:paraId="4A0A773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800</w:t>
                  </w:r>
                  <w:r>
                    <w:rPr>
                      <w:rFonts w:hint="default" w:ascii="Times New Roman" w:hAnsi="Times New Roman" w:eastAsia="宋体" w:cs="Times New Roman"/>
                      <w:b w:val="0"/>
                      <w:bCs w:val="0"/>
                      <w:color w:val="auto"/>
                      <w:sz w:val="21"/>
                      <w:szCs w:val="21"/>
                      <w:highlight w:val="none"/>
                      <w:lang w:val="en-US" w:eastAsia="zh-CN"/>
                    </w:rPr>
                    <w:t>g/</w:t>
                  </w:r>
                  <w:r>
                    <w:rPr>
                      <w:rFonts w:hint="eastAsia" w:ascii="Times New Roman" w:hAnsi="Times New Roman" w:eastAsia="宋体" w:cs="Times New Roman"/>
                      <w:b w:val="0"/>
                      <w:bCs w:val="0"/>
                      <w:color w:val="auto"/>
                      <w:sz w:val="21"/>
                      <w:szCs w:val="21"/>
                      <w:highlight w:val="none"/>
                      <w:lang w:val="en-US" w:eastAsia="zh-CN"/>
                    </w:rPr>
                    <w:t>套</w:t>
                  </w:r>
                </w:p>
              </w:tc>
              <w:tc>
                <w:tcPr>
                  <w:tcW w:w="648" w:type="pct"/>
                  <w:tcBorders>
                    <w:tl2br w:val="nil"/>
                    <w:tr2bl w:val="nil"/>
                  </w:tcBorders>
                  <w:noWrap w:val="0"/>
                  <w:vAlign w:val="center"/>
                </w:tcPr>
                <w:p w14:paraId="0A4CC6B4">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3300套</w:t>
                  </w:r>
                  <w:r>
                    <w:rPr>
                      <w:rFonts w:hint="default" w:ascii="Times New Roman" w:hAnsi="Times New Roman" w:eastAsia="宋体" w:cs="Times New Roman"/>
                      <w:b w:val="0"/>
                      <w:bCs w:val="0"/>
                      <w:color w:val="auto"/>
                      <w:sz w:val="21"/>
                      <w:szCs w:val="21"/>
                      <w:highlight w:val="none"/>
                      <w:lang w:val="en-US" w:eastAsia="zh-CN"/>
                    </w:rPr>
                    <w:t>/</w:t>
                  </w:r>
                  <w:r>
                    <w:rPr>
                      <w:rFonts w:hint="eastAsia" w:ascii="Times New Roman" w:hAnsi="Times New Roman" w:eastAsia="宋体" w:cs="Times New Roman"/>
                      <w:b w:val="0"/>
                      <w:bCs w:val="0"/>
                      <w:color w:val="auto"/>
                      <w:sz w:val="21"/>
                      <w:szCs w:val="21"/>
                      <w:highlight w:val="none"/>
                      <w:lang w:val="en-US" w:eastAsia="zh-CN"/>
                    </w:rPr>
                    <w:t>d</w:t>
                  </w:r>
                </w:p>
              </w:tc>
              <w:tc>
                <w:tcPr>
                  <w:tcW w:w="736" w:type="pct"/>
                  <w:tcBorders>
                    <w:tl2br w:val="nil"/>
                    <w:tr2bl w:val="nil"/>
                  </w:tcBorders>
                  <w:noWrap w:val="0"/>
                  <w:vAlign w:val="center"/>
                </w:tcPr>
                <w:p w14:paraId="570A86B6">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792</w:t>
                  </w:r>
                  <w:r>
                    <w:rPr>
                      <w:rFonts w:hint="default" w:ascii="Times New Roman" w:hAnsi="Times New Roman" w:eastAsia="宋体" w:cs="Times New Roman"/>
                      <w:b w:val="0"/>
                      <w:bCs w:val="0"/>
                      <w:color w:val="auto"/>
                      <w:sz w:val="21"/>
                      <w:szCs w:val="21"/>
                      <w:highlight w:val="none"/>
                      <w:lang w:val="en-US" w:eastAsia="zh-CN"/>
                    </w:rPr>
                    <w:t>t/a</w:t>
                  </w:r>
                </w:p>
              </w:tc>
              <w:tc>
                <w:tcPr>
                  <w:tcW w:w="1115" w:type="pct"/>
                  <w:vMerge w:val="continue"/>
                  <w:tcBorders>
                    <w:tl2br w:val="nil"/>
                    <w:tr2bl w:val="nil"/>
                  </w:tcBorders>
                  <w:noWrap w:val="0"/>
                  <w:vAlign w:val="center"/>
                </w:tcPr>
                <w:p w14:paraId="06D884BF">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c>
                <w:tcPr>
                  <w:tcW w:w="619" w:type="pct"/>
                  <w:vMerge w:val="continue"/>
                  <w:tcBorders>
                    <w:tl2br w:val="nil"/>
                    <w:tr2bl w:val="nil"/>
                  </w:tcBorders>
                  <w:noWrap w:val="0"/>
                  <w:vAlign w:val="center"/>
                </w:tcPr>
                <w:p w14:paraId="63E0F4F5">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p>
              </w:tc>
            </w:tr>
            <w:tr w14:paraId="2DC9A2C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5" w:type="pct"/>
                  <w:tcBorders>
                    <w:tl2br w:val="nil"/>
                    <w:tr2bl w:val="nil"/>
                  </w:tcBorders>
                  <w:noWrap w:val="0"/>
                  <w:vAlign w:val="center"/>
                </w:tcPr>
                <w:p w14:paraId="0134F581">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p>
              </w:tc>
              <w:tc>
                <w:tcPr>
                  <w:tcW w:w="2142" w:type="pct"/>
                  <w:gridSpan w:val="3"/>
                  <w:tcBorders>
                    <w:tl2br w:val="nil"/>
                    <w:tr2bl w:val="nil"/>
                  </w:tcBorders>
                  <w:noWrap w:val="0"/>
                  <w:vAlign w:val="center"/>
                </w:tcPr>
                <w:p w14:paraId="3CCB236F">
                  <w:pPr>
                    <w:keepNext w:val="0"/>
                    <w:keepLines w:val="0"/>
                    <w:widowControl w:val="0"/>
                    <w:suppressLineNumbers w:val="0"/>
                    <w:spacing w:before="0" w:beforeAutospacing="0" w:after="0" w:afterAutospacing="0"/>
                    <w:ind w:left="0" w:right="0"/>
                    <w:jc w:val="center"/>
                    <w:rPr>
                      <w:rFonts w:hint="eastAsia"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合计</w:t>
                  </w:r>
                </w:p>
              </w:tc>
              <w:tc>
                <w:tcPr>
                  <w:tcW w:w="736" w:type="pct"/>
                  <w:tcBorders>
                    <w:tl2br w:val="nil"/>
                    <w:tr2bl w:val="nil"/>
                  </w:tcBorders>
                  <w:noWrap w:val="0"/>
                  <w:vAlign w:val="center"/>
                </w:tcPr>
                <w:p w14:paraId="0296B3B6">
                  <w:pPr>
                    <w:keepNext w:val="0"/>
                    <w:keepLines w:val="0"/>
                    <w:widowControl w:val="0"/>
                    <w:suppressLineNumbers w:val="0"/>
                    <w:spacing w:before="0" w:beforeAutospacing="0" w:after="0" w:afterAutospacing="0"/>
                    <w:ind w:left="0" w:right="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8691t/a</w:t>
                  </w:r>
                </w:p>
              </w:tc>
              <w:tc>
                <w:tcPr>
                  <w:tcW w:w="1734" w:type="pct"/>
                  <w:gridSpan w:val="2"/>
                  <w:tcBorders>
                    <w:tl2br w:val="nil"/>
                    <w:tr2bl w:val="nil"/>
                  </w:tcBorders>
                  <w:noWrap w:val="0"/>
                  <w:vAlign w:val="center"/>
                </w:tcPr>
                <w:p w14:paraId="2860FCBB">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w:t>
                  </w:r>
                </w:p>
              </w:tc>
            </w:tr>
          </w:tbl>
          <w:p w14:paraId="3921DA2A">
            <w:pPr>
              <w:pStyle w:val="15"/>
              <w:keepNext w:val="0"/>
              <w:keepLines w:val="0"/>
              <w:pageBreakBefore w:val="0"/>
              <w:widowControl w:val="0"/>
              <w:kinsoku/>
              <w:wordWrap/>
              <w:overflowPunct/>
              <w:topLinePunct w:val="0"/>
              <w:autoSpaceDE/>
              <w:autoSpaceDN/>
              <w:bidi w:val="0"/>
              <w:adjustRightInd/>
              <w:snapToGrid/>
              <w:spacing w:beforeLines="0" w:after="0" w:afterLines="0" w:line="360" w:lineRule="auto"/>
              <w:ind w:left="0" w:leftChars="0" w:firstLine="480" w:firstLineChars="200"/>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本项目产品执行</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食品安全国家标准  食品接触用塑料材料及制品</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GB/</w:t>
            </w:r>
            <w:r>
              <w:rPr>
                <w:rFonts w:hint="eastAsia" w:ascii="Times New Roman" w:hAnsi="Times New Roman" w:eastAsia="宋体" w:cs="Times New Roman"/>
                <w:color w:val="auto"/>
                <w:kern w:val="2"/>
                <w:sz w:val="24"/>
                <w:szCs w:val="24"/>
                <w:highlight w:val="none"/>
                <w:lang w:val="en-US" w:eastAsia="zh-CN" w:bidi="ar-SA"/>
              </w:rPr>
              <w:t>4806.7-2023），</w:t>
            </w:r>
            <w:r>
              <w:rPr>
                <w:rFonts w:hint="default" w:ascii="Times New Roman" w:hAnsi="Times New Roman" w:eastAsia="宋体" w:cs="Times New Roman"/>
                <w:color w:val="auto"/>
                <w:kern w:val="2"/>
                <w:sz w:val="24"/>
                <w:szCs w:val="24"/>
                <w:highlight w:val="none"/>
                <w:lang w:val="en-US" w:eastAsia="zh-CN" w:bidi="ar-SA"/>
              </w:rPr>
              <w:t>产品标准见下表。</w:t>
            </w:r>
          </w:p>
          <w:p w14:paraId="62C07809">
            <w:pPr>
              <w:pStyle w:val="129"/>
              <w:rPr>
                <w:rFonts w:hint="eastAsia"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表2-</w:t>
            </w:r>
            <w:r>
              <w:rPr>
                <w:rFonts w:hint="eastAsia" w:eastAsia="宋体" w:cs="Times New Roman"/>
                <w:b/>
                <w:bCs/>
                <w:color w:val="auto"/>
                <w:kern w:val="2"/>
                <w:sz w:val="21"/>
                <w:szCs w:val="21"/>
                <w:lang w:val="en-US" w:eastAsia="zh-CN" w:bidi="ar-SA"/>
              </w:rPr>
              <w:t>3</w:t>
            </w:r>
            <w:r>
              <w:rPr>
                <w:rFonts w:hint="default" w:ascii="Times New Roman" w:hAnsi="Times New Roman" w:eastAsia="宋体" w:cs="Times New Roman"/>
                <w:b/>
                <w:bCs/>
                <w:color w:val="auto"/>
                <w:kern w:val="2"/>
                <w:sz w:val="21"/>
                <w:szCs w:val="21"/>
                <w:lang w:val="en-US" w:eastAsia="zh-CN" w:bidi="ar-SA"/>
              </w:rPr>
              <w:t xml:space="preserve">  项目产品标准</w:t>
            </w:r>
          </w:p>
          <w:tbl>
            <w:tblPr>
              <w:tblStyle w:val="30"/>
              <w:tblW w:w="4861"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157"/>
              <w:gridCol w:w="2506"/>
              <w:gridCol w:w="2507"/>
            </w:tblGrid>
            <w:tr w14:paraId="684EFE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932" w:type="pct"/>
                  <w:tcBorders>
                    <w:top w:val="single" w:color="auto" w:sz="4" w:space="0"/>
                  </w:tcBorders>
                  <w:noWrap w:val="0"/>
                  <w:vAlign w:val="center"/>
                </w:tcPr>
                <w:p w14:paraId="275141ED">
                  <w:pPr>
                    <w:tabs>
                      <w:tab w:val="left" w:pos="1821"/>
                    </w:tabs>
                    <w:autoSpaceDE w:val="0"/>
                    <w:autoSpaceDN w:val="0"/>
                    <w:jc w:val="center"/>
                    <w:rPr>
                      <w:b/>
                      <w:color w:val="auto"/>
                      <w:szCs w:val="21"/>
                    </w:rPr>
                  </w:pPr>
                  <w:r>
                    <w:rPr>
                      <w:rFonts w:hint="eastAsia"/>
                      <w:b/>
                      <w:color w:val="auto"/>
                      <w:szCs w:val="21"/>
                    </w:rPr>
                    <w:t>项目</w:t>
                  </w:r>
                </w:p>
              </w:tc>
              <w:tc>
                <w:tcPr>
                  <w:tcW w:w="3067" w:type="pct"/>
                  <w:gridSpan w:val="2"/>
                  <w:tcBorders>
                    <w:top w:val="single" w:color="auto" w:sz="4" w:space="0"/>
                    <w:right w:val="single" w:color="auto" w:sz="4" w:space="0"/>
                  </w:tcBorders>
                  <w:noWrap w:val="0"/>
                  <w:vAlign w:val="center"/>
                </w:tcPr>
                <w:p w14:paraId="6AFFF729">
                  <w:pPr>
                    <w:tabs>
                      <w:tab w:val="left" w:pos="1821"/>
                    </w:tabs>
                    <w:autoSpaceDE w:val="0"/>
                    <w:autoSpaceDN w:val="0"/>
                    <w:jc w:val="center"/>
                    <w:rPr>
                      <w:b/>
                      <w:color w:val="auto"/>
                      <w:szCs w:val="21"/>
                    </w:rPr>
                  </w:pPr>
                  <w:r>
                    <w:rPr>
                      <w:rFonts w:hint="eastAsia"/>
                      <w:b/>
                      <w:color w:val="auto"/>
                      <w:szCs w:val="21"/>
                    </w:rPr>
                    <w:t>指标</w:t>
                  </w:r>
                </w:p>
              </w:tc>
            </w:tr>
            <w:tr w14:paraId="2CEDE0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5000" w:type="pct"/>
                  <w:gridSpan w:val="3"/>
                  <w:tcBorders>
                    <w:right w:val="single" w:color="auto" w:sz="4" w:space="0"/>
                  </w:tcBorders>
                  <w:noWrap w:val="0"/>
                  <w:vAlign w:val="center"/>
                </w:tcPr>
                <w:p w14:paraId="564C7B7E">
                  <w:pPr>
                    <w:tabs>
                      <w:tab w:val="left" w:pos="1821"/>
                    </w:tabs>
                    <w:autoSpaceDE w:val="0"/>
                    <w:autoSpaceDN w:val="0"/>
                    <w:jc w:val="center"/>
                    <w:rPr>
                      <w:rFonts w:hint="eastAsia" w:eastAsia="宋体"/>
                      <w:b/>
                      <w:color w:val="auto"/>
                      <w:szCs w:val="21"/>
                      <w:lang w:eastAsia="zh-CN"/>
                    </w:rPr>
                  </w:pPr>
                  <w:r>
                    <w:rPr>
                      <w:rFonts w:hint="eastAsia"/>
                      <w:b/>
                      <w:color w:val="auto"/>
                      <w:szCs w:val="21"/>
                      <w:lang w:eastAsia="zh-CN"/>
                    </w:rPr>
                    <w:t>感官要求</w:t>
                  </w:r>
                </w:p>
              </w:tc>
            </w:tr>
            <w:tr w14:paraId="2A7430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5" w:hRule="atLeast"/>
                <w:jc w:val="center"/>
              </w:trPr>
              <w:tc>
                <w:tcPr>
                  <w:tcW w:w="1932" w:type="pct"/>
                  <w:noWrap w:val="0"/>
                  <w:vAlign w:val="center"/>
                </w:tcPr>
                <w:p w14:paraId="63317F6B">
                  <w:pPr>
                    <w:tabs>
                      <w:tab w:val="left" w:pos="1821"/>
                    </w:tabs>
                    <w:autoSpaceDE w:val="0"/>
                    <w:autoSpaceDN w:val="0"/>
                    <w:jc w:val="center"/>
                    <w:rPr>
                      <w:rFonts w:hint="eastAsia" w:eastAsia="宋体"/>
                      <w:color w:val="auto"/>
                      <w:szCs w:val="21"/>
                      <w:lang w:eastAsia="zh-CN"/>
                    </w:rPr>
                  </w:pPr>
                  <w:r>
                    <w:rPr>
                      <w:rFonts w:hint="eastAsia"/>
                      <w:color w:val="auto"/>
                      <w:szCs w:val="21"/>
                      <w:lang w:eastAsia="zh-CN"/>
                    </w:rPr>
                    <w:t>感官</w:t>
                  </w:r>
                </w:p>
              </w:tc>
              <w:tc>
                <w:tcPr>
                  <w:tcW w:w="3067" w:type="pct"/>
                  <w:gridSpan w:val="2"/>
                  <w:tcBorders>
                    <w:right w:val="single" w:color="auto" w:sz="4" w:space="0"/>
                  </w:tcBorders>
                  <w:noWrap w:val="0"/>
                  <w:vAlign w:val="center"/>
                </w:tcPr>
                <w:p w14:paraId="5AD0672C">
                  <w:pPr>
                    <w:tabs>
                      <w:tab w:val="left" w:pos="1821"/>
                    </w:tabs>
                    <w:autoSpaceDE w:val="0"/>
                    <w:autoSpaceDN w:val="0"/>
                    <w:jc w:val="center"/>
                    <w:rPr>
                      <w:rFonts w:hint="eastAsia" w:eastAsia="宋体"/>
                      <w:color w:val="auto"/>
                      <w:szCs w:val="21"/>
                      <w:lang w:eastAsia="zh-CN"/>
                    </w:rPr>
                  </w:pPr>
                  <w:r>
                    <w:rPr>
                      <w:rFonts w:hint="eastAsia"/>
                      <w:color w:val="auto"/>
                      <w:szCs w:val="21"/>
                      <w:lang w:eastAsia="zh-CN"/>
                    </w:rPr>
                    <w:t>色泽正常，无异臭、不洁物等</w:t>
                  </w:r>
                </w:p>
              </w:tc>
            </w:tr>
            <w:tr w14:paraId="37D254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932" w:type="pct"/>
                  <w:noWrap w:val="0"/>
                  <w:vAlign w:val="center"/>
                </w:tcPr>
                <w:p w14:paraId="4454EF57">
                  <w:pPr>
                    <w:tabs>
                      <w:tab w:val="left" w:pos="1821"/>
                    </w:tabs>
                    <w:autoSpaceDE w:val="0"/>
                    <w:autoSpaceDN w:val="0"/>
                    <w:jc w:val="center"/>
                    <w:rPr>
                      <w:rFonts w:hint="eastAsia" w:eastAsia="宋体"/>
                      <w:color w:val="auto"/>
                      <w:szCs w:val="21"/>
                      <w:lang w:eastAsia="zh-CN"/>
                    </w:rPr>
                  </w:pPr>
                  <w:r>
                    <w:rPr>
                      <w:rFonts w:hint="eastAsia" w:eastAsia="宋体"/>
                      <w:color w:val="auto"/>
                      <w:szCs w:val="21"/>
                      <w:lang w:eastAsia="zh-CN"/>
                    </w:rPr>
                    <w:t>浸泡液</w:t>
                  </w:r>
                </w:p>
              </w:tc>
              <w:tc>
                <w:tcPr>
                  <w:tcW w:w="3067" w:type="pct"/>
                  <w:gridSpan w:val="2"/>
                  <w:tcBorders>
                    <w:right w:val="single" w:color="auto" w:sz="4" w:space="0"/>
                  </w:tcBorders>
                  <w:noWrap w:val="0"/>
                  <w:vAlign w:val="center"/>
                </w:tcPr>
                <w:p w14:paraId="3F973271">
                  <w:pPr>
                    <w:tabs>
                      <w:tab w:val="left" w:pos="1821"/>
                    </w:tabs>
                    <w:autoSpaceDE w:val="0"/>
                    <w:autoSpaceDN w:val="0"/>
                    <w:jc w:val="center"/>
                    <w:rPr>
                      <w:rFonts w:hint="eastAsia"/>
                      <w:color w:val="auto"/>
                      <w:szCs w:val="21"/>
                    </w:rPr>
                  </w:pPr>
                  <w:r>
                    <w:rPr>
                      <w:rFonts w:hint="eastAsia"/>
                      <w:color w:val="auto"/>
                      <w:szCs w:val="21"/>
                    </w:rPr>
                    <w:t>迁移试验所得浸泡液无浑浊、沉淀、异臭等感官性能的劣变</w:t>
                  </w:r>
                </w:p>
              </w:tc>
            </w:tr>
            <w:tr w14:paraId="22580F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5000" w:type="pct"/>
                  <w:gridSpan w:val="3"/>
                  <w:tcBorders>
                    <w:right w:val="single" w:color="auto" w:sz="4" w:space="0"/>
                  </w:tcBorders>
                  <w:noWrap w:val="0"/>
                  <w:vAlign w:val="center"/>
                </w:tcPr>
                <w:p w14:paraId="36CDC166">
                  <w:pPr>
                    <w:tabs>
                      <w:tab w:val="left" w:pos="1821"/>
                    </w:tabs>
                    <w:autoSpaceDE w:val="0"/>
                    <w:autoSpaceDN w:val="0"/>
                    <w:jc w:val="center"/>
                    <w:rPr>
                      <w:rFonts w:hint="eastAsia" w:eastAsia="宋体"/>
                      <w:color w:val="auto"/>
                      <w:szCs w:val="21"/>
                      <w:lang w:eastAsia="zh-CN"/>
                    </w:rPr>
                  </w:pPr>
                  <w:r>
                    <w:rPr>
                      <w:rFonts w:hint="eastAsia" w:ascii="Times New Roman" w:hAnsi="Times New Roman" w:eastAsia="宋体" w:cs="Times New Roman"/>
                      <w:b/>
                      <w:color w:val="auto"/>
                      <w:szCs w:val="21"/>
                      <w:lang w:eastAsia="zh-CN"/>
                    </w:rPr>
                    <w:t>通用理化指标</w:t>
                  </w:r>
                </w:p>
              </w:tc>
            </w:tr>
            <w:tr w14:paraId="4EE028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932" w:type="pct"/>
                  <w:noWrap w:val="0"/>
                  <w:vAlign w:val="center"/>
                </w:tcPr>
                <w:p w14:paraId="2795D75B">
                  <w:pPr>
                    <w:tabs>
                      <w:tab w:val="left" w:pos="1821"/>
                    </w:tabs>
                    <w:autoSpaceDE w:val="0"/>
                    <w:autoSpaceDN w:val="0"/>
                    <w:jc w:val="center"/>
                    <w:rPr>
                      <w:rFonts w:hint="eastAsia" w:ascii="Times New Roman" w:hAnsi="Times New Roman" w:eastAsia="宋体" w:cs="Times New Roman"/>
                      <w:b/>
                      <w:color w:val="auto"/>
                      <w:szCs w:val="21"/>
                      <w:lang w:eastAsia="zh-CN"/>
                    </w:rPr>
                  </w:pPr>
                  <w:r>
                    <w:rPr>
                      <w:rFonts w:hint="eastAsia" w:ascii="Times New Roman" w:hAnsi="Times New Roman" w:eastAsia="宋体" w:cs="Times New Roman"/>
                      <w:b/>
                      <w:color w:val="auto"/>
                      <w:szCs w:val="21"/>
                      <w:lang w:val="en-US" w:eastAsia="zh-CN"/>
                    </w:rPr>
                    <w:t>项目</w:t>
                  </w:r>
                </w:p>
              </w:tc>
              <w:tc>
                <w:tcPr>
                  <w:tcW w:w="1533" w:type="pct"/>
                  <w:tcBorders>
                    <w:right w:val="single" w:color="auto" w:sz="4" w:space="0"/>
                  </w:tcBorders>
                  <w:noWrap w:val="0"/>
                  <w:vAlign w:val="center"/>
                </w:tcPr>
                <w:p w14:paraId="2A9755AA">
                  <w:pPr>
                    <w:tabs>
                      <w:tab w:val="left" w:pos="1821"/>
                    </w:tabs>
                    <w:autoSpaceDE w:val="0"/>
                    <w:autoSpaceDN w:val="0"/>
                    <w:jc w:val="center"/>
                    <w:rPr>
                      <w:rFonts w:hint="default" w:ascii="Times New Roman" w:hAnsi="Times New Roman" w:eastAsia="宋体" w:cs="Times New Roman"/>
                      <w:b/>
                      <w:color w:val="auto"/>
                      <w:szCs w:val="21"/>
                      <w:lang w:val="en-US" w:eastAsia="zh-CN"/>
                    </w:rPr>
                  </w:pPr>
                  <w:r>
                    <w:rPr>
                      <w:rFonts w:hint="eastAsia" w:ascii="Times New Roman" w:hAnsi="Times New Roman" w:eastAsia="宋体" w:cs="Times New Roman"/>
                      <w:b/>
                      <w:color w:val="auto"/>
                      <w:szCs w:val="21"/>
                      <w:lang w:val="en-US" w:eastAsia="zh-CN"/>
                    </w:rPr>
                    <w:t>指标</w:t>
                  </w:r>
                </w:p>
              </w:tc>
              <w:tc>
                <w:tcPr>
                  <w:tcW w:w="1534" w:type="pct"/>
                  <w:tcBorders>
                    <w:right w:val="single" w:color="auto" w:sz="4" w:space="0"/>
                  </w:tcBorders>
                  <w:noWrap w:val="0"/>
                  <w:vAlign w:val="center"/>
                </w:tcPr>
                <w:p w14:paraId="18E9C67A">
                  <w:pPr>
                    <w:tabs>
                      <w:tab w:val="left" w:pos="1821"/>
                    </w:tabs>
                    <w:autoSpaceDE w:val="0"/>
                    <w:autoSpaceDN w:val="0"/>
                    <w:jc w:val="center"/>
                    <w:rPr>
                      <w:rFonts w:hint="default" w:ascii="Times New Roman" w:hAnsi="Times New Roman" w:eastAsia="宋体" w:cs="Times New Roman"/>
                      <w:b/>
                      <w:color w:val="auto"/>
                      <w:szCs w:val="21"/>
                      <w:lang w:val="en-US" w:eastAsia="zh-CN"/>
                    </w:rPr>
                  </w:pPr>
                  <w:r>
                    <w:rPr>
                      <w:rFonts w:hint="eastAsia" w:ascii="Times New Roman" w:hAnsi="Times New Roman" w:eastAsia="宋体" w:cs="Times New Roman"/>
                      <w:b/>
                      <w:color w:val="auto"/>
                      <w:szCs w:val="21"/>
                      <w:lang w:val="en-US" w:eastAsia="zh-CN"/>
                    </w:rPr>
                    <w:t>检验方法</w:t>
                  </w:r>
                </w:p>
              </w:tc>
            </w:tr>
            <w:tr w14:paraId="35B783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932" w:type="pct"/>
                  <w:tcBorders>
                    <w:right w:val="single" w:color="auto" w:sz="4" w:space="0"/>
                  </w:tcBorders>
                  <w:noWrap w:val="0"/>
                  <w:vAlign w:val="center"/>
                </w:tcPr>
                <w:p w14:paraId="1F51FCBB">
                  <w:pPr>
                    <w:tabs>
                      <w:tab w:val="left" w:pos="1821"/>
                    </w:tabs>
                    <w:autoSpaceDE w:val="0"/>
                    <w:autoSpaceDN w:val="0"/>
                    <w:jc w:val="center"/>
                    <w:rPr>
                      <w:rFonts w:hint="default" w:eastAsia="宋体"/>
                      <w:b/>
                      <w:color w:val="auto"/>
                      <w:szCs w:val="21"/>
                      <w:lang w:val="en-US" w:eastAsia="zh-CN"/>
                    </w:rPr>
                  </w:pPr>
                  <w:r>
                    <w:rPr>
                      <w:rFonts w:hint="eastAsia" w:ascii="Times New Roman" w:hAnsi="Times New Roman" w:eastAsia="宋体" w:cs="Times New Roman"/>
                      <w:color w:val="auto"/>
                      <w:szCs w:val="21"/>
                      <w:lang w:eastAsia="zh-CN"/>
                    </w:rPr>
                    <w:t>总迁移量</w:t>
                  </w:r>
                  <w:r>
                    <w:rPr>
                      <w:rFonts w:hint="eastAsia" w:ascii="Times New Roman" w:hAnsi="Times New Roman" w:eastAsia="宋体" w:cs="Times New Roman"/>
                      <w:color w:val="auto"/>
                      <w:szCs w:val="21"/>
                      <w:vertAlign w:val="superscript"/>
                      <w:lang w:val="en-US" w:eastAsia="zh-CN"/>
                    </w:rPr>
                    <w:t>b</w:t>
                  </w:r>
                  <w:r>
                    <w:rPr>
                      <w:rFonts w:hint="eastAsia" w:ascii="Times New Roman" w:hAnsi="Times New Roman" w:eastAsia="宋体" w:cs="Times New Roman"/>
                      <w:color w:val="auto"/>
                      <w:szCs w:val="21"/>
                      <w:lang w:eastAsia="zh-CN"/>
                    </w:rPr>
                    <w:t>/（mg/dm</w:t>
                  </w:r>
                  <w:r>
                    <w:rPr>
                      <w:rFonts w:hint="eastAsia" w:ascii="Times New Roman" w:hAnsi="Times New Roman" w:eastAsia="宋体" w:cs="Times New Roman"/>
                      <w:color w:val="auto"/>
                      <w:szCs w:val="21"/>
                      <w:vertAlign w:val="superscript"/>
                      <w:lang w:eastAsia="zh-CN"/>
                    </w:rPr>
                    <w:t>2</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 xml:space="preserve">  </w:t>
                  </w:r>
                  <w:r>
                    <w:rPr>
                      <w:rFonts w:hint="eastAsia"/>
                      <w:color w:val="auto"/>
                      <w:szCs w:val="21"/>
                    </w:rPr>
                    <w:t>≤</w:t>
                  </w:r>
                </w:p>
              </w:tc>
              <w:tc>
                <w:tcPr>
                  <w:tcW w:w="1533" w:type="pct"/>
                  <w:tcBorders>
                    <w:right w:val="single" w:color="auto" w:sz="4" w:space="0"/>
                  </w:tcBorders>
                  <w:noWrap w:val="0"/>
                  <w:vAlign w:val="center"/>
                </w:tcPr>
                <w:p w14:paraId="489FE6FC">
                  <w:pPr>
                    <w:tabs>
                      <w:tab w:val="left" w:pos="1821"/>
                    </w:tabs>
                    <w:autoSpaceDE w:val="0"/>
                    <w:autoSpaceDN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w:t>
                  </w:r>
                </w:p>
              </w:tc>
              <w:tc>
                <w:tcPr>
                  <w:tcW w:w="1534" w:type="pct"/>
                  <w:tcBorders>
                    <w:right w:val="single" w:color="auto" w:sz="4" w:space="0"/>
                  </w:tcBorders>
                  <w:noWrap w:val="0"/>
                  <w:vAlign w:val="center"/>
                </w:tcPr>
                <w:p w14:paraId="47CDC9C7">
                  <w:pPr>
                    <w:tabs>
                      <w:tab w:val="left" w:pos="1821"/>
                    </w:tabs>
                    <w:autoSpaceDE w:val="0"/>
                    <w:autoSpaceDN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 31604.8</w:t>
                  </w:r>
                </w:p>
              </w:tc>
            </w:tr>
            <w:tr w14:paraId="59F688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932" w:type="pct"/>
                  <w:noWrap w:val="0"/>
                  <w:vAlign w:val="center"/>
                </w:tcPr>
                <w:p w14:paraId="303F7484">
                  <w:pPr>
                    <w:tabs>
                      <w:tab w:val="left" w:pos="1821"/>
                    </w:tabs>
                    <w:autoSpaceDE w:val="0"/>
                    <w:autoSpaceDN w:val="0"/>
                    <w:jc w:val="center"/>
                    <w:rPr>
                      <w:rFonts w:hint="eastAsia"/>
                      <w:color w:val="auto"/>
                      <w:szCs w:val="21"/>
                      <w:lang w:eastAsia="zh-CN"/>
                    </w:rPr>
                  </w:pPr>
                  <w:r>
                    <w:rPr>
                      <w:rFonts w:hint="eastAsia"/>
                      <w:color w:val="auto"/>
                      <w:szCs w:val="21"/>
                      <w:lang w:eastAsia="zh-CN"/>
                    </w:rPr>
                    <w:t>高锰酸钾消耗量/（mg/kg）</w:t>
                  </w:r>
                </w:p>
                <w:p w14:paraId="265E5ACE">
                  <w:pPr>
                    <w:tabs>
                      <w:tab w:val="left" w:pos="1821"/>
                    </w:tabs>
                    <w:autoSpaceDE w:val="0"/>
                    <w:autoSpaceDN w:val="0"/>
                    <w:jc w:val="center"/>
                    <w:rPr>
                      <w:rFonts w:hint="default" w:eastAsia="宋体"/>
                      <w:color w:val="auto"/>
                      <w:szCs w:val="21"/>
                      <w:lang w:val="en-US" w:eastAsia="zh-CN"/>
                    </w:rPr>
                  </w:pPr>
                  <w:r>
                    <w:rPr>
                      <w:rFonts w:hint="eastAsia"/>
                      <w:color w:val="auto"/>
                      <w:szCs w:val="21"/>
                      <w:lang w:eastAsia="zh-CN"/>
                    </w:rPr>
                    <w:t>蒸馏水（60℃，2h）</w:t>
                  </w:r>
                  <w:r>
                    <w:rPr>
                      <w:rFonts w:hint="eastAsia"/>
                      <w:color w:val="auto"/>
                      <w:szCs w:val="21"/>
                      <w:lang w:val="en-US" w:eastAsia="zh-CN"/>
                    </w:rPr>
                    <w:t xml:space="preserve">     </w:t>
                  </w:r>
                  <w:r>
                    <w:rPr>
                      <w:rFonts w:hint="eastAsia"/>
                      <w:color w:val="auto"/>
                      <w:szCs w:val="21"/>
                    </w:rPr>
                    <w:t>≤</w:t>
                  </w:r>
                </w:p>
              </w:tc>
              <w:tc>
                <w:tcPr>
                  <w:tcW w:w="1533" w:type="pct"/>
                  <w:tcBorders>
                    <w:right w:val="single" w:color="auto" w:sz="4" w:space="0"/>
                  </w:tcBorders>
                  <w:noWrap w:val="0"/>
                  <w:vAlign w:val="center"/>
                </w:tcPr>
                <w:p w14:paraId="532212C9">
                  <w:pPr>
                    <w:tabs>
                      <w:tab w:val="left" w:pos="1821"/>
                    </w:tabs>
                    <w:autoSpaceDE w:val="0"/>
                    <w:autoSpaceDN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w:t>
                  </w:r>
                </w:p>
              </w:tc>
              <w:tc>
                <w:tcPr>
                  <w:tcW w:w="1534" w:type="pct"/>
                  <w:tcBorders>
                    <w:right w:val="single" w:color="auto" w:sz="4" w:space="0"/>
                  </w:tcBorders>
                  <w:noWrap w:val="0"/>
                  <w:vAlign w:val="center"/>
                </w:tcPr>
                <w:p w14:paraId="114B714D">
                  <w:pPr>
                    <w:tabs>
                      <w:tab w:val="left" w:pos="1821"/>
                    </w:tabs>
                    <w:autoSpaceDE w:val="0"/>
                    <w:autoSpaceDN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 31604.2</w:t>
                  </w:r>
                </w:p>
              </w:tc>
            </w:tr>
            <w:tr w14:paraId="09937B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932" w:type="pct"/>
                  <w:noWrap w:val="0"/>
                  <w:vAlign w:val="center"/>
                </w:tcPr>
                <w:p w14:paraId="340D5C37">
                  <w:pPr>
                    <w:tabs>
                      <w:tab w:val="left" w:pos="1821"/>
                    </w:tabs>
                    <w:autoSpaceDE w:val="0"/>
                    <w:autoSpaceDN w:val="0"/>
                    <w:jc w:val="center"/>
                    <w:rPr>
                      <w:rFonts w:hint="eastAsia"/>
                      <w:color w:val="auto"/>
                      <w:szCs w:val="21"/>
                      <w:lang w:eastAsia="zh-CN"/>
                    </w:rPr>
                  </w:pPr>
                  <w:r>
                    <w:rPr>
                      <w:rFonts w:hint="eastAsia"/>
                      <w:color w:val="auto"/>
                      <w:szCs w:val="21"/>
                      <w:lang w:eastAsia="zh-CN"/>
                    </w:rPr>
                    <w:t>重金属（以Pb计）/（mg/kg）</w:t>
                  </w:r>
                </w:p>
                <w:p w14:paraId="0EA549B0">
                  <w:pPr>
                    <w:tabs>
                      <w:tab w:val="left" w:pos="1821"/>
                    </w:tabs>
                    <w:autoSpaceDE w:val="0"/>
                    <w:autoSpaceDN w:val="0"/>
                    <w:jc w:val="center"/>
                    <w:rPr>
                      <w:color w:val="auto"/>
                      <w:szCs w:val="21"/>
                    </w:rPr>
                  </w:pPr>
                  <w:r>
                    <w:rPr>
                      <w:rFonts w:hint="eastAsia"/>
                      <w:color w:val="auto"/>
                      <w:szCs w:val="21"/>
                      <w:lang w:eastAsia="zh-CN"/>
                    </w:rPr>
                    <w:t>4%（体积分数）乙酸（60℃，2h）</w:t>
                  </w:r>
                  <w:r>
                    <w:rPr>
                      <w:rFonts w:hint="eastAsia"/>
                      <w:color w:val="auto"/>
                      <w:szCs w:val="21"/>
                      <w:lang w:val="en-US" w:eastAsia="zh-CN"/>
                    </w:rPr>
                    <w:t xml:space="preserve">    </w:t>
                  </w:r>
                  <w:r>
                    <w:rPr>
                      <w:rFonts w:hint="eastAsia"/>
                      <w:color w:val="auto"/>
                      <w:szCs w:val="21"/>
                    </w:rPr>
                    <w:t>≤</w:t>
                  </w:r>
                </w:p>
              </w:tc>
              <w:tc>
                <w:tcPr>
                  <w:tcW w:w="1533" w:type="pct"/>
                  <w:tcBorders>
                    <w:right w:val="single" w:color="auto" w:sz="4" w:space="0"/>
                  </w:tcBorders>
                  <w:noWrap w:val="0"/>
                  <w:vAlign w:val="center"/>
                </w:tcPr>
                <w:p w14:paraId="4FBDF6A9">
                  <w:pPr>
                    <w:tabs>
                      <w:tab w:val="left" w:pos="1821"/>
                    </w:tabs>
                    <w:autoSpaceDE w:val="0"/>
                    <w:autoSpaceDN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w:t>
                  </w:r>
                </w:p>
              </w:tc>
              <w:tc>
                <w:tcPr>
                  <w:tcW w:w="1534" w:type="pct"/>
                  <w:tcBorders>
                    <w:right w:val="single" w:color="auto" w:sz="4" w:space="0"/>
                  </w:tcBorders>
                  <w:noWrap w:val="0"/>
                  <w:vAlign w:val="center"/>
                </w:tcPr>
                <w:p w14:paraId="5E5FFE3C">
                  <w:pPr>
                    <w:tabs>
                      <w:tab w:val="left" w:pos="1821"/>
                    </w:tabs>
                    <w:autoSpaceDE w:val="0"/>
                    <w:autoSpaceDN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 31604.9</w:t>
                  </w:r>
                </w:p>
              </w:tc>
            </w:tr>
            <w:tr w14:paraId="2CCFAB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932" w:type="pct"/>
                  <w:noWrap w:val="0"/>
                  <w:vAlign w:val="center"/>
                </w:tcPr>
                <w:p w14:paraId="194D1F3F">
                  <w:pPr>
                    <w:tabs>
                      <w:tab w:val="left" w:pos="1821"/>
                    </w:tabs>
                    <w:autoSpaceDE w:val="0"/>
                    <w:autoSpaceDN w:val="0"/>
                    <w:jc w:val="center"/>
                    <w:rPr>
                      <w:color w:val="auto"/>
                      <w:szCs w:val="21"/>
                    </w:rPr>
                  </w:pPr>
                  <w:r>
                    <w:rPr>
                      <w:rFonts w:hint="eastAsia"/>
                      <w:color w:val="auto"/>
                      <w:szCs w:val="21"/>
                    </w:rPr>
                    <w:t>芳香族伯胺迁移总量</w:t>
                  </w:r>
                  <w:r>
                    <w:rPr>
                      <w:rFonts w:hint="eastAsia"/>
                      <w:color w:val="auto"/>
                      <w:szCs w:val="21"/>
                      <w:vertAlign w:val="superscript"/>
                      <w:lang w:val="en-US" w:eastAsia="zh-CN"/>
                    </w:rPr>
                    <w:t>d</w:t>
                  </w:r>
                  <w:r>
                    <w:rPr>
                      <w:rFonts w:hint="eastAsia"/>
                      <w:color w:val="auto"/>
                      <w:szCs w:val="21"/>
                    </w:rPr>
                    <w:t>/</w:t>
                  </w:r>
                  <w:r>
                    <w:rPr>
                      <w:rFonts w:hint="eastAsia"/>
                      <w:color w:val="auto"/>
                      <w:szCs w:val="21"/>
                      <w:lang w:eastAsia="zh-CN"/>
                    </w:rPr>
                    <w:t>（mg/kg）</w:t>
                  </w:r>
                  <w:r>
                    <w:rPr>
                      <w:rFonts w:hint="eastAsia"/>
                      <w:color w:val="auto"/>
                      <w:szCs w:val="21"/>
                      <w:lang w:val="en-US" w:eastAsia="zh-CN"/>
                    </w:rPr>
                    <w:t xml:space="preserve">                 </w:t>
                  </w:r>
                </w:p>
              </w:tc>
              <w:tc>
                <w:tcPr>
                  <w:tcW w:w="1533" w:type="pct"/>
                  <w:tcBorders>
                    <w:right w:val="single" w:color="auto" w:sz="4" w:space="0"/>
                  </w:tcBorders>
                  <w:noWrap w:val="0"/>
                  <w:vAlign w:val="center"/>
                </w:tcPr>
                <w:p w14:paraId="5290C512">
                  <w:pPr>
                    <w:tabs>
                      <w:tab w:val="left" w:pos="1821"/>
                    </w:tabs>
                    <w:autoSpaceDE w:val="0"/>
                    <w:autoSpaceDN w:val="0"/>
                    <w:jc w:val="center"/>
                    <w:rPr>
                      <w:rFonts w:hint="default" w:eastAsia="宋体"/>
                      <w:color w:val="auto"/>
                      <w:szCs w:val="21"/>
                      <w:lang w:val="en-US" w:eastAsia="zh-CN"/>
                    </w:rPr>
                  </w:pPr>
                  <w:r>
                    <w:rPr>
                      <w:rFonts w:hint="default" w:eastAsia="宋体"/>
                      <w:color w:val="auto"/>
                      <w:szCs w:val="21"/>
                      <w:lang w:val="en-US" w:eastAsia="zh-CN"/>
                    </w:rPr>
                    <w:t>不得检出</w:t>
                  </w:r>
                </w:p>
                <w:p w14:paraId="3A456E6D">
                  <w:pPr>
                    <w:tabs>
                      <w:tab w:val="left" w:pos="1821"/>
                    </w:tabs>
                    <w:autoSpaceDE w:val="0"/>
                    <w:autoSpaceDN w:val="0"/>
                    <w:jc w:val="center"/>
                    <w:rPr>
                      <w:rFonts w:hint="default" w:eastAsia="宋体"/>
                      <w:color w:val="auto"/>
                      <w:szCs w:val="21"/>
                      <w:lang w:val="en-US" w:eastAsia="zh-CN"/>
                    </w:rPr>
                  </w:pPr>
                  <w:r>
                    <w:rPr>
                      <w:rFonts w:hint="eastAsia" w:eastAsia="宋体"/>
                      <w:color w:val="auto"/>
                      <w:szCs w:val="21"/>
                      <w:lang w:val="en-US" w:eastAsia="zh-CN"/>
                    </w:rPr>
                    <w:t>（</w:t>
                  </w:r>
                  <w:r>
                    <w:rPr>
                      <w:rFonts w:hint="default" w:eastAsia="宋体"/>
                      <w:color w:val="auto"/>
                      <w:szCs w:val="21"/>
                      <w:lang w:val="en-US" w:eastAsia="zh-CN"/>
                    </w:rPr>
                    <w:t>检出限</w:t>
                  </w:r>
                  <w:r>
                    <w:rPr>
                      <w:rFonts w:hint="eastAsia" w:eastAsia="宋体"/>
                      <w:color w:val="auto"/>
                      <w:szCs w:val="21"/>
                      <w:lang w:val="en-US" w:eastAsia="zh-CN"/>
                    </w:rPr>
                    <w:t>-</w:t>
                  </w:r>
                  <w:r>
                    <w:rPr>
                      <w:rFonts w:hint="default" w:eastAsia="宋体"/>
                      <w:color w:val="auto"/>
                      <w:szCs w:val="21"/>
                      <w:lang w:val="en-US" w:eastAsia="zh-CN"/>
                    </w:rPr>
                    <w:t>0.01mg/kg</w:t>
                  </w:r>
                  <w:r>
                    <w:rPr>
                      <w:rFonts w:hint="eastAsia" w:eastAsia="宋体"/>
                      <w:color w:val="auto"/>
                      <w:szCs w:val="21"/>
                      <w:lang w:val="en-US" w:eastAsia="zh-CN"/>
                    </w:rPr>
                    <w:t>）</w:t>
                  </w:r>
                </w:p>
              </w:tc>
              <w:tc>
                <w:tcPr>
                  <w:tcW w:w="1534" w:type="pct"/>
                  <w:tcBorders>
                    <w:right w:val="single" w:color="auto" w:sz="4" w:space="0"/>
                  </w:tcBorders>
                  <w:noWrap w:val="0"/>
                  <w:vAlign w:val="center"/>
                </w:tcPr>
                <w:p w14:paraId="1CD74051">
                  <w:pPr>
                    <w:tabs>
                      <w:tab w:val="left" w:pos="1821"/>
                    </w:tabs>
                    <w:autoSpaceDE w:val="0"/>
                    <w:autoSpaceDN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 31604.52</w:t>
                  </w:r>
                </w:p>
              </w:tc>
            </w:tr>
            <w:tr w14:paraId="7D9BF0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932" w:type="pct"/>
                  <w:noWrap w:val="0"/>
                  <w:vAlign w:val="center"/>
                </w:tcPr>
                <w:p w14:paraId="5FA2D297">
                  <w:pPr>
                    <w:tabs>
                      <w:tab w:val="left" w:pos="1821"/>
                    </w:tabs>
                    <w:autoSpaceDE w:val="0"/>
                    <w:autoSpaceDN w:val="0"/>
                    <w:jc w:val="center"/>
                    <w:rPr>
                      <w:rFonts w:hint="eastAsia" w:eastAsia="宋体"/>
                      <w:color w:val="auto"/>
                      <w:szCs w:val="21"/>
                      <w:lang w:eastAsia="zh-CN"/>
                    </w:rPr>
                  </w:pPr>
                  <w:r>
                    <w:rPr>
                      <w:rFonts w:hint="eastAsia"/>
                      <w:color w:val="auto"/>
                      <w:szCs w:val="21"/>
                      <w:lang w:eastAsia="zh-CN"/>
                    </w:rPr>
                    <w:t>脱色试验</w:t>
                  </w:r>
                  <w:r>
                    <w:rPr>
                      <w:rFonts w:hint="eastAsia"/>
                      <w:color w:val="auto"/>
                      <w:szCs w:val="21"/>
                      <w:vertAlign w:val="superscript"/>
                      <w:lang w:val="en-US" w:eastAsia="zh-CN"/>
                    </w:rPr>
                    <w:t>e</w:t>
                  </w:r>
                  <w:r>
                    <w:rPr>
                      <w:rFonts w:hint="eastAsia"/>
                      <w:color w:val="auto"/>
                      <w:szCs w:val="21"/>
                      <w:lang w:val="en-US" w:eastAsia="zh-CN"/>
                    </w:rPr>
                    <w:t xml:space="preserve">    </w:t>
                  </w:r>
                </w:p>
              </w:tc>
              <w:tc>
                <w:tcPr>
                  <w:tcW w:w="1533" w:type="pct"/>
                  <w:tcBorders>
                    <w:right w:val="single" w:color="auto" w:sz="4" w:space="0"/>
                  </w:tcBorders>
                  <w:noWrap w:val="0"/>
                  <w:vAlign w:val="center"/>
                </w:tcPr>
                <w:p w14:paraId="64379B23">
                  <w:pPr>
                    <w:tabs>
                      <w:tab w:val="left" w:pos="1821"/>
                    </w:tabs>
                    <w:autoSpaceDE w:val="0"/>
                    <w:autoSpaceDN w:val="0"/>
                    <w:jc w:val="center"/>
                    <w:rPr>
                      <w:rFonts w:hint="default" w:eastAsia="宋体"/>
                      <w:color w:val="auto"/>
                      <w:szCs w:val="21"/>
                      <w:lang w:val="en-US" w:eastAsia="zh-CN"/>
                    </w:rPr>
                  </w:pPr>
                  <w:r>
                    <w:rPr>
                      <w:rFonts w:hint="default" w:eastAsia="宋体"/>
                      <w:color w:val="auto"/>
                      <w:szCs w:val="21"/>
                      <w:lang w:val="en-US" w:eastAsia="zh-CN"/>
                    </w:rPr>
                    <w:t>阴性</w:t>
                  </w:r>
                </w:p>
              </w:tc>
              <w:tc>
                <w:tcPr>
                  <w:tcW w:w="1534" w:type="pct"/>
                  <w:tcBorders>
                    <w:right w:val="single" w:color="auto" w:sz="4" w:space="0"/>
                  </w:tcBorders>
                  <w:noWrap w:val="0"/>
                  <w:vAlign w:val="center"/>
                </w:tcPr>
                <w:p w14:paraId="351A7C00">
                  <w:pPr>
                    <w:tabs>
                      <w:tab w:val="left" w:pos="1821"/>
                    </w:tabs>
                    <w:autoSpaceDE w:val="0"/>
                    <w:autoSpaceDN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GB 31604.7</w:t>
                  </w:r>
                </w:p>
              </w:tc>
            </w:tr>
            <w:tr w14:paraId="776089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 w:hRule="atLeast"/>
                <w:jc w:val="center"/>
              </w:trPr>
              <w:tc>
                <w:tcPr>
                  <w:tcW w:w="5000" w:type="pct"/>
                  <w:gridSpan w:val="3"/>
                  <w:tcBorders>
                    <w:right w:val="single" w:color="auto" w:sz="4" w:space="0"/>
                  </w:tcBorders>
                  <w:noWrap w:val="0"/>
                  <w:vAlign w:val="center"/>
                </w:tcPr>
                <w:p w14:paraId="4A9563EE">
                  <w:pPr>
                    <w:numPr>
                      <w:ilvl w:val="0"/>
                      <w:numId w:val="5"/>
                    </w:numPr>
                    <w:tabs>
                      <w:tab w:val="left" w:pos="1821"/>
                    </w:tabs>
                    <w:autoSpaceDE w:val="0"/>
                    <w:autoSpaceDN w:val="0"/>
                    <w:jc w:val="center"/>
                    <w:rPr>
                      <w:rFonts w:hint="eastAsia"/>
                      <w:color w:val="auto"/>
                      <w:szCs w:val="21"/>
                      <w:lang w:val="en-US" w:eastAsia="zh-CN"/>
                    </w:rPr>
                  </w:pPr>
                  <w:r>
                    <w:rPr>
                      <w:rFonts w:hint="eastAsia"/>
                      <w:color w:val="auto"/>
                      <w:szCs w:val="21"/>
                      <w:lang w:val="en-US" w:eastAsia="zh-CN"/>
                    </w:rPr>
                    <w:t>母料应按实际配方与树脂或粒料等相关原料混合并加工成最终接触食品的塑料材料</w:t>
                  </w:r>
                </w:p>
                <w:p w14:paraId="009F80CE">
                  <w:pPr>
                    <w:numPr>
                      <w:ilvl w:val="0"/>
                      <w:numId w:val="0"/>
                    </w:numPr>
                    <w:tabs>
                      <w:tab w:val="left" w:pos="1821"/>
                    </w:tabs>
                    <w:autoSpaceDE w:val="0"/>
                    <w:autoSpaceDN w:val="0"/>
                    <w:jc w:val="both"/>
                    <w:rPr>
                      <w:rFonts w:hint="eastAsia"/>
                      <w:color w:val="auto"/>
                      <w:szCs w:val="21"/>
                      <w:lang w:val="en-US" w:eastAsia="zh-CN"/>
                    </w:rPr>
                  </w:pPr>
                  <w:r>
                    <w:rPr>
                      <w:rFonts w:hint="eastAsia"/>
                      <w:color w:val="auto"/>
                      <w:szCs w:val="21"/>
                      <w:lang w:val="en-US" w:eastAsia="zh-CN"/>
                    </w:rPr>
                    <w:t>及制品后进行检测。</w:t>
                  </w:r>
                </w:p>
                <w:p w14:paraId="7E62636A">
                  <w:pPr>
                    <w:numPr>
                      <w:ilvl w:val="0"/>
                      <w:numId w:val="5"/>
                    </w:numPr>
                    <w:tabs>
                      <w:tab w:val="left" w:pos="1821"/>
                    </w:tabs>
                    <w:autoSpaceDE w:val="0"/>
                    <w:autoSpaceDN w:val="0"/>
                    <w:ind w:left="0" w:leftChars="0" w:firstLine="0" w:firstLineChars="0"/>
                    <w:jc w:val="center"/>
                    <w:rPr>
                      <w:rFonts w:hint="eastAsia"/>
                      <w:color w:val="auto"/>
                      <w:szCs w:val="21"/>
                      <w:lang w:val="en-US" w:eastAsia="zh-CN"/>
                    </w:rPr>
                  </w:pPr>
                  <w:r>
                    <w:rPr>
                      <w:rFonts w:hint="eastAsia"/>
                      <w:color w:val="auto"/>
                      <w:szCs w:val="21"/>
                      <w:lang w:val="en-US" w:eastAsia="zh-CN"/>
                    </w:rPr>
                    <w:t xml:space="preserve">婴幼儿专用食品接触用塑料材料及制品应根据实际使用中的面积体积比将结果单位  </w:t>
                  </w:r>
                </w:p>
                <w:p w14:paraId="45CC9655">
                  <w:pPr>
                    <w:numPr>
                      <w:ilvl w:val="0"/>
                      <w:numId w:val="0"/>
                    </w:numPr>
                    <w:tabs>
                      <w:tab w:val="left" w:pos="1821"/>
                    </w:tabs>
                    <w:autoSpaceDE w:val="0"/>
                    <w:autoSpaceDN w:val="0"/>
                    <w:jc w:val="both"/>
                    <w:rPr>
                      <w:rFonts w:hint="eastAsia"/>
                      <w:color w:val="auto"/>
                      <w:szCs w:val="21"/>
                      <w:lang w:val="en-US" w:eastAsia="zh-CN"/>
                    </w:rPr>
                  </w:pPr>
                  <w:r>
                    <w:rPr>
                      <w:rFonts w:hint="eastAsia"/>
                      <w:color w:val="auto"/>
                      <w:szCs w:val="21"/>
                      <w:lang w:val="en-US" w:eastAsia="zh-CN"/>
                    </w:rPr>
                    <w:t>换算为mg/kg，且限量为≤60mg/kg；对淀粉含量≥40%的淀粉基塑料材料及制品，如果按规定选择的食品模拟物测得的总迁移量超过限量，应按照GB31604.8测定三氣甲烷提取物，并以测得的三氣甲烷提取量进行结果判定。</w:t>
                  </w:r>
                </w:p>
                <w:p w14:paraId="6526CBE1">
                  <w:pPr>
                    <w:tabs>
                      <w:tab w:val="left" w:pos="1821"/>
                    </w:tabs>
                    <w:autoSpaceDE w:val="0"/>
                    <w:autoSpaceDN w:val="0"/>
                    <w:jc w:val="both"/>
                    <w:rPr>
                      <w:rFonts w:hint="eastAsia"/>
                      <w:color w:val="auto"/>
                      <w:szCs w:val="21"/>
                      <w:lang w:val="en-US" w:eastAsia="zh-CN"/>
                    </w:rPr>
                  </w:pPr>
                  <w:r>
                    <w:rPr>
                      <w:rFonts w:hint="eastAsia"/>
                      <w:color w:val="auto"/>
                      <w:szCs w:val="21"/>
                      <w:lang w:val="en-US" w:eastAsia="zh-CN"/>
                    </w:rPr>
                    <w:t>c、不适用于淀粉含量≥40%的淀粉基塑料材料及制品。</w:t>
                  </w:r>
                </w:p>
                <w:p w14:paraId="2E42EE66">
                  <w:pPr>
                    <w:tabs>
                      <w:tab w:val="left" w:pos="1821"/>
                    </w:tabs>
                    <w:autoSpaceDE w:val="0"/>
                    <w:autoSpaceDN w:val="0"/>
                    <w:jc w:val="center"/>
                    <w:rPr>
                      <w:rFonts w:hint="eastAsia"/>
                      <w:color w:val="auto"/>
                      <w:szCs w:val="21"/>
                      <w:lang w:val="en-US" w:eastAsia="zh-CN"/>
                    </w:rPr>
                  </w:pPr>
                  <w:r>
                    <w:rPr>
                      <w:rFonts w:hint="eastAsia"/>
                      <w:color w:val="auto"/>
                      <w:szCs w:val="21"/>
                      <w:lang w:val="en-US" w:eastAsia="zh-CN"/>
                    </w:rPr>
                    <w:t>d、仅适用于含有芳香族异氰酸酯和偶氮类着色剂等可能产生芳香族伯胺类物质的食品接触用塑料材料及制品本标准附录A、GB9685及相关公告中规定了迁移限量的芳香族伯</w:t>
                  </w:r>
                </w:p>
                <w:p w14:paraId="4E42271F">
                  <w:pPr>
                    <w:tabs>
                      <w:tab w:val="left" w:pos="1821"/>
                    </w:tabs>
                    <w:autoSpaceDE w:val="0"/>
                    <w:autoSpaceDN w:val="0"/>
                    <w:jc w:val="both"/>
                    <w:rPr>
                      <w:rFonts w:hint="eastAsia"/>
                      <w:color w:val="auto"/>
                      <w:szCs w:val="21"/>
                      <w:lang w:val="en-US" w:eastAsia="zh-CN"/>
                    </w:rPr>
                  </w:pPr>
                  <w:r>
                    <w:rPr>
                      <w:rFonts w:hint="eastAsia"/>
                      <w:color w:val="auto"/>
                      <w:szCs w:val="21"/>
                      <w:lang w:val="en-US" w:eastAsia="zh-CN"/>
                    </w:rPr>
                    <w:t>胺，其限量按照相关规定执行。</w:t>
                  </w:r>
                </w:p>
                <w:p w14:paraId="56D71DC9">
                  <w:pPr>
                    <w:tabs>
                      <w:tab w:val="left" w:pos="1821"/>
                    </w:tabs>
                    <w:autoSpaceDE w:val="0"/>
                    <w:autoSpaceDN w:val="0"/>
                    <w:jc w:val="both"/>
                    <w:rPr>
                      <w:rFonts w:hint="default" w:eastAsia="宋体"/>
                      <w:color w:val="auto"/>
                      <w:szCs w:val="21"/>
                      <w:lang w:val="en-US" w:eastAsia="zh-CN"/>
                    </w:rPr>
                  </w:pPr>
                  <w:r>
                    <w:rPr>
                      <w:rFonts w:hint="eastAsia"/>
                      <w:color w:val="auto"/>
                      <w:szCs w:val="21"/>
                      <w:lang w:val="en-US" w:eastAsia="zh-CN"/>
                    </w:rPr>
                    <w:t>e、仅适用于添加了着色剂的塑料材料及制品。</w:t>
                  </w:r>
                </w:p>
              </w:tc>
            </w:tr>
          </w:tbl>
          <w:p w14:paraId="2799D2FB">
            <w:pPr>
              <w:pStyle w:val="17"/>
              <w:adjustRightInd w:val="0"/>
              <w:snapToGrid w:val="0"/>
              <w:spacing w:line="360" w:lineRule="auto"/>
              <w:ind w:firstLine="482" w:firstLineChars="200"/>
              <w:rPr>
                <w:rFonts w:ascii="Times New Roman" w:hAnsi="Times New Roman"/>
                <w:b/>
                <w:color w:val="auto"/>
                <w:sz w:val="24"/>
              </w:rPr>
            </w:pPr>
            <w:r>
              <w:rPr>
                <w:rFonts w:hint="eastAsia" w:ascii="Times New Roman" w:hAnsi="Times New Roman"/>
                <w:b/>
                <w:color w:val="auto"/>
                <w:sz w:val="24"/>
              </w:rPr>
              <w:t>4</w:t>
            </w:r>
            <w:r>
              <w:rPr>
                <w:rFonts w:ascii="Times New Roman" w:hAnsi="Times New Roman"/>
                <w:b/>
                <w:color w:val="auto"/>
                <w:sz w:val="24"/>
              </w:rPr>
              <w:t>、原辅材料及能源消耗</w:t>
            </w:r>
          </w:p>
          <w:p w14:paraId="2A1AC73C">
            <w:pPr>
              <w:adjustRightInd w:val="0"/>
              <w:snapToGrid w:val="0"/>
              <w:spacing w:line="360" w:lineRule="auto"/>
              <w:ind w:firstLine="482" w:firstLineChars="200"/>
              <w:rPr>
                <w:b/>
                <w:bCs/>
                <w:color w:val="auto"/>
                <w:sz w:val="24"/>
              </w:rPr>
            </w:pPr>
            <w:r>
              <w:rPr>
                <w:b/>
                <w:bCs/>
                <w:color w:val="auto"/>
                <w:sz w:val="24"/>
              </w:rPr>
              <w:t>（1）原辅材料及能源用量</w:t>
            </w:r>
          </w:p>
          <w:p w14:paraId="318D333F">
            <w:pPr>
              <w:adjustRightInd w:val="0"/>
              <w:snapToGrid w:val="0"/>
              <w:spacing w:line="360" w:lineRule="auto"/>
              <w:ind w:firstLine="480" w:firstLineChars="200"/>
              <w:rPr>
                <w:rFonts w:hint="eastAsia"/>
                <w:b/>
                <w:bCs/>
                <w:color w:val="auto"/>
                <w:szCs w:val="21"/>
              </w:rPr>
            </w:pPr>
            <w:r>
              <w:rPr>
                <w:bCs/>
                <w:color w:val="auto"/>
                <w:sz w:val="24"/>
              </w:rPr>
              <w:t>项目生产主要原辅材料及能源消耗情况见表2-</w:t>
            </w:r>
            <w:r>
              <w:rPr>
                <w:rFonts w:hint="eastAsia"/>
                <w:bCs/>
                <w:color w:val="auto"/>
                <w:sz w:val="24"/>
                <w:lang w:val="en-US" w:eastAsia="zh-CN"/>
              </w:rPr>
              <w:t>4</w:t>
            </w:r>
            <w:r>
              <w:rPr>
                <w:bCs/>
                <w:color w:val="auto"/>
                <w:sz w:val="24"/>
              </w:rPr>
              <w:t>。</w:t>
            </w:r>
          </w:p>
          <w:p w14:paraId="3A29B1D2">
            <w:pPr>
              <w:jc w:val="center"/>
              <w:rPr>
                <w:color w:val="auto"/>
                <w:sz w:val="28"/>
                <w:szCs w:val="36"/>
              </w:rPr>
            </w:pPr>
            <w:r>
              <w:rPr>
                <w:rFonts w:hint="eastAsia"/>
                <w:b/>
                <w:bCs/>
                <w:color w:val="auto"/>
                <w:szCs w:val="21"/>
              </w:rPr>
              <w:t>表2-</w:t>
            </w:r>
            <w:r>
              <w:rPr>
                <w:rFonts w:hint="eastAsia"/>
                <w:b/>
                <w:bCs/>
                <w:color w:val="auto"/>
                <w:szCs w:val="21"/>
                <w:lang w:val="en-US" w:eastAsia="zh-CN"/>
              </w:rPr>
              <w:t>4</w:t>
            </w:r>
            <w:r>
              <w:rPr>
                <w:rFonts w:hint="eastAsia"/>
                <w:b/>
                <w:bCs/>
                <w:color w:val="auto"/>
                <w:szCs w:val="21"/>
              </w:rPr>
              <w:t xml:space="preserve">  项目主要原、辅材料及能源一览</w:t>
            </w:r>
            <w:r>
              <w:rPr>
                <w:b/>
                <w:bCs/>
                <w:color w:val="auto"/>
                <w:szCs w:val="21"/>
              </w:rPr>
              <w:t>表</w:t>
            </w:r>
          </w:p>
          <w:tbl>
            <w:tblPr>
              <w:tblStyle w:val="30"/>
              <w:tblW w:w="83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1516"/>
              <w:gridCol w:w="1180"/>
              <w:gridCol w:w="1137"/>
              <w:gridCol w:w="1233"/>
              <w:gridCol w:w="884"/>
              <w:gridCol w:w="1530"/>
            </w:tblGrid>
            <w:tr w14:paraId="7A3A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822" w:type="dxa"/>
                  <w:vAlign w:val="center"/>
                </w:tcPr>
                <w:p w14:paraId="579AC5E0">
                  <w:pPr>
                    <w:jc w:val="center"/>
                    <w:rPr>
                      <w:b/>
                      <w:bCs/>
                      <w:color w:val="auto"/>
                      <w:szCs w:val="21"/>
                    </w:rPr>
                  </w:pPr>
                  <w:r>
                    <w:rPr>
                      <w:b/>
                      <w:bCs/>
                      <w:color w:val="auto"/>
                      <w:szCs w:val="21"/>
                    </w:rPr>
                    <w:t>序号</w:t>
                  </w:r>
                </w:p>
              </w:tc>
              <w:tc>
                <w:tcPr>
                  <w:tcW w:w="1516" w:type="dxa"/>
                  <w:vAlign w:val="center"/>
                </w:tcPr>
                <w:p w14:paraId="13943E66">
                  <w:pPr>
                    <w:jc w:val="center"/>
                    <w:rPr>
                      <w:b/>
                      <w:bCs/>
                      <w:color w:val="auto"/>
                      <w:szCs w:val="21"/>
                    </w:rPr>
                  </w:pPr>
                  <w:r>
                    <w:rPr>
                      <w:b/>
                      <w:bCs/>
                      <w:color w:val="auto"/>
                      <w:szCs w:val="21"/>
                    </w:rPr>
                    <w:t>材料名称</w:t>
                  </w:r>
                </w:p>
              </w:tc>
              <w:tc>
                <w:tcPr>
                  <w:tcW w:w="1180" w:type="dxa"/>
                  <w:vAlign w:val="center"/>
                </w:tcPr>
                <w:p w14:paraId="3BE69F23">
                  <w:pPr>
                    <w:jc w:val="center"/>
                    <w:rPr>
                      <w:b/>
                      <w:bCs/>
                      <w:color w:val="auto"/>
                      <w:szCs w:val="21"/>
                    </w:rPr>
                  </w:pPr>
                  <w:r>
                    <w:rPr>
                      <w:b/>
                      <w:bCs/>
                      <w:color w:val="auto"/>
                      <w:szCs w:val="21"/>
                    </w:rPr>
                    <w:t>年耗量</w:t>
                  </w:r>
                </w:p>
              </w:tc>
              <w:tc>
                <w:tcPr>
                  <w:tcW w:w="1137" w:type="dxa"/>
                  <w:vAlign w:val="center"/>
                </w:tcPr>
                <w:p w14:paraId="133681AD">
                  <w:pPr>
                    <w:jc w:val="center"/>
                    <w:rPr>
                      <w:b/>
                      <w:bCs/>
                      <w:color w:val="auto"/>
                      <w:szCs w:val="21"/>
                    </w:rPr>
                  </w:pPr>
                  <w:r>
                    <w:rPr>
                      <w:b/>
                      <w:bCs/>
                      <w:color w:val="auto"/>
                      <w:szCs w:val="21"/>
                    </w:rPr>
                    <w:t>规格</w:t>
                  </w:r>
                </w:p>
              </w:tc>
              <w:tc>
                <w:tcPr>
                  <w:tcW w:w="1233" w:type="dxa"/>
                  <w:vAlign w:val="center"/>
                </w:tcPr>
                <w:p w14:paraId="2D07E081">
                  <w:pPr>
                    <w:jc w:val="center"/>
                    <w:rPr>
                      <w:b/>
                      <w:bCs/>
                      <w:color w:val="auto"/>
                      <w:szCs w:val="21"/>
                    </w:rPr>
                  </w:pPr>
                  <w:r>
                    <w:rPr>
                      <w:b/>
                      <w:bCs/>
                      <w:color w:val="auto"/>
                      <w:szCs w:val="21"/>
                    </w:rPr>
                    <w:t>供应来源</w:t>
                  </w:r>
                </w:p>
              </w:tc>
              <w:tc>
                <w:tcPr>
                  <w:tcW w:w="884" w:type="dxa"/>
                  <w:vAlign w:val="center"/>
                </w:tcPr>
                <w:p w14:paraId="03FCD1E7">
                  <w:pPr>
                    <w:jc w:val="center"/>
                    <w:rPr>
                      <w:b/>
                      <w:bCs/>
                      <w:color w:val="auto"/>
                      <w:szCs w:val="21"/>
                    </w:rPr>
                  </w:pPr>
                  <w:r>
                    <w:rPr>
                      <w:b/>
                      <w:bCs/>
                      <w:color w:val="auto"/>
                      <w:szCs w:val="21"/>
                    </w:rPr>
                    <w:t>最大储存量</w:t>
                  </w:r>
                </w:p>
              </w:tc>
              <w:tc>
                <w:tcPr>
                  <w:tcW w:w="1530" w:type="dxa"/>
                  <w:vAlign w:val="center"/>
                </w:tcPr>
                <w:p w14:paraId="0BA39C33">
                  <w:pPr>
                    <w:jc w:val="center"/>
                    <w:rPr>
                      <w:b/>
                      <w:bCs/>
                      <w:color w:val="auto"/>
                      <w:szCs w:val="21"/>
                    </w:rPr>
                  </w:pPr>
                  <w:r>
                    <w:rPr>
                      <w:rFonts w:hint="eastAsia"/>
                      <w:b/>
                      <w:bCs/>
                      <w:color w:val="auto"/>
                      <w:szCs w:val="21"/>
                    </w:rPr>
                    <w:t>备注</w:t>
                  </w:r>
                </w:p>
              </w:tc>
            </w:tr>
            <w:tr w14:paraId="06C93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2" w:type="dxa"/>
                  <w:gridSpan w:val="7"/>
                  <w:vAlign w:val="center"/>
                </w:tcPr>
                <w:p w14:paraId="6B241975">
                  <w:pPr>
                    <w:jc w:val="center"/>
                    <w:rPr>
                      <w:b/>
                      <w:bCs/>
                      <w:color w:val="auto"/>
                      <w:szCs w:val="21"/>
                    </w:rPr>
                  </w:pPr>
                  <w:r>
                    <w:rPr>
                      <w:rFonts w:hint="eastAsia"/>
                      <w:b/>
                      <w:bCs/>
                      <w:color w:val="auto"/>
                      <w:szCs w:val="21"/>
                    </w:rPr>
                    <w:t>一、主要原辅料</w:t>
                  </w:r>
                </w:p>
              </w:tc>
            </w:tr>
            <w:tr w14:paraId="15B5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499DE826">
                  <w:pPr>
                    <w:jc w:val="center"/>
                    <w:rPr>
                      <w:color w:val="auto"/>
                      <w:szCs w:val="21"/>
                    </w:rPr>
                  </w:pPr>
                  <w:r>
                    <w:rPr>
                      <w:color w:val="auto"/>
                      <w:szCs w:val="21"/>
                    </w:rPr>
                    <w:t>1</w:t>
                  </w:r>
                </w:p>
              </w:tc>
              <w:tc>
                <w:tcPr>
                  <w:tcW w:w="1516" w:type="dxa"/>
                  <w:vAlign w:val="center"/>
                </w:tcPr>
                <w:p w14:paraId="38B0A1B0">
                  <w:pPr>
                    <w:jc w:val="center"/>
                    <w:rPr>
                      <w:rFonts w:hint="default" w:eastAsia="宋体"/>
                      <w:color w:val="auto"/>
                      <w:szCs w:val="21"/>
                      <w:lang w:val="en-US" w:eastAsia="zh-CN"/>
                    </w:rPr>
                  </w:pPr>
                  <w:r>
                    <w:rPr>
                      <w:rFonts w:hint="eastAsia"/>
                      <w:color w:val="auto"/>
                      <w:szCs w:val="21"/>
                      <w:lang w:val="en-US" w:eastAsia="zh-CN"/>
                    </w:rPr>
                    <w:t>聚丙烯树脂（PP）</w:t>
                  </w:r>
                </w:p>
              </w:tc>
              <w:tc>
                <w:tcPr>
                  <w:tcW w:w="1180" w:type="dxa"/>
                  <w:vAlign w:val="center"/>
                </w:tcPr>
                <w:p w14:paraId="1B83F5E6">
                  <w:pPr>
                    <w:jc w:val="center"/>
                    <w:rPr>
                      <w:color w:val="auto"/>
                      <w:szCs w:val="21"/>
                    </w:rPr>
                  </w:pPr>
                  <w:r>
                    <w:rPr>
                      <w:rFonts w:hint="eastAsia"/>
                      <w:color w:val="auto"/>
                      <w:szCs w:val="21"/>
                      <w:lang w:val="en-US" w:eastAsia="zh-CN"/>
                    </w:rPr>
                    <w:t>8256.45</w:t>
                  </w:r>
                  <w:r>
                    <w:rPr>
                      <w:rFonts w:hint="eastAsia"/>
                      <w:color w:val="auto"/>
                      <w:szCs w:val="21"/>
                    </w:rPr>
                    <w:t>吨</w:t>
                  </w:r>
                </w:p>
              </w:tc>
              <w:tc>
                <w:tcPr>
                  <w:tcW w:w="1137" w:type="dxa"/>
                  <w:vAlign w:val="center"/>
                </w:tcPr>
                <w:p w14:paraId="7BE1AB24">
                  <w:pPr>
                    <w:jc w:val="center"/>
                    <w:rPr>
                      <w:color w:val="auto"/>
                      <w:szCs w:val="21"/>
                      <w:lang w:bidi="ar"/>
                    </w:rPr>
                  </w:pPr>
                  <w:r>
                    <w:rPr>
                      <w:rFonts w:hint="eastAsia"/>
                      <w:color w:val="auto"/>
                      <w:szCs w:val="21"/>
                    </w:rPr>
                    <w:t>25kg/袋</w:t>
                  </w:r>
                </w:p>
              </w:tc>
              <w:tc>
                <w:tcPr>
                  <w:tcW w:w="1233" w:type="dxa"/>
                  <w:vAlign w:val="center"/>
                </w:tcPr>
                <w:p w14:paraId="1E81749A">
                  <w:pPr>
                    <w:widowControl/>
                    <w:jc w:val="center"/>
                    <w:textAlignment w:val="center"/>
                    <w:rPr>
                      <w:color w:val="auto"/>
                      <w:szCs w:val="21"/>
                    </w:rPr>
                  </w:pPr>
                  <w:r>
                    <w:rPr>
                      <w:rFonts w:hint="eastAsia"/>
                      <w:color w:val="auto"/>
                      <w:szCs w:val="21"/>
                    </w:rPr>
                    <w:t>外购，颗粒状，袋装</w:t>
                  </w:r>
                </w:p>
              </w:tc>
              <w:tc>
                <w:tcPr>
                  <w:tcW w:w="884" w:type="dxa"/>
                  <w:vAlign w:val="center"/>
                </w:tcPr>
                <w:p w14:paraId="323CBCB0">
                  <w:pPr>
                    <w:jc w:val="center"/>
                    <w:rPr>
                      <w:color w:val="auto"/>
                      <w:szCs w:val="21"/>
                    </w:rPr>
                  </w:pPr>
                  <w:r>
                    <w:rPr>
                      <w:rFonts w:hint="eastAsia"/>
                      <w:color w:val="auto"/>
                      <w:szCs w:val="21"/>
                      <w:lang w:val="en-US" w:eastAsia="zh-CN"/>
                    </w:rPr>
                    <w:t>800</w:t>
                  </w:r>
                  <w:r>
                    <w:rPr>
                      <w:rFonts w:hint="eastAsia"/>
                      <w:color w:val="auto"/>
                      <w:szCs w:val="21"/>
                    </w:rPr>
                    <w:t>吨</w:t>
                  </w:r>
                </w:p>
              </w:tc>
              <w:tc>
                <w:tcPr>
                  <w:tcW w:w="1530" w:type="dxa"/>
                  <w:vAlign w:val="center"/>
                </w:tcPr>
                <w:p w14:paraId="0723D159">
                  <w:pPr>
                    <w:jc w:val="center"/>
                    <w:rPr>
                      <w:color w:val="auto"/>
                      <w:szCs w:val="21"/>
                    </w:rPr>
                  </w:pPr>
                  <w:r>
                    <w:rPr>
                      <w:rFonts w:hint="eastAsia"/>
                      <w:color w:val="auto"/>
                      <w:szCs w:val="21"/>
                      <w:lang w:val="en-US" w:eastAsia="zh-CN"/>
                    </w:rPr>
                    <w:t>新料，</w:t>
                  </w:r>
                  <w:r>
                    <w:rPr>
                      <w:color w:val="auto"/>
                      <w:szCs w:val="21"/>
                    </w:rPr>
                    <w:t>原料</w:t>
                  </w:r>
                </w:p>
              </w:tc>
            </w:tr>
            <w:tr w14:paraId="3B254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180CB146">
                  <w:pPr>
                    <w:jc w:val="center"/>
                    <w:rPr>
                      <w:color w:val="auto"/>
                      <w:szCs w:val="21"/>
                    </w:rPr>
                  </w:pPr>
                  <w:r>
                    <w:rPr>
                      <w:color w:val="auto"/>
                      <w:szCs w:val="21"/>
                    </w:rPr>
                    <w:t>2</w:t>
                  </w:r>
                </w:p>
              </w:tc>
              <w:tc>
                <w:tcPr>
                  <w:tcW w:w="1516" w:type="dxa"/>
                  <w:vAlign w:val="center"/>
                </w:tcPr>
                <w:p w14:paraId="42141E00">
                  <w:pPr>
                    <w:jc w:val="center"/>
                    <w:rPr>
                      <w:rFonts w:hint="default" w:eastAsia="宋体"/>
                      <w:color w:val="auto"/>
                      <w:szCs w:val="21"/>
                      <w:lang w:val="en-US" w:eastAsia="zh-CN"/>
                    </w:rPr>
                  </w:pPr>
                  <w:r>
                    <w:rPr>
                      <w:rFonts w:hint="eastAsia"/>
                      <w:color w:val="auto"/>
                      <w:szCs w:val="21"/>
                      <w:lang w:val="en-US" w:eastAsia="zh-CN"/>
                    </w:rPr>
                    <w:t>聚乙烯树脂（PE）</w:t>
                  </w:r>
                </w:p>
              </w:tc>
              <w:tc>
                <w:tcPr>
                  <w:tcW w:w="1180" w:type="dxa"/>
                  <w:vAlign w:val="center"/>
                </w:tcPr>
                <w:p w14:paraId="733B8509">
                  <w:pPr>
                    <w:jc w:val="center"/>
                    <w:rPr>
                      <w:rFonts w:hint="default" w:eastAsia="宋体"/>
                      <w:color w:val="auto"/>
                      <w:szCs w:val="21"/>
                      <w:lang w:val="en-US" w:eastAsia="zh-CN"/>
                    </w:rPr>
                  </w:pPr>
                  <w:r>
                    <w:rPr>
                      <w:rFonts w:hint="eastAsia"/>
                      <w:color w:val="auto"/>
                      <w:szCs w:val="21"/>
                      <w:lang w:val="en-US" w:eastAsia="zh-CN"/>
                    </w:rPr>
                    <w:t>434.55吨</w:t>
                  </w:r>
                </w:p>
              </w:tc>
              <w:tc>
                <w:tcPr>
                  <w:tcW w:w="1137" w:type="dxa"/>
                  <w:vAlign w:val="center"/>
                </w:tcPr>
                <w:p w14:paraId="61E35C69">
                  <w:pPr>
                    <w:jc w:val="center"/>
                    <w:rPr>
                      <w:rFonts w:hint="eastAsia" w:eastAsia="宋体"/>
                      <w:color w:val="auto"/>
                      <w:szCs w:val="21"/>
                      <w:lang w:eastAsia="zh-CN" w:bidi="ar"/>
                    </w:rPr>
                  </w:pPr>
                  <w:r>
                    <w:rPr>
                      <w:rFonts w:hint="eastAsia"/>
                      <w:color w:val="auto"/>
                      <w:szCs w:val="21"/>
                    </w:rPr>
                    <w:t>25kg/</w:t>
                  </w:r>
                  <w:r>
                    <w:rPr>
                      <w:rFonts w:hint="eastAsia"/>
                      <w:color w:val="auto"/>
                      <w:szCs w:val="21"/>
                      <w:lang w:val="en-US" w:eastAsia="zh-CN"/>
                    </w:rPr>
                    <w:t>袋</w:t>
                  </w:r>
                </w:p>
              </w:tc>
              <w:tc>
                <w:tcPr>
                  <w:tcW w:w="1233" w:type="dxa"/>
                  <w:vAlign w:val="center"/>
                </w:tcPr>
                <w:p w14:paraId="57D9C62F">
                  <w:pPr>
                    <w:widowControl/>
                    <w:jc w:val="center"/>
                    <w:textAlignment w:val="center"/>
                    <w:rPr>
                      <w:color w:val="auto"/>
                      <w:szCs w:val="21"/>
                    </w:rPr>
                  </w:pPr>
                  <w:r>
                    <w:rPr>
                      <w:rFonts w:hint="eastAsia"/>
                      <w:color w:val="auto"/>
                      <w:szCs w:val="21"/>
                    </w:rPr>
                    <w:t>外购，颗粒状，袋装</w:t>
                  </w:r>
                </w:p>
              </w:tc>
              <w:tc>
                <w:tcPr>
                  <w:tcW w:w="884" w:type="dxa"/>
                  <w:vAlign w:val="center"/>
                </w:tcPr>
                <w:p w14:paraId="58B8B075">
                  <w:pPr>
                    <w:jc w:val="center"/>
                    <w:rPr>
                      <w:rFonts w:hint="eastAsia" w:eastAsia="宋体"/>
                      <w:color w:val="auto"/>
                      <w:szCs w:val="21"/>
                      <w:lang w:eastAsia="zh-CN"/>
                    </w:rPr>
                  </w:pPr>
                  <w:r>
                    <w:rPr>
                      <w:rFonts w:hint="eastAsia"/>
                      <w:color w:val="auto"/>
                      <w:szCs w:val="21"/>
                      <w:lang w:val="en-US" w:eastAsia="zh-CN"/>
                    </w:rPr>
                    <w:t>50吨</w:t>
                  </w:r>
                </w:p>
              </w:tc>
              <w:tc>
                <w:tcPr>
                  <w:tcW w:w="1530" w:type="dxa"/>
                  <w:vAlign w:val="center"/>
                </w:tcPr>
                <w:p w14:paraId="252A46EF">
                  <w:pPr>
                    <w:jc w:val="center"/>
                    <w:rPr>
                      <w:rFonts w:hint="eastAsia" w:eastAsia="宋体"/>
                      <w:color w:val="auto"/>
                      <w:szCs w:val="21"/>
                      <w:lang w:val="en-US" w:eastAsia="zh-CN"/>
                    </w:rPr>
                  </w:pPr>
                  <w:r>
                    <w:rPr>
                      <w:rFonts w:hint="eastAsia"/>
                      <w:color w:val="auto"/>
                      <w:szCs w:val="21"/>
                      <w:lang w:val="en-US" w:eastAsia="zh-CN"/>
                    </w:rPr>
                    <w:t>新料，原料</w:t>
                  </w:r>
                </w:p>
              </w:tc>
            </w:tr>
            <w:tr w14:paraId="6AC2C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744E76FA">
                  <w:pPr>
                    <w:jc w:val="center"/>
                    <w:rPr>
                      <w:color w:val="auto"/>
                      <w:szCs w:val="21"/>
                    </w:rPr>
                  </w:pPr>
                  <w:r>
                    <w:rPr>
                      <w:color w:val="auto"/>
                      <w:szCs w:val="21"/>
                    </w:rPr>
                    <w:t>3</w:t>
                  </w:r>
                </w:p>
              </w:tc>
              <w:tc>
                <w:tcPr>
                  <w:tcW w:w="1516" w:type="dxa"/>
                  <w:vAlign w:val="center"/>
                </w:tcPr>
                <w:p w14:paraId="32C15616">
                  <w:pPr>
                    <w:jc w:val="center"/>
                    <w:rPr>
                      <w:rFonts w:hint="default" w:eastAsia="宋体"/>
                      <w:color w:val="auto"/>
                      <w:szCs w:val="21"/>
                      <w:lang w:val="en-US" w:eastAsia="zh-CN"/>
                    </w:rPr>
                  </w:pPr>
                  <w:r>
                    <w:rPr>
                      <w:rFonts w:hint="eastAsia"/>
                      <w:color w:val="auto"/>
                      <w:szCs w:val="21"/>
                      <w:lang w:val="en-US" w:eastAsia="zh-CN"/>
                    </w:rPr>
                    <w:t>色母</w:t>
                  </w:r>
                </w:p>
              </w:tc>
              <w:tc>
                <w:tcPr>
                  <w:tcW w:w="1180" w:type="dxa"/>
                  <w:vAlign w:val="center"/>
                </w:tcPr>
                <w:p w14:paraId="5DE3123F">
                  <w:pPr>
                    <w:jc w:val="center"/>
                    <w:rPr>
                      <w:rFonts w:hint="default" w:eastAsia="宋体"/>
                      <w:color w:val="auto"/>
                      <w:szCs w:val="21"/>
                      <w:lang w:val="en-US" w:eastAsia="zh-CN"/>
                    </w:rPr>
                  </w:pPr>
                  <w:r>
                    <w:rPr>
                      <w:rFonts w:hint="eastAsia"/>
                      <w:color w:val="auto"/>
                      <w:szCs w:val="21"/>
                      <w:lang w:val="en-US" w:eastAsia="zh-CN"/>
                    </w:rPr>
                    <w:t>45.1932吨</w:t>
                  </w:r>
                </w:p>
              </w:tc>
              <w:tc>
                <w:tcPr>
                  <w:tcW w:w="1137" w:type="dxa"/>
                  <w:vAlign w:val="center"/>
                </w:tcPr>
                <w:p w14:paraId="08358186">
                  <w:pPr>
                    <w:jc w:val="center"/>
                    <w:rPr>
                      <w:color w:val="auto"/>
                      <w:szCs w:val="21"/>
                    </w:rPr>
                  </w:pPr>
                  <w:r>
                    <w:rPr>
                      <w:rFonts w:hint="eastAsia"/>
                      <w:color w:val="auto"/>
                      <w:szCs w:val="21"/>
                    </w:rPr>
                    <w:t>25kg/袋</w:t>
                  </w:r>
                </w:p>
              </w:tc>
              <w:tc>
                <w:tcPr>
                  <w:tcW w:w="1233" w:type="dxa"/>
                  <w:vAlign w:val="center"/>
                </w:tcPr>
                <w:p w14:paraId="432F98C8">
                  <w:pPr>
                    <w:widowControl/>
                    <w:jc w:val="center"/>
                    <w:textAlignment w:val="center"/>
                    <w:rPr>
                      <w:color w:val="auto"/>
                      <w:szCs w:val="21"/>
                      <w:lang w:bidi="ar"/>
                    </w:rPr>
                  </w:pPr>
                  <w:r>
                    <w:rPr>
                      <w:rFonts w:hint="eastAsia"/>
                      <w:color w:val="auto"/>
                      <w:szCs w:val="21"/>
                    </w:rPr>
                    <w:t>外购，颗粒状，袋装</w:t>
                  </w:r>
                </w:p>
              </w:tc>
              <w:tc>
                <w:tcPr>
                  <w:tcW w:w="884" w:type="dxa"/>
                  <w:vAlign w:val="center"/>
                </w:tcPr>
                <w:p w14:paraId="0784AA84">
                  <w:pPr>
                    <w:jc w:val="center"/>
                    <w:rPr>
                      <w:rFonts w:hint="eastAsia" w:eastAsia="宋体"/>
                      <w:color w:val="auto"/>
                      <w:szCs w:val="21"/>
                      <w:lang w:eastAsia="zh-CN"/>
                    </w:rPr>
                  </w:pPr>
                  <w:r>
                    <w:rPr>
                      <w:rFonts w:hint="eastAsia"/>
                      <w:color w:val="auto"/>
                      <w:szCs w:val="21"/>
                      <w:lang w:val="en-US" w:eastAsia="zh-CN"/>
                    </w:rPr>
                    <w:t>10吨</w:t>
                  </w:r>
                </w:p>
              </w:tc>
              <w:tc>
                <w:tcPr>
                  <w:tcW w:w="1530" w:type="dxa"/>
                  <w:vAlign w:val="center"/>
                </w:tcPr>
                <w:p w14:paraId="37B9EAF4">
                  <w:pPr>
                    <w:jc w:val="center"/>
                    <w:rPr>
                      <w:color w:val="auto"/>
                      <w:szCs w:val="21"/>
                    </w:rPr>
                  </w:pPr>
                  <w:r>
                    <w:rPr>
                      <w:rFonts w:hint="eastAsia"/>
                      <w:color w:val="auto"/>
                      <w:szCs w:val="21"/>
                      <w:lang w:val="en-US" w:eastAsia="zh-CN"/>
                    </w:rPr>
                    <w:t>辅料</w:t>
                  </w:r>
                </w:p>
              </w:tc>
            </w:tr>
            <w:tr w14:paraId="0CC48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2" w:type="dxa"/>
                  <w:gridSpan w:val="7"/>
                  <w:vAlign w:val="center"/>
                </w:tcPr>
                <w:p w14:paraId="6C787172">
                  <w:pPr>
                    <w:jc w:val="center"/>
                    <w:rPr>
                      <w:color w:val="auto"/>
                      <w:szCs w:val="21"/>
                    </w:rPr>
                  </w:pPr>
                  <w:r>
                    <w:rPr>
                      <w:rFonts w:hint="eastAsia"/>
                      <w:b/>
                      <w:bCs/>
                      <w:color w:val="auto"/>
                      <w:szCs w:val="21"/>
                    </w:rPr>
                    <w:t>二</w:t>
                  </w:r>
                  <w:r>
                    <w:rPr>
                      <w:b/>
                      <w:bCs/>
                      <w:color w:val="auto"/>
                      <w:szCs w:val="21"/>
                    </w:rPr>
                    <w:t>、其它及能耗消耗</w:t>
                  </w:r>
                </w:p>
              </w:tc>
            </w:tr>
            <w:tr w14:paraId="1C18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5FD2123C">
                  <w:pPr>
                    <w:jc w:val="center"/>
                    <w:rPr>
                      <w:color w:val="auto"/>
                      <w:szCs w:val="21"/>
                    </w:rPr>
                  </w:pPr>
                  <w:r>
                    <w:rPr>
                      <w:rFonts w:hint="eastAsia"/>
                      <w:color w:val="auto"/>
                      <w:szCs w:val="21"/>
                    </w:rPr>
                    <w:t>1</w:t>
                  </w:r>
                </w:p>
              </w:tc>
              <w:tc>
                <w:tcPr>
                  <w:tcW w:w="1516" w:type="dxa"/>
                  <w:vAlign w:val="center"/>
                </w:tcPr>
                <w:p w14:paraId="3D54DAE9">
                  <w:pPr>
                    <w:adjustRightInd w:val="0"/>
                    <w:snapToGrid w:val="0"/>
                    <w:jc w:val="center"/>
                    <w:rPr>
                      <w:color w:val="auto"/>
                      <w:szCs w:val="21"/>
                    </w:rPr>
                  </w:pPr>
                  <w:r>
                    <w:rPr>
                      <w:color w:val="auto"/>
                      <w:szCs w:val="21"/>
                    </w:rPr>
                    <w:t>生产新鲜水</w:t>
                  </w:r>
                </w:p>
              </w:tc>
              <w:tc>
                <w:tcPr>
                  <w:tcW w:w="1180" w:type="dxa"/>
                  <w:vAlign w:val="center"/>
                </w:tcPr>
                <w:p w14:paraId="4894D8BC">
                  <w:pPr>
                    <w:jc w:val="center"/>
                    <w:rPr>
                      <w:snapToGrid w:val="0"/>
                      <w:color w:val="auto"/>
                      <w:szCs w:val="21"/>
                    </w:rPr>
                  </w:pPr>
                  <w:r>
                    <w:rPr>
                      <w:rFonts w:hint="eastAsia"/>
                      <w:snapToGrid w:val="0"/>
                      <w:color w:val="auto"/>
                      <w:szCs w:val="21"/>
                      <w:lang w:val="en-US" w:eastAsia="zh-CN"/>
                    </w:rPr>
                    <w:t>4653.12</w:t>
                  </w:r>
                  <w:r>
                    <w:rPr>
                      <w:color w:val="auto"/>
                      <w:szCs w:val="21"/>
                    </w:rPr>
                    <w:t>m</w:t>
                  </w:r>
                  <w:r>
                    <w:rPr>
                      <w:color w:val="auto"/>
                      <w:szCs w:val="21"/>
                      <w:vertAlign w:val="superscript"/>
                    </w:rPr>
                    <w:t>3</w:t>
                  </w:r>
                  <w:r>
                    <w:rPr>
                      <w:color w:val="auto"/>
                      <w:szCs w:val="21"/>
                    </w:rPr>
                    <w:t>/a</w:t>
                  </w:r>
                </w:p>
              </w:tc>
              <w:tc>
                <w:tcPr>
                  <w:tcW w:w="1137" w:type="dxa"/>
                  <w:vAlign w:val="center"/>
                </w:tcPr>
                <w:p w14:paraId="46AAA34B">
                  <w:pPr>
                    <w:jc w:val="center"/>
                    <w:textAlignment w:val="center"/>
                    <w:rPr>
                      <w:color w:val="auto"/>
                      <w:szCs w:val="21"/>
                    </w:rPr>
                  </w:pPr>
                  <w:r>
                    <w:rPr>
                      <w:rFonts w:hint="eastAsia"/>
                      <w:color w:val="auto"/>
                      <w:szCs w:val="21"/>
                    </w:rPr>
                    <w:t>/</w:t>
                  </w:r>
                </w:p>
              </w:tc>
              <w:tc>
                <w:tcPr>
                  <w:tcW w:w="1233" w:type="dxa"/>
                  <w:vAlign w:val="center"/>
                </w:tcPr>
                <w:p w14:paraId="365F54C4">
                  <w:pPr>
                    <w:adjustRightInd w:val="0"/>
                    <w:snapToGrid w:val="0"/>
                    <w:jc w:val="center"/>
                    <w:rPr>
                      <w:color w:val="auto"/>
                      <w:szCs w:val="21"/>
                    </w:rPr>
                  </w:pPr>
                  <w:r>
                    <w:rPr>
                      <w:color w:val="auto"/>
                      <w:szCs w:val="21"/>
                    </w:rPr>
                    <w:t>市政管网</w:t>
                  </w:r>
                </w:p>
              </w:tc>
              <w:tc>
                <w:tcPr>
                  <w:tcW w:w="884" w:type="dxa"/>
                  <w:vAlign w:val="center"/>
                </w:tcPr>
                <w:p w14:paraId="58D2ABA9">
                  <w:pPr>
                    <w:jc w:val="center"/>
                    <w:rPr>
                      <w:color w:val="auto"/>
                      <w:szCs w:val="21"/>
                    </w:rPr>
                  </w:pPr>
                  <w:r>
                    <w:rPr>
                      <w:rFonts w:hint="eastAsia"/>
                      <w:color w:val="auto"/>
                      <w:szCs w:val="21"/>
                    </w:rPr>
                    <w:t>/</w:t>
                  </w:r>
                </w:p>
              </w:tc>
              <w:tc>
                <w:tcPr>
                  <w:tcW w:w="1530" w:type="dxa"/>
                  <w:vAlign w:val="center"/>
                </w:tcPr>
                <w:p w14:paraId="624FDE62">
                  <w:pPr>
                    <w:jc w:val="center"/>
                    <w:rPr>
                      <w:color w:val="auto"/>
                      <w:szCs w:val="21"/>
                    </w:rPr>
                  </w:pPr>
                  <w:r>
                    <w:rPr>
                      <w:rFonts w:hint="eastAsia"/>
                      <w:color w:val="auto"/>
                      <w:szCs w:val="21"/>
                    </w:rPr>
                    <w:t>/</w:t>
                  </w:r>
                </w:p>
              </w:tc>
            </w:tr>
            <w:tr w14:paraId="2EE9C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545460F1">
                  <w:pPr>
                    <w:jc w:val="center"/>
                    <w:rPr>
                      <w:color w:val="auto"/>
                      <w:szCs w:val="21"/>
                    </w:rPr>
                  </w:pPr>
                  <w:r>
                    <w:rPr>
                      <w:rFonts w:hint="eastAsia"/>
                      <w:color w:val="auto"/>
                      <w:szCs w:val="21"/>
                    </w:rPr>
                    <w:t>2</w:t>
                  </w:r>
                </w:p>
              </w:tc>
              <w:tc>
                <w:tcPr>
                  <w:tcW w:w="1516" w:type="dxa"/>
                  <w:vAlign w:val="center"/>
                </w:tcPr>
                <w:p w14:paraId="4947D34C">
                  <w:pPr>
                    <w:jc w:val="center"/>
                    <w:textAlignment w:val="center"/>
                    <w:rPr>
                      <w:color w:val="auto"/>
                      <w:szCs w:val="21"/>
                    </w:rPr>
                  </w:pPr>
                  <w:r>
                    <w:rPr>
                      <w:color w:val="auto"/>
                      <w:szCs w:val="21"/>
                    </w:rPr>
                    <w:t>生活新鲜水</w:t>
                  </w:r>
                </w:p>
              </w:tc>
              <w:tc>
                <w:tcPr>
                  <w:tcW w:w="1180" w:type="dxa"/>
                  <w:vAlign w:val="center"/>
                </w:tcPr>
                <w:p w14:paraId="537E9129">
                  <w:pPr>
                    <w:jc w:val="center"/>
                    <w:textAlignment w:val="center"/>
                    <w:rPr>
                      <w:color w:val="auto"/>
                      <w:kern w:val="0"/>
                      <w:szCs w:val="21"/>
                      <w:lang w:bidi="ar"/>
                    </w:rPr>
                  </w:pPr>
                  <w:r>
                    <w:rPr>
                      <w:rFonts w:hint="eastAsia"/>
                      <w:color w:val="auto"/>
                      <w:szCs w:val="21"/>
                      <w:lang w:val="en-US" w:eastAsia="zh-CN"/>
                    </w:rPr>
                    <w:t>820</w:t>
                  </w:r>
                  <w:r>
                    <w:rPr>
                      <w:color w:val="auto"/>
                      <w:szCs w:val="21"/>
                    </w:rPr>
                    <w:t>m</w:t>
                  </w:r>
                  <w:r>
                    <w:rPr>
                      <w:color w:val="auto"/>
                      <w:szCs w:val="21"/>
                      <w:vertAlign w:val="superscript"/>
                    </w:rPr>
                    <w:t>3</w:t>
                  </w:r>
                  <w:r>
                    <w:rPr>
                      <w:color w:val="auto"/>
                      <w:szCs w:val="21"/>
                    </w:rPr>
                    <w:t>/a</w:t>
                  </w:r>
                </w:p>
              </w:tc>
              <w:tc>
                <w:tcPr>
                  <w:tcW w:w="1137" w:type="dxa"/>
                  <w:vAlign w:val="center"/>
                </w:tcPr>
                <w:p w14:paraId="73CF6A72">
                  <w:pPr>
                    <w:jc w:val="center"/>
                    <w:textAlignment w:val="center"/>
                    <w:rPr>
                      <w:color w:val="auto"/>
                      <w:szCs w:val="21"/>
                    </w:rPr>
                  </w:pPr>
                  <w:r>
                    <w:rPr>
                      <w:rFonts w:hint="eastAsia"/>
                      <w:color w:val="auto"/>
                      <w:szCs w:val="21"/>
                    </w:rPr>
                    <w:t>/</w:t>
                  </w:r>
                </w:p>
              </w:tc>
              <w:tc>
                <w:tcPr>
                  <w:tcW w:w="1233" w:type="dxa"/>
                  <w:vAlign w:val="center"/>
                </w:tcPr>
                <w:p w14:paraId="6EEF1E67">
                  <w:pPr>
                    <w:adjustRightInd w:val="0"/>
                    <w:snapToGrid w:val="0"/>
                    <w:jc w:val="center"/>
                    <w:rPr>
                      <w:color w:val="auto"/>
                      <w:szCs w:val="21"/>
                    </w:rPr>
                  </w:pPr>
                  <w:r>
                    <w:rPr>
                      <w:color w:val="auto"/>
                      <w:szCs w:val="21"/>
                    </w:rPr>
                    <w:t>市政管网</w:t>
                  </w:r>
                </w:p>
              </w:tc>
              <w:tc>
                <w:tcPr>
                  <w:tcW w:w="884" w:type="dxa"/>
                  <w:vAlign w:val="center"/>
                </w:tcPr>
                <w:p w14:paraId="5F10F37C">
                  <w:pPr>
                    <w:jc w:val="center"/>
                    <w:rPr>
                      <w:color w:val="auto"/>
                      <w:szCs w:val="21"/>
                    </w:rPr>
                  </w:pPr>
                  <w:r>
                    <w:rPr>
                      <w:rFonts w:hint="eastAsia"/>
                      <w:color w:val="auto"/>
                      <w:szCs w:val="21"/>
                    </w:rPr>
                    <w:t>/</w:t>
                  </w:r>
                </w:p>
              </w:tc>
              <w:tc>
                <w:tcPr>
                  <w:tcW w:w="1530" w:type="dxa"/>
                  <w:vAlign w:val="center"/>
                </w:tcPr>
                <w:p w14:paraId="570F1592">
                  <w:pPr>
                    <w:jc w:val="center"/>
                    <w:rPr>
                      <w:rFonts w:hint="eastAsia" w:eastAsia="宋体"/>
                      <w:color w:val="auto"/>
                      <w:szCs w:val="21"/>
                      <w:lang w:eastAsia="zh-CN"/>
                    </w:rPr>
                  </w:pPr>
                  <w:r>
                    <w:rPr>
                      <w:rFonts w:hint="eastAsia"/>
                      <w:color w:val="auto"/>
                      <w:szCs w:val="21"/>
                      <w:lang w:eastAsia="zh-CN"/>
                    </w:rPr>
                    <w:t>包含绿化、道路浇洒</w:t>
                  </w:r>
                </w:p>
              </w:tc>
            </w:tr>
            <w:tr w14:paraId="4A0E4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363E0098">
                  <w:pPr>
                    <w:jc w:val="center"/>
                    <w:rPr>
                      <w:color w:val="auto"/>
                      <w:szCs w:val="21"/>
                    </w:rPr>
                  </w:pPr>
                  <w:r>
                    <w:rPr>
                      <w:rFonts w:hint="eastAsia"/>
                      <w:color w:val="auto"/>
                      <w:szCs w:val="21"/>
                    </w:rPr>
                    <w:t>3</w:t>
                  </w:r>
                </w:p>
              </w:tc>
              <w:tc>
                <w:tcPr>
                  <w:tcW w:w="1516" w:type="dxa"/>
                  <w:vAlign w:val="center"/>
                </w:tcPr>
                <w:p w14:paraId="1DD98351">
                  <w:pPr>
                    <w:adjustRightInd w:val="0"/>
                    <w:snapToGrid w:val="0"/>
                    <w:jc w:val="center"/>
                    <w:rPr>
                      <w:color w:val="auto"/>
                      <w:szCs w:val="21"/>
                    </w:rPr>
                  </w:pPr>
                  <w:r>
                    <w:rPr>
                      <w:color w:val="auto"/>
                      <w:szCs w:val="21"/>
                    </w:rPr>
                    <w:t>电</w:t>
                  </w:r>
                </w:p>
              </w:tc>
              <w:tc>
                <w:tcPr>
                  <w:tcW w:w="1180" w:type="dxa"/>
                  <w:vAlign w:val="center"/>
                </w:tcPr>
                <w:p w14:paraId="063E98DE">
                  <w:pPr>
                    <w:jc w:val="center"/>
                    <w:rPr>
                      <w:color w:val="auto"/>
                      <w:szCs w:val="21"/>
                    </w:rPr>
                  </w:pPr>
                  <w:r>
                    <w:rPr>
                      <w:rFonts w:hint="eastAsia"/>
                      <w:color w:val="auto"/>
                      <w:szCs w:val="21"/>
                    </w:rPr>
                    <w:t>150</w:t>
                  </w:r>
                  <w:r>
                    <w:rPr>
                      <w:color w:val="auto"/>
                      <w:szCs w:val="21"/>
                    </w:rPr>
                    <w:t>×10</w:t>
                  </w:r>
                  <w:r>
                    <w:rPr>
                      <w:color w:val="auto"/>
                      <w:szCs w:val="21"/>
                      <w:vertAlign w:val="superscript"/>
                    </w:rPr>
                    <w:t>4</w:t>
                  </w:r>
                  <w:r>
                    <w:rPr>
                      <w:color w:val="auto"/>
                      <w:szCs w:val="21"/>
                    </w:rPr>
                    <w:t>kW·h</w:t>
                  </w:r>
                </w:p>
              </w:tc>
              <w:tc>
                <w:tcPr>
                  <w:tcW w:w="1137" w:type="dxa"/>
                  <w:vAlign w:val="center"/>
                </w:tcPr>
                <w:p w14:paraId="584855D1">
                  <w:pPr>
                    <w:jc w:val="center"/>
                    <w:textAlignment w:val="center"/>
                    <w:rPr>
                      <w:color w:val="auto"/>
                      <w:szCs w:val="21"/>
                    </w:rPr>
                  </w:pPr>
                  <w:r>
                    <w:rPr>
                      <w:rFonts w:hint="eastAsia"/>
                      <w:color w:val="auto"/>
                      <w:szCs w:val="21"/>
                    </w:rPr>
                    <w:t>/</w:t>
                  </w:r>
                </w:p>
              </w:tc>
              <w:tc>
                <w:tcPr>
                  <w:tcW w:w="1233" w:type="dxa"/>
                  <w:vAlign w:val="center"/>
                </w:tcPr>
                <w:p w14:paraId="79CB6BEA">
                  <w:pPr>
                    <w:adjustRightInd w:val="0"/>
                    <w:snapToGrid w:val="0"/>
                    <w:jc w:val="center"/>
                    <w:rPr>
                      <w:color w:val="auto"/>
                      <w:szCs w:val="21"/>
                    </w:rPr>
                  </w:pPr>
                  <w:r>
                    <w:rPr>
                      <w:color w:val="auto"/>
                      <w:szCs w:val="21"/>
                    </w:rPr>
                    <w:t>市政电网接入</w:t>
                  </w:r>
                </w:p>
              </w:tc>
              <w:tc>
                <w:tcPr>
                  <w:tcW w:w="884" w:type="dxa"/>
                  <w:vAlign w:val="center"/>
                </w:tcPr>
                <w:p w14:paraId="08202D88">
                  <w:pPr>
                    <w:jc w:val="center"/>
                    <w:rPr>
                      <w:color w:val="auto"/>
                      <w:szCs w:val="21"/>
                    </w:rPr>
                  </w:pPr>
                  <w:r>
                    <w:rPr>
                      <w:rFonts w:hint="eastAsia"/>
                      <w:color w:val="auto"/>
                      <w:szCs w:val="21"/>
                    </w:rPr>
                    <w:t>/</w:t>
                  </w:r>
                </w:p>
              </w:tc>
              <w:tc>
                <w:tcPr>
                  <w:tcW w:w="1530" w:type="dxa"/>
                  <w:vAlign w:val="center"/>
                </w:tcPr>
                <w:p w14:paraId="7B31518F">
                  <w:pPr>
                    <w:jc w:val="center"/>
                    <w:rPr>
                      <w:color w:val="auto"/>
                      <w:szCs w:val="21"/>
                    </w:rPr>
                  </w:pPr>
                  <w:r>
                    <w:rPr>
                      <w:rFonts w:hint="eastAsia"/>
                      <w:color w:val="auto"/>
                      <w:szCs w:val="21"/>
                    </w:rPr>
                    <w:t>/</w:t>
                  </w:r>
                </w:p>
              </w:tc>
            </w:tr>
            <w:tr w14:paraId="4A492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2" w:type="dxa"/>
                  <w:vAlign w:val="center"/>
                </w:tcPr>
                <w:p w14:paraId="6F7D1BB2">
                  <w:pPr>
                    <w:jc w:val="center"/>
                    <w:rPr>
                      <w:rFonts w:hint="eastAsia" w:eastAsia="宋体"/>
                      <w:color w:val="auto"/>
                      <w:szCs w:val="21"/>
                      <w:lang w:eastAsia="zh-CN"/>
                    </w:rPr>
                  </w:pPr>
                  <w:r>
                    <w:rPr>
                      <w:rFonts w:hint="eastAsia"/>
                      <w:color w:val="auto"/>
                      <w:szCs w:val="21"/>
                      <w:lang w:val="en-US" w:eastAsia="zh-CN"/>
                    </w:rPr>
                    <w:t>4</w:t>
                  </w:r>
                </w:p>
              </w:tc>
              <w:tc>
                <w:tcPr>
                  <w:tcW w:w="1516" w:type="dxa"/>
                  <w:vAlign w:val="center"/>
                </w:tcPr>
                <w:p w14:paraId="47DDB53A">
                  <w:pPr>
                    <w:jc w:val="center"/>
                    <w:rPr>
                      <w:rFonts w:hint="default" w:eastAsia="宋体"/>
                      <w:color w:val="auto"/>
                      <w:szCs w:val="21"/>
                      <w:lang w:val="en-US" w:eastAsia="zh-CN"/>
                    </w:rPr>
                  </w:pPr>
                  <w:r>
                    <w:rPr>
                      <w:rFonts w:hint="eastAsia"/>
                      <w:color w:val="auto"/>
                      <w:szCs w:val="21"/>
                      <w:lang w:val="en-US" w:eastAsia="zh-CN"/>
                    </w:rPr>
                    <w:t>活性炭</w:t>
                  </w:r>
                </w:p>
              </w:tc>
              <w:tc>
                <w:tcPr>
                  <w:tcW w:w="1180" w:type="dxa"/>
                  <w:vAlign w:val="center"/>
                </w:tcPr>
                <w:p w14:paraId="4DBBF7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eastAsia="宋体"/>
                      <w:color w:val="auto"/>
                      <w:szCs w:val="21"/>
                      <w:lang w:val="en-US" w:eastAsia="zh-CN"/>
                    </w:rPr>
                  </w:pPr>
                  <w:r>
                    <w:rPr>
                      <w:rFonts w:hint="eastAsia"/>
                      <w:color w:val="auto"/>
                      <w:sz w:val="21"/>
                      <w:szCs w:val="21"/>
                      <w:lang w:val="en-US" w:eastAsia="zh-CN"/>
                    </w:rPr>
                    <w:t>53.6361</w:t>
                  </w:r>
                  <w:r>
                    <w:rPr>
                      <w:rFonts w:hint="default" w:ascii="Times New Roman" w:hAnsi="Times New Roman" w:eastAsia="宋体" w:cs="Times New Roman"/>
                      <w:color w:val="auto"/>
                      <w:sz w:val="21"/>
                      <w:szCs w:val="21"/>
                      <w:highlight w:val="none"/>
                    </w:rPr>
                    <w:t>t/a</w:t>
                  </w:r>
                </w:p>
              </w:tc>
              <w:tc>
                <w:tcPr>
                  <w:tcW w:w="1137" w:type="dxa"/>
                  <w:vAlign w:val="center"/>
                </w:tcPr>
                <w:p w14:paraId="51FBCC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color w:val="auto"/>
                      <w:szCs w:val="21"/>
                    </w:rPr>
                  </w:pPr>
                  <w:r>
                    <w:rPr>
                      <w:rFonts w:hint="default" w:ascii="Times New Roman" w:hAnsi="Times New Roman" w:eastAsia="宋体" w:cs="Times New Roman"/>
                      <w:color w:val="auto"/>
                      <w:sz w:val="21"/>
                      <w:szCs w:val="21"/>
                      <w:highlight w:val="none"/>
                    </w:rPr>
                    <w:t>25kg/</w:t>
                  </w:r>
                  <w:r>
                    <w:rPr>
                      <w:rFonts w:hint="default" w:ascii="Times New Roman" w:hAnsi="Times New Roman" w:eastAsia="宋体" w:cs="Times New Roman"/>
                      <w:color w:val="auto"/>
                      <w:sz w:val="21"/>
                      <w:szCs w:val="21"/>
                      <w:highlight w:val="none"/>
                      <w:lang w:eastAsia="zh-CN"/>
                    </w:rPr>
                    <w:t>箱</w:t>
                  </w:r>
                </w:p>
              </w:tc>
              <w:tc>
                <w:tcPr>
                  <w:tcW w:w="1233" w:type="dxa"/>
                </w:tcPr>
                <w:p w14:paraId="290E0FC0">
                  <w:pPr>
                    <w:jc w:val="center"/>
                    <w:rPr>
                      <w:color w:val="auto"/>
                      <w:szCs w:val="21"/>
                    </w:rPr>
                  </w:pPr>
                  <w:r>
                    <w:rPr>
                      <w:rFonts w:hint="default" w:ascii="Times New Roman" w:hAnsi="Times New Roman" w:eastAsia="宋体" w:cs="Times New Roman"/>
                      <w:color w:val="auto"/>
                      <w:sz w:val="21"/>
                      <w:szCs w:val="21"/>
                      <w:highlight w:val="none"/>
                      <w:lang w:eastAsia="zh-CN"/>
                    </w:rPr>
                    <w:t>就近购买</w:t>
                  </w:r>
                </w:p>
              </w:tc>
              <w:tc>
                <w:tcPr>
                  <w:tcW w:w="884" w:type="dxa"/>
                </w:tcPr>
                <w:p w14:paraId="7445ACD3">
                  <w:pPr>
                    <w:jc w:val="center"/>
                    <w:rPr>
                      <w:color w:val="auto"/>
                      <w:szCs w:val="21"/>
                    </w:rPr>
                  </w:pPr>
                  <w:r>
                    <w:rPr>
                      <w:rFonts w:hint="eastAsia"/>
                      <w:color w:val="auto"/>
                      <w:szCs w:val="21"/>
                    </w:rPr>
                    <w:t>/</w:t>
                  </w:r>
                </w:p>
              </w:tc>
              <w:tc>
                <w:tcPr>
                  <w:tcW w:w="1530" w:type="dxa"/>
                </w:tcPr>
                <w:p w14:paraId="70EC89C6">
                  <w:pPr>
                    <w:jc w:val="center"/>
                    <w:rPr>
                      <w:rFonts w:hint="eastAsia" w:eastAsia="宋体"/>
                      <w:color w:val="auto"/>
                      <w:szCs w:val="21"/>
                      <w:lang w:eastAsia="zh-CN"/>
                    </w:rPr>
                  </w:pPr>
                  <w:r>
                    <w:rPr>
                      <w:rFonts w:hint="eastAsia"/>
                      <w:color w:val="auto"/>
                      <w:szCs w:val="21"/>
                      <w:lang w:val="en-US" w:eastAsia="zh-CN"/>
                    </w:rPr>
                    <w:t>/</w:t>
                  </w:r>
                </w:p>
              </w:tc>
            </w:tr>
          </w:tbl>
          <w:p w14:paraId="21CD330D">
            <w:pPr>
              <w:pStyle w:val="83"/>
              <w:spacing w:line="360" w:lineRule="auto"/>
              <w:ind w:firstLine="480" w:firstLineChars="200"/>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本项目产品原辅料比例为聚丙烯树脂（PP）：聚乙烯树脂（PE）=0.95：0.05；色母感觉订单需求少量添加。</w:t>
            </w:r>
          </w:p>
          <w:p w14:paraId="6147730A">
            <w:pPr>
              <w:pStyle w:val="83"/>
              <w:spacing w:line="360" w:lineRule="auto"/>
              <w:ind w:firstLine="482" w:firstLineChars="200"/>
              <w:rPr>
                <w:b/>
                <w:color w:val="auto"/>
              </w:rPr>
            </w:pPr>
            <w:r>
              <w:rPr>
                <w:b/>
                <w:color w:val="auto"/>
              </w:rPr>
              <w:t>（2）原辅料理化性质</w:t>
            </w:r>
            <w:r>
              <w:rPr>
                <w:rFonts w:hint="eastAsia"/>
                <w:b/>
                <w:color w:val="auto"/>
              </w:rPr>
              <w:t>及特性</w:t>
            </w:r>
          </w:p>
          <w:p w14:paraId="28673E14">
            <w:pPr>
              <w:adjustRightInd w:val="0"/>
              <w:snapToGrid w:val="0"/>
              <w:spacing w:line="360" w:lineRule="auto"/>
              <w:ind w:firstLine="482" w:firstLineChars="200"/>
              <w:rPr>
                <w:rFonts w:hint="eastAsia" w:ascii="Times New Roman" w:hAnsi="Times New Roman" w:eastAsia="宋体" w:cs="Times New Roman"/>
                <w:b/>
                <w:color w:val="auto"/>
                <w:sz w:val="24"/>
              </w:rPr>
            </w:pPr>
            <w:r>
              <w:rPr>
                <w:rFonts w:hint="eastAsia" w:ascii="Times New Roman" w:hAnsi="Times New Roman" w:eastAsia="宋体" w:cs="Times New Roman"/>
                <w:b/>
                <w:color w:val="auto"/>
                <w:sz w:val="24"/>
              </w:rPr>
              <w:t>①</w:t>
            </w:r>
            <w:r>
              <w:rPr>
                <w:rFonts w:hint="eastAsia" w:ascii="Times New Roman" w:hAnsi="Times New Roman" w:eastAsia="宋体" w:cs="Times New Roman"/>
                <w:b/>
                <w:color w:val="auto"/>
                <w:sz w:val="24"/>
                <w:lang w:val="en-US" w:eastAsia="zh-CN"/>
              </w:rPr>
              <w:t>聚丙烯树脂（PP）</w:t>
            </w:r>
          </w:p>
          <w:p w14:paraId="767DB69B">
            <w:pPr>
              <w:pStyle w:val="17"/>
              <w:adjustRightInd w:val="0"/>
              <w:snapToGrid w:val="0"/>
              <w:spacing w:line="360" w:lineRule="auto"/>
              <w:ind w:firstLine="480" w:firstLineChars="200"/>
              <w:rPr>
                <w:rFonts w:hint="eastAsia" w:ascii="Times New Roman" w:hAnsi="Times New Roman" w:eastAsia="宋体"/>
                <w:color w:val="auto"/>
                <w:sz w:val="24"/>
                <w:lang w:eastAsia="zh-CN"/>
              </w:rPr>
            </w:pPr>
            <w:r>
              <w:rPr>
                <w:rFonts w:hint="eastAsia" w:ascii="Times New Roman" w:hAnsi="Times New Roman" w:eastAsia="宋体"/>
                <w:color w:val="auto"/>
                <w:sz w:val="24"/>
              </w:rPr>
              <w:t>聚丙烯树脂是一种结构规整的结晶性聚合物</w:t>
            </w:r>
            <w:r>
              <w:rPr>
                <w:rFonts w:hint="eastAsia" w:ascii="Times New Roman" w:hAnsi="Times New Roman"/>
                <w:color w:val="auto"/>
                <w:sz w:val="24"/>
                <w:lang w:eastAsia="zh-CN"/>
              </w:rPr>
              <w:t>，</w:t>
            </w:r>
            <w:r>
              <w:rPr>
                <w:rFonts w:hint="eastAsia" w:ascii="Times New Roman" w:hAnsi="Times New Roman" w:eastAsia="宋体"/>
                <w:color w:val="auto"/>
                <w:sz w:val="24"/>
              </w:rPr>
              <w:t>为淡乳白色粒料、无味、无毒、质轻的热塑性树脂。相对密度为0.90 ~0.91</w:t>
            </w:r>
            <w:r>
              <w:rPr>
                <w:rFonts w:hint="eastAsia" w:ascii="Times New Roman" w:hAnsi="Times New Roman"/>
                <w:color w:val="auto"/>
                <w:sz w:val="24"/>
                <w:lang w:val="en-US" w:eastAsia="zh-CN"/>
              </w:rPr>
              <w:t>g/cm</w:t>
            </w:r>
            <w:r>
              <w:rPr>
                <w:rFonts w:hint="eastAsia" w:ascii="Times New Roman" w:hAnsi="Times New Roman"/>
                <w:color w:val="auto"/>
                <w:sz w:val="24"/>
                <w:vertAlign w:val="superscript"/>
                <w:lang w:val="en-US" w:eastAsia="zh-CN"/>
              </w:rPr>
              <w:t>3</w:t>
            </w:r>
            <w:r>
              <w:rPr>
                <w:rFonts w:hint="eastAsia" w:ascii="Times New Roman" w:hAnsi="Times New Roman"/>
                <w:color w:val="auto"/>
                <w:sz w:val="24"/>
                <w:lang w:eastAsia="zh-CN"/>
              </w:rPr>
              <w:t>，</w:t>
            </w:r>
            <w:r>
              <w:rPr>
                <w:rFonts w:hint="eastAsia" w:ascii="Times New Roman" w:hAnsi="Times New Roman" w:eastAsia="宋体"/>
                <w:color w:val="auto"/>
                <w:sz w:val="24"/>
              </w:rPr>
              <w:t>是通用树脂中最轻的一种。机械性能良好</w:t>
            </w:r>
            <w:r>
              <w:rPr>
                <w:rFonts w:hint="eastAsia" w:ascii="Times New Roman" w:hAnsi="Times New Roman"/>
                <w:color w:val="auto"/>
                <w:sz w:val="24"/>
                <w:lang w:eastAsia="zh-CN"/>
              </w:rPr>
              <w:t>，</w:t>
            </w:r>
            <w:r>
              <w:rPr>
                <w:rFonts w:hint="eastAsia" w:ascii="Times New Roman" w:hAnsi="Times New Roman" w:eastAsia="宋体"/>
                <w:color w:val="auto"/>
                <w:sz w:val="24"/>
              </w:rPr>
              <w:t>耐热性能良好</w:t>
            </w:r>
            <w:r>
              <w:rPr>
                <w:rFonts w:hint="eastAsia" w:ascii="Times New Roman" w:hAnsi="Times New Roman"/>
                <w:color w:val="auto"/>
                <w:sz w:val="24"/>
                <w:lang w:eastAsia="zh-CN"/>
              </w:rPr>
              <w:t>，</w:t>
            </w:r>
            <w:r>
              <w:rPr>
                <w:rFonts w:hint="eastAsia" w:ascii="Times New Roman" w:hAnsi="Times New Roman" w:eastAsia="宋体"/>
                <w:color w:val="auto"/>
                <w:sz w:val="24"/>
              </w:rPr>
              <w:t>其</w:t>
            </w:r>
            <w:r>
              <w:rPr>
                <w:rFonts w:hint="eastAsia" w:ascii="Times New Roman" w:hAnsi="Times New Roman"/>
                <w:color w:val="auto"/>
                <w:sz w:val="24"/>
                <w:lang w:eastAsia="zh-CN"/>
              </w:rPr>
              <w:t>熔融温度</w:t>
            </w:r>
            <w:r>
              <w:rPr>
                <w:rFonts w:hint="eastAsia" w:ascii="Times New Roman" w:hAnsi="Times New Roman" w:eastAsia="宋体"/>
                <w:color w:val="auto"/>
                <w:sz w:val="24"/>
              </w:rPr>
              <w:t>为170℃左右</w:t>
            </w:r>
            <w:r>
              <w:rPr>
                <w:rFonts w:hint="eastAsia" w:ascii="Times New Roman" w:hAnsi="Times New Roman"/>
                <w:color w:val="auto"/>
                <w:sz w:val="24"/>
                <w:lang w:eastAsia="zh-CN"/>
              </w:rPr>
              <w:t>，分解温度为</w:t>
            </w:r>
            <w:r>
              <w:rPr>
                <w:rFonts w:hint="eastAsia" w:ascii="Times New Roman" w:hAnsi="Times New Roman"/>
                <w:color w:val="auto"/>
                <w:sz w:val="24"/>
                <w:lang w:val="en-US" w:eastAsia="zh-CN"/>
              </w:rPr>
              <w:t>350</w:t>
            </w:r>
            <w:r>
              <w:rPr>
                <w:rFonts w:hint="eastAsia" w:ascii="Times New Roman" w:hAnsi="Times New Roman" w:eastAsia="宋体"/>
                <w:color w:val="auto"/>
                <w:sz w:val="24"/>
              </w:rPr>
              <w:t>℃</w:t>
            </w:r>
            <w:r>
              <w:rPr>
                <w:rFonts w:hint="eastAsia" w:ascii="Times New Roman" w:hAnsi="Times New Roman" w:eastAsia="宋体"/>
                <w:color w:val="auto"/>
                <w:sz w:val="24"/>
                <w:lang w:eastAsia="zh-CN"/>
              </w:rPr>
              <w:t>，</w:t>
            </w:r>
            <w:r>
              <w:rPr>
                <w:rFonts w:hint="eastAsia" w:ascii="Times New Roman" w:hAnsi="Times New Roman" w:eastAsia="宋体"/>
                <w:color w:val="auto"/>
                <w:sz w:val="24"/>
              </w:rPr>
              <w:t>在无外力作用下</w:t>
            </w:r>
            <w:r>
              <w:rPr>
                <w:rFonts w:hint="eastAsia" w:ascii="Times New Roman" w:hAnsi="Times New Roman"/>
                <w:color w:val="auto"/>
                <w:sz w:val="24"/>
                <w:lang w:eastAsia="zh-CN"/>
              </w:rPr>
              <w:t>，</w:t>
            </w:r>
            <w:r>
              <w:rPr>
                <w:rFonts w:hint="eastAsia" w:ascii="Times New Roman" w:hAnsi="Times New Roman" w:eastAsia="宋体"/>
                <w:color w:val="auto"/>
                <w:sz w:val="24"/>
              </w:rPr>
              <w:t>150℃不变形</w:t>
            </w:r>
            <w:r>
              <w:rPr>
                <w:rFonts w:hint="eastAsia" w:ascii="Times New Roman" w:hAnsi="Times New Roman"/>
                <w:color w:val="auto"/>
                <w:sz w:val="24"/>
                <w:lang w:eastAsia="zh-CN"/>
              </w:rPr>
              <w:t>，</w:t>
            </w:r>
            <w:r>
              <w:rPr>
                <w:rFonts w:hint="eastAsia" w:ascii="Times New Roman" w:hAnsi="Times New Roman" w:eastAsia="宋体"/>
                <w:color w:val="auto"/>
                <w:sz w:val="24"/>
              </w:rPr>
              <w:t>化学稳定性好</w:t>
            </w:r>
            <w:r>
              <w:rPr>
                <w:rFonts w:hint="eastAsia" w:ascii="Times New Roman" w:hAnsi="Times New Roman"/>
                <w:color w:val="auto"/>
                <w:sz w:val="24"/>
                <w:lang w:eastAsia="zh-CN"/>
              </w:rPr>
              <w:t>，</w:t>
            </w:r>
            <w:r>
              <w:rPr>
                <w:rFonts w:hint="eastAsia" w:ascii="Times New Roman" w:hAnsi="Times New Roman" w:eastAsia="宋体"/>
                <w:color w:val="auto"/>
                <w:sz w:val="24"/>
              </w:rPr>
              <w:t>耐酸、碱和有机溶剂</w:t>
            </w:r>
            <w:r>
              <w:rPr>
                <w:rFonts w:hint="eastAsia" w:ascii="Times New Roman" w:hAnsi="Times New Roman"/>
                <w:color w:val="auto"/>
                <w:sz w:val="24"/>
                <w:lang w:eastAsia="zh-CN"/>
              </w:rPr>
              <w:t>，</w:t>
            </w:r>
            <w:r>
              <w:rPr>
                <w:rFonts w:hint="eastAsia" w:ascii="Times New Roman" w:hAnsi="Times New Roman" w:eastAsia="宋体"/>
                <w:color w:val="auto"/>
                <w:sz w:val="24"/>
              </w:rPr>
              <w:t>与大多数化学药品</w:t>
            </w:r>
            <w:r>
              <w:rPr>
                <w:rFonts w:hint="eastAsia" w:ascii="Times New Roman" w:hAnsi="Times New Roman"/>
                <w:color w:val="auto"/>
                <w:sz w:val="24"/>
                <w:lang w:eastAsia="zh-CN"/>
              </w:rPr>
              <w:t>（</w:t>
            </w:r>
            <w:r>
              <w:rPr>
                <w:rFonts w:hint="eastAsia" w:ascii="Times New Roman" w:hAnsi="Times New Roman" w:eastAsia="宋体"/>
                <w:color w:val="auto"/>
                <w:sz w:val="24"/>
              </w:rPr>
              <w:t>如发烟硝酸、铬酸溶液、卤素、苯、四氯化碳、氯仿等</w:t>
            </w:r>
            <w:r>
              <w:rPr>
                <w:rFonts w:hint="eastAsia" w:ascii="Times New Roman" w:hAnsi="Times New Roman"/>
                <w:color w:val="auto"/>
                <w:sz w:val="24"/>
                <w:lang w:eastAsia="zh-CN"/>
              </w:rPr>
              <w:t>）</w:t>
            </w:r>
            <w:r>
              <w:rPr>
                <w:rFonts w:hint="eastAsia" w:ascii="Times New Roman" w:hAnsi="Times New Roman" w:eastAsia="宋体"/>
                <w:color w:val="auto"/>
                <w:sz w:val="24"/>
              </w:rPr>
              <w:t>不发生作用</w:t>
            </w:r>
            <w:r>
              <w:rPr>
                <w:rFonts w:hint="eastAsia" w:ascii="Times New Roman" w:hAnsi="Times New Roman"/>
                <w:color w:val="auto"/>
                <w:sz w:val="24"/>
                <w:lang w:eastAsia="zh-CN"/>
              </w:rPr>
              <w:t>，</w:t>
            </w:r>
            <w:r>
              <w:rPr>
                <w:rFonts w:hint="eastAsia" w:ascii="Times New Roman" w:hAnsi="Times New Roman" w:eastAsia="宋体"/>
                <w:color w:val="auto"/>
                <w:sz w:val="24"/>
              </w:rPr>
              <w:t>且几乎不吸水</w:t>
            </w:r>
            <w:r>
              <w:rPr>
                <w:rFonts w:hint="eastAsia" w:ascii="Times New Roman" w:hAnsi="Times New Roman" w:eastAsia="宋体"/>
                <w:color w:val="auto"/>
                <w:sz w:val="24"/>
                <w:lang w:eastAsia="zh-CN"/>
              </w:rPr>
              <w:t>。</w:t>
            </w:r>
          </w:p>
          <w:p w14:paraId="33466E97">
            <w:pPr>
              <w:pStyle w:val="17"/>
              <w:adjustRightInd w:val="0"/>
              <w:snapToGrid w:val="0"/>
              <w:spacing w:line="360" w:lineRule="auto"/>
              <w:ind w:firstLine="482" w:firstLineChars="200"/>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②聚乙烯树脂（PE）</w:t>
            </w:r>
          </w:p>
          <w:p w14:paraId="6C253227">
            <w:pPr>
              <w:pStyle w:val="17"/>
              <w:adjustRightInd w:val="0"/>
              <w:snapToGrid w:val="0"/>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聚乙烯是乙烯经聚合制得的一种热塑性树脂。在工业上，也包括乙烯与少量α-烯烃的共聚物。聚乙烯无臭，无毒，手感似蜡，具有优良的耐低温性能（最低使用温度可达-100~-70°C），</w:t>
            </w:r>
            <w:r>
              <w:rPr>
                <w:rFonts w:hint="eastAsia" w:ascii="Times New Roman" w:hAnsi="Times New Roman" w:eastAsia="宋体"/>
                <w:color w:val="auto"/>
                <w:sz w:val="24"/>
              </w:rPr>
              <w:t>其</w:t>
            </w:r>
            <w:r>
              <w:rPr>
                <w:rFonts w:hint="eastAsia" w:ascii="Times New Roman" w:hAnsi="Times New Roman"/>
                <w:color w:val="auto"/>
                <w:sz w:val="24"/>
                <w:lang w:eastAsia="zh-CN"/>
              </w:rPr>
              <w:t>熔融温度</w:t>
            </w:r>
            <w:r>
              <w:rPr>
                <w:rFonts w:hint="eastAsia" w:ascii="Times New Roman" w:hAnsi="Times New Roman" w:eastAsia="宋体"/>
                <w:color w:val="auto"/>
                <w:sz w:val="24"/>
              </w:rPr>
              <w:t>为</w:t>
            </w:r>
            <w:r>
              <w:rPr>
                <w:rFonts w:hint="eastAsia" w:ascii="Times New Roman" w:hAnsi="Times New Roman" w:eastAsia="宋体"/>
                <w:color w:val="auto"/>
                <w:sz w:val="24"/>
                <w:lang w:val="en-US" w:eastAsia="zh-CN"/>
              </w:rPr>
              <w:t>13</w:t>
            </w:r>
            <w:r>
              <w:rPr>
                <w:rFonts w:hint="eastAsia" w:ascii="Times New Roman" w:hAnsi="Times New Roman" w:eastAsia="宋体"/>
                <w:color w:val="auto"/>
                <w:sz w:val="24"/>
              </w:rPr>
              <w:t>0℃左右</w:t>
            </w:r>
            <w:r>
              <w:rPr>
                <w:rFonts w:hint="eastAsia" w:ascii="Times New Roman" w:hAnsi="Times New Roman"/>
                <w:color w:val="auto"/>
                <w:sz w:val="24"/>
                <w:lang w:eastAsia="zh-CN"/>
              </w:rPr>
              <w:t>，分解温度为</w:t>
            </w:r>
            <w:r>
              <w:rPr>
                <w:rFonts w:hint="eastAsia" w:ascii="Times New Roman" w:hAnsi="Times New Roman"/>
                <w:color w:val="auto"/>
                <w:sz w:val="24"/>
                <w:lang w:val="en-US" w:eastAsia="zh-CN"/>
              </w:rPr>
              <w:t>300</w:t>
            </w:r>
            <w:r>
              <w:rPr>
                <w:rFonts w:hint="eastAsia" w:ascii="Times New Roman" w:hAnsi="Times New Roman" w:eastAsia="宋体"/>
                <w:color w:val="auto"/>
                <w:sz w:val="24"/>
              </w:rPr>
              <w:t>℃</w:t>
            </w:r>
            <w:r>
              <w:rPr>
                <w:rFonts w:hint="eastAsia" w:ascii="Times New Roman" w:hAnsi="Times New Roman" w:eastAsia="宋体"/>
                <w:color w:val="auto"/>
                <w:sz w:val="24"/>
                <w:lang w:eastAsia="zh-CN"/>
              </w:rPr>
              <w:t>，</w:t>
            </w:r>
            <w:r>
              <w:rPr>
                <w:rFonts w:hint="eastAsia" w:ascii="Times New Roman" w:hAnsi="Times New Roman" w:eastAsia="宋体" w:cs="Times New Roman"/>
                <w:color w:val="auto"/>
                <w:sz w:val="24"/>
              </w:rPr>
              <w:t>化学稳定性好，能耐大多数酸碱的侵蚀（不耐具有氧化性质的酸）。常温下不溶于一般溶剂，吸水性小，电绝缘性优良。</w:t>
            </w:r>
          </w:p>
          <w:p w14:paraId="5E3BF813">
            <w:pPr>
              <w:pStyle w:val="17"/>
              <w:adjustRightInd w:val="0"/>
              <w:snapToGrid w:val="0"/>
              <w:spacing w:line="360" w:lineRule="auto"/>
              <w:ind w:firstLine="482" w:firstLineChars="200"/>
              <w:rPr>
                <w:rFonts w:hint="eastAsia" w:ascii="Times New Roman" w:hAnsi="Times New Roman" w:eastAsia="宋体"/>
                <w:b/>
                <w:bCs/>
                <w:color w:val="auto"/>
                <w:sz w:val="24"/>
                <w:lang w:val="en-US" w:eastAsia="zh-CN"/>
              </w:rPr>
            </w:pPr>
            <w:r>
              <w:rPr>
                <w:rFonts w:hint="eastAsia" w:ascii="Times New Roman" w:hAnsi="Times New Roman"/>
                <w:b/>
                <w:bCs/>
                <w:color w:val="auto"/>
                <w:sz w:val="24"/>
              </w:rPr>
              <w:t>③</w:t>
            </w:r>
            <w:r>
              <w:rPr>
                <w:rFonts w:hint="eastAsia" w:ascii="Times New Roman" w:hAnsi="Times New Roman"/>
                <w:b/>
                <w:bCs/>
                <w:color w:val="auto"/>
                <w:sz w:val="24"/>
                <w:lang w:val="en-US" w:eastAsia="zh-CN"/>
              </w:rPr>
              <w:t>色母</w:t>
            </w:r>
          </w:p>
          <w:p w14:paraId="37C4112E">
            <w:pPr>
              <w:tabs>
                <w:tab w:val="left" w:pos="1080"/>
              </w:tabs>
              <w:adjustRightInd w:val="0"/>
              <w:snapToGrid w:val="0"/>
              <w:spacing w:line="360" w:lineRule="auto"/>
              <w:ind w:firstLine="480" w:firstLineChars="200"/>
              <w:rPr>
                <w:rFonts w:ascii="Times New Roman" w:hAnsi="Times New Roman"/>
                <w:color w:val="auto"/>
                <w:sz w:val="24"/>
              </w:rPr>
            </w:pPr>
            <w:r>
              <w:rPr>
                <w:color w:val="auto"/>
                <w:sz w:val="24"/>
              </w:rPr>
              <w:t>色母也称色种，是一种新型高分子材料专用着色剂，色母主要用在塑料生产。色母由颜料或染料、载体和分散剂三种基本要素所组成，是把超常量的颜料均匀载附于树脂之中而制得的聚集体。本项目使用的色母为普通注塑色母，主要成分树脂和无机颜料配比而成</w:t>
            </w:r>
            <w:r>
              <w:rPr>
                <w:rFonts w:hint="eastAsia" w:ascii="Times New Roman" w:hAnsi="Times New Roman"/>
                <w:color w:val="auto"/>
                <w:sz w:val="24"/>
              </w:rPr>
              <w:t>。</w:t>
            </w:r>
          </w:p>
          <w:p w14:paraId="4F180D6A">
            <w:pPr>
              <w:pStyle w:val="17"/>
              <w:adjustRightInd w:val="0"/>
              <w:snapToGrid w:val="0"/>
              <w:spacing w:line="360" w:lineRule="auto"/>
              <w:ind w:firstLine="482" w:firstLineChars="200"/>
              <w:rPr>
                <w:rFonts w:ascii="Times New Roman" w:hAnsi="Times New Roman"/>
                <w:b/>
                <w:color w:val="auto"/>
                <w:sz w:val="24"/>
              </w:rPr>
            </w:pPr>
            <w:r>
              <w:rPr>
                <w:rFonts w:hint="eastAsia" w:ascii="Times New Roman" w:hAnsi="Times New Roman"/>
                <w:b/>
                <w:color w:val="auto"/>
                <w:sz w:val="24"/>
              </w:rPr>
              <w:t>5</w:t>
            </w:r>
            <w:r>
              <w:rPr>
                <w:rFonts w:ascii="Times New Roman" w:hAnsi="Times New Roman"/>
                <w:b/>
                <w:color w:val="auto"/>
                <w:sz w:val="24"/>
              </w:rPr>
              <w:t>、主要设备</w:t>
            </w:r>
            <w:bookmarkEnd w:id="15"/>
          </w:p>
          <w:p w14:paraId="0A874114">
            <w:pPr>
              <w:spacing w:line="360" w:lineRule="auto"/>
              <w:ind w:firstLine="480" w:firstLineChars="200"/>
              <w:rPr>
                <w:rFonts w:hint="eastAsia" w:ascii="Times New Roman" w:hAnsi="Times New Roman" w:eastAsia="宋体"/>
                <w:b/>
                <w:bCs/>
                <w:color w:val="auto"/>
                <w:szCs w:val="21"/>
                <w:lang w:eastAsia="zh-CN"/>
              </w:rPr>
            </w:pPr>
            <w:bookmarkStart w:id="16" w:name="_Toc22683"/>
            <w:r>
              <w:rPr>
                <w:color w:val="auto"/>
                <w:sz w:val="24"/>
                <w:shd w:val="clear" w:color="auto" w:fill="FFFFFF"/>
              </w:rPr>
              <w:t>本项目主要生产设备及设施详见表2-</w:t>
            </w:r>
            <w:r>
              <w:rPr>
                <w:rFonts w:hint="eastAsia"/>
                <w:color w:val="auto"/>
                <w:sz w:val="24"/>
                <w:shd w:val="clear" w:color="auto" w:fill="FFFFFF"/>
                <w:lang w:val="en-US" w:eastAsia="zh-CN"/>
              </w:rPr>
              <w:t>5</w:t>
            </w:r>
            <w:r>
              <w:rPr>
                <w:rFonts w:hint="eastAsia"/>
                <w:color w:val="auto"/>
                <w:sz w:val="24"/>
                <w:shd w:val="clear" w:color="auto" w:fill="FFFFFF"/>
                <w:lang w:eastAsia="zh-CN"/>
              </w:rPr>
              <w:t>。</w:t>
            </w:r>
          </w:p>
          <w:p w14:paraId="6FC81CF6">
            <w:pPr>
              <w:pStyle w:val="17"/>
              <w:snapToGrid w:val="0"/>
              <w:jc w:val="center"/>
              <w:rPr>
                <w:rFonts w:ascii="Times New Roman" w:hAnsi="Times New Roman"/>
                <w:b/>
                <w:bCs/>
                <w:color w:val="auto"/>
                <w:szCs w:val="21"/>
              </w:rPr>
            </w:pPr>
            <w:r>
              <w:rPr>
                <w:rFonts w:ascii="Times New Roman" w:hAnsi="Times New Roman"/>
                <w:b/>
                <w:bCs/>
                <w:color w:val="auto"/>
                <w:szCs w:val="21"/>
              </w:rPr>
              <w:t>表2-</w:t>
            </w:r>
            <w:r>
              <w:rPr>
                <w:rFonts w:hint="eastAsia" w:ascii="Times New Roman" w:hAnsi="Times New Roman"/>
                <w:b/>
                <w:bCs/>
                <w:color w:val="auto"/>
                <w:szCs w:val="21"/>
                <w:lang w:val="en-US" w:eastAsia="zh-CN"/>
              </w:rPr>
              <w:t>5</w:t>
            </w:r>
            <w:r>
              <w:rPr>
                <w:rFonts w:ascii="Times New Roman" w:hAnsi="Times New Roman"/>
                <w:b/>
                <w:bCs/>
                <w:color w:val="auto"/>
                <w:szCs w:val="21"/>
              </w:rPr>
              <w:t xml:space="preserve">  项目主要生产设备及设施一览表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28"/>
              <w:gridCol w:w="2163"/>
              <w:gridCol w:w="5"/>
              <w:gridCol w:w="1963"/>
              <w:gridCol w:w="166"/>
              <w:gridCol w:w="1184"/>
              <w:gridCol w:w="536"/>
              <w:gridCol w:w="1717"/>
            </w:tblGrid>
            <w:tr w14:paraId="303AC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407" w:type="pct"/>
                  <w:gridSpan w:val="2"/>
                  <w:vAlign w:val="center"/>
                </w:tcPr>
                <w:p w14:paraId="477BBA2A">
                  <w:pPr>
                    <w:jc w:val="center"/>
                    <w:rPr>
                      <w:b/>
                      <w:bCs/>
                      <w:color w:val="auto"/>
                      <w:szCs w:val="21"/>
                    </w:rPr>
                  </w:pPr>
                  <w:r>
                    <w:rPr>
                      <w:rFonts w:hint="eastAsia"/>
                      <w:b/>
                      <w:bCs/>
                      <w:color w:val="auto"/>
                      <w:szCs w:val="21"/>
                    </w:rPr>
                    <w:t>序号</w:t>
                  </w:r>
                </w:p>
              </w:tc>
              <w:tc>
                <w:tcPr>
                  <w:tcW w:w="1284" w:type="pct"/>
                  <w:vAlign w:val="center"/>
                </w:tcPr>
                <w:p w14:paraId="3BE258A8">
                  <w:pPr>
                    <w:jc w:val="center"/>
                    <w:rPr>
                      <w:b/>
                      <w:bCs/>
                      <w:color w:val="auto"/>
                      <w:szCs w:val="21"/>
                    </w:rPr>
                  </w:pPr>
                  <w:r>
                    <w:rPr>
                      <w:b/>
                      <w:bCs/>
                      <w:color w:val="auto"/>
                      <w:szCs w:val="21"/>
                    </w:rPr>
                    <w:t>设备名称</w:t>
                  </w:r>
                </w:p>
              </w:tc>
              <w:tc>
                <w:tcPr>
                  <w:tcW w:w="1168" w:type="pct"/>
                  <w:gridSpan w:val="2"/>
                  <w:vAlign w:val="center"/>
                </w:tcPr>
                <w:p w14:paraId="76BCC980">
                  <w:pPr>
                    <w:jc w:val="center"/>
                    <w:rPr>
                      <w:b/>
                      <w:bCs/>
                      <w:color w:val="auto"/>
                      <w:szCs w:val="21"/>
                    </w:rPr>
                  </w:pPr>
                  <w:r>
                    <w:rPr>
                      <w:b/>
                      <w:bCs/>
                      <w:color w:val="auto"/>
                      <w:szCs w:val="21"/>
                    </w:rPr>
                    <w:t>规格型号</w:t>
                  </w:r>
                </w:p>
              </w:tc>
              <w:tc>
                <w:tcPr>
                  <w:tcW w:w="801" w:type="pct"/>
                  <w:gridSpan w:val="2"/>
                  <w:vAlign w:val="center"/>
                </w:tcPr>
                <w:p w14:paraId="0DB941A8">
                  <w:pPr>
                    <w:jc w:val="center"/>
                    <w:rPr>
                      <w:b/>
                      <w:bCs/>
                      <w:color w:val="auto"/>
                      <w:szCs w:val="21"/>
                    </w:rPr>
                  </w:pPr>
                  <w:r>
                    <w:rPr>
                      <w:rFonts w:hint="eastAsia"/>
                      <w:b/>
                      <w:bCs/>
                      <w:color w:val="auto"/>
                      <w:szCs w:val="21"/>
                    </w:rPr>
                    <w:t>数量（台/套）</w:t>
                  </w:r>
                </w:p>
              </w:tc>
              <w:tc>
                <w:tcPr>
                  <w:tcW w:w="1337" w:type="pct"/>
                  <w:gridSpan w:val="2"/>
                  <w:vAlign w:val="center"/>
                </w:tcPr>
                <w:p w14:paraId="0E57DE3A">
                  <w:pPr>
                    <w:jc w:val="center"/>
                    <w:rPr>
                      <w:b/>
                      <w:bCs/>
                      <w:color w:val="auto"/>
                      <w:szCs w:val="21"/>
                    </w:rPr>
                  </w:pPr>
                  <w:r>
                    <w:rPr>
                      <w:rFonts w:hint="eastAsia"/>
                      <w:b/>
                      <w:bCs/>
                      <w:color w:val="auto"/>
                      <w:szCs w:val="21"/>
                    </w:rPr>
                    <w:t>备注</w:t>
                  </w:r>
                </w:p>
              </w:tc>
            </w:tr>
            <w:tr w14:paraId="0F8E2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5000" w:type="pct"/>
                  <w:gridSpan w:val="9"/>
                  <w:vAlign w:val="center"/>
                </w:tcPr>
                <w:p w14:paraId="2D59528C">
                  <w:pPr>
                    <w:jc w:val="center"/>
                    <w:rPr>
                      <w:rFonts w:hint="default" w:eastAsia="宋体"/>
                      <w:b/>
                      <w:bCs/>
                      <w:color w:val="auto"/>
                      <w:szCs w:val="21"/>
                      <w:lang w:val="en-US" w:eastAsia="zh-CN"/>
                    </w:rPr>
                  </w:pPr>
                  <w:r>
                    <w:rPr>
                      <w:rFonts w:hint="eastAsia"/>
                      <w:b/>
                      <w:bCs/>
                      <w:color w:val="auto"/>
                      <w:szCs w:val="21"/>
                      <w:lang w:val="en-US" w:eastAsia="zh-CN"/>
                    </w:rPr>
                    <w:t>一、生产系统</w:t>
                  </w:r>
                </w:p>
              </w:tc>
            </w:tr>
            <w:tr w14:paraId="26BF5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gridSpan w:val="2"/>
                  <w:vAlign w:val="center"/>
                </w:tcPr>
                <w:p w14:paraId="18E7FA26">
                  <w:pPr>
                    <w:jc w:val="center"/>
                    <w:rPr>
                      <w:color w:val="auto"/>
                      <w:szCs w:val="21"/>
                    </w:rPr>
                  </w:pPr>
                  <w:r>
                    <w:rPr>
                      <w:rFonts w:hint="eastAsia"/>
                      <w:color w:val="auto"/>
                      <w:szCs w:val="21"/>
                    </w:rPr>
                    <w:t>1</w:t>
                  </w:r>
                </w:p>
              </w:tc>
              <w:tc>
                <w:tcPr>
                  <w:tcW w:w="1284" w:type="pct"/>
                  <w:vAlign w:val="center"/>
                </w:tcPr>
                <w:p w14:paraId="04CA8113">
                  <w:pPr>
                    <w:jc w:val="center"/>
                    <w:rPr>
                      <w:rFonts w:hint="eastAsia" w:eastAsia="宋体"/>
                      <w:color w:val="auto"/>
                      <w:szCs w:val="21"/>
                      <w:lang w:eastAsia="zh-CN"/>
                    </w:rPr>
                  </w:pPr>
                  <w:r>
                    <w:rPr>
                      <w:rFonts w:hint="eastAsia"/>
                      <w:color w:val="auto"/>
                      <w:szCs w:val="21"/>
                      <w:lang w:eastAsia="zh-CN"/>
                    </w:rPr>
                    <w:t>华美达注塑机</w:t>
                  </w:r>
                </w:p>
              </w:tc>
              <w:tc>
                <w:tcPr>
                  <w:tcW w:w="1168" w:type="pct"/>
                  <w:gridSpan w:val="2"/>
                  <w:vAlign w:val="center"/>
                </w:tcPr>
                <w:p w14:paraId="34C5896B">
                  <w:pPr>
                    <w:jc w:val="center"/>
                    <w:rPr>
                      <w:rFonts w:hint="default" w:eastAsia="宋体"/>
                      <w:color w:val="auto"/>
                      <w:szCs w:val="21"/>
                      <w:lang w:val="en-US" w:eastAsia="zh-CN"/>
                    </w:rPr>
                  </w:pPr>
                  <w:r>
                    <w:rPr>
                      <w:rFonts w:hint="eastAsia"/>
                      <w:color w:val="auto"/>
                      <w:szCs w:val="21"/>
                      <w:lang w:val="en-US" w:eastAsia="zh-CN"/>
                    </w:rPr>
                    <w:t>HMD530FCII</w:t>
                  </w:r>
                </w:p>
              </w:tc>
              <w:tc>
                <w:tcPr>
                  <w:tcW w:w="801" w:type="pct"/>
                  <w:gridSpan w:val="2"/>
                  <w:vAlign w:val="center"/>
                </w:tcPr>
                <w:p w14:paraId="17FBAEE0">
                  <w:pPr>
                    <w:jc w:val="center"/>
                    <w:rPr>
                      <w:rFonts w:hint="eastAsia" w:eastAsia="宋体"/>
                      <w:color w:val="auto"/>
                      <w:szCs w:val="21"/>
                      <w:lang w:val="en-US" w:eastAsia="zh-CN"/>
                    </w:rPr>
                  </w:pPr>
                  <w:r>
                    <w:rPr>
                      <w:rFonts w:hint="eastAsia"/>
                      <w:color w:val="auto"/>
                      <w:szCs w:val="21"/>
                      <w:lang w:val="en-US" w:eastAsia="zh-CN"/>
                    </w:rPr>
                    <w:t>5</w:t>
                  </w:r>
                </w:p>
              </w:tc>
              <w:tc>
                <w:tcPr>
                  <w:tcW w:w="1337" w:type="pct"/>
                  <w:gridSpan w:val="2"/>
                  <w:vAlign w:val="center"/>
                </w:tcPr>
                <w:p w14:paraId="4AEF91D8">
                  <w:pPr>
                    <w:jc w:val="center"/>
                    <w:rPr>
                      <w:rFonts w:hint="default" w:eastAsia="宋体"/>
                      <w:color w:val="auto"/>
                      <w:szCs w:val="21"/>
                      <w:lang w:val="en-US" w:eastAsia="zh-CN"/>
                    </w:rPr>
                  </w:pPr>
                  <w:r>
                    <w:rPr>
                      <w:rFonts w:hint="eastAsia"/>
                      <w:color w:val="auto"/>
                      <w:szCs w:val="21"/>
                      <w:lang w:val="en-US" w:eastAsia="zh-CN"/>
                    </w:rPr>
                    <w:t>注塑工序</w:t>
                  </w:r>
                </w:p>
              </w:tc>
            </w:tr>
            <w:tr w14:paraId="0EEF9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gridSpan w:val="2"/>
                  <w:vAlign w:val="center"/>
                </w:tcPr>
                <w:p w14:paraId="7BF0F4F3">
                  <w:pPr>
                    <w:jc w:val="center"/>
                    <w:rPr>
                      <w:color w:val="auto"/>
                      <w:szCs w:val="21"/>
                    </w:rPr>
                  </w:pPr>
                  <w:r>
                    <w:rPr>
                      <w:rFonts w:hint="eastAsia"/>
                      <w:color w:val="auto"/>
                      <w:szCs w:val="21"/>
                    </w:rPr>
                    <w:t>2</w:t>
                  </w:r>
                </w:p>
              </w:tc>
              <w:tc>
                <w:tcPr>
                  <w:tcW w:w="1284" w:type="pct"/>
                  <w:vAlign w:val="center"/>
                </w:tcPr>
                <w:p w14:paraId="3015740B">
                  <w:pPr>
                    <w:jc w:val="center"/>
                    <w:rPr>
                      <w:color w:val="auto"/>
                      <w:szCs w:val="21"/>
                    </w:rPr>
                  </w:pPr>
                  <w:r>
                    <w:rPr>
                      <w:rFonts w:hint="eastAsia"/>
                      <w:color w:val="auto"/>
                      <w:szCs w:val="21"/>
                      <w:lang w:eastAsia="zh-CN"/>
                    </w:rPr>
                    <w:t>华美达注塑机</w:t>
                  </w:r>
                </w:p>
              </w:tc>
              <w:tc>
                <w:tcPr>
                  <w:tcW w:w="1168" w:type="pct"/>
                  <w:gridSpan w:val="2"/>
                  <w:vAlign w:val="center"/>
                </w:tcPr>
                <w:p w14:paraId="2B82D1BF">
                  <w:pPr>
                    <w:jc w:val="center"/>
                    <w:rPr>
                      <w:color w:val="auto"/>
                      <w:szCs w:val="21"/>
                    </w:rPr>
                  </w:pPr>
                  <w:r>
                    <w:rPr>
                      <w:rFonts w:hint="eastAsia"/>
                      <w:color w:val="auto"/>
                      <w:szCs w:val="21"/>
                      <w:lang w:val="en-US" w:eastAsia="zh-CN"/>
                    </w:rPr>
                    <w:t>HMD450FCII</w:t>
                  </w:r>
                </w:p>
              </w:tc>
              <w:tc>
                <w:tcPr>
                  <w:tcW w:w="801" w:type="pct"/>
                  <w:gridSpan w:val="2"/>
                  <w:vAlign w:val="center"/>
                </w:tcPr>
                <w:p w14:paraId="5E029314">
                  <w:pPr>
                    <w:jc w:val="center"/>
                    <w:rPr>
                      <w:rFonts w:hint="eastAsia" w:eastAsia="宋体"/>
                      <w:color w:val="auto"/>
                      <w:szCs w:val="21"/>
                      <w:lang w:val="en-US" w:eastAsia="zh-CN"/>
                    </w:rPr>
                  </w:pPr>
                  <w:r>
                    <w:rPr>
                      <w:rFonts w:hint="eastAsia"/>
                      <w:color w:val="auto"/>
                      <w:szCs w:val="21"/>
                      <w:lang w:val="en-US" w:eastAsia="zh-CN"/>
                    </w:rPr>
                    <w:t>7</w:t>
                  </w:r>
                </w:p>
              </w:tc>
              <w:tc>
                <w:tcPr>
                  <w:tcW w:w="1337" w:type="pct"/>
                  <w:gridSpan w:val="2"/>
                  <w:vAlign w:val="center"/>
                </w:tcPr>
                <w:p w14:paraId="6F7EAE16">
                  <w:pPr>
                    <w:jc w:val="center"/>
                    <w:rPr>
                      <w:color w:val="auto"/>
                      <w:szCs w:val="21"/>
                    </w:rPr>
                  </w:pPr>
                  <w:r>
                    <w:rPr>
                      <w:rFonts w:hint="eastAsia"/>
                      <w:color w:val="auto"/>
                      <w:szCs w:val="21"/>
                      <w:lang w:val="en-US" w:eastAsia="zh-CN"/>
                    </w:rPr>
                    <w:t>注塑工序</w:t>
                  </w:r>
                </w:p>
              </w:tc>
            </w:tr>
            <w:tr w14:paraId="77A3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gridSpan w:val="2"/>
                  <w:vAlign w:val="center"/>
                </w:tcPr>
                <w:p w14:paraId="4C6D520D">
                  <w:pPr>
                    <w:jc w:val="center"/>
                    <w:rPr>
                      <w:color w:val="auto"/>
                      <w:szCs w:val="21"/>
                    </w:rPr>
                  </w:pPr>
                  <w:r>
                    <w:rPr>
                      <w:rFonts w:hint="eastAsia"/>
                      <w:color w:val="auto"/>
                      <w:szCs w:val="21"/>
                    </w:rPr>
                    <w:t>3</w:t>
                  </w:r>
                </w:p>
              </w:tc>
              <w:tc>
                <w:tcPr>
                  <w:tcW w:w="1284" w:type="pct"/>
                  <w:vAlign w:val="center"/>
                </w:tcPr>
                <w:p w14:paraId="59C47B8D">
                  <w:pPr>
                    <w:jc w:val="center"/>
                    <w:rPr>
                      <w:color w:val="auto"/>
                      <w:szCs w:val="21"/>
                    </w:rPr>
                  </w:pPr>
                  <w:r>
                    <w:rPr>
                      <w:rFonts w:hint="eastAsia"/>
                      <w:color w:val="auto"/>
                      <w:szCs w:val="21"/>
                      <w:lang w:eastAsia="zh-CN"/>
                    </w:rPr>
                    <w:t>华美达注塑机</w:t>
                  </w:r>
                </w:p>
              </w:tc>
              <w:tc>
                <w:tcPr>
                  <w:tcW w:w="1168" w:type="pct"/>
                  <w:gridSpan w:val="2"/>
                  <w:vAlign w:val="center"/>
                </w:tcPr>
                <w:p w14:paraId="28007A4F">
                  <w:pPr>
                    <w:jc w:val="center"/>
                    <w:rPr>
                      <w:rFonts w:hint="default"/>
                      <w:color w:val="auto"/>
                      <w:szCs w:val="21"/>
                      <w:lang w:val="en-US"/>
                    </w:rPr>
                  </w:pPr>
                  <w:r>
                    <w:rPr>
                      <w:rFonts w:hint="eastAsia"/>
                      <w:color w:val="auto"/>
                      <w:szCs w:val="21"/>
                      <w:lang w:val="en-US" w:eastAsia="zh-CN"/>
                    </w:rPr>
                    <w:t>HMD400M8-SP</w:t>
                  </w:r>
                </w:p>
              </w:tc>
              <w:tc>
                <w:tcPr>
                  <w:tcW w:w="801" w:type="pct"/>
                  <w:gridSpan w:val="2"/>
                  <w:vAlign w:val="center"/>
                </w:tcPr>
                <w:p w14:paraId="2353008E">
                  <w:pPr>
                    <w:jc w:val="center"/>
                    <w:rPr>
                      <w:rFonts w:hint="eastAsia" w:eastAsia="宋体"/>
                      <w:color w:val="auto"/>
                      <w:szCs w:val="21"/>
                      <w:lang w:val="en-US" w:eastAsia="zh-CN"/>
                    </w:rPr>
                  </w:pPr>
                  <w:r>
                    <w:rPr>
                      <w:rFonts w:hint="eastAsia"/>
                      <w:color w:val="auto"/>
                      <w:szCs w:val="21"/>
                      <w:lang w:val="en-US" w:eastAsia="zh-CN"/>
                    </w:rPr>
                    <w:t>6</w:t>
                  </w:r>
                </w:p>
              </w:tc>
              <w:tc>
                <w:tcPr>
                  <w:tcW w:w="1337" w:type="pct"/>
                  <w:gridSpan w:val="2"/>
                  <w:vAlign w:val="center"/>
                </w:tcPr>
                <w:p w14:paraId="6A219144">
                  <w:pPr>
                    <w:jc w:val="center"/>
                    <w:rPr>
                      <w:color w:val="auto"/>
                      <w:szCs w:val="21"/>
                    </w:rPr>
                  </w:pPr>
                  <w:r>
                    <w:rPr>
                      <w:rFonts w:hint="eastAsia"/>
                      <w:color w:val="auto"/>
                      <w:szCs w:val="21"/>
                      <w:lang w:val="en-US" w:eastAsia="zh-CN"/>
                    </w:rPr>
                    <w:t>注塑工序</w:t>
                  </w:r>
                </w:p>
              </w:tc>
            </w:tr>
            <w:tr w14:paraId="4F84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gridSpan w:val="2"/>
                  <w:vAlign w:val="center"/>
                </w:tcPr>
                <w:p w14:paraId="28720005">
                  <w:pPr>
                    <w:jc w:val="center"/>
                    <w:rPr>
                      <w:color w:val="auto"/>
                      <w:szCs w:val="21"/>
                    </w:rPr>
                  </w:pPr>
                  <w:r>
                    <w:rPr>
                      <w:rFonts w:hint="eastAsia"/>
                      <w:color w:val="auto"/>
                      <w:szCs w:val="21"/>
                    </w:rPr>
                    <w:t>4</w:t>
                  </w:r>
                </w:p>
              </w:tc>
              <w:tc>
                <w:tcPr>
                  <w:tcW w:w="1284" w:type="pct"/>
                  <w:vAlign w:val="center"/>
                </w:tcPr>
                <w:p w14:paraId="3E796872">
                  <w:pPr>
                    <w:jc w:val="center"/>
                    <w:rPr>
                      <w:color w:val="auto"/>
                      <w:szCs w:val="21"/>
                    </w:rPr>
                  </w:pPr>
                  <w:r>
                    <w:rPr>
                      <w:rFonts w:hint="eastAsia"/>
                      <w:color w:val="auto"/>
                      <w:szCs w:val="21"/>
                      <w:lang w:eastAsia="zh-CN"/>
                    </w:rPr>
                    <w:t>华美达注塑机</w:t>
                  </w:r>
                </w:p>
              </w:tc>
              <w:tc>
                <w:tcPr>
                  <w:tcW w:w="1168" w:type="pct"/>
                  <w:gridSpan w:val="2"/>
                  <w:vAlign w:val="center"/>
                </w:tcPr>
                <w:p w14:paraId="4327A752">
                  <w:pPr>
                    <w:jc w:val="center"/>
                    <w:rPr>
                      <w:rFonts w:hint="default"/>
                      <w:color w:val="auto"/>
                      <w:szCs w:val="21"/>
                      <w:lang w:val="en-US"/>
                    </w:rPr>
                  </w:pPr>
                  <w:r>
                    <w:rPr>
                      <w:rFonts w:hint="eastAsia"/>
                      <w:color w:val="auto"/>
                      <w:szCs w:val="21"/>
                      <w:lang w:val="en-US" w:eastAsia="zh-CN"/>
                    </w:rPr>
                    <w:t>HMD268M7-S</w:t>
                  </w:r>
                </w:p>
              </w:tc>
              <w:tc>
                <w:tcPr>
                  <w:tcW w:w="801" w:type="pct"/>
                  <w:gridSpan w:val="2"/>
                  <w:vAlign w:val="center"/>
                </w:tcPr>
                <w:p w14:paraId="071275D0">
                  <w:pPr>
                    <w:jc w:val="center"/>
                    <w:rPr>
                      <w:rFonts w:hint="eastAsia" w:eastAsia="宋体"/>
                      <w:color w:val="auto"/>
                      <w:szCs w:val="21"/>
                      <w:lang w:val="en-US" w:eastAsia="zh-CN"/>
                    </w:rPr>
                  </w:pPr>
                  <w:r>
                    <w:rPr>
                      <w:rFonts w:hint="eastAsia"/>
                      <w:color w:val="auto"/>
                      <w:szCs w:val="21"/>
                      <w:lang w:val="en-US" w:eastAsia="zh-CN"/>
                    </w:rPr>
                    <w:t>2</w:t>
                  </w:r>
                </w:p>
              </w:tc>
              <w:tc>
                <w:tcPr>
                  <w:tcW w:w="1337" w:type="pct"/>
                  <w:gridSpan w:val="2"/>
                  <w:vAlign w:val="center"/>
                </w:tcPr>
                <w:p w14:paraId="79783F1E">
                  <w:pPr>
                    <w:jc w:val="center"/>
                    <w:rPr>
                      <w:color w:val="auto"/>
                      <w:szCs w:val="21"/>
                    </w:rPr>
                  </w:pPr>
                  <w:r>
                    <w:rPr>
                      <w:rFonts w:hint="eastAsia"/>
                      <w:color w:val="auto"/>
                      <w:szCs w:val="21"/>
                      <w:lang w:val="en-US" w:eastAsia="zh-CN"/>
                    </w:rPr>
                    <w:t>注塑工序</w:t>
                  </w:r>
                </w:p>
              </w:tc>
            </w:tr>
            <w:tr w14:paraId="2CF2F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gridSpan w:val="2"/>
                  <w:vAlign w:val="center"/>
                </w:tcPr>
                <w:p w14:paraId="452495B0">
                  <w:pPr>
                    <w:jc w:val="center"/>
                    <w:rPr>
                      <w:color w:val="auto"/>
                      <w:szCs w:val="21"/>
                    </w:rPr>
                  </w:pPr>
                  <w:r>
                    <w:rPr>
                      <w:rFonts w:hint="eastAsia"/>
                      <w:color w:val="auto"/>
                      <w:szCs w:val="21"/>
                    </w:rPr>
                    <w:t>5</w:t>
                  </w:r>
                </w:p>
              </w:tc>
              <w:tc>
                <w:tcPr>
                  <w:tcW w:w="1284" w:type="pct"/>
                  <w:vAlign w:val="center"/>
                </w:tcPr>
                <w:p w14:paraId="7ADB3F12">
                  <w:pPr>
                    <w:jc w:val="center"/>
                    <w:rPr>
                      <w:rFonts w:hint="default" w:eastAsia="宋体"/>
                      <w:color w:val="auto"/>
                      <w:szCs w:val="21"/>
                      <w:lang w:val="en-US" w:eastAsia="zh-CN"/>
                    </w:rPr>
                  </w:pPr>
                  <w:r>
                    <w:rPr>
                      <w:rFonts w:hint="eastAsia"/>
                      <w:color w:val="auto"/>
                      <w:szCs w:val="21"/>
                      <w:lang w:val="en-US" w:eastAsia="zh-CN"/>
                    </w:rPr>
                    <w:t>强力破碎机</w:t>
                  </w:r>
                </w:p>
              </w:tc>
              <w:tc>
                <w:tcPr>
                  <w:tcW w:w="1168" w:type="pct"/>
                  <w:gridSpan w:val="2"/>
                  <w:vAlign w:val="center"/>
                </w:tcPr>
                <w:p w14:paraId="2BA7B793">
                  <w:pPr>
                    <w:jc w:val="center"/>
                    <w:rPr>
                      <w:rFonts w:hint="default" w:eastAsia="宋体"/>
                      <w:color w:val="auto"/>
                      <w:szCs w:val="21"/>
                      <w:lang w:val="en-US" w:eastAsia="zh-CN"/>
                    </w:rPr>
                  </w:pPr>
                  <w:r>
                    <w:rPr>
                      <w:rFonts w:hint="eastAsia"/>
                      <w:color w:val="auto"/>
                      <w:szCs w:val="21"/>
                      <w:lang w:val="en-US" w:eastAsia="zh-CN"/>
                    </w:rPr>
                    <w:t>800型</w:t>
                  </w:r>
                </w:p>
              </w:tc>
              <w:tc>
                <w:tcPr>
                  <w:tcW w:w="801" w:type="pct"/>
                  <w:gridSpan w:val="2"/>
                  <w:vAlign w:val="center"/>
                </w:tcPr>
                <w:p w14:paraId="4B191648">
                  <w:pPr>
                    <w:jc w:val="center"/>
                    <w:rPr>
                      <w:rFonts w:hint="eastAsia" w:eastAsia="宋体"/>
                      <w:color w:val="auto"/>
                      <w:szCs w:val="21"/>
                      <w:lang w:val="en-US" w:eastAsia="zh-CN"/>
                    </w:rPr>
                  </w:pPr>
                  <w:r>
                    <w:rPr>
                      <w:rFonts w:hint="eastAsia"/>
                      <w:color w:val="auto"/>
                      <w:szCs w:val="21"/>
                      <w:lang w:val="en-US" w:eastAsia="zh-CN"/>
                    </w:rPr>
                    <w:t>2</w:t>
                  </w:r>
                </w:p>
              </w:tc>
              <w:tc>
                <w:tcPr>
                  <w:tcW w:w="1337" w:type="pct"/>
                  <w:gridSpan w:val="2"/>
                  <w:vAlign w:val="center"/>
                </w:tcPr>
                <w:p w14:paraId="7AD50848">
                  <w:pPr>
                    <w:jc w:val="center"/>
                    <w:rPr>
                      <w:rFonts w:hint="eastAsia" w:eastAsia="宋体"/>
                      <w:color w:val="auto"/>
                      <w:szCs w:val="21"/>
                      <w:lang w:eastAsia="zh-CN"/>
                    </w:rPr>
                  </w:pPr>
                  <w:r>
                    <w:rPr>
                      <w:rFonts w:hint="eastAsia"/>
                      <w:color w:val="auto"/>
                      <w:szCs w:val="21"/>
                      <w:lang w:eastAsia="zh-CN"/>
                    </w:rPr>
                    <w:t>破碎工序</w:t>
                  </w:r>
                </w:p>
              </w:tc>
            </w:tr>
            <w:tr w14:paraId="725C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gridSpan w:val="2"/>
                  <w:vAlign w:val="center"/>
                </w:tcPr>
                <w:p w14:paraId="7E84CFFA">
                  <w:pPr>
                    <w:jc w:val="center"/>
                    <w:rPr>
                      <w:color w:val="auto"/>
                      <w:szCs w:val="21"/>
                    </w:rPr>
                  </w:pPr>
                  <w:r>
                    <w:rPr>
                      <w:rFonts w:hint="eastAsia"/>
                      <w:color w:val="auto"/>
                      <w:szCs w:val="21"/>
                    </w:rPr>
                    <w:t>6</w:t>
                  </w:r>
                </w:p>
              </w:tc>
              <w:tc>
                <w:tcPr>
                  <w:tcW w:w="1284" w:type="pct"/>
                  <w:vAlign w:val="center"/>
                </w:tcPr>
                <w:p w14:paraId="7EDE1B0B">
                  <w:pPr>
                    <w:jc w:val="center"/>
                    <w:rPr>
                      <w:rFonts w:hint="default" w:eastAsia="宋体"/>
                      <w:color w:val="auto"/>
                      <w:szCs w:val="21"/>
                      <w:lang w:val="en-US" w:eastAsia="zh-CN"/>
                    </w:rPr>
                  </w:pPr>
                  <w:r>
                    <w:rPr>
                      <w:rFonts w:hint="eastAsia"/>
                      <w:color w:val="auto"/>
                      <w:szCs w:val="21"/>
                      <w:lang w:eastAsia="zh-CN"/>
                    </w:rPr>
                    <w:t>横流开式冷却塔</w:t>
                  </w:r>
                  <w:r>
                    <w:rPr>
                      <w:rFonts w:hint="eastAsia"/>
                      <w:color w:val="auto"/>
                      <w:szCs w:val="21"/>
                      <w:lang w:val="en-US" w:eastAsia="zh-CN"/>
                    </w:rPr>
                    <w:t>+水箱</w:t>
                  </w:r>
                </w:p>
              </w:tc>
              <w:tc>
                <w:tcPr>
                  <w:tcW w:w="1168" w:type="pct"/>
                  <w:gridSpan w:val="2"/>
                  <w:vAlign w:val="center"/>
                </w:tcPr>
                <w:p w14:paraId="54158608">
                  <w:pPr>
                    <w:jc w:val="center"/>
                    <w:rPr>
                      <w:rFonts w:hint="default" w:eastAsia="宋体"/>
                      <w:color w:val="auto"/>
                      <w:szCs w:val="21"/>
                      <w:vertAlign w:val="superscript"/>
                      <w:lang w:val="en-US" w:eastAsia="zh-CN"/>
                    </w:rPr>
                  </w:pPr>
                  <w:r>
                    <w:rPr>
                      <w:rFonts w:hint="eastAsia"/>
                      <w:color w:val="auto"/>
                      <w:szCs w:val="21"/>
                      <w:lang w:val="en-US" w:eastAsia="zh-CN"/>
                    </w:rPr>
                    <w:t>100t/h+30m</w:t>
                  </w:r>
                  <w:r>
                    <w:rPr>
                      <w:rFonts w:hint="eastAsia"/>
                      <w:color w:val="auto"/>
                      <w:szCs w:val="21"/>
                      <w:vertAlign w:val="superscript"/>
                      <w:lang w:val="en-US" w:eastAsia="zh-CN"/>
                    </w:rPr>
                    <w:t>3</w:t>
                  </w:r>
                </w:p>
              </w:tc>
              <w:tc>
                <w:tcPr>
                  <w:tcW w:w="801" w:type="pct"/>
                  <w:gridSpan w:val="2"/>
                  <w:vAlign w:val="center"/>
                </w:tcPr>
                <w:p w14:paraId="0EB2E5F4">
                  <w:pPr>
                    <w:jc w:val="center"/>
                    <w:rPr>
                      <w:rFonts w:hint="default"/>
                      <w:color w:val="auto"/>
                      <w:szCs w:val="21"/>
                      <w:lang w:val="en-US" w:eastAsia="zh-CN"/>
                    </w:rPr>
                  </w:pPr>
                  <w:r>
                    <w:rPr>
                      <w:rFonts w:hint="eastAsia"/>
                      <w:color w:val="auto"/>
                      <w:szCs w:val="21"/>
                      <w:lang w:val="en-US" w:eastAsia="zh-CN"/>
                    </w:rPr>
                    <w:t>1</w:t>
                  </w:r>
                </w:p>
              </w:tc>
              <w:tc>
                <w:tcPr>
                  <w:tcW w:w="1337" w:type="pct"/>
                  <w:gridSpan w:val="2"/>
                  <w:vAlign w:val="center"/>
                </w:tcPr>
                <w:p w14:paraId="4B482CE3">
                  <w:pPr>
                    <w:jc w:val="center"/>
                    <w:rPr>
                      <w:rFonts w:hint="eastAsia" w:eastAsia="宋体"/>
                      <w:color w:val="auto"/>
                      <w:szCs w:val="21"/>
                      <w:lang w:eastAsia="zh-CN"/>
                    </w:rPr>
                  </w:pPr>
                  <w:r>
                    <w:rPr>
                      <w:rFonts w:hint="eastAsia"/>
                      <w:color w:val="auto"/>
                      <w:szCs w:val="21"/>
                    </w:rPr>
                    <w:t>辅助设施</w:t>
                  </w:r>
                  <w:r>
                    <w:rPr>
                      <w:rFonts w:hint="eastAsia"/>
                      <w:color w:val="auto"/>
                      <w:szCs w:val="21"/>
                      <w:lang w:eastAsia="zh-CN"/>
                    </w:rPr>
                    <w:t>（冷却工序）</w:t>
                  </w:r>
                </w:p>
              </w:tc>
            </w:tr>
            <w:tr w14:paraId="745BA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gridSpan w:val="2"/>
                  <w:vAlign w:val="center"/>
                </w:tcPr>
                <w:p w14:paraId="1300550C">
                  <w:pPr>
                    <w:jc w:val="center"/>
                    <w:rPr>
                      <w:rFonts w:hint="eastAsia" w:eastAsia="宋体"/>
                      <w:color w:val="auto"/>
                      <w:szCs w:val="21"/>
                      <w:lang w:eastAsia="zh-CN"/>
                    </w:rPr>
                  </w:pPr>
                  <w:r>
                    <w:rPr>
                      <w:rFonts w:hint="eastAsia"/>
                      <w:color w:val="auto"/>
                      <w:szCs w:val="21"/>
                      <w:lang w:val="en-US" w:eastAsia="zh-CN"/>
                    </w:rPr>
                    <w:t>7</w:t>
                  </w:r>
                </w:p>
              </w:tc>
              <w:tc>
                <w:tcPr>
                  <w:tcW w:w="1284" w:type="pct"/>
                  <w:vAlign w:val="center"/>
                </w:tcPr>
                <w:p w14:paraId="13A6A440">
                  <w:pPr>
                    <w:jc w:val="center"/>
                    <w:rPr>
                      <w:rFonts w:hint="default" w:eastAsia="宋体"/>
                      <w:color w:val="auto"/>
                      <w:szCs w:val="21"/>
                      <w:lang w:val="en-US" w:eastAsia="zh-CN"/>
                    </w:rPr>
                  </w:pPr>
                  <w:r>
                    <w:rPr>
                      <w:rFonts w:hint="eastAsia"/>
                      <w:color w:val="auto"/>
                      <w:szCs w:val="21"/>
                      <w:lang w:val="en-US" w:eastAsia="zh-CN"/>
                    </w:rPr>
                    <w:t>尚发机械手</w:t>
                  </w:r>
                </w:p>
              </w:tc>
              <w:tc>
                <w:tcPr>
                  <w:tcW w:w="1168" w:type="pct"/>
                  <w:gridSpan w:val="2"/>
                  <w:vAlign w:val="center"/>
                </w:tcPr>
                <w:p w14:paraId="650A53FD">
                  <w:pPr>
                    <w:jc w:val="center"/>
                    <w:rPr>
                      <w:rFonts w:hint="default" w:eastAsia="宋体"/>
                      <w:color w:val="auto"/>
                      <w:szCs w:val="21"/>
                      <w:lang w:val="en-US" w:eastAsia="zh-CN"/>
                    </w:rPr>
                  </w:pPr>
                  <w:r>
                    <w:rPr>
                      <w:rFonts w:hint="eastAsia"/>
                      <w:color w:val="auto"/>
                      <w:szCs w:val="21"/>
                      <w:lang w:val="en-US" w:eastAsia="zh-CN"/>
                    </w:rPr>
                    <w:t>SFN1100W</w:t>
                  </w:r>
                </w:p>
              </w:tc>
              <w:tc>
                <w:tcPr>
                  <w:tcW w:w="801" w:type="pct"/>
                  <w:gridSpan w:val="2"/>
                  <w:vAlign w:val="center"/>
                </w:tcPr>
                <w:p w14:paraId="4CB4D62F">
                  <w:pPr>
                    <w:jc w:val="center"/>
                    <w:rPr>
                      <w:rFonts w:hint="eastAsia" w:eastAsia="宋体"/>
                      <w:color w:val="auto"/>
                      <w:szCs w:val="21"/>
                      <w:lang w:val="en-US" w:eastAsia="zh-CN"/>
                    </w:rPr>
                  </w:pPr>
                  <w:r>
                    <w:rPr>
                      <w:rFonts w:hint="eastAsia"/>
                      <w:color w:val="auto"/>
                      <w:szCs w:val="21"/>
                      <w:lang w:val="en-US" w:eastAsia="zh-CN"/>
                    </w:rPr>
                    <w:t>5</w:t>
                  </w:r>
                </w:p>
              </w:tc>
              <w:tc>
                <w:tcPr>
                  <w:tcW w:w="1337" w:type="pct"/>
                  <w:gridSpan w:val="2"/>
                  <w:vAlign w:val="center"/>
                </w:tcPr>
                <w:p w14:paraId="1C2D1350">
                  <w:pPr>
                    <w:jc w:val="center"/>
                    <w:rPr>
                      <w:color w:val="auto"/>
                      <w:szCs w:val="21"/>
                    </w:rPr>
                  </w:pPr>
                  <w:r>
                    <w:rPr>
                      <w:rFonts w:hint="eastAsia"/>
                      <w:color w:val="auto"/>
                      <w:szCs w:val="21"/>
                    </w:rPr>
                    <w:t>辅助设施</w:t>
                  </w:r>
                </w:p>
              </w:tc>
            </w:tr>
            <w:tr w14:paraId="756E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gridSpan w:val="2"/>
                  <w:vAlign w:val="center"/>
                </w:tcPr>
                <w:p w14:paraId="2D7F5F7D">
                  <w:pPr>
                    <w:jc w:val="center"/>
                    <w:rPr>
                      <w:rFonts w:hint="eastAsia" w:eastAsia="宋体"/>
                      <w:color w:val="auto"/>
                      <w:szCs w:val="21"/>
                      <w:lang w:eastAsia="zh-CN"/>
                    </w:rPr>
                  </w:pPr>
                  <w:r>
                    <w:rPr>
                      <w:rFonts w:hint="eastAsia"/>
                      <w:color w:val="auto"/>
                      <w:szCs w:val="21"/>
                      <w:lang w:val="en-US" w:eastAsia="zh-CN"/>
                    </w:rPr>
                    <w:t>8</w:t>
                  </w:r>
                </w:p>
              </w:tc>
              <w:tc>
                <w:tcPr>
                  <w:tcW w:w="1284" w:type="pct"/>
                  <w:vAlign w:val="center"/>
                </w:tcPr>
                <w:p w14:paraId="6A932EC1">
                  <w:pPr>
                    <w:jc w:val="center"/>
                    <w:rPr>
                      <w:color w:val="auto"/>
                      <w:szCs w:val="21"/>
                    </w:rPr>
                  </w:pPr>
                  <w:r>
                    <w:rPr>
                      <w:rFonts w:hint="eastAsia"/>
                      <w:color w:val="auto"/>
                      <w:szCs w:val="21"/>
                      <w:lang w:val="en-US" w:eastAsia="zh-CN"/>
                    </w:rPr>
                    <w:t>尚发机械手</w:t>
                  </w:r>
                </w:p>
              </w:tc>
              <w:tc>
                <w:tcPr>
                  <w:tcW w:w="1168" w:type="pct"/>
                  <w:gridSpan w:val="2"/>
                  <w:vAlign w:val="center"/>
                </w:tcPr>
                <w:p w14:paraId="2972C950">
                  <w:pPr>
                    <w:jc w:val="center"/>
                    <w:rPr>
                      <w:color w:val="auto"/>
                      <w:szCs w:val="21"/>
                    </w:rPr>
                  </w:pPr>
                  <w:r>
                    <w:rPr>
                      <w:rFonts w:hint="eastAsia"/>
                      <w:color w:val="auto"/>
                      <w:szCs w:val="21"/>
                      <w:lang w:val="en-US" w:eastAsia="zh-CN"/>
                    </w:rPr>
                    <w:t>SFN1100W</w:t>
                  </w:r>
                </w:p>
              </w:tc>
              <w:tc>
                <w:tcPr>
                  <w:tcW w:w="801" w:type="pct"/>
                  <w:gridSpan w:val="2"/>
                  <w:vAlign w:val="center"/>
                </w:tcPr>
                <w:p w14:paraId="3656E735">
                  <w:pPr>
                    <w:jc w:val="center"/>
                    <w:rPr>
                      <w:rFonts w:hint="eastAsia" w:eastAsia="宋体"/>
                      <w:color w:val="auto"/>
                      <w:szCs w:val="21"/>
                      <w:lang w:val="en-US" w:eastAsia="zh-CN"/>
                    </w:rPr>
                  </w:pPr>
                  <w:r>
                    <w:rPr>
                      <w:rFonts w:hint="eastAsia"/>
                      <w:color w:val="auto"/>
                      <w:szCs w:val="21"/>
                      <w:lang w:val="en-US" w:eastAsia="zh-CN"/>
                    </w:rPr>
                    <w:t>8</w:t>
                  </w:r>
                </w:p>
              </w:tc>
              <w:tc>
                <w:tcPr>
                  <w:tcW w:w="1337" w:type="pct"/>
                  <w:gridSpan w:val="2"/>
                  <w:vAlign w:val="center"/>
                </w:tcPr>
                <w:p w14:paraId="78A9C81E">
                  <w:pPr>
                    <w:jc w:val="center"/>
                    <w:rPr>
                      <w:color w:val="auto"/>
                      <w:szCs w:val="21"/>
                    </w:rPr>
                  </w:pPr>
                  <w:r>
                    <w:rPr>
                      <w:rFonts w:hint="eastAsia"/>
                      <w:color w:val="auto"/>
                      <w:szCs w:val="21"/>
                    </w:rPr>
                    <w:t>辅助设施</w:t>
                  </w:r>
                </w:p>
              </w:tc>
            </w:tr>
            <w:tr w14:paraId="579B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gridSpan w:val="2"/>
                  <w:vAlign w:val="center"/>
                </w:tcPr>
                <w:p w14:paraId="4FFB4A46">
                  <w:pPr>
                    <w:jc w:val="center"/>
                    <w:rPr>
                      <w:rFonts w:hint="eastAsia" w:eastAsia="宋体"/>
                      <w:color w:val="auto"/>
                      <w:szCs w:val="21"/>
                      <w:lang w:eastAsia="zh-CN"/>
                    </w:rPr>
                  </w:pPr>
                  <w:r>
                    <w:rPr>
                      <w:rFonts w:hint="eastAsia"/>
                      <w:color w:val="auto"/>
                      <w:szCs w:val="21"/>
                      <w:lang w:val="en-US" w:eastAsia="zh-CN"/>
                    </w:rPr>
                    <w:t>9</w:t>
                  </w:r>
                </w:p>
              </w:tc>
              <w:tc>
                <w:tcPr>
                  <w:tcW w:w="1284" w:type="pct"/>
                  <w:vAlign w:val="center"/>
                </w:tcPr>
                <w:p w14:paraId="4347091A">
                  <w:pPr>
                    <w:jc w:val="center"/>
                    <w:rPr>
                      <w:color w:val="auto"/>
                      <w:szCs w:val="21"/>
                    </w:rPr>
                  </w:pPr>
                  <w:r>
                    <w:rPr>
                      <w:rFonts w:hint="eastAsia"/>
                      <w:color w:val="auto"/>
                      <w:szCs w:val="21"/>
                      <w:lang w:val="en-US" w:eastAsia="zh-CN"/>
                    </w:rPr>
                    <w:t>尚发机械手</w:t>
                  </w:r>
                </w:p>
              </w:tc>
              <w:tc>
                <w:tcPr>
                  <w:tcW w:w="1168" w:type="pct"/>
                  <w:gridSpan w:val="2"/>
                  <w:vAlign w:val="center"/>
                </w:tcPr>
                <w:p w14:paraId="138ADA7C">
                  <w:pPr>
                    <w:jc w:val="center"/>
                    <w:rPr>
                      <w:color w:val="auto"/>
                      <w:szCs w:val="21"/>
                    </w:rPr>
                  </w:pPr>
                  <w:r>
                    <w:rPr>
                      <w:rFonts w:hint="eastAsia"/>
                      <w:color w:val="auto"/>
                      <w:szCs w:val="21"/>
                      <w:lang w:val="en-US" w:eastAsia="zh-CN"/>
                    </w:rPr>
                    <w:t>SFN1100W</w:t>
                  </w:r>
                </w:p>
              </w:tc>
              <w:tc>
                <w:tcPr>
                  <w:tcW w:w="801" w:type="pct"/>
                  <w:gridSpan w:val="2"/>
                  <w:vAlign w:val="center"/>
                </w:tcPr>
                <w:p w14:paraId="4550602B">
                  <w:pPr>
                    <w:jc w:val="center"/>
                    <w:rPr>
                      <w:rFonts w:hint="eastAsia" w:eastAsia="宋体"/>
                      <w:color w:val="auto"/>
                      <w:szCs w:val="21"/>
                      <w:lang w:val="en-US" w:eastAsia="zh-CN"/>
                    </w:rPr>
                  </w:pPr>
                  <w:r>
                    <w:rPr>
                      <w:rFonts w:hint="eastAsia"/>
                      <w:color w:val="auto"/>
                      <w:szCs w:val="21"/>
                      <w:lang w:val="en-US" w:eastAsia="zh-CN"/>
                    </w:rPr>
                    <w:t>7</w:t>
                  </w:r>
                </w:p>
              </w:tc>
              <w:tc>
                <w:tcPr>
                  <w:tcW w:w="1337" w:type="pct"/>
                  <w:gridSpan w:val="2"/>
                  <w:vAlign w:val="center"/>
                </w:tcPr>
                <w:p w14:paraId="676D80CC">
                  <w:pPr>
                    <w:jc w:val="center"/>
                    <w:rPr>
                      <w:color w:val="auto"/>
                      <w:szCs w:val="21"/>
                    </w:rPr>
                  </w:pPr>
                  <w:r>
                    <w:rPr>
                      <w:rFonts w:hint="eastAsia"/>
                      <w:color w:val="auto"/>
                      <w:szCs w:val="21"/>
                    </w:rPr>
                    <w:t>辅助设施</w:t>
                  </w:r>
                </w:p>
              </w:tc>
            </w:tr>
            <w:tr w14:paraId="01DB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gridSpan w:val="2"/>
                  <w:vAlign w:val="center"/>
                </w:tcPr>
                <w:p w14:paraId="27E5C539">
                  <w:pPr>
                    <w:jc w:val="center"/>
                    <w:rPr>
                      <w:rFonts w:hint="eastAsia" w:eastAsia="宋体"/>
                      <w:color w:val="auto"/>
                      <w:szCs w:val="21"/>
                      <w:lang w:val="en-US" w:eastAsia="zh-CN"/>
                    </w:rPr>
                  </w:pPr>
                  <w:r>
                    <w:rPr>
                      <w:rFonts w:hint="eastAsia"/>
                      <w:color w:val="auto"/>
                      <w:szCs w:val="21"/>
                    </w:rPr>
                    <w:t>1</w:t>
                  </w:r>
                  <w:r>
                    <w:rPr>
                      <w:rFonts w:hint="eastAsia"/>
                      <w:color w:val="auto"/>
                      <w:szCs w:val="21"/>
                      <w:lang w:val="en-US" w:eastAsia="zh-CN"/>
                    </w:rPr>
                    <w:t>0</w:t>
                  </w:r>
                </w:p>
              </w:tc>
              <w:tc>
                <w:tcPr>
                  <w:tcW w:w="1284" w:type="pct"/>
                  <w:vAlign w:val="center"/>
                </w:tcPr>
                <w:p w14:paraId="1BF95CD9">
                  <w:pPr>
                    <w:jc w:val="center"/>
                    <w:rPr>
                      <w:rFonts w:hint="eastAsia" w:eastAsia="宋体"/>
                      <w:color w:val="auto"/>
                      <w:szCs w:val="21"/>
                      <w:lang w:eastAsia="zh-CN"/>
                    </w:rPr>
                  </w:pPr>
                  <w:r>
                    <w:rPr>
                      <w:rFonts w:hint="eastAsia"/>
                      <w:color w:val="auto"/>
                      <w:szCs w:val="21"/>
                      <w:lang w:eastAsia="zh-CN"/>
                    </w:rPr>
                    <w:t>输送带</w:t>
                  </w:r>
                </w:p>
              </w:tc>
              <w:tc>
                <w:tcPr>
                  <w:tcW w:w="1168" w:type="pct"/>
                  <w:gridSpan w:val="2"/>
                  <w:vAlign w:val="center"/>
                </w:tcPr>
                <w:p w14:paraId="67E40CE7">
                  <w:pPr>
                    <w:jc w:val="center"/>
                    <w:rPr>
                      <w:rFonts w:hint="eastAsia" w:eastAsia="宋体"/>
                      <w:color w:val="auto"/>
                      <w:szCs w:val="21"/>
                      <w:lang w:eastAsia="zh-CN"/>
                    </w:rPr>
                  </w:pPr>
                  <w:r>
                    <w:rPr>
                      <w:rFonts w:hint="eastAsia"/>
                      <w:color w:val="auto"/>
                      <w:szCs w:val="21"/>
                      <w:lang w:val="en-US" w:eastAsia="zh-CN"/>
                    </w:rPr>
                    <w:t>/</w:t>
                  </w:r>
                </w:p>
              </w:tc>
              <w:tc>
                <w:tcPr>
                  <w:tcW w:w="801" w:type="pct"/>
                  <w:gridSpan w:val="2"/>
                  <w:vAlign w:val="center"/>
                </w:tcPr>
                <w:p w14:paraId="258A09B0">
                  <w:pPr>
                    <w:jc w:val="center"/>
                    <w:rPr>
                      <w:rFonts w:hint="default" w:eastAsia="宋体"/>
                      <w:color w:val="auto"/>
                      <w:szCs w:val="21"/>
                      <w:lang w:val="en-US" w:eastAsia="zh-CN"/>
                    </w:rPr>
                  </w:pPr>
                  <w:r>
                    <w:rPr>
                      <w:rFonts w:hint="eastAsia"/>
                      <w:color w:val="auto"/>
                      <w:szCs w:val="21"/>
                      <w:lang w:val="en-US" w:eastAsia="zh-CN"/>
                    </w:rPr>
                    <w:t>20</w:t>
                  </w:r>
                </w:p>
              </w:tc>
              <w:tc>
                <w:tcPr>
                  <w:tcW w:w="1337" w:type="pct"/>
                  <w:gridSpan w:val="2"/>
                  <w:vAlign w:val="center"/>
                </w:tcPr>
                <w:p w14:paraId="72EB6AD8">
                  <w:pPr>
                    <w:jc w:val="center"/>
                    <w:rPr>
                      <w:color w:val="auto"/>
                      <w:szCs w:val="21"/>
                    </w:rPr>
                  </w:pPr>
                  <w:r>
                    <w:rPr>
                      <w:rFonts w:hint="eastAsia"/>
                      <w:color w:val="auto"/>
                      <w:szCs w:val="21"/>
                    </w:rPr>
                    <w:t>辅助设施</w:t>
                  </w:r>
                </w:p>
              </w:tc>
            </w:tr>
            <w:tr w14:paraId="33332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7" w:type="pct"/>
                  <w:gridSpan w:val="2"/>
                  <w:vAlign w:val="center"/>
                </w:tcPr>
                <w:p w14:paraId="7F7823B4">
                  <w:pPr>
                    <w:jc w:val="center"/>
                    <w:rPr>
                      <w:rFonts w:hint="default" w:eastAsia="宋体"/>
                      <w:color w:val="auto"/>
                      <w:szCs w:val="21"/>
                      <w:lang w:val="en-US" w:eastAsia="zh-CN"/>
                    </w:rPr>
                  </w:pPr>
                  <w:r>
                    <w:rPr>
                      <w:rFonts w:hint="eastAsia"/>
                      <w:color w:val="auto"/>
                      <w:szCs w:val="21"/>
                      <w:lang w:val="en-US" w:eastAsia="zh-CN"/>
                    </w:rPr>
                    <w:t>11</w:t>
                  </w:r>
                </w:p>
              </w:tc>
              <w:tc>
                <w:tcPr>
                  <w:tcW w:w="1284" w:type="pct"/>
                  <w:vAlign w:val="center"/>
                </w:tcPr>
                <w:p w14:paraId="4440E6CD">
                  <w:pPr>
                    <w:jc w:val="center"/>
                    <w:rPr>
                      <w:rFonts w:hint="default"/>
                      <w:color w:val="auto"/>
                      <w:szCs w:val="21"/>
                      <w:lang w:val="en-US" w:eastAsia="zh-CN"/>
                    </w:rPr>
                  </w:pPr>
                  <w:r>
                    <w:rPr>
                      <w:rFonts w:hint="eastAsia"/>
                      <w:color w:val="auto"/>
                      <w:szCs w:val="21"/>
                      <w:lang w:val="en-US" w:eastAsia="zh-CN"/>
                    </w:rPr>
                    <w:t>空压机房（空压机、除湿机、储气罐）</w:t>
                  </w:r>
                </w:p>
              </w:tc>
              <w:tc>
                <w:tcPr>
                  <w:tcW w:w="1168" w:type="pct"/>
                  <w:gridSpan w:val="2"/>
                  <w:vAlign w:val="center"/>
                </w:tcPr>
                <w:p w14:paraId="46CCBAE9">
                  <w:pPr>
                    <w:jc w:val="center"/>
                    <w:rPr>
                      <w:rFonts w:hint="default"/>
                      <w:color w:val="auto"/>
                      <w:szCs w:val="21"/>
                      <w:lang w:val="en-US" w:eastAsia="zh-CN"/>
                    </w:rPr>
                  </w:pPr>
                  <w:r>
                    <w:rPr>
                      <w:rFonts w:hint="eastAsia"/>
                      <w:color w:val="auto"/>
                      <w:szCs w:val="21"/>
                      <w:lang w:val="en-US" w:eastAsia="zh-CN"/>
                    </w:rPr>
                    <w:t>/</w:t>
                  </w:r>
                </w:p>
              </w:tc>
              <w:tc>
                <w:tcPr>
                  <w:tcW w:w="801" w:type="pct"/>
                  <w:gridSpan w:val="2"/>
                  <w:vAlign w:val="center"/>
                </w:tcPr>
                <w:p w14:paraId="13834DE7">
                  <w:pPr>
                    <w:jc w:val="center"/>
                    <w:rPr>
                      <w:rFonts w:hint="default"/>
                      <w:color w:val="auto"/>
                      <w:szCs w:val="21"/>
                      <w:lang w:val="en-US" w:eastAsia="zh-CN"/>
                    </w:rPr>
                  </w:pPr>
                  <w:r>
                    <w:rPr>
                      <w:rFonts w:hint="eastAsia"/>
                      <w:color w:val="auto"/>
                      <w:szCs w:val="21"/>
                      <w:lang w:val="en-US" w:eastAsia="zh-CN"/>
                    </w:rPr>
                    <w:t>1</w:t>
                  </w:r>
                </w:p>
              </w:tc>
              <w:tc>
                <w:tcPr>
                  <w:tcW w:w="1337" w:type="pct"/>
                  <w:gridSpan w:val="2"/>
                  <w:vAlign w:val="center"/>
                </w:tcPr>
                <w:p w14:paraId="6B88FAD0">
                  <w:pPr>
                    <w:jc w:val="center"/>
                    <w:rPr>
                      <w:rFonts w:hint="eastAsia" w:eastAsia="宋体"/>
                      <w:color w:val="auto"/>
                      <w:szCs w:val="21"/>
                      <w:lang w:eastAsia="zh-CN"/>
                    </w:rPr>
                  </w:pPr>
                  <w:r>
                    <w:rPr>
                      <w:rFonts w:hint="eastAsia"/>
                      <w:color w:val="auto"/>
                      <w:szCs w:val="21"/>
                    </w:rPr>
                    <w:t>辅助设施</w:t>
                  </w:r>
                  <w:r>
                    <w:rPr>
                      <w:rFonts w:hint="eastAsia"/>
                      <w:color w:val="auto"/>
                      <w:szCs w:val="21"/>
                      <w:lang w:eastAsia="zh-CN"/>
                    </w:rPr>
                    <w:t>（脱模工序）</w:t>
                  </w:r>
                </w:p>
              </w:tc>
            </w:tr>
            <w:tr w14:paraId="267E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9"/>
                  <w:vAlign w:val="center"/>
                </w:tcPr>
                <w:p w14:paraId="6F72F9DE">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eastAsia="宋体"/>
                      <w:color w:val="auto"/>
                      <w:szCs w:val="21"/>
                      <w:lang w:val="en-US" w:eastAsia="zh-CN"/>
                    </w:rPr>
                  </w:pPr>
                  <w:r>
                    <w:rPr>
                      <w:rFonts w:hint="default" w:ascii="Times New Roman" w:hAnsi="Times New Roman" w:eastAsia="宋体" w:cs="Times New Roman"/>
                      <w:b/>
                      <w:bCs/>
                      <w:color w:val="auto"/>
                      <w:sz w:val="21"/>
                      <w:szCs w:val="21"/>
                      <w:highlight w:val="none"/>
                      <w:lang w:val="en-US" w:eastAsia="zh-CN"/>
                    </w:rPr>
                    <w:t>二、其它设备</w:t>
                  </w:r>
                </w:p>
              </w:tc>
            </w:tr>
            <w:tr w14:paraId="7B84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0" w:type="pct"/>
                  <w:vAlign w:val="center"/>
                </w:tcPr>
                <w:p w14:paraId="432FB7CD">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lang w:val="en-US" w:eastAsia="zh-CN"/>
                    </w:rPr>
                  </w:pPr>
                  <w:r>
                    <w:rPr>
                      <w:rFonts w:hint="eastAsia" w:ascii="Times New Roman" w:hAnsi="Times New Roman" w:eastAsia="宋体" w:cs="Times New Roman"/>
                      <w:color w:val="auto"/>
                      <w:sz w:val="21"/>
                      <w:szCs w:val="21"/>
                      <w:highlight w:val="none"/>
                      <w:lang w:val="en-US" w:eastAsia="zh-CN"/>
                    </w:rPr>
                    <w:t>1</w:t>
                  </w:r>
                </w:p>
              </w:tc>
              <w:tc>
                <w:tcPr>
                  <w:tcW w:w="1304" w:type="pct"/>
                  <w:gridSpan w:val="3"/>
                  <w:vAlign w:val="center"/>
                </w:tcPr>
                <w:p w14:paraId="5BA82FA4">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105" w:firstLineChars="50"/>
                    <w:jc w:val="center"/>
                    <w:textAlignment w:val="auto"/>
                    <w:outlineLvl w:val="9"/>
                    <w:rPr>
                      <w:rFonts w:hint="eastAsia"/>
                      <w:color w:val="auto"/>
                      <w:szCs w:val="21"/>
                      <w:lang w:val="en-US" w:eastAsia="zh-CN"/>
                    </w:rPr>
                  </w:pPr>
                  <w:r>
                    <w:rPr>
                      <w:rFonts w:hint="default" w:ascii="Times New Roman" w:hAnsi="Times New Roman" w:eastAsia="宋体" w:cs="Times New Roman"/>
                      <w:color w:val="auto"/>
                      <w:sz w:val="21"/>
                      <w:szCs w:val="21"/>
                      <w:highlight w:val="none"/>
                      <w:lang w:val="en-US" w:eastAsia="zh-CN"/>
                    </w:rPr>
                    <w:t>布袋除尘器</w:t>
                  </w:r>
                </w:p>
              </w:tc>
              <w:tc>
                <w:tcPr>
                  <w:tcW w:w="1264" w:type="pct"/>
                  <w:gridSpan w:val="2"/>
                  <w:vAlign w:val="center"/>
                </w:tcPr>
                <w:p w14:paraId="70FA5ACF">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lang w:val="en-US" w:eastAsia="zh-CN"/>
                    </w:rPr>
                  </w:pPr>
                  <w:r>
                    <w:rPr>
                      <w:rFonts w:hint="default" w:ascii="Times New Roman" w:hAnsi="Times New Roman" w:eastAsia="宋体" w:cs="Times New Roman"/>
                      <w:color w:val="auto"/>
                      <w:sz w:val="21"/>
                      <w:szCs w:val="21"/>
                      <w:highlight w:val="none"/>
                      <w:lang w:val="en-US" w:eastAsia="zh-CN"/>
                    </w:rPr>
                    <w:t>配套</w:t>
                  </w:r>
                  <w:r>
                    <w:rPr>
                      <w:rFonts w:hint="default" w:ascii="Times New Roman" w:hAnsi="Times New Roman" w:eastAsia="宋体" w:cs="Times New Roman"/>
                      <w:color w:val="auto"/>
                      <w:sz w:val="21"/>
                      <w:szCs w:val="21"/>
                      <w:highlight w:val="none"/>
                    </w:rPr>
                    <w:t>风量</w:t>
                  </w:r>
                  <w:r>
                    <w:rPr>
                      <w:rFonts w:hint="default" w:ascii="Times New Roman" w:hAnsi="Times New Roman" w:eastAsia="宋体" w:cs="Times New Roman"/>
                      <w:color w:val="auto"/>
                      <w:sz w:val="21"/>
                      <w:szCs w:val="21"/>
                      <w:highlight w:val="none"/>
                      <w:lang w:val="en-US" w:eastAsia="zh-CN"/>
                    </w:rPr>
                    <w:t>为</w:t>
                  </w:r>
                  <w:r>
                    <w:rPr>
                      <w:rFonts w:hint="eastAsia" w:ascii="Times New Roman" w:hAnsi="Times New Roman" w:cs="Times New Roman"/>
                      <w:color w:val="auto"/>
                      <w:sz w:val="21"/>
                      <w:szCs w:val="21"/>
                      <w:highlight w:val="none"/>
                      <w:lang w:val="en-US" w:eastAsia="zh-CN"/>
                    </w:rPr>
                    <w:t>1000</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h</w:t>
                  </w:r>
                </w:p>
              </w:tc>
              <w:tc>
                <w:tcPr>
                  <w:tcW w:w="1021" w:type="pct"/>
                  <w:gridSpan w:val="2"/>
                  <w:vAlign w:val="center"/>
                </w:tcPr>
                <w:p w14:paraId="4797106E">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lang w:val="en-US" w:eastAsia="zh-CN"/>
                    </w:rPr>
                  </w:pPr>
                  <w:r>
                    <w:rPr>
                      <w:rFonts w:hint="default" w:ascii="Times New Roman" w:hAnsi="Times New Roman" w:eastAsia="宋体" w:cs="Times New Roman"/>
                      <w:color w:val="auto"/>
                      <w:sz w:val="21"/>
                      <w:szCs w:val="21"/>
                      <w:highlight w:val="none"/>
                      <w:lang w:val="en-US" w:eastAsia="zh-CN"/>
                    </w:rPr>
                    <w:t>1</w:t>
                  </w:r>
                </w:p>
              </w:tc>
              <w:tc>
                <w:tcPr>
                  <w:tcW w:w="1019" w:type="pct"/>
                  <w:vAlign w:val="center"/>
                </w:tcPr>
                <w:p w14:paraId="14F9DB6D">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rPr>
                  </w:pPr>
                  <w:r>
                    <w:rPr>
                      <w:rFonts w:hint="eastAsia" w:ascii="Times New Roman" w:hAnsi="Times New Roman" w:eastAsia="宋体" w:cs="Times New Roman"/>
                      <w:color w:val="auto"/>
                      <w:sz w:val="21"/>
                      <w:szCs w:val="21"/>
                      <w:highlight w:val="none"/>
                      <w:lang w:val="en-US" w:eastAsia="zh-CN"/>
                    </w:rPr>
                    <w:t>破碎</w:t>
                  </w:r>
                  <w:r>
                    <w:rPr>
                      <w:rFonts w:hint="default" w:ascii="Times New Roman" w:hAnsi="Times New Roman" w:eastAsia="宋体" w:cs="Times New Roman"/>
                      <w:color w:val="auto"/>
                      <w:sz w:val="21"/>
                      <w:szCs w:val="21"/>
                      <w:highlight w:val="none"/>
                      <w:lang w:val="en-US" w:eastAsia="zh-CN"/>
                    </w:rPr>
                    <w:t>废气除尘处理</w:t>
                  </w:r>
                </w:p>
              </w:tc>
            </w:tr>
            <w:tr w14:paraId="0D4BB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0" w:type="pct"/>
                  <w:vAlign w:val="center"/>
                </w:tcPr>
                <w:p w14:paraId="0F5A0EA7">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lang w:val="en-US" w:eastAsia="zh-CN"/>
                    </w:rPr>
                  </w:pPr>
                  <w:r>
                    <w:rPr>
                      <w:rFonts w:hint="eastAsia" w:ascii="Times New Roman" w:hAnsi="Times New Roman" w:eastAsia="宋体" w:cs="Times New Roman"/>
                      <w:color w:val="auto"/>
                      <w:sz w:val="21"/>
                      <w:szCs w:val="21"/>
                      <w:highlight w:val="none"/>
                      <w:lang w:val="en-US" w:eastAsia="zh-CN"/>
                    </w:rPr>
                    <w:t>2</w:t>
                  </w:r>
                </w:p>
              </w:tc>
              <w:tc>
                <w:tcPr>
                  <w:tcW w:w="1304" w:type="pct"/>
                  <w:gridSpan w:val="3"/>
                  <w:vAlign w:val="center"/>
                </w:tcPr>
                <w:p w14:paraId="1D52B954">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105" w:firstLineChars="50"/>
                    <w:jc w:val="center"/>
                    <w:textAlignment w:val="auto"/>
                    <w:outlineLvl w:val="9"/>
                    <w:rPr>
                      <w:rFonts w:hint="eastAsia"/>
                      <w:color w:val="auto"/>
                      <w:szCs w:val="21"/>
                      <w:lang w:val="en-US" w:eastAsia="zh-CN"/>
                    </w:rPr>
                  </w:pPr>
                  <w:r>
                    <w:rPr>
                      <w:rFonts w:hint="default" w:ascii="Times New Roman" w:hAnsi="Times New Roman" w:eastAsia="宋体" w:cs="Times New Roman"/>
                      <w:color w:val="auto"/>
                      <w:sz w:val="21"/>
                      <w:szCs w:val="21"/>
                      <w:highlight w:val="none"/>
                      <w:lang w:val="en-US" w:eastAsia="zh-CN"/>
                    </w:rPr>
                    <w:t>三级活性炭吸附</w:t>
                  </w:r>
                  <w:r>
                    <w:rPr>
                      <w:rFonts w:hint="default" w:ascii="Times New Roman" w:hAnsi="Times New Roman" w:eastAsia="宋体" w:cs="Times New Roman"/>
                      <w:color w:val="auto"/>
                      <w:sz w:val="21"/>
                      <w:szCs w:val="21"/>
                      <w:highlight w:val="none"/>
                    </w:rPr>
                    <w:t>装置</w:t>
                  </w:r>
                </w:p>
              </w:tc>
              <w:tc>
                <w:tcPr>
                  <w:tcW w:w="1264" w:type="pct"/>
                  <w:gridSpan w:val="2"/>
                  <w:vAlign w:val="center"/>
                </w:tcPr>
                <w:p w14:paraId="430A0C40">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lang w:val="en-US" w:eastAsia="zh-CN"/>
                    </w:rPr>
                  </w:pPr>
                  <w:r>
                    <w:rPr>
                      <w:rFonts w:hint="default" w:ascii="Times New Roman" w:hAnsi="Times New Roman" w:eastAsia="宋体" w:cs="Times New Roman"/>
                      <w:color w:val="auto"/>
                      <w:sz w:val="21"/>
                      <w:szCs w:val="21"/>
                      <w:highlight w:val="none"/>
                      <w:lang w:val="en-US" w:eastAsia="zh-CN"/>
                    </w:rPr>
                    <w:t>配套</w:t>
                  </w:r>
                  <w:r>
                    <w:rPr>
                      <w:rFonts w:hint="default" w:ascii="Times New Roman" w:hAnsi="Times New Roman" w:eastAsia="宋体" w:cs="Times New Roman"/>
                      <w:color w:val="auto"/>
                      <w:sz w:val="21"/>
                      <w:szCs w:val="21"/>
                      <w:highlight w:val="none"/>
                    </w:rPr>
                    <w:t>风量</w:t>
                  </w:r>
                  <w:r>
                    <w:rPr>
                      <w:rFonts w:hint="default" w:ascii="Times New Roman" w:hAnsi="Times New Roman" w:eastAsia="宋体" w:cs="Times New Roman"/>
                      <w:color w:val="auto"/>
                      <w:sz w:val="21"/>
                      <w:szCs w:val="21"/>
                      <w:highlight w:val="none"/>
                      <w:lang w:val="en-US" w:eastAsia="zh-CN"/>
                    </w:rPr>
                    <w:t>为</w:t>
                  </w:r>
                  <w:r>
                    <w:rPr>
                      <w:rFonts w:hint="eastAsia" w:cs="Times New Roman"/>
                      <w:color w:val="auto"/>
                      <w:sz w:val="21"/>
                      <w:szCs w:val="21"/>
                      <w:highlight w:val="none"/>
                      <w:lang w:val="en-US" w:eastAsia="zh-CN"/>
                    </w:rPr>
                    <w:t>20000</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h</w:t>
                  </w:r>
                </w:p>
              </w:tc>
              <w:tc>
                <w:tcPr>
                  <w:tcW w:w="1021" w:type="pct"/>
                  <w:gridSpan w:val="2"/>
                  <w:vAlign w:val="center"/>
                </w:tcPr>
                <w:p w14:paraId="036FEDAA">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lang w:val="en-US" w:eastAsia="zh-CN"/>
                    </w:rPr>
                  </w:pPr>
                  <w:r>
                    <w:rPr>
                      <w:rFonts w:hint="eastAsia" w:ascii="Times New Roman" w:hAnsi="Times New Roman" w:eastAsia="宋体" w:cs="Times New Roman"/>
                      <w:color w:val="auto"/>
                      <w:sz w:val="21"/>
                      <w:szCs w:val="21"/>
                      <w:highlight w:val="none"/>
                      <w:lang w:val="en-US" w:eastAsia="zh-CN"/>
                    </w:rPr>
                    <w:t>1</w:t>
                  </w:r>
                </w:p>
              </w:tc>
              <w:tc>
                <w:tcPr>
                  <w:tcW w:w="1019" w:type="pct"/>
                  <w:vAlign w:val="center"/>
                </w:tcPr>
                <w:p w14:paraId="505620C9">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rPr>
                  </w:pPr>
                  <w:r>
                    <w:rPr>
                      <w:rFonts w:hint="eastAsia" w:ascii="Times New Roman" w:hAnsi="Times New Roman" w:eastAsia="宋体" w:cs="Times New Roman"/>
                      <w:color w:val="auto"/>
                      <w:sz w:val="21"/>
                      <w:szCs w:val="21"/>
                      <w:highlight w:val="none"/>
                      <w:lang w:val="en-US" w:eastAsia="zh-CN"/>
                    </w:rPr>
                    <w:t>注塑</w:t>
                  </w:r>
                  <w:r>
                    <w:rPr>
                      <w:rFonts w:hint="default" w:ascii="Times New Roman" w:hAnsi="Times New Roman" w:eastAsia="宋体" w:cs="Times New Roman"/>
                      <w:color w:val="auto"/>
                      <w:sz w:val="21"/>
                      <w:szCs w:val="21"/>
                      <w:highlight w:val="none"/>
                      <w:lang w:val="en-US" w:eastAsia="zh-CN"/>
                    </w:rPr>
                    <w:t>有机废气</w:t>
                  </w:r>
                  <w:r>
                    <w:rPr>
                      <w:rFonts w:hint="eastAsia" w:ascii="Times New Roman" w:hAnsi="Times New Roman" w:eastAsia="宋体" w:cs="Times New Roman"/>
                      <w:color w:val="auto"/>
                      <w:sz w:val="21"/>
                      <w:szCs w:val="21"/>
                      <w:highlight w:val="none"/>
                      <w:lang w:val="en-US" w:eastAsia="zh-CN"/>
                    </w:rPr>
                    <w:t>处理</w:t>
                  </w:r>
                </w:p>
              </w:tc>
            </w:tr>
            <w:tr w14:paraId="4F5C3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0" w:type="pct"/>
                  <w:vAlign w:val="center"/>
                </w:tcPr>
                <w:p w14:paraId="311E33FF">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lang w:val="en-US" w:eastAsia="zh-CN"/>
                    </w:rPr>
                  </w:pPr>
                  <w:r>
                    <w:rPr>
                      <w:rFonts w:hint="eastAsia" w:cs="Times New Roman"/>
                      <w:color w:val="auto"/>
                      <w:sz w:val="21"/>
                      <w:szCs w:val="21"/>
                      <w:highlight w:val="none"/>
                      <w:lang w:val="en-US" w:eastAsia="zh-CN"/>
                    </w:rPr>
                    <w:t>3</w:t>
                  </w:r>
                </w:p>
              </w:tc>
              <w:tc>
                <w:tcPr>
                  <w:tcW w:w="1304" w:type="pct"/>
                  <w:gridSpan w:val="3"/>
                  <w:vAlign w:val="center"/>
                </w:tcPr>
                <w:p w14:paraId="78DAC70F">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highlight w:val="none"/>
                      <w:lang w:val="en-US" w:eastAsia="zh-CN"/>
                    </w:rPr>
                  </w:pPr>
                  <w:r>
                    <w:rPr>
                      <w:rFonts w:hint="eastAsia" w:cs="Times New Roman"/>
                      <w:color w:val="auto"/>
                      <w:sz w:val="21"/>
                      <w:szCs w:val="21"/>
                      <w:highlight w:val="none"/>
                      <w:lang w:eastAsia="zh-CN"/>
                    </w:rPr>
                    <w:t>水</w:t>
                  </w:r>
                  <w:r>
                    <w:rPr>
                      <w:rFonts w:hint="default" w:ascii="Times New Roman" w:hAnsi="Times New Roman" w:eastAsia="宋体" w:cs="Times New Roman"/>
                      <w:color w:val="auto"/>
                      <w:sz w:val="21"/>
                      <w:szCs w:val="21"/>
                      <w:highlight w:val="none"/>
                      <w:lang w:eastAsia="zh-CN"/>
                    </w:rPr>
                    <w:t>泵</w:t>
                  </w:r>
                </w:p>
              </w:tc>
              <w:tc>
                <w:tcPr>
                  <w:tcW w:w="1264" w:type="pct"/>
                  <w:gridSpan w:val="2"/>
                  <w:vAlign w:val="center"/>
                </w:tcPr>
                <w:p w14:paraId="78E87E4D">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021" w:type="pct"/>
                  <w:gridSpan w:val="2"/>
                  <w:vAlign w:val="center"/>
                </w:tcPr>
                <w:p w14:paraId="424A2D89">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highlight w:val="none"/>
                      <w:lang w:val="en-US" w:eastAsia="zh-CN"/>
                    </w:rPr>
                  </w:pPr>
                  <w:r>
                    <w:rPr>
                      <w:rFonts w:hint="eastAsia" w:cs="Times New Roman"/>
                      <w:color w:val="auto"/>
                      <w:sz w:val="21"/>
                      <w:szCs w:val="21"/>
                      <w:highlight w:val="none"/>
                      <w:lang w:val="en-US" w:eastAsia="zh-CN"/>
                    </w:rPr>
                    <w:t>1</w:t>
                  </w:r>
                </w:p>
              </w:tc>
              <w:tc>
                <w:tcPr>
                  <w:tcW w:w="1019" w:type="pct"/>
                  <w:vAlign w:val="center"/>
                </w:tcPr>
                <w:p w14:paraId="47F5D069">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highlight w:val="none"/>
                    </w:rPr>
                  </w:pPr>
                  <w:r>
                    <w:rPr>
                      <w:rFonts w:hint="default" w:ascii="Times New Roman" w:hAnsi="Times New Roman" w:eastAsia="宋体" w:cs="Times New Roman"/>
                      <w:color w:val="auto"/>
                      <w:sz w:val="21"/>
                      <w:szCs w:val="21"/>
                      <w:highlight w:val="none"/>
                      <w:lang w:val="en-US" w:eastAsia="zh-CN"/>
                    </w:rPr>
                    <w:t>/</w:t>
                  </w:r>
                </w:p>
              </w:tc>
            </w:tr>
            <w:tr w14:paraId="276F9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0" w:type="pct"/>
                  <w:vAlign w:val="center"/>
                </w:tcPr>
                <w:p w14:paraId="6EFF2FF7">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lang w:val="en-US" w:eastAsia="zh-CN"/>
                    </w:rPr>
                  </w:pPr>
                  <w:r>
                    <w:rPr>
                      <w:rFonts w:hint="eastAsia" w:cs="Times New Roman"/>
                      <w:color w:val="auto"/>
                      <w:sz w:val="21"/>
                      <w:szCs w:val="21"/>
                      <w:highlight w:val="none"/>
                      <w:lang w:val="en-US" w:eastAsia="zh-CN"/>
                    </w:rPr>
                    <w:t>4</w:t>
                  </w:r>
                </w:p>
              </w:tc>
              <w:tc>
                <w:tcPr>
                  <w:tcW w:w="1304" w:type="pct"/>
                  <w:gridSpan w:val="3"/>
                  <w:vAlign w:val="center"/>
                </w:tcPr>
                <w:p w14:paraId="3B3E1E9F">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lang w:val="en-US" w:eastAsia="zh-CN"/>
                    </w:rPr>
                  </w:pPr>
                  <w:r>
                    <w:rPr>
                      <w:rFonts w:hint="default" w:ascii="Times New Roman" w:hAnsi="Times New Roman" w:eastAsia="宋体" w:cs="Times New Roman"/>
                      <w:color w:val="auto"/>
                      <w:sz w:val="21"/>
                      <w:szCs w:val="21"/>
                      <w:highlight w:val="none"/>
                      <w:lang w:eastAsia="zh-CN"/>
                    </w:rPr>
                    <w:t>风机</w:t>
                  </w:r>
                </w:p>
              </w:tc>
              <w:tc>
                <w:tcPr>
                  <w:tcW w:w="1264" w:type="pct"/>
                  <w:gridSpan w:val="2"/>
                  <w:vAlign w:val="center"/>
                </w:tcPr>
                <w:p w14:paraId="544EBFEE">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lang w:val="en-US" w:eastAsia="zh-CN"/>
                    </w:rPr>
                  </w:pPr>
                  <w:r>
                    <w:rPr>
                      <w:rFonts w:hint="default" w:ascii="Times New Roman" w:hAnsi="Times New Roman" w:eastAsia="宋体" w:cs="Times New Roman"/>
                      <w:color w:val="auto"/>
                      <w:sz w:val="21"/>
                      <w:szCs w:val="21"/>
                      <w:highlight w:val="none"/>
                      <w:lang w:val="en-US" w:eastAsia="zh-CN"/>
                    </w:rPr>
                    <w:t>/</w:t>
                  </w:r>
                </w:p>
              </w:tc>
              <w:tc>
                <w:tcPr>
                  <w:tcW w:w="1021" w:type="pct"/>
                  <w:gridSpan w:val="2"/>
                  <w:vAlign w:val="center"/>
                </w:tcPr>
                <w:p w14:paraId="1C0B10B6">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lang w:val="en-US" w:eastAsia="zh-CN"/>
                    </w:rPr>
                  </w:pPr>
                  <w:r>
                    <w:rPr>
                      <w:rFonts w:hint="eastAsia" w:ascii="Times New Roman" w:hAnsi="Times New Roman" w:eastAsia="宋体" w:cs="Times New Roman"/>
                      <w:color w:val="auto"/>
                      <w:sz w:val="21"/>
                      <w:szCs w:val="21"/>
                      <w:highlight w:val="none"/>
                      <w:lang w:val="en-US" w:eastAsia="zh-CN"/>
                    </w:rPr>
                    <w:t>2</w:t>
                  </w:r>
                </w:p>
              </w:tc>
              <w:tc>
                <w:tcPr>
                  <w:tcW w:w="1019" w:type="pct"/>
                  <w:vAlign w:val="center"/>
                </w:tcPr>
                <w:p w14:paraId="2F570702">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rPr>
                  </w:pPr>
                  <w:r>
                    <w:rPr>
                      <w:rFonts w:hint="default" w:ascii="Times New Roman" w:hAnsi="Times New Roman" w:eastAsia="宋体" w:cs="Times New Roman"/>
                      <w:color w:val="auto"/>
                      <w:sz w:val="21"/>
                      <w:szCs w:val="21"/>
                      <w:highlight w:val="none"/>
                      <w:lang w:val="en-US" w:eastAsia="zh-CN"/>
                    </w:rPr>
                    <w:t>/</w:t>
                  </w:r>
                </w:p>
              </w:tc>
            </w:tr>
            <w:tr w14:paraId="6F005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0" w:type="pct"/>
                  <w:vAlign w:val="center"/>
                </w:tcPr>
                <w:p w14:paraId="2147255E">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color w:val="auto"/>
                      <w:szCs w:val="21"/>
                      <w:lang w:val="en-US" w:eastAsia="zh-CN"/>
                    </w:rPr>
                  </w:pPr>
                  <w:r>
                    <w:rPr>
                      <w:rFonts w:hint="eastAsia"/>
                      <w:color w:val="auto"/>
                      <w:szCs w:val="21"/>
                      <w:lang w:val="en-US" w:eastAsia="zh-CN"/>
                    </w:rPr>
                    <w:t>5</w:t>
                  </w:r>
                </w:p>
              </w:tc>
              <w:tc>
                <w:tcPr>
                  <w:tcW w:w="1304" w:type="pct"/>
                  <w:gridSpan w:val="3"/>
                  <w:vAlign w:val="center"/>
                </w:tcPr>
                <w:p w14:paraId="794C8CF5">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lang w:val="en-US" w:eastAsia="zh-CN"/>
                    </w:rPr>
                  </w:pPr>
                  <w:r>
                    <w:rPr>
                      <w:rFonts w:hint="default" w:ascii="Times New Roman" w:hAnsi="Times New Roman" w:eastAsia="宋体" w:cs="Times New Roman"/>
                      <w:color w:val="auto"/>
                      <w:sz w:val="21"/>
                      <w:szCs w:val="21"/>
                      <w:highlight w:val="none"/>
                    </w:rPr>
                    <w:t>叉车</w:t>
                  </w:r>
                </w:p>
              </w:tc>
              <w:tc>
                <w:tcPr>
                  <w:tcW w:w="1264" w:type="pct"/>
                  <w:gridSpan w:val="2"/>
                  <w:vAlign w:val="center"/>
                </w:tcPr>
                <w:p w14:paraId="2C90AC4C">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lang w:val="en-US" w:eastAsia="zh-CN"/>
                    </w:rPr>
                  </w:pPr>
                  <w:r>
                    <w:rPr>
                      <w:rFonts w:hint="default" w:ascii="Times New Roman" w:hAnsi="Times New Roman" w:eastAsia="宋体" w:cs="Times New Roman"/>
                      <w:color w:val="auto"/>
                      <w:sz w:val="21"/>
                      <w:szCs w:val="21"/>
                      <w:highlight w:val="none"/>
                      <w:lang w:val="en-US" w:eastAsia="zh-CN"/>
                    </w:rPr>
                    <w:t>/</w:t>
                  </w:r>
                </w:p>
              </w:tc>
              <w:tc>
                <w:tcPr>
                  <w:tcW w:w="1021" w:type="pct"/>
                  <w:gridSpan w:val="2"/>
                  <w:vAlign w:val="center"/>
                </w:tcPr>
                <w:p w14:paraId="2043F59C">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lang w:val="en-US" w:eastAsia="zh-CN"/>
                    </w:rPr>
                  </w:pPr>
                  <w:r>
                    <w:rPr>
                      <w:rFonts w:hint="eastAsia" w:ascii="Times New Roman" w:hAnsi="Times New Roman" w:eastAsia="宋体" w:cs="Times New Roman"/>
                      <w:color w:val="auto"/>
                      <w:sz w:val="21"/>
                      <w:szCs w:val="21"/>
                      <w:highlight w:val="none"/>
                      <w:lang w:val="en-US" w:eastAsia="zh-CN"/>
                    </w:rPr>
                    <w:t>3</w:t>
                  </w:r>
                </w:p>
              </w:tc>
              <w:tc>
                <w:tcPr>
                  <w:tcW w:w="1019" w:type="pct"/>
                  <w:vAlign w:val="center"/>
                </w:tcPr>
                <w:p w14:paraId="11FD0DF6">
                  <w:pPr>
                    <w:keepNext w:val="0"/>
                    <w:keepLines w:val="0"/>
                    <w:pageBreakBefore w:val="0"/>
                    <w:widowControl w:val="0"/>
                    <w:suppressLineNumbers w:val="0"/>
                    <w:shd w:val="clear"/>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eastAsia"/>
                      <w:color w:val="auto"/>
                      <w:szCs w:val="21"/>
                    </w:rPr>
                  </w:pPr>
                  <w:r>
                    <w:rPr>
                      <w:rFonts w:hint="default" w:ascii="Times New Roman" w:hAnsi="Times New Roman" w:eastAsia="宋体" w:cs="Times New Roman"/>
                      <w:color w:val="auto"/>
                      <w:sz w:val="21"/>
                      <w:szCs w:val="21"/>
                      <w:highlight w:val="none"/>
                      <w:lang w:val="en-US" w:eastAsia="zh-CN"/>
                    </w:rPr>
                    <w:t>/</w:t>
                  </w:r>
                </w:p>
              </w:tc>
            </w:tr>
            <w:bookmarkEnd w:id="16"/>
          </w:tbl>
          <w:p w14:paraId="5F1CA0EE">
            <w:pPr>
              <w:pStyle w:val="17"/>
              <w:adjustRightInd w:val="0"/>
              <w:snapToGrid w:val="0"/>
              <w:spacing w:line="360" w:lineRule="auto"/>
              <w:ind w:firstLine="482" w:firstLineChars="200"/>
              <w:rPr>
                <w:rFonts w:ascii="Times New Roman" w:hAnsi="Times New Roman"/>
                <w:b/>
                <w:color w:val="auto"/>
                <w:sz w:val="24"/>
              </w:rPr>
            </w:pPr>
            <w:r>
              <w:rPr>
                <w:rFonts w:hint="eastAsia" w:ascii="Times New Roman" w:hAnsi="Times New Roman"/>
                <w:b/>
                <w:color w:val="auto"/>
                <w:sz w:val="24"/>
              </w:rPr>
              <w:t>6</w:t>
            </w:r>
            <w:r>
              <w:rPr>
                <w:rFonts w:ascii="Times New Roman" w:hAnsi="Times New Roman"/>
                <w:b/>
                <w:color w:val="auto"/>
                <w:sz w:val="24"/>
              </w:rPr>
              <w:t>、劳动定员及工作制度</w:t>
            </w:r>
          </w:p>
          <w:p w14:paraId="53814FB8">
            <w:pPr>
              <w:adjustRightInd w:val="0"/>
              <w:snapToGrid w:val="0"/>
              <w:spacing w:line="360" w:lineRule="auto"/>
              <w:ind w:firstLine="482" w:firstLineChars="200"/>
              <w:rPr>
                <w:color w:val="auto"/>
                <w:sz w:val="24"/>
              </w:rPr>
            </w:pPr>
            <w:r>
              <w:rPr>
                <w:b/>
                <w:bCs/>
                <w:color w:val="auto"/>
                <w:sz w:val="24"/>
              </w:rPr>
              <w:t>劳动定员：</w:t>
            </w:r>
            <w:r>
              <w:rPr>
                <w:color w:val="auto"/>
                <w:sz w:val="24"/>
              </w:rPr>
              <w:t>本项目运营期间工作人员数量为</w:t>
            </w:r>
            <w:r>
              <w:rPr>
                <w:rFonts w:hint="eastAsia"/>
                <w:color w:val="auto"/>
                <w:sz w:val="24"/>
                <w:lang w:val="en-US" w:eastAsia="zh-CN"/>
              </w:rPr>
              <w:t>40</w:t>
            </w:r>
            <w:r>
              <w:rPr>
                <w:color w:val="auto"/>
                <w:sz w:val="24"/>
              </w:rPr>
              <w:t>人，项目</w:t>
            </w:r>
            <w:r>
              <w:rPr>
                <w:rFonts w:hint="eastAsia"/>
                <w:color w:val="auto"/>
                <w:sz w:val="24"/>
              </w:rPr>
              <w:t>设</w:t>
            </w:r>
            <w:r>
              <w:rPr>
                <w:color w:val="auto"/>
                <w:sz w:val="24"/>
              </w:rPr>
              <w:t>食堂，</w:t>
            </w:r>
            <w:r>
              <w:rPr>
                <w:rFonts w:hint="eastAsia"/>
                <w:color w:val="auto"/>
                <w:sz w:val="24"/>
              </w:rPr>
              <w:t>其中</w:t>
            </w:r>
            <w:r>
              <w:rPr>
                <w:rFonts w:hint="eastAsia"/>
                <w:color w:val="auto"/>
                <w:sz w:val="24"/>
                <w:lang w:val="en-US" w:eastAsia="zh-CN"/>
              </w:rPr>
              <w:t>20</w:t>
            </w:r>
            <w:r>
              <w:rPr>
                <w:rFonts w:hint="eastAsia"/>
                <w:color w:val="auto"/>
                <w:sz w:val="24"/>
              </w:rPr>
              <w:t>人在</w:t>
            </w:r>
            <w:r>
              <w:rPr>
                <w:color w:val="auto"/>
                <w:sz w:val="24"/>
              </w:rPr>
              <w:t>厂区</w:t>
            </w:r>
            <w:r>
              <w:rPr>
                <w:rFonts w:hint="eastAsia"/>
                <w:color w:val="auto"/>
                <w:sz w:val="24"/>
              </w:rPr>
              <w:t>就餐和住宿。</w:t>
            </w:r>
          </w:p>
          <w:p w14:paraId="06AC9835">
            <w:pPr>
              <w:adjustRightInd w:val="0"/>
              <w:snapToGrid w:val="0"/>
              <w:spacing w:line="360" w:lineRule="auto"/>
              <w:ind w:firstLine="482" w:firstLineChars="200"/>
              <w:rPr>
                <w:color w:val="auto"/>
                <w:sz w:val="24"/>
                <w:lang w:bidi="en-US"/>
              </w:rPr>
            </w:pPr>
            <w:r>
              <w:rPr>
                <w:b/>
                <w:bCs/>
                <w:color w:val="auto"/>
                <w:sz w:val="24"/>
              </w:rPr>
              <w:t>工作制度：</w:t>
            </w:r>
            <w:r>
              <w:rPr>
                <w:color w:val="auto"/>
                <w:sz w:val="24"/>
              </w:rPr>
              <w:t>本项目</w:t>
            </w:r>
            <w:r>
              <w:rPr>
                <w:rFonts w:hint="eastAsia"/>
                <w:color w:val="auto"/>
                <w:sz w:val="24"/>
              </w:rPr>
              <w:t>全年生产运行3</w:t>
            </w:r>
            <w:r>
              <w:rPr>
                <w:rFonts w:hint="eastAsia"/>
                <w:color w:val="auto"/>
                <w:sz w:val="24"/>
                <w:lang w:val="en-US" w:eastAsia="zh-CN"/>
              </w:rPr>
              <w:t>0</w:t>
            </w:r>
            <w:r>
              <w:rPr>
                <w:color w:val="auto"/>
                <w:sz w:val="24"/>
              </w:rPr>
              <w:t>0天，实行一班制，每班工作8小时，夜间不生产</w:t>
            </w:r>
            <w:r>
              <w:rPr>
                <w:rFonts w:hint="eastAsia"/>
                <w:color w:val="auto"/>
                <w:sz w:val="24"/>
              </w:rPr>
              <w:t>。</w:t>
            </w:r>
          </w:p>
          <w:p w14:paraId="20081D74">
            <w:pPr>
              <w:pStyle w:val="17"/>
              <w:adjustRightInd w:val="0"/>
              <w:snapToGrid w:val="0"/>
              <w:spacing w:line="360" w:lineRule="auto"/>
              <w:ind w:firstLine="482" w:firstLineChars="200"/>
              <w:rPr>
                <w:rFonts w:ascii="Times New Roman" w:hAnsi="Times New Roman"/>
                <w:b/>
                <w:color w:val="auto"/>
                <w:sz w:val="24"/>
              </w:rPr>
            </w:pPr>
            <w:r>
              <w:rPr>
                <w:rFonts w:hint="eastAsia" w:ascii="Times New Roman" w:hAnsi="Times New Roman"/>
                <w:b/>
                <w:color w:val="auto"/>
                <w:sz w:val="24"/>
              </w:rPr>
              <w:t>7</w:t>
            </w:r>
            <w:r>
              <w:rPr>
                <w:rFonts w:ascii="Times New Roman" w:hAnsi="Times New Roman"/>
                <w:b/>
                <w:color w:val="auto"/>
                <w:sz w:val="24"/>
              </w:rPr>
              <w:t>、施工进度</w:t>
            </w:r>
          </w:p>
          <w:p w14:paraId="508FF537">
            <w:pPr>
              <w:spacing w:line="360" w:lineRule="auto"/>
              <w:ind w:firstLine="480" w:firstLineChars="200"/>
              <w:rPr>
                <w:color w:val="auto"/>
                <w:sz w:val="24"/>
              </w:rPr>
            </w:pPr>
            <w:r>
              <w:rPr>
                <w:color w:val="auto"/>
                <w:sz w:val="24"/>
              </w:rPr>
              <w:t>项目开发建设时段划分为两个时段，分别为施工期和运营期。</w:t>
            </w:r>
          </w:p>
          <w:p w14:paraId="4EDA5767">
            <w:pPr>
              <w:spacing w:line="360" w:lineRule="auto"/>
              <w:ind w:firstLine="480" w:firstLineChars="200"/>
              <w:rPr>
                <w:color w:val="auto"/>
                <w:sz w:val="24"/>
              </w:rPr>
            </w:pPr>
            <w:r>
              <w:rPr>
                <w:rFonts w:hint="default" w:ascii="Times New Roman" w:hAnsi="Times New Roman" w:eastAsia="宋体" w:cs="Times New Roman"/>
                <w:color w:val="auto"/>
                <w:sz w:val="24"/>
                <w:highlight w:val="none"/>
              </w:rPr>
              <w:t>本项目现还未动工，计划于</w:t>
            </w:r>
            <w:r>
              <w:rPr>
                <w:rFonts w:hint="default" w:ascii="Times New Roman" w:hAnsi="Times New Roman" w:eastAsia="宋体" w:cs="Times New Roman"/>
                <w:color w:val="auto"/>
                <w:sz w:val="24"/>
                <w:highlight w:val="none"/>
                <w:lang w:val="en-US" w:eastAsia="zh-CN"/>
              </w:rPr>
              <w:t>202</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rPr>
              <w:t>年</w:t>
            </w:r>
            <w:r>
              <w:rPr>
                <w:rFonts w:hint="eastAsia" w:cs="Times New Roman"/>
                <w:color w:val="auto"/>
                <w:sz w:val="24"/>
                <w:highlight w:val="none"/>
                <w:lang w:val="en-US" w:eastAsia="zh-CN"/>
              </w:rPr>
              <w:t>9</w:t>
            </w:r>
            <w:r>
              <w:rPr>
                <w:rFonts w:hint="default" w:ascii="Times New Roman" w:hAnsi="Times New Roman" w:eastAsia="宋体" w:cs="Times New Roman"/>
                <w:color w:val="auto"/>
                <w:sz w:val="24"/>
                <w:highlight w:val="none"/>
              </w:rPr>
              <w:t>月开始进行</w:t>
            </w:r>
            <w:r>
              <w:rPr>
                <w:rFonts w:hint="default" w:ascii="Times New Roman" w:hAnsi="Times New Roman" w:eastAsia="宋体" w:cs="Times New Roman"/>
                <w:color w:val="auto"/>
                <w:sz w:val="24"/>
                <w:highlight w:val="none"/>
                <w:lang w:eastAsia="zh-CN"/>
              </w:rPr>
              <w:t>相关辅助设施的建设及</w:t>
            </w:r>
            <w:r>
              <w:rPr>
                <w:rFonts w:hint="default" w:ascii="Times New Roman" w:hAnsi="Times New Roman" w:eastAsia="宋体" w:cs="Times New Roman"/>
                <w:color w:val="auto"/>
                <w:sz w:val="24"/>
                <w:highlight w:val="none"/>
              </w:rPr>
              <w:t>设备安装</w:t>
            </w:r>
            <w:r>
              <w:rPr>
                <w:rFonts w:hint="default" w:ascii="Times New Roman" w:hAnsi="Times New Roman" w:eastAsia="宋体" w:cs="Times New Roman"/>
                <w:color w:val="auto"/>
                <w:sz w:val="24"/>
                <w:highlight w:val="none"/>
                <w:lang w:val="en-US" w:eastAsia="zh-CN"/>
              </w:rPr>
              <w:t>、环保设施施工</w:t>
            </w:r>
            <w:r>
              <w:rPr>
                <w:rFonts w:hint="default" w:ascii="Times New Roman" w:hAnsi="Times New Roman" w:eastAsia="宋体" w:cs="Times New Roman"/>
                <w:color w:val="auto"/>
                <w:sz w:val="24"/>
                <w:highlight w:val="none"/>
              </w:rPr>
              <w:t>，预计于202</w:t>
            </w:r>
            <w:r>
              <w:rPr>
                <w:rFonts w:hint="eastAsia" w:cs="Times New Roman"/>
                <w:color w:val="auto"/>
                <w:sz w:val="24"/>
                <w:highlight w:val="none"/>
                <w:lang w:val="en-US" w:eastAsia="zh-CN"/>
              </w:rPr>
              <w:t>6</w:t>
            </w:r>
            <w:r>
              <w:rPr>
                <w:rFonts w:hint="default" w:ascii="Times New Roman" w:hAnsi="Times New Roman" w:eastAsia="宋体" w:cs="Times New Roman"/>
                <w:color w:val="auto"/>
                <w:sz w:val="24"/>
                <w:highlight w:val="none"/>
              </w:rPr>
              <w:t>年</w:t>
            </w:r>
            <w:r>
              <w:rPr>
                <w:rFonts w:hint="eastAsia" w:cs="Times New Roman"/>
                <w:color w:val="auto"/>
                <w:sz w:val="24"/>
                <w:highlight w:val="none"/>
                <w:lang w:val="en-US" w:eastAsia="zh-CN"/>
              </w:rPr>
              <w:t>12</w:t>
            </w:r>
            <w:r>
              <w:rPr>
                <w:rFonts w:hint="default" w:ascii="Times New Roman" w:hAnsi="Times New Roman" w:eastAsia="宋体" w:cs="Times New Roman"/>
                <w:color w:val="auto"/>
                <w:sz w:val="24"/>
                <w:highlight w:val="none"/>
              </w:rPr>
              <w:t>月竣工</w:t>
            </w:r>
            <w:r>
              <w:rPr>
                <w:rFonts w:hint="default" w:ascii="Times New Roman" w:hAnsi="Times New Roman" w:eastAsia="宋体" w:cs="Times New Roman"/>
                <w:color w:val="auto"/>
                <w:sz w:val="24"/>
                <w:highlight w:val="none"/>
                <w:lang w:eastAsia="zh-CN"/>
              </w:rPr>
              <w:t>，施工期约</w:t>
            </w:r>
            <w:r>
              <w:rPr>
                <w:rFonts w:hint="eastAsia" w:cs="Times New Roman"/>
                <w:color w:val="auto"/>
                <w:sz w:val="24"/>
                <w:highlight w:val="none"/>
                <w:lang w:val="en-US" w:eastAsia="zh-CN"/>
              </w:rPr>
              <w:t>4</w:t>
            </w:r>
            <w:r>
              <w:rPr>
                <w:rFonts w:hint="default" w:ascii="Times New Roman" w:hAnsi="Times New Roman" w:eastAsia="宋体" w:cs="Times New Roman"/>
                <w:color w:val="auto"/>
                <w:sz w:val="24"/>
                <w:highlight w:val="none"/>
                <w:lang w:val="en-US" w:eastAsia="zh-CN"/>
              </w:rPr>
              <w:t>个月</w:t>
            </w:r>
            <w:r>
              <w:rPr>
                <w:rFonts w:hint="default" w:ascii="Times New Roman" w:hAnsi="Times New Roman" w:eastAsia="宋体" w:cs="Times New Roman"/>
                <w:color w:val="auto"/>
                <w:sz w:val="24"/>
                <w:highlight w:val="none"/>
              </w:rPr>
              <w:t>。</w:t>
            </w:r>
          </w:p>
          <w:p w14:paraId="2777E06E">
            <w:pPr>
              <w:pStyle w:val="17"/>
              <w:adjustRightInd w:val="0"/>
              <w:snapToGrid w:val="0"/>
              <w:spacing w:line="360" w:lineRule="auto"/>
              <w:ind w:firstLine="482" w:firstLineChars="200"/>
              <w:rPr>
                <w:rFonts w:ascii="Times New Roman" w:hAnsi="Times New Roman"/>
                <w:b/>
                <w:color w:val="auto"/>
                <w:sz w:val="24"/>
              </w:rPr>
            </w:pPr>
            <w:r>
              <w:rPr>
                <w:rFonts w:hint="eastAsia" w:ascii="Times New Roman" w:hAnsi="Times New Roman"/>
                <w:b/>
                <w:color w:val="auto"/>
                <w:sz w:val="24"/>
              </w:rPr>
              <w:t>8</w:t>
            </w:r>
            <w:r>
              <w:rPr>
                <w:rFonts w:ascii="Times New Roman" w:hAnsi="Times New Roman"/>
                <w:b/>
                <w:color w:val="auto"/>
                <w:sz w:val="24"/>
              </w:rPr>
              <w:t>、环保投资</w:t>
            </w:r>
          </w:p>
          <w:p w14:paraId="7CDD2F5F">
            <w:pPr>
              <w:adjustRightInd w:val="0"/>
              <w:snapToGrid w:val="0"/>
              <w:spacing w:line="360" w:lineRule="auto"/>
              <w:ind w:firstLine="480" w:firstLineChars="200"/>
              <w:rPr>
                <w:color w:val="auto"/>
                <w:sz w:val="24"/>
                <w:shd w:val="clear" w:color="auto" w:fill="FFFF00"/>
              </w:rPr>
            </w:pPr>
            <w:r>
              <w:rPr>
                <w:color w:val="auto"/>
                <w:sz w:val="24"/>
              </w:rPr>
              <w:t>项目总投资</w:t>
            </w:r>
            <w:r>
              <w:rPr>
                <w:rFonts w:hint="eastAsia"/>
                <w:color w:val="auto"/>
                <w:sz w:val="24"/>
                <w:lang w:val="en-US" w:eastAsia="zh-CN"/>
              </w:rPr>
              <w:t>2770</w:t>
            </w:r>
            <w:r>
              <w:rPr>
                <w:color w:val="auto"/>
                <w:sz w:val="24"/>
              </w:rPr>
              <w:t>万元，其中环保投</w:t>
            </w:r>
            <w:r>
              <w:rPr>
                <w:color w:val="auto"/>
                <w:sz w:val="24"/>
                <w:highlight w:val="none"/>
              </w:rPr>
              <w:t>资</w:t>
            </w:r>
            <w:r>
              <w:rPr>
                <w:rFonts w:hint="eastAsia"/>
                <w:color w:val="auto"/>
                <w:sz w:val="24"/>
                <w:highlight w:val="none"/>
                <w:lang w:val="en-US" w:eastAsia="zh-CN"/>
              </w:rPr>
              <w:t>29.67</w:t>
            </w:r>
            <w:r>
              <w:rPr>
                <w:color w:val="auto"/>
                <w:sz w:val="24"/>
                <w:highlight w:val="none"/>
              </w:rPr>
              <w:t>万元，占总投资的</w:t>
            </w:r>
            <w:r>
              <w:rPr>
                <w:rFonts w:hint="eastAsia"/>
                <w:color w:val="auto"/>
                <w:sz w:val="24"/>
                <w:highlight w:val="none"/>
                <w:lang w:val="en-US" w:eastAsia="zh-CN"/>
              </w:rPr>
              <w:t>1.07</w:t>
            </w:r>
            <w:r>
              <w:rPr>
                <w:color w:val="auto"/>
                <w:sz w:val="24"/>
                <w:highlight w:val="none"/>
              </w:rPr>
              <w:t>%，</w:t>
            </w:r>
            <w:r>
              <w:rPr>
                <w:color w:val="auto"/>
                <w:sz w:val="24"/>
              </w:rPr>
              <w:t>项目环保投资情况见表2-</w:t>
            </w:r>
            <w:r>
              <w:rPr>
                <w:rFonts w:hint="eastAsia"/>
                <w:color w:val="auto"/>
                <w:sz w:val="24"/>
                <w:lang w:val="en-US" w:eastAsia="zh-CN"/>
              </w:rPr>
              <w:t>6</w:t>
            </w:r>
            <w:r>
              <w:rPr>
                <w:color w:val="auto"/>
                <w:sz w:val="24"/>
              </w:rPr>
              <w:t>。</w:t>
            </w:r>
          </w:p>
          <w:p w14:paraId="6A8DA43C">
            <w:pPr>
              <w:pStyle w:val="15"/>
              <w:spacing w:after="0"/>
              <w:ind w:left="0" w:leftChars="0" w:firstLine="422"/>
              <w:jc w:val="center"/>
              <w:rPr>
                <w:b/>
                <w:color w:val="auto"/>
                <w:sz w:val="21"/>
                <w:szCs w:val="21"/>
              </w:rPr>
            </w:pPr>
            <w:r>
              <w:rPr>
                <w:b/>
                <w:color w:val="auto"/>
                <w:sz w:val="21"/>
                <w:szCs w:val="21"/>
              </w:rPr>
              <w:t>表2-</w:t>
            </w:r>
            <w:r>
              <w:rPr>
                <w:rFonts w:hint="eastAsia"/>
                <w:b/>
                <w:color w:val="auto"/>
                <w:sz w:val="21"/>
                <w:szCs w:val="21"/>
                <w:lang w:val="en-US" w:eastAsia="zh-CN"/>
              </w:rPr>
              <w:t>6</w:t>
            </w:r>
            <w:r>
              <w:rPr>
                <w:b/>
                <w:color w:val="auto"/>
                <w:sz w:val="21"/>
                <w:szCs w:val="21"/>
              </w:rPr>
              <w:t xml:space="preserve">   环保投资概算表   单位：万</w:t>
            </w:r>
            <w:r>
              <w:rPr>
                <w:rFonts w:hint="eastAsia"/>
                <w:b/>
                <w:color w:val="auto"/>
                <w:sz w:val="21"/>
                <w:szCs w:val="21"/>
              </w:rPr>
              <w:t>元</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
              <w:gridCol w:w="719"/>
              <w:gridCol w:w="1275"/>
              <w:gridCol w:w="4855"/>
              <w:gridCol w:w="1160"/>
            </w:tblGrid>
            <w:tr w14:paraId="6BDE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1" w:type="pct"/>
                  <w:gridSpan w:val="2"/>
                  <w:vAlign w:val="center"/>
                </w:tcPr>
                <w:p w14:paraId="71685387">
                  <w:pPr>
                    <w:pStyle w:val="7"/>
                    <w:ind w:firstLine="0" w:firstLineChars="0"/>
                    <w:jc w:val="center"/>
                    <w:rPr>
                      <w:b/>
                      <w:color w:val="auto"/>
                      <w:szCs w:val="21"/>
                    </w:rPr>
                  </w:pPr>
                  <w:r>
                    <w:rPr>
                      <w:b/>
                      <w:color w:val="auto"/>
                      <w:szCs w:val="21"/>
                    </w:rPr>
                    <w:t>类别</w:t>
                  </w:r>
                </w:p>
              </w:tc>
              <w:tc>
                <w:tcPr>
                  <w:tcW w:w="757" w:type="pct"/>
                  <w:vAlign w:val="center"/>
                </w:tcPr>
                <w:p w14:paraId="6A0A61BF">
                  <w:pPr>
                    <w:pStyle w:val="7"/>
                    <w:ind w:firstLine="0" w:firstLineChars="0"/>
                    <w:jc w:val="center"/>
                    <w:rPr>
                      <w:b/>
                      <w:color w:val="auto"/>
                      <w:szCs w:val="21"/>
                    </w:rPr>
                  </w:pPr>
                  <w:r>
                    <w:rPr>
                      <w:b/>
                      <w:color w:val="auto"/>
                      <w:szCs w:val="21"/>
                    </w:rPr>
                    <w:t>污染物</w:t>
                  </w:r>
                </w:p>
              </w:tc>
              <w:tc>
                <w:tcPr>
                  <w:tcW w:w="2883" w:type="pct"/>
                  <w:vAlign w:val="center"/>
                </w:tcPr>
                <w:p w14:paraId="00038F13">
                  <w:pPr>
                    <w:pStyle w:val="7"/>
                    <w:ind w:firstLine="0" w:firstLineChars="0"/>
                    <w:jc w:val="center"/>
                    <w:rPr>
                      <w:b/>
                      <w:bCs/>
                      <w:color w:val="auto"/>
                      <w:szCs w:val="21"/>
                    </w:rPr>
                  </w:pPr>
                  <w:r>
                    <w:rPr>
                      <w:b/>
                      <w:bCs/>
                      <w:color w:val="auto"/>
                      <w:szCs w:val="21"/>
                    </w:rPr>
                    <w:t>环保设施</w:t>
                  </w:r>
                </w:p>
              </w:tc>
              <w:tc>
                <w:tcPr>
                  <w:tcW w:w="688" w:type="pct"/>
                  <w:vAlign w:val="center"/>
                </w:tcPr>
                <w:p w14:paraId="659F8F6C">
                  <w:pPr>
                    <w:pStyle w:val="7"/>
                    <w:ind w:firstLine="0" w:firstLineChars="0"/>
                    <w:jc w:val="center"/>
                    <w:rPr>
                      <w:b/>
                      <w:color w:val="auto"/>
                      <w:szCs w:val="21"/>
                    </w:rPr>
                  </w:pPr>
                  <w:r>
                    <w:rPr>
                      <w:b/>
                      <w:color w:val="auto"/>
                      <w:szCs w:val="21"/>
                    </w:rPr>
                    <w:t>投资概算</w:t>
                  </w:r>
                </w:p>
              </w:tc>
            </w:tr>
            <w:tr w14:paraId="1D5E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244" w:type="pct"/>
                  <w:vMerge w:val="restart"/>
                  <w:vAlign w:val="center"/>
                </w:tcPr>
                <w:p w14:paraId="6C00004E">
                  <w:pPr>
                    <w:pStyle w:val="7"/>
                    <w:adjustRightInd w:val="0"/>
                    <w:snapToGrid w:val="0"/>
                    <w:ind w:firstLine="0" w:firstLineChars="0"/>
                    <w:jc w:val="center"/>
                    <w:rPr>
                      <w:b/>
                      <w:bCs/>
                      <w:color w:val="auto"/>
                    </w:rPr>
                  </w:pPr>
                  <w:r>
                    <w:rPr>
                      <w:rFonts w:hint="eastAsia"/>
                      <w:b/>
                      <w:color w:val="auto"/>
                    </w:rPr>
                    <w:t>施工期</w:t>
                  </w:r>
                </w:p>
              </w:tc>
              <w:tc>
                <w:tcPr>
                  <w:tcW w:w="426" w:type="pct"/>
                  <w:vAlign w:val="center"/>
                </w:tcPr>
                <w:p w14:paraId="182D74E3">
                  <w:pPr>
                    <w:adjustRightInd w:val="0"/>
                    <w:snapToGrid w:val="0"/>
                    <w:spacing w:line="0" w:lineRule="atLeast"/>
                    <w:jc w:val="center"/>
                    <w:rPr>
                      <w:color w:val="auto"/>
                      <w:szCs w:val="21"/>
                    </w:rPr>
                  </w:pPr>
                  <w:r>
                    <w:rPr>
                      <w:color w:val="auto"/>
                      <w:szCs w:val="21"/>
                    </w:rPr>
                    <w:t>废水</w:t>
                  </w:r>
                  <w:r>
                    <w:rPr>
                      <w:rFonts w:hint="eastAsia"/>
                      <w:color w:val="auto"/>
                      <w:szCs w:val="21"/>
                    </w:rPr>
                    <w:t>治理</w:t>
                  </w:r>
                </w:p>
              </w:tc>
              <w:tc>
                <w:tcPr>
                  <w:tcW w:w="757" w:type="pct"/>
                  <w:vAlign w:val="center"/>
                </w:tcPr>
                <w:p w14:paraId="7BC2F736">
                  <w:pPr>
                    <w:pStyle w:val="7"/>
                    <w:ind w:firstLine="0" w:firstLineChars="0"/>
                    <w:jc w:val="center"/>
                    <w:rPr>
                      <w:color w:val="auto"/>
                      <w:szCs w:val="21"/>
                    </w:rPr>
                  </w:pPr>
                  <w:r>
                    <w:rPr>
                      <w:rFonts w:hint="eastAsia"/>
                      <w:bCs/>
                      <w:color w:val="auto"/>
                      <w:szCs w:val="21"/>
                    </w:rPr>
                    <w:t>施工废水</w:t>
                  </w:r>
                </w:p>
              </w:tc>
              <w:tc>
                <w:tcPr>
                  <w:tcW w:w="2883" w:type="pct"/>
                  <w:vAlign w:val="center"/>
                </w:tcPr>
                <w:p w14:paraId="48456F64">
                  <w:pPr>
                    <w:adjustRightInd w:val="0"/>
                    <w:snapToGrid w:val="0"/>
                    <w:spacing w:line="0" w:lineRule="atLeast"/>
                    <w:jc w:val="center"/>
                    <w:rPr>
                      <w:color w:val="auto"/>
                      <w:szCs w:val="21"/>
                    </w:rPr>
                  </w:pPr>
                  <w:r>
                    <w:rPr>
                      <w:bCs/>
                      <w:color w:val="auto"/>
                      <w:szCs w:val="21"/>
                    </w:rPr>
                    <w:t>施工场地设置</w:t>
                  </w:r>
                  <w:r>
                    <w:rPr>
                      <w:rFonts w:hint="eastAsia"/>
                      <w:bCs/>
                      <w:color w:val="auto"/>
                      <w:szCs w:val="21"/>
                      <w:lang w:val="en-US" w:eastAsia="zh-CN"/>
                    </w:rPr>
                    <w:t>0.6</w:t>
                  </w:r>
                  <w:r>
                    <w:rPr>
                      <w:bCs/>
                      <w:color w:val="auto"/>
                      <w:szCs w:val="21"/>
                    </w:rPr>
                    <w:t>m</w:t>
                  </w:r>
                  <w:r>
                    <w:rPr>
                      <w:bCs/>
                      <w:color w:val="auto"/>
                      <w:szCs w:val="21"/>
                      <w:vertAlign w:val="superscript"/>
                    </w:rPr>
                    <w:t>3</w:t>
                  </w:r>
                  <w:r>
                    <w:rPr>
                      <w:bCs/>
                      <w:color w:val="auto"/>
                      <w:szCs w:val="21"/>
                    </w:rPr>
                    <w:t>的</w:t>
                  </w:r>
                  <w:r>
                    <w:rPr>
                      <w:rFonts w:hint="eastAsia"/>
                      <w:bCs/>
                      <w:color w:val="auto"/>
                      <w:szCs w:val="21"/>
                    </w:rPr>
                    <w:t>施工废水沉淀池</w:t>
                  </w:r>
                </w:p>
              </w:tc>
              <w:tc>
                <w:tcPr>
                  <w:tcW w:w="688" w:type="pct"/>
                  <w:vAlign w:val="center"/>
                </w:tcPr>
                <w:p w14:paraId="287E856B">
                  <w:pPr>
                    <w:pStyle w:val="7"/>
                    <w:ind w:firstLine="0" w:firstLineChars="0"/>
                    <w:jc w:val="center"/>
                    <w:rPr>
                      <w:rFonts w:hint="default" w:eastAsia="宋体"/>
                      <w:bCs/>
                      <w:color w:val="auto"/>
                      <w:szCs w:val="21"/>
                      <w:lang w:val="en-US" w:eastAsia="zh-CN"/>
                    </w:rPr>
                  </w:pPr>
                  <w:r>
                    <w:rPr>
                      <w:rFonts w:hint="eastAsia"/>
                      <w:bCs/>
                      <w:color w:val="auto"/>
                      <w:szCs w:val="21"/>
                      <w:lang w:val="en-US" w:eastAsia="zh-CN"/>
                    </w:rPr>
                    <w:t>0.8</w:t>
                  </w:r>
                </w:p>
              </w:tc>
            </w:tr>
            <w:tr w14:paraId="01423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244" w:type="pct"/>
                  <w:vMerge w:val="continue"/>
                  <w:vAlign w:val="center"/>
                </w:tcPr>
                <w:p w14:paraId="27E96C00">
                  <w:pPr>
                    <w:pStyle w:val="7"/>
                    <w:adjustRightInd w:val="0"/>
                    <w:snapToGrid w:val="0"/>
                    <w:ind w:firstLine="0" w:firstLineChars="0"/>
                    <w:jc w:val="center"/>
                    <w:rPr>
                      <w:b/>
                      <w:bCs/>
                      <w:color w:val="auto"/>
                    </w:rPr>
                  </w:pPr>
                </w:p>
              </w:tc>
              <w:tc>
                <w:tcPr>
                  <w:tcW w:w="426" w:type="pct"/>
                  <w:vAlign w:val="center"/>
                </w:tcPr>
                <w:p w14:paraId="7E573A45">
                  <w:pPr>
                    <w:adjustRightInd w:val="0"/>
                    <w:snapToGrid w:val="0"/>
                    <w:spacing w:line="0" w:lineRule="atLeast"/>
                    <w:jc w:val="center"/>
                    <w:rPr>
                      <w:color w:val="auto"/>
                      <w:szCs w:val="21"/>
                    </w:rPr>
                  </w:pPr>
                  <w:r>
                    <w:rPr>
                      <w:color w:val="auto"/>
                      <w:szCs w:val="21"/>
                    </w:rPr>
                    <w:t>废气治理</w:t>
                  </w:r>
                </w:p>
              </w:tc>
              <w:tc>
                <w:tcPr>
                  <w:tcW w:w="757" w:type="pct"/>
                  <w:vAlign w:val="center"/>
                </w:tcPr>
                <w:p w14:paraId="5AD6D56C">
                  <w:pPr>
                    <w:pStyle w:val="7"/>
                    <w:ind w:firstLine="0" w:firstLineChars="0"/>
                    <w:jc w:val="center"/>
                    <w:rPr>
                      <w:color w:val="auto"/>
                      <w:szCs w:val="21"/>
                    </w:rPr>
                  </w:pPr>
                  <w:r>
                    <w:rPr>
                      <w:rFonts w:hint="eastAsia"/>
                      <w:bCs/>
                      <w:color w:val="auto"/>
                      <w:szCs w:val="21"/>
                    </w:rPr>
                    <w:t>施工扬尘</w:t>
                  </w:r>
                </w:p>
              </w:tc>
              <w:tc>
                <w:tcPr>
                  <w:tcW w:w="2883" w:type="pct"/>
                  <w:vAlign w:val="center"/>
                </w:tcPr>
                <w:p w14:paraId="62579AF8">
                  <w:pPr>
                    <w:pStyle w:val="7"/>
                    <w:adjustRightInd w:val="0"/>
                    <w:snapToGrid w:val="0"/>
                    <w:ind w:firstLine="0" w:firstLineChars="0"/>
                    <w:jc w:val="center"/>
                    <w:rPr>
                      <w:rFonts w:hint="default" w:eastAsia="宋体"/>
                      <w:color w:val="auto"/>
                      <w:szCs w:val="21"/>
                      <w:lang w:val="en-US" w:eastAsia="zh-CN"/>
                    </w:rPr>
                  </w:pPr>
                  <w:r>
                    <w:rPr>
                      <w:bCs/>
                      <w:color w:val="auto"/>
                      <w:szCs w:val="21"/>
                    </w:rPr>
                    <w:t>定期对施工场地进行洒水降尘</w:t>
                  </w:r>
                  <w:r>
                    <w:rPr>
                      <w:rFonts w:hint="eastAsia"/>
                      <w:bCs/>
                      <w:color w:val="auto"/>
                      <w:szCs w:val="21"/>
                      <w:lang w:eastAsia="zh-CN"/>
                    </w:rPr>
                    <w:t>；</w:t>
                  </w:r>
                  <w:r>
                    <w:rPr>
                      <w:rFonts w:hint="eastAsia"/>
                      <w:bCs/>
                      <w:color w:val="auto"/>
                      <w:szCs w:val="21"/>
                      <w:lang w:val="en-US" w:eastAsia="zh-CN"/>
                    </w:rPr>
                    <w:t>车辆运输管理</w:t>
                  </w:r>
                </w:p>
              </w:tc>
              <w:tc>
                <w:tcPr>
                  <w:tcW w:w="688" w:type="pct"/>
                  <w:vAlign w:val="center"/>
                </w:tcPr>
                <w:p w14:paraId="5FC90CF7">
                  <w:pPr>
                    <w:pStyle w:val="7"/>
                    <w:ind w:firstLine="0" w:firstLineChars="0"/>
                    <w:jc w:val="center"/>
                    <w:rPr>
                      <w:rFonts w:hint="default" w:eastAsia="宋体"/>
                      <w:bCs/>
                      <w:color w:val="auto"/>
                      <w:szCs w:val="21"/>
                      <w:lang w:val="en-US" w:eastAsia="zh-CN"/>
                    </w:rPr>
                  </w:pPr>
                  <w:r>
                    <w:rPr>
                      <w:rFonts w:hint="eastAsia"/>
                      <w:bCs/>
                      <w:color w:val="auto"/>
                      <w:szCs w:val="21"/>
                      <w:lang w:val="en-US" w:eastAsia="zh-CN"/>
                    </w:rPr>
                    <w:t>0.5</w:t>
                  </w:r>
                </w:p>
              </w:tc>
            </w:tr>
            <w:tr w14:paraId="285A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244" w:type="pct"/>
                  <w:vMerge w:val="continue"/>
                  <w:vAlign w:val="center"/>
                </w:tcPr>
                <w:p w14:paraId="09FD039B">
                  <w:pPr>
                    <w:pStyle w:val="7"/>
                    <w:adjustRightInd w:val="0"/>
                    <w:snapToGrid w:val="0"/>
                    <w:ind w:firstLine="0" w:firstLineChars="0"/>
                    <w:jc w:val="center"/>
                    <w:rPr>
                      <w:b/>
                      <w:bCs/>
                      <w:color w:val="auto"/>
                    </w:rPr>
                  </w:pPr>
                </w:p>
              </w:tc>
              <w:tc>
                <w:tcPr>
                  <w:tcW w:w="426" w:type="pct"/>
                  <w:vAlign w:val="center"/>
                </w:tcPr>
                <w:p w14:paraId="697F8EF5">
                  <w:pPr>
                    <w:adjustRightInd w:val="0"/>
                    <w:snapToGrid w:val="0"/>
                    <w:spacing w:line="0" w:lineRule="atLeast"/>
                    <w:jc w:val="center"/>
                    <w:rPr>
                      <w:color w:val="auto"/>
                      <w:szCs w:val="21"/>
                    </w:rPr>
                  </w:pPr>
                  <w:r>
                    <w:rPr>
                      <w:color w:val="auto"/>
                      <w:szCs w:val="21"/>
                    </w:rPr>
                    <w:t>固废处置</w:t>
                  </w:r>
                </w:p>
              </w:tc>
              <w:tc>
                <w:tcPr>
                  <w:tcW w:w="757" w:type="pct"/>
                  <w:vAlign w:val="center"/>
                </w:tcPr>
                <w:p w14:paraId="7E230D97">
                  <w:pPr>
                    <w:pStyle w:val="7"/>
                    <w:ind w:firstLine="0" w:firstLineChars="0"/>
                    <w:jc w:val="center"/>
                    <w:rPr>
                      <w:color w:val="auto"/>
                      <w:szCs w:val="21"/>
                    </w:rPr>
                  </w:pPr>
                  <w:r>
                    <w:rPr>
                      <w:rFonts w:hint="eastAsia"/>
                      <w:bCs/>
                      <w:color w:val="auto"/>
                      <w:szCs w:val="21"/>
                    </w:rPr>
                    <w:t>建筑垃圾</w:t>
                  </w:r>
                </w:p>
              </w:tc>
              <w:tc>
                <w:tcPr>
                  <w:tcW w:w="2883" w:type="pct"/>
                  <w:vAlign w:val="center"/>
                </w:tcPr>
                <w:p w14:paraId="086C79AC">
                  <w:pPr>
                    <w:pStyle w:val="7"/>
                    <w:adjustRightInd w:val="0"/>
                    <w:snapToGrid w:val="0"/>
                    <w:ind w:firstLine="0" w:firstLineChars="0"/>
                    <w:jc w:val="center"/>
                    <w:rPr>
                      <w:color w:val="auto"/>
                      <w:szCs w:val="21"/>
                    </w:rPr>
                  </w:pPr>
                  <w:r>
                    <w:rPr>
                      <w:rFonts w:hint="eastAsia"/>
                      <w:bCs/>
                      <w:color w:val="auto"/>
                      <w:szCs w:val="21"/>
                    </w:rPr>
                    <w:t>建筑垃圾清运</w:t>
                  </w:r>
                </w:p>
              </w:tc>
              <w:tc>
                <w:tcPr>
                  <w:tcW w:w="688" w:type="pct"/>
                  <w:vAlign w:val="center"/>
                </w:tcPr>
                <w:p w14:paraId="16DDFBDC">
                  <w:pPr>
                    <w:pStyle w:val="7"/>
                    <w:ind w:firstLine="0" w:firstLineChars="0"/>
                    <w:jc w:val="center"/>
                    <w:rPr>
                      <w:rFonts w:hint="eastAsia" w:eastAsia="宋体"/>
                      <w:bCs/>
                      <w:color w:val="auto"/>
                      <w:szCs w:val="21"/>
                      <w:lang w:eastAsia="zh-CN"/>
                    </w:rPr>
                  </w:pPr>
                  <w:r>
                    <w:rPr>
                      <w:rFonts w:hint="eastAsia"/>
                      <w:bCs/>
                      <w:color w:val="auto"/>
                      <w:szCs w:val="21"/>
                    </w:rPr>
                    <w:t>0.</w:t>
                  </w:r>
                  <w:r>
                    <w:rPr>
                      <w:rFonts w:hint="eastAsia"/>
                      <w:bCs/>
                      <w:color w:val="auto"/>
                      <w:szCs w:val="21"/>
                      <w:lang w:val="en-US" w:eastAsia="zh-CN"/>
                    </w:rPr>
                    <w:t>2</w:t>
                  </w:r>
                </w:p>
              </w:tc>
            </w:tr>
            <w:tr w14:paraId="70A0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244" w:type="pct"/>
                  <w:vMerge w:val="restart"/>
                  <w:vAlign w:val="center"/>
                </w:tcPr>
                <w:p w14:paraId="540E3611">
                  <w:pPr>
                    <w:pStyle w:val="7"/>
                    <w:adjustRightInd w:val="0"/>
                    <w:snapToGrid w:val="0"/>
                    <w:ind w:firstLine="0" w:firstLineChars="0"/>
                    <w:jc w:val="center"/>
                    <w:rPr>
                      <w:b/>
                      <w:bCs/>
                      <w:color w:val="auto"/>
                      <w:szCs w:val="21"/>
                    </w:rPr>
                  </w:pPr>
                  <w:r>
                    <w:rPr>
                      <w:b/>
                      <w:bCs/>
                      <w:color w:val="auto"/>
                    </w:rPr>
                    <w:t>运营期</w:t>
                  </w:r>
                </w:p>
              </w:tc>
              <w:tc>
                <w:tcPr>
                  <w:tcW w:w="426" w:type="pct"/>
                  <w:vMerge w:val="restart"/>
                  <w:vAlign w:val="center"/>
                </w:tcPr>
                <w:p w14:paraId="70BAB9B1">
                  <w:pPr>
                    <w:pStyle w:val="7"/>
                    <w:ind w:firstLine="0" w:firstLineChars="0"/>
                    <w:jc w:val="center"/>
                    <w:rPr>
                      <w:color w:val="auto"/>
                      <w:szCs w:val="21"/>
                    </w:rPr>
                  </w:pPr>
                  <w:r>
                    <w:rPr>
                      <w:color w:val="auto"/>
                      <w:szCs w:val="21"/>
                    </w:rPr>
                    <w:t>废气治理</w:t>
                  </w:r>
                </w:p>
              </w:tc>
              <w:tc>
                <w:tcPr>
                  <w:tcW w:w="757" w:type="pct"/>
                  <w:vAlign w:val="center"/>
                </w:tcPr>
                <w:p w14:paraId="22501B66">
                  <w:pPr>
                    <w:jc w:val="center"/>
                    <w:rPr>
                      <w:color w:val="auto"/>
                      <w:szCs w:val="21"/>
                    </w:rPr>
                  </w:pPr>
                  <w:r>
                    <w:rPr>
                      <w:rFonts w:hint="eastAsia"/>
                      <w:color w:val="auto"/>
                      <w:szCs w:val="21"/>
                      <w:lang w:val="en-US" w:eastAsia="zh-CN"/>
                    </w:rPr>
                    <w:t>投料废气</w:t>
                  </w:r>
                </w:p>
              </w:tc>
              <w:tc>
                <w:tcPr>
                  <w:tcW w:w="2883" w:type="pct"/>
                  <w:vAlign w:val="center"/>
                </w:tcPr>
                <w:p w14:paraId="4D693B68">
                  <w:pPr>
                    <w:adjustRightInd w:val="0"/>
                    <w:snapToGrid w:val="0"/>
                    <w:spacing w:line="0" w:lineRule="atLeast"/>
                    <w:jc w:val="center"/>
                    <w:rPr>
                      <w:color w:val="auto"/>
                      <w:szCs w:val="21"/>
                    </w:rPr>
                  </w:pPr>
                  <w:r>
                    <w:rPr>
                      <w:rFonts w:hint="eastAsia"/>
                      <w:color w:val="auto"/>
                      <w:szCs w:val="21"/>
                    </w:rPr>
                    <w:t>厂房阻隔、</w:t>
                  </w:r>
                  <w:r>
                    <w:rPr>
                      <w:rFonts w:hint="eastAsia"/>
                      <w:color w:val="auto"/>
                      <w:szCs w:val="21"/>
                      <w:lang w:val="en-US" w:eastAsia="zh-CN"/>
                    </w:rPr>
                    <w:t>自然</w:t>
                  </w:r>
                  <w:r>
                    <w:rPr>
                      <w:rFonts w:hint="eastAsia"/>
                      <w:color w:val="auto"/>
                      <w:szCs w:val="21"/>
                    </w:rPr>
                    <w:t>沉降</w:t>
                  </w:r>
                  <w:r>
                    <w:rPr>
                      <w:rFonts w:hint="eastAsia"/>
                      <w:color w:val="auto"/>
                      <w:szCs w:val="21"/>
                      <w:lang w:eastAsia="zh-CN"/>
                    </w:rPr>
                    <w:t>。</w:t>
                  </w:r>
                </w:p>
              </w:tc>
              <w:tc>
                <w:tcPr>
                  <w:tcW w:w="688" w:type="pct"/>
                  <w:vAlign w:val="center"/>
                </w:tcPr>
                <w:p w14:paraId="2D82A9A7">
                  <w:pPr>
                    <w:jc w:val="center"/>
                    <w:rPr>
                      <w:rFonts w:hint="default" w:eastAsia="宋体"/>
                      <w:bCs/>
                      <w:color w:val="auto"/>
                      <w:szCs w:val="21"/>
                      <w:lang w:val="en-US" w:eastAsia="zh-CN"/>
                    </w:rPr>
                  </w:pPr>
                  <w:r>
                    <w:rPr>
                      <w:rFonts w:hint="eastAsia"/>
                      <w:bCs/>
                      <w:color w:val="auto"/>
                      <w:szCs w:val="21"/>
                      <w:lang w:val="en-US" w:eastAsia="zh-CN"/>
                    </w:rPr>
                    <w:t>1.0</w:t>
                  </w:r>
                </w:p>
              </w:tc>
            </w:tr>
            <w:tr w14:paraId="3B0A7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244" w:type="pct"/>
                  <w:vMerge w:val="continue"/>
                  <w:vAlign w:val="center"/>
                </w:tcPr>
                <w:p w14:paraId="1BB2C45E">
                  <w:pPr>
                    <w:jc w:val="center"/>
                    <w:rPr>
                      <w:color w:val="auto"/>
                    </w:rPr>
                  </w:pPr>
                </w:p>
              </w:tc>
              <w:tc>
                <w:tcPr>
                  <w:tcW w:w="426" w:type="pct"/>
                  <w:vMerge w:val="continue"/>
                  <w:vAlign w:val="center"/>
                </w:tcPr>
                <w:p w14:paraId="52D9C816">
                  <w:pPr>
                    <w:jc w:val="center"/>
                    <w:rPr>
                      <w:color w:val="auto"/>
                    </w:rPr>
                  </w:pPr>
                </w:p>
              </w:tc>
              <w:tc>
                <w:tcPr>
                  <w:tcW w:w="757" w:type="pct"/>
                  <w:vAlign w:val="center"/>
                </w:tcPr>
                <w:p w14:paraId="368FF2E5">
                  <w:pPr>
                    <w:jc w:val="center"/>
                    <w:rPr>
                      <w:rFonts w:hint="eastAsia"/>
                      <w:color w:val="auto"/>
                      <w:szCs w:val="21"/>
                      <w:lang w:eastAsia="zh-CN"/>
                    </w:rPr>
                  </w:pPr>
                  <w:r>
                    <w:rPr>
                      <w:rFonts w:hint="eastAsia"/>
                      <w:color w:val="auto"/>
                      <w:szCs w:val="21"/>
                      <w:lang w:eastAsia="zh-CN"/>
                    </w:rPr>
                    <w:t>注塑</w:t>
                  </w:r>
                  <w:r>
                    <w:rPr>
                      <w:rFonts w:hint="eastAsia"/>
                      <w:color w:val="auto"/>
                      <w:szCs w:val="21"/>
                    </w:rPr>
                    <w:t>废气</w:t>
                  </w:r>
                </w:p>
              </w:tc>
              <w:tc>
                <w:tcPr>
                  <w:tcW w:w="2883" w:type="pct"/>
                  <w:vAlign w:val="center"/>
                </w:tcPr>
                <w:p w14:paraId="60716461">
                  <w:pPr>
                    <w:adjustRightInd w:val="0"/>
                    <w:snapToGrid w:val="0"/>
                    <w:spacing w:line="0" w:lineRule="atLeast"/>
                    <w:jc w:val="center"/>
                    <w:rPr>
                      <w:rFonts w:hint="eastAsia"/>
                      <w:color w:val="auto"/>
                      <w:szCs w:val="21"/>
                      <w:lang w:eastAsia="zh-CN"/>
                    </w:rPr>
                  </w:pPr>
                  <w:r>
                    <w:rPr>
                      <w:color w:val="auto"/>
                      <w:szCs w:val="21"/>
                    </w:rPr>
                    <w:t>本项目在</w:t>
                  </w:r>
                  <w:r>
                    <w:rPr>
                      <w:rFonts w:hint="eastAsia"/>
                      <w:color w:val="auto"/>
                      <w:szCs w:val="21"/>
                      <w:lang w:eastAsia="zh-CN"/>
                    </w:rPr>
                    <w:t>注塑</w:t>
                  </w:r>
                  <w:r>
                    <w:rPr>
                      <w:rFonts w:hint="eastAsia"/>
                      <w:color w:val="auto"/>
                      <w:szCs w:val="21"/>
                    </w:rPr>
                    <w:t>机</w:t>
                  </w:r>
                  <w:r>
                    <w:rPr>
                      <w:rFonts w:hint="eastAsia"/>
                      <w:color w:val="auto"/>
                      <w:szCs w:val="21"/>
                      <w:lang w:eastAsia="zh-CN"/>
                    </w:rPr>
                    <w:t>上方</w:t>
                  </w:r>
                  <w:r>
                    <w:rPr>
                      <w:color w:val="auto"/>
                      <w:szCs w:val="21"/>
                    </w:rPr>
                    <w:t>分别设置集气罩，共设置</w:t>
                  </w:r>
                  <w:r>
                    <w:rPr>
                      <w:rFonts w:hint="eastAsia"/>
                      <w:color w:val="auto"/>
                      <w:szCs w:val="21"/>
                    </w:rPr>
                    <w:t>“</w:t>
                  </w:r>
                  <w:r>
                    <w:rPr>
                      <w:rFonts w:hint="eastAsia"/>
                      <w:color w:val="auto"/>
                      <w:szCs w:val="21"/>
                      <w:lang w:val="en-US" w:eastAsia="zh-CN"/>
                    </w:rPr>
                    <w:t>20</w:t>
                  </w:r>
                  <w:r>
                    <w:rPr>
                      <w:color w:val="auto"/>
                      <w:szCs w:val="21"/>
                    </w:rPr>
                    <w:t>个集气罩将废气统一收集进入</w:t>
                  </w:r>
                  <w:r>
                    <w:rPr>
                      <w:rFonts w:hint="eastAsia"/>
                      <w:color w:val="auto"/>
                      <w:szCs w:val="21"/>
                    </w:rPr>
                    <w:t>1</w:t>
                  </w:r>
                  <w:r>
                    <w:rPr>
                      <w:color w:val="auto"/>
                      <w:szCs w:val="21"/>
                    </w:rPr>
                    <w:t>套“</w:t>
                  </w:r>
                  <w:r>
                    <w:rPr>
                      <w:rFonts w:hint="eastAsia"/>
                      <w:color w:val="auto"/>
                      <w:kern w:val="0"/>
                      <w:szCs w:val="21"/>
                      <w:lang w:val="zh-CN" w:bidi="ar"/>
                    </w:rPr>
                    <w:t>三级活性炭吸附装置</w:t>
                  </w:r>
                  <w:r>
                    <w:rPr>
                      <w:color w:val="auto"/>
                      <w:szCs w:val="21"/>
                    </w:rPr>
                    <w:t>”处理达标后由1根15m高排气筒（DA00</w:t>
                  </w:r>
                  <w:r>
                    <w:rPr>
                      <w:rFonts w:hint="eastAsia"/>
                      <w:color w:val="auto"/>
                      <w:szCs w:val="21"/>
                      <w:lang w:val="en-US" w:eastAsia="zh-CN"/>
                    </w:rPr>
                    <w:t>1</w:t>
                  </w:r>
                  <w:r>
                    <w:rPr>
                      <w:color w:val="auto"/>
                      <w:szCs w:val="21"/>
                    </w:rPr>
                    <w:t>）排放，配套</w:t>
                  </w:r>
                  <w:r>
                    <w:rPr>
                      <w:bCs/>
                      <w:color w:val="auto"/>
                      <w:szCs w:val="21"/>
                    </w:rPr>
                    <w:t>风量为</w:t>
                  </w:r>
                  <w:r>
                    <w:rPr>
                      <w:rFonts w:hint="eastAsia"/>
                      <w:color w:val="auto"/>
                      <w:kern w:val="0"/>
                      <w:szCs w:val="21"/>
                      <w:highlight w:val="none"/>
                      <w:lang w:val="en-US" w:eastAsia="zh-CN" w:bidi="ar"/>
                    </w:rPr>
                    <w:t>2000</w:t>
                  </w:r>
                  <w:r>
                    <w:rPr>
                      <w:color w:val="auto"/>
                      <w:kern w:val="0"/>
                      <w:szCs w:val="21"/>
                      <w:highlight w:val="none"/>
                      <w:lang w:bidi="ar"/>
                    </w:rPr>
                    <w:t>m</w:t>
                  </w:r>
                  <w:r>
                    <w:rPr>
                      <w:color w:val="auto"/>
                      <w:kern w:val="0"/>
                      <w:szCs w:val="21"/>
                      <w:highlight w:val="none"/>
                      <w:vertAlign w:val="superscript"/>
                      <w:lang w:bidi="ar"/>
                    </w:rPr>
                    <w:t>3</w:t>
                  </w:r>
                  <w:r>
                    <w:rPr>
                      <w:color w:val="auto"/>
                      <w:kern w:val="0"/>
                      <w:szCs w:val="21"/>
                      <w:highlight w:val="none"/>
                      <w:lang w:bidi="ar"/>
                    </w:rPr>
                    <w:t>/h</w:t>
                  </w:r>
                  <w:r>
                    <w:rPr>
                      <w:color w:val="auto"/>
                      <w:szCs w:val="21"/>
                    </w:rPr>
                    <w:t>。废气收集效率为</w:t>
                  </w:r>
                  <w:r>
                    <w:rPr>
                      <w:rFonts w:hint="eastAsia"/>
                      <w:color w:val="auto"/>
                      <w:szCs w:val="21"/>
                    </w:rPr>
                    <w:t>8</w:t>
                  </w:r>
                  <w:r>
                    <w:rPr>
                      <w:color w:val="auto"/>
                      <w:szCs w:val="21"/>
                    </w:rPr>
                    <w:t>0%，</w:t>
                  </w:r>
                  <w:r>
                    <w:rPr>
                      <w:bCs/>
                      <w:color w:val="auto"/>
                      <w:szCs w:val="21"/>
                    </w:rPr>
                    <w:t>去除效率</w:t>
                  </w:r>
                  <w:r>
                    <w:rPr>
                      <w:rFonts w:hint="eastAsia"/>
                      <w:bCs/>
                      <w:color w:val="auto"/>
                      <w:szCs w:val="21"/>
                    </w:rPr>
                    <w:t>80</w:t>
                  </w:r>
                  <w:r>
                    <w:rPr>
                      <w:bCs/>
                      <w:color w:val="auto"/>
                      <w:szCs w:val="21"/>
                    </w:rPr>
                    <w:t>%，排气筒内径</w:t>
                  </w:r>
                  <w:r>
                    <w:rPr>
                      <w:rFonts w:hint="eastAsia"/>
                      <w:bCs/>
                      <w:color w:val="auto"/>
                      <w:szCs w:val="21"/>
                      <w:highlight w:val="none"/>
                    </w:rPr>
                    <w:t>0.</w:t>
                  </w:r>
                  <w:r>
                    <w:rPr>
                      <w:rFonts w:hint="eastAsia"/>
                      <w:bCs/>
                      <w:color w:val="auto"/>
                      <w:szCs w:val="21"/>
                      <w:highlight w:val="none"/>
                      <w:lang w:val="en-US" w:eastAsia="zh-CN"/>
                    </w:rPr>
                    <w:t>6</w:t>
                  </w:r>
                  <w:r>
                    <w:rPr>
                      <w:bCs/>
                      <w:color w:val="auto"/>
                      <w:szCs w:val="21"/>
                      <w:highlight w:val="none"/>
                    </w:rPr>
                    <w:t>m</w:t>
                  </w:r>
                  <w:r>
                    <w:rPr>
                      <w:color w:val="auto"/>
                      <w:szCs w:val="21"/>
                    </w:rPr>
                    <w:t>。</w:t>
                  </w:r>
                </w:p>
              </w:tc>
              <w:tc>
                <w:tcPr>
                  <w:tcW w:w="688" w:type="pct"/>
                  <w:vAlign w:val="center"/>
                </w:tcPr>
                <w:p w14:paraId="592E5030">
                  <w:pPr>
                    <w:jc w:val="center"/>
                    <w:rPr>
                      <w:rFonts w:hint="default"/>
                      <w:color w:val="auto"/>
                      <w:szCs w:val="21"/>
                      <w:lang w:val="en-US" w:eastAsia="zh-CN"/>
                    </w:rPr>
                  </w:pPr>
                  <w:r>
                    <w:rPr>
                      <w:rFonts w:hint="eastAsia"/>
                      <w:bCs/>
                      <w:color w:val="auto"/>
                      <w:szCs w:val="21"/>
                      <w:lang w:val="en-US" w:eastAsia="zh-CN"/>
                    </w:rPr>
                    <w:t>15</w:t>
                  </w:r>
                </w:p>
              </w:tc>
            </w:tr>
            <w:tr w14:paraId="455A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244" w:type="pct"/>
                  <w:vMerge w:val="continue"/>
                  <w:vAlign w:val="center"/>
                </w:tcPr>
                <w:p w14:paraId="3F723C0C">
                  <w:pPr>
                    <w:adjustRightInd w:val="0"/>
                    <w:snapToGrid w:val="0"/>
                    <w:spacing w:line="0" w:lineRule="atLeast"/>
                    <w:jc w:val="center"/>
                    <w:rPr>
                      <w:color w:val="auto"/>
                    </w:rPr>
                  </w:pPr>
                </w:p>
              </w:tc>
              <w:tc>
                <w:tcPr>
                  <w:tcW w:w="426" w:type="pct"/>
                  <w:vMerge w:val="continue"/>
                  <w:vAlign w:val="center"/>
                </w:tcPr>
                <w:p w14:paraId="608DA530">
                  <w:pPr>
                    <w:adjustRightInd w:val="0"/>
                    <w:snapToGrid w:val="0"/>
                    <w:spacing w:line="0" w:lineRule="atLeast"/>
                    <w:jc w:val="center"/>
                    <w:rPr>
                      <w:color w:val="auto"/>
                    </w:rPr>
                  </w:pPr>
                </w:p>
              </w:tc>
              <w:tc>
                <w:tcPr>
                  <w:tcW w:w="757" w:type="pct"/>
                  <w:vAlign w:val="center"/>
                </w:tcPr>
                <w:p w14:paraId="14C39395">
                  <w:pPr>
                    <w:jc w:val="center"/>
                    <w:rPr>
                      <w:color w:val="auto"/>
                      <w:szCs w:val="21"/>
                    </w:rPr>
                  </w:pPr>
                  <w:r>
                    <w:rPr>
                      <w:rFonts w:hint="eastAsia"/>
                      <w:color w:val="auto"/>
                      <w:szCs w:val="21"/>
                      <w:lang w:eastAsia="zh-CN"/>
                    </w:rPr>
                    <w:t>破碎</w:t>
                  </w:r>
                  <w:r>
                    <w:rPr>
                      <w:rFonts w:hint="eastAsia"/>
                      <w:color w:val="auto"/>
                      <w:szCs w:val="21"/>
                    </w:rPr>
                    <w:t>废气</w:t>
                  </w:r>
                </w:p>
                <w:p w14:paraId="7343D1DB">
                  <w:pPr>
                    <w:jc w:val="center"/>
                    <w:rPr>
                      <w:color w:val="auto"/>
                      <w:szCs w:val="21"/>
                    </w:rPr>
                  </w:pPr>
                </w:p>
              </w:tc>
              <w:tc>
                <w:tcPr>
                  <w:tcW w:w="2883" w:type="pct"/>
                  <w:vAlign w:val="center"/>
                </w:tcPr>
                <w:p w14:paraId="2E7082D6">
                  <w:pPr>
                    <w:adjustRightInd w:val="0"/>
                    <w:snapToGrid w:val="0"/>
                    <w:spacing w:line="0" w:lineRule="atLeast"/>
                    <w:jc w:val="center"/>
                    <w:rPr>
                      <w:color w:val="auto"/>
                      <w:szCs w:val="21"/>
                    </w:rPr>
                  </w:pPr>
                  <w:r>
                    <w:rPr>
                      <w:color w:val="auto"/>
                      <w:szCs w:val="21"/>
                    </w:rPr>
                    <w:t>本项目在</w:t>
                  </w:r>
                  <w:r>
                    <w:rPr>
                      <w:rFonts w:hint="eastAsia"/>
                      <w:color w:val="auto"/>
                      <w:szCs w:val="21"/>
                      <w:lang w:val="en-US" w:eastAsia="zh-CN"/>
                    </w:rPr>
                    <w:t>破碎</w:t>
                  </w:r>
                  <w:r>
                    <w:rPr>
                      <w:rFonts w:hint="eastAsia"/>
                      <w:color w:val="auto"/>
                      <w:szCs w:val="21"/>
                    </w:rPr>
                    <w:t>机</w:t>
                  </w:r>
                  <w:r>
                    <w:rPr>
                      <w:rFonts w:hint="eastAsia"/>
                      <w:color w:val="auto"/>
                      <w:szCs w:val="21"/>
                      <w:lang w:eastAsia="zh-CN"/>
                    </w:rPr>
                    <w:t>上方</w:t>
                  </w:r>
                  <w:r>
                    <w:rPr>
                      <w:color w:val="auto"/>
                      <w:szCs w:val="21"/>
                    </w:rPr>
                    <w:t>分别设置集气罩，共设置</w:t>
                  </w:r>
                  <w:r>
                    <w:rPr>
                      <w:rFonts w:hint="eastAsia"/>
                      <w:color w:val="auto"/>
                      <w:szCs w:val="21"/>
                    </w:rPr>
                    <w:t>“</w:t>
                  </w:r>
                  <w:r>
                    <w:rPr>
                      <w:rFonts w:hint="eastAsia"/>
                      <w:color w:val="auto"/>
                      <w:szCs w:val="21"/>
                      <w:lang w:val="en-US" w:eastAsia="zh-CN"/>
                    </w:rPr>
                    <w:t>2</w:t>
                  </w:r>
                  <w:r>
                    <w:rPr>
                      <w:color w:val="auto"/>
                      <w:szCs w:val="21"/>
                    </w:rPr>
                    <w:t>个集气罩将废气统一收集进入</w:t>
                  </w:r>
                  <w:r>
                    <w:rPr>
                      <w:rFonts w:hint="eastAsia"/>
                      <w:color w:val="auto"/>
                      <w:szCs w:val="21"/>
                    </w:rPr>
                    <w:t>1</w:t>
                  </w:r>
                  <w:r>
                    <w:rPr>
                      <w:color w:val="auto"/>
                      <w:szCs w:val="21"/>
                    </w:rPr>
                    <w:t>套“</w:t>
                  </w:r>
                  <w:r>
                    <w:rPr>
                      <w:rFonts w:hint="eastAsia"/>
                      <w:color w:val="auto"/>
                      <w:kern w:val="0"/>
                      <w:szCs w:val="21"/>
                      <w:lang w:val="en-US" w:eastAsia="zh-CN" w:bidi="ar"/>
                    </w:rPr>
                    <w:t>布袋除尘器</w:t>
                  </w:r>
                  <w:r>
                    <w:rPr>
                      <w:color w:val="auto"/>
                      <w:szCs w:val="21"/>
                    </w:rPr>
                    <w:t>”处理达标后由1根15m高排气筒（DA00</w:t>
                  </w:r>
                  <w:r>
                    <w:rPr>
                      <w:rFonts w:hint="eastAsia"/>
                      <w:color w:val="auto"/>
                      <w:szCs w:val="21"/>
                      <w:lang w:val="en-US" w:eastAsia="zh-CN"/>
                    </w:rPr>
                    <w:t>2</w:t>
                  </w:r>
                  <w:r>
                    <w:rPr>
                      <w:color w:val="auto"/>
                      <w:szCs w:val="21"/>
                    </w:rPr>
                    <w:t>）排放，配套</w:t>
                  </w:r>
                  <w:r>
                    <w:rPr>
                      <w:bCs/>
                      <w:color w:val="auto"/>
                      <w:szCs w:val="21"/>
                    </w:rPr>
                    <w:t>风量为</w:t>
                  </w:r>
                  <w:r>
                    <w:rPr>
                      <w:rFonts w:hint="eastAsia"/>
                      <w:bCs/>
                      <w:color w:val="auto"/>
                      <w:szCs w:val="21"/>
                      <w:lang w:val="en-US" w:eastAsia="zh-CN"/>
                    </w:rPr>
                    <w:t>1000</w:t>
                  </w:r>
                  <w:r>
                    <w:rPr>
                      <w:color w:val="auto"/>
                      <w:kern w:val="0"/>
                      <w:szCs w:val="21"/>
                      <w:highlight w:val="none"/>
                      <w:lang w:bidi="ar"/>
                    </w:rPr>
                    <w:t>m</w:t>
                  </w:r>
                  <w:r>
                    <w:rPr>
                      <w:color w:val="auto"/>
                      <w:kern w:val="0"/>
                      <w:szCs w:val="21"/>
                      <w:highlight w:val="none"/>
                      <w:vertAlign w:val="superscript"/>
                      <w:lang w:bidi="ar"/>
                    </w:rPr>
                    <w:t>3</w:t>
                  </w:r>
                  <w:r>
                    <w:rPr>
                      <w:color w:val="auto"/>
                      <w:kern w:val="0"/>
                      <w:szCs w:val="21"/>
                      <w:highlight w:val="none"/>
                      <w:lang w:bidi="ar"/>
                    </w:rPr>
                    <w:t>/h</w:t>
                  </w:r>
                  <w:r>
                    <w:rPr>
                      <w:color w:val="auto"/>
                      <w:szCs w:val="21"/>
                      <w:highlight w:val="none"/>
                    </w:rPr>
                    <w:t>。废气收集效率为</w:t>
                  </w:r>
                  <w:r>
                    <w:rPr>
                      <w:rFonts w:hint="eastAsia"/>
                      <w:color w:val="auto"/>
                      <w:szCs w:val="21"/>
                      <w:highlight w:val="none"/>
                    </w:rPr>
                    <w:t>8</w:t>
                  </w:r>
                  <w:r>
                    <w:rPr>
                      <w:color w:val="auto"/>
                      <w:szCs w:val="21"/>
                      <w:highlight w:val="none"/>
                    </w:rPr>
                    <w:t>0%，</w:t>
                  </w:r>
                  <w:r>
                    <w:rPr>
                      <w:bCs/>
                      <w:color w:val="auto"/>
                      <w:szCs w:val="21"/>
                      <w:highlight w:val="none"/>
                    </w:rPr>
                    <w:t>去除效率</w:t>
                  </w:r>
                  <w:r>
                    <w:rPr>
                      <w:rFonts w:hint="eastAsia"/>
                      <w:bCs/>
                      <w:color w:val="auto"/>
                      <w:szCs w:val="21"/>
                      <w:highlight w:val="none"/>
                      <w:lang w:val="en-US" w:eastAsia="zh-CN"/>
                    </w:rPr>
                    <w:t>99</w:t>
                  </w:r>
                  <w:r>
                    <w:rPr>
                      <w:bCs/>
                      <w:color w:val="auto"/>
                      <w:szCs w:val="21"/>
                      <w:highlight w:val="none"/>
                    </w:rPr>
                    <w:t>%，排气筒内径</w:t>
                  </w:r>
                  <w:r>
                    <w:rPr>
                      <w:rFonts w:hint="eastAsia"/>
                      <w:bCs/>
                      <w:color w:val="auto"/>
                      <w:szCs w:val="21"/>
                      <w:highlight w:val="none"/>
                    </w:rPr>
                    <w:t>0.</w:t>
                  </w:r>
                  <w:r>
                    <w:rPr>
                      <w:rFonts w:hint="eastAsia"/>
                      <w:bCs/>
                      <w:color w:val="auto"/>
                      <w:szCs w:val="21"/>
                      <w:highlight w:val="none"/>
                      <w:lang w:val="en-US" w:eastAsia="zh-CN"/>
                    </w:rPr>
                    <w:t>15</w:t>
                  </w:r>
                  <w:r>
                    <w:rPr>
                      <w:bCs/>
                      <w:color w:val="auto"/>
                      <w:szCs w:val="21"/>
                      <w:highlight w:val="none"/>
                    </w:rPr>
                    <w:t>m</w:t>
                  </w:r>
                  <w:r>
                    <w:rPr>
                      <w:color w:val="auto"/>
                      <w:szCs w:val="21"/>
                      <w:highlight w:val="none"/>
                    </w:rPr>
                    <w:t>。</w:t>
                  </w:r>
                </w:p>
              </w:tc>
              <w:tc>
                <w:tcPr>
                  <w:tcW w:w="688" w:type="pct"/>
                  <w:vAlign w:val="center"/>
                </w:tcPr>
                <w:p w14:paraId="7444731E">
                  <w:pPr>
                    <w:adjustRightInd w:val="0"/>
                    <w:snapToGrid w:val="0"/>
                    <w:spacing w:line="0" w:lineRule="atLeast"/>
                    <w:jc w:val="center"/>
                    <w:rPr>
                      <w:rFonts w:hint="default" w:eastAsia="宋体"/>
                      <w:color w:val="auto"/>
                      <w:szCs w:val="21"/>
                      <w:lang w:val="en-US" w:eastAsia="zh-CN"/>
                    </w:rPr>
                  </w:pPr>
                  <w:r>
                    <w:rPr>
                      <w:rFonts w:hint="eastAsia"/>
                      <w:color w:val="auto"/>
                      <w:szCs w:val="21"/>
                      <w:lang w:val="en-US" w:eastAsia="zh-CN"/>
                    </w:rPr>
                    <w:t>4.5</w:t>
                  </w:r>
                </w:p>
              </w:tc>
            </w:tr>
            <w:tr w14:paraId="13557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244" w:type="pct"/>
                  <w:vMerge w:val="continue"/>
                  <w:vAlign w:val="center"/>
                </w:tcPr>
                <w:p w14:paraId="386DE7DC">
                  <w:pPr>
                    <w:adjustRightInd w:val="0"/>
                    <w:snapToGrid w:val="0"/>
                    <w:spacing w:line="0" w:lineRule="atLeast"/>
                    <w:jc w:val="center"/>
                    <w:rPr>
                      <w:color w:val="auto"/>
                    </w:rPr>
                  </w:pPr>
                </w:p>
              </w:tc>
              <w:tc>
                <w:tcPr>
                  <w:tcW w:w="426" w:type="pct"/>
                  <w:vMerge w:val="continue"/>
                  <w:vAlign w:val="center"/>
                </w:tcPr>
                <w:p w14:paraId="1D637F69">
                  <w:pPr>
                    <w:adjustRightInd w:val="0"/>
                    <w:snapToGrid w:val="0"/>
                    <w:spacing w:line="0" w:lineRule="atLeast"/>
                    <w:jc w:val="center"/>
                    <w:rPr>
                      <w:color w:val="auto"/>
                    </w:rPr>
                  </w:pPr>
                </w:p>
              </w:tc>
              <w:tc>
                <w:tcPr>
                  <w:tcW w:w="757" w:type="pct"/>
                  <w:vAlign w:val="center"/>
                </w:tcPr>
                <w:p w14:paraId="3D112E4F">
                  <w:pPr>
                    <w:shd w:val="clear"/>
                    <w:adjustRightInd w:val="0"/>
                    <w:snapToGrid w:val="0"/>
                    <w:jc w:val="center"/>
                    <w:rPr>
                      <w:color w:val="auto"/>
                      <w:szCs w:val="21"/>
                    </w:rPr>
                  </w:pPr>
                  <w:r>
                    <w:rPr>
                      <w:rFonts w:hint="default" w:ascii="Times New Roman" w:hAnsi="Times New Roman" w:eastAsia="宋体" w:cs="Times New Roman"/>
                      <w:color w:val="auto"/>
                      <w:sz w:val="21"/>
                      <w:szCs w:val="21"/>
                      <w:highlight w:val="none"/>
                      <w:lang w:val="en-US" w:eastAsia="zh-CN"/>
                    </w:rPr>
                    <w:t>生产车间</w:t>
                  </w:r>
                  <w:r>
                    <w:rPr>
                      <w:rFonts w:hint="eastAsia" w:ascii="Times New Roman" w:hAnsi="Times New Roman" w:eastAsia="宋体" w:cs="Times New Roman"/>
                      <w:color w:val="auto"/>
                      <w:sz w:val="21"/>
                      <w:szCs w:val="21"/>
                      <w:highlight w:val="none"/>
                      <w:lang w:val="en-US" w:eastAsia="zh-CN"/>
                    </w:rPr>
                    <w:t>注塑</w:t>
                  </w:r>
                  <w:r>
                    <w:rPr>
                      <w:rFonts w:hint="default" w:ascii="Times New Roman" w:hAnsi="Times New Roman" w:eastAsia="宋体" w:cs="Times New Roman"/>
                      <w:color w:val="auto"/>
                      <w:sz w:val="21"/>
                      <w:szCs w:val="21"/>
                      <w:highlight w:val="none"/>
                      <w:lang w:val="en-US" w:eastAsia="zh-CN"/>
                    </w:rPr>
                    <w:t>过程未收集无组织废气</w:t>
                  </w:r>
                  <w:r>
                    <w:rPr>
                      <w:rFonts w:hint="eastAsia" w:ascii="Times New Roman" w:hAnsi="Times New Roman" w:eastAsia="宋体" w:cs="Times New Roman"/>
                      <w:color w:val="auto"/>
                      <w:sz w:val="21"/>
                      <w:szCs w:val="21"/>
                      <w:highlight w:val="none"/>
                      <w:lang w:val="en-US" w:eastAsia="zh-CN"/>
                    </w:rPr>
                    <w:t>及破碎工段无组织废气</w:t>
                  </w:r>
                </w:p>
              </w:tc>
              <w:tc>
                <w:tcPr>
                  <w:tcW w:w="2883" w:type="pct"/>
                  <w:vAlign w:val="center"/>
                </w:tcPr>
                <w:p w14:paraId="40799705">
                  <w:pPr>
                    <w:adjustRightInd w:val="0"/>
                    <w:snapToGrid w:val="0"/>
                    <w:spacing w:line="0" w:lineRule="atLeast"/>
                    <w:jc w:val="center"/>
                    <w:rPr>
                      <w:rFonts w:hint="eastAsia"/>
                      <w:color w:val="auto"/>
                      <w:szCs w:val="21"/>
                    </w:rPr>
                  </w:pPr>
                  <w:r>
                    <w:rPr>
                      <w:rFonts w:hint="eastAsia"/>
                      <w:color w:val="auto"/>
                      <w:szCs w:val="21"/>
                      <w:lang w:eastAsia="zh-CN"/>
                    </w:rPr>
                    <w:t>加强通风及管理</w:t>
                  </w:r>
                </w:p>
              </w:tc>
              <w:tc>
                <w:tcPr>
                  <w:tcW w:w="688" w:type="pct"/>
                  <w:vAlign w:val="center"/>
                </w:tcPr>
                <w:p w14:paraId="55F47B2A">
                  <w:pPr>
                    <w:adjustRightInd w:val="0"/>
                    <w:snapToGrid w:val="0"/>
                    <w:spacing w:line="0" w:lineRule="atLeast"/>
                    <w:jc w:val="center"/>
                    <w:rPr>
                      <w:rFonts w:hint="default"/>
                      <w:color w:val="auto"/>
                      <w:szCs w:val="21"/>
                      <w:lang w:val="en-US" w:eastAsia="zh-CN"/>
                    </w:rPr>
                  </w:pPr>
                  <w:r>
                    <w:rPr>
                      <w:rFonts w:hint="eastAsia"/>
                      <w:color w:val="auto"/>
                      <w:szCs w:val="21"/>
                      <w:lang w:val="en-US" w:eastAsia="zh-CN"/>
                    </w:rPr>
                    <w:t>0.3</w:t>
                  </w:r>
                </w:p>
              </w:tc>
            </w:tr>
            <w:tr w14:paraId="03B53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244" w:type="pct"/>
                  <w:vMerge w:val="continue"/>
                  <w:vAlign w:val="center"/>
                </w:tcPr>
                <w:p w14:paraId="7A27069A">
                  <w:pPr>
                    <w:adjustRightInd w:val="0"/>
                    <w:snapToGrid w:val="0"/>
                    <w:spacing w:line="0" w:lineRule="atLeast"/>
                    <w:jc w:val="center"/>
                    <w:rPr>
                      <w:color w:val="auto"/>
                      <w:szCs w:val="21"/>
                    </w:rPr>
                  </w:pPr>
                </w:p>
              </w:tc>
              <w:tc>
                <w:tcPr>
                  <w:tcW w:w="426" w:type="pct"/>
                  <w:vMerge w:val="continue"/>
                  <w:vAlign w:val="center"/>
                </w:tcPr>
                <w:p w14:paraId="01DB7013">
                  <w:pPr>
                    <w:adjustRightInd w:val="0"/>
                    <w:snapToGrid w:val="0"/>
                    <w:spacing w:line="0" w:lineRule="atLeast"/>
                    <w:jc w:val="center"/>
                    <w:rPr>
                      <w:color w:val="auto"/>
                      <w:szCs w:val="21"/>
                    </w:rPr>
                  </w:pPr>
                </w:p>
              </w:tc>
              <w:tc>
                <w:tcPr>
                  <w:tcW w:w="757" w:type="pct"/>
                  <w:vAlign w:val="center"/>
                </w:tcPr>
                <w:p w14:paraId="702C4F82">
                  <w:pPr>
                    <w:pStyle w:val="28"/>
                    <w:shd w:val="clear"/>
                    <w:spacing w:after="0"/>
                    <w:ind w:firstLine="0" w:firstLineChars="0"/>
                    <w:jc w:val="center"/>
                    <w:rPr>
                      <w:color w:val="auto"/>
                      <w:szCs w:val="21"/>
                    </w:rPr>
                  </w:pPr>
                  <w:r>
                    <w:rPr>
                      <w:rFonts w:hint="default" w:ascii="Times New Roman" w:hAnsi="Times New Roman" w:eastAsia="宋体" w:cs="Times New Roman"/>
                      <w:color w:val="auto"/>
                      <w:sz w:val="21"/>
                      <w:szCs w:val="21"/>
                      <w:highlight w:val="none"/>
                      <w:lang w:val="en-US" w:eastAsia="zh-CN"/>
                    </w:rPr>
                    <w:t>生产过程、</w:t>
                  </w:r>
                  <w:r>
                    <w:rPr>
                      <w:rFonts w:hint="eastAsia" w:cs="Times New Roman"/>
                      <w:color w:val="auto"/>
                      <w:sz w:val="21"/>
                      <w:szCs w:val="21"/>
                      <w:highlight w:val="none"/>
                      <w:lang w:val="en-US" w:eastAsia="zh-CN"/>
                    </w:rPr>
                    <w:t>卫生间、</w:t>
                  </w:r>
                  <w:r>
                    <w:rPr>
                      <w:rFonts w:hint="default" w:ascii="Times New Roman" w:hAnsi="Times New Roman" w:eastAsia="宋体" w:cs="Times New Roman"/>
                      <w:color w:val="auto"/>
                      <w:sz w:val="21"/>
                      <w:szCs w:val="21"/>
                      <w:highlight w:val="none"/>
                      <w:lang w:val="en-US" w:eastAsia="zh-CN"/>
                    </w:rPr>
                    <w:t>化粪池</w:t>
                  </w:r>
                </w:p>
              </w:tc>
              <w:tc>
                <w:tcPr>
                  <w:tcW w:w="2883" w:type="pct"/>
                  <w:vAlign w:val="center"/>
                </w:tcPr>
                <w:p w14:paraId="151DB4D4">
                  <w:pPr>
                    <w:keepNext w:val="0"/>
                    <w:keepLines w:val="0"/>
                    <w:widowControl w:val="0"/>
                    <w:suppressLineNumbers w:val="0"/>
                    <w:shd w:val="clear"/>
                    <w:spacing w:before="0" w:beforeAutospacing="0" w:after="0" w:afterAutospacing="0"/>
                    <w:ind w:left="0" w:leftChars="0" w:right="0" w:rightChars="0"/>
                    <w:jc w:val="center"/>
                    <w:rPr>
                      <w:color w:val="auto"/>
                      <w:szCs w:val="21"/>
                    </w:rPr>
                  </w:pPr>
                  <w:r>
                    <w:rPr>
                      <w:rFonts w:hint="default" w:ascii="Times New Roman" w:hAnsi="Times New Roman" w:eastAsia="宋体" w:cs="Times New Roman"/>
                      <w:color w:val="auto"/>
                      <w:szCs w:val="21"/>
                      <w:highlight w:val="none"/>
                      <w:lang w:val="en-US" w:eastAsia="zh-CN"/>
                    </w:rPr>
                    <w:t>项目生活垃圾日产日清</w:t>
                  </w: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卫生间为水冲厕，设置专人打扫；化粪池为全封闭加盖设计</w:t>
                  </w: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加强通风及管理。</w:t>
                  </w:r>
                </w:p>
              </w:tc>
              <w:tc>
                <w:tcPr>
                  <w:tcW w:w="688" w:type="pct"/>
                  <w:vAlign w:val="center"/>
                </w:tcPr>
                <w:p w14:paraId="2A8553A2">
                  <w:pPr>
                    <w:jc w:val="center"/>
                    <w:rPr>
                      <w:rFonts w:hint="default" w:eastAsia="宋体"/>
                      <w:color w:val="auto"/>
                      <w:szCs w:val="21"/>
                      <w:lang w:val="en-US" w:eastAsia="zh-CN"/>
                    </w:rPr>
                  </w:pPr>
                  <w:r>
                    <w:rPr>
                      <w:rFonts w:hint="eastAsia"/>
                      <w:color w:val="auto"/>
                      <w:kern w:val="0"/>
                      <w:szCs w:val="21"/>
                      <w:lang w:val="en-US" w:eastAsia="zh-CN"/>
                    </w:rPr>
                    <w:t>0.2</w:t>
                  </w:r>
                </w:p>
              </w:tc>
            </w:tr>
            <w:tr w14:paraId="0EBFC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244" w:type="pct"/>
                  <w:vMerge w:val="continue"/>
                  <w:vAlign w:val="center"/>
                </w:tcPr>
                <w:p w14:paraId="3DEC6D6E">
                  <w:pPr>
                    <w:adjustRightInd w:val="0"/>
                    <w:snapToGrid w:val="0"/>
                    <w:spacing w:line="0" w:lineRule="atLeast"/>
                    <w:jc w:val="center"/>
                    <w:rPr>
                      <w:color w:val="auto"/>
                      <w:szCs w:val="21"/>
                    </w:rPr>
                  </w:pPr>
                </w:p>
              </w:tc>
              <w:tc>
                <w:tcPr>
                  <w:tcW w:w="426" w:type="pct"/>
                  <w:vMerge w:val="continue"/>
                  <w:vAlign w:val="center"/>
                </w:tcPr>
                <w:p w14:paraId="140AA110">
                  <w:pPr>
                    <w:adjustRightInd w:val="0"/>
                    <w:snapToGrid w:val="0"/>
                    <w:spacing w:line="0" w:lineRule="atLeast"/>
                    <w:jc w:val="center"/>
                    <w:rPr>
                      <w:color w:val="auto"/>
                      <w:szCs w:val="21"/>
                    </w:rPr>
                  </w:pPr>
                </w:p>
              </w:tc>
              <w:tc>
                <w:tcPr>
                  <w:tcW w:w="757" w:type="pct"/>
                  <w:vAlign w:val="center"/>
                </w:tcPr>
                <w:p w14:paraId="40BF58D5">
                  <w:pPr>
                    <w:pStyle w:val="28"/>
                    <w:spacing w:after="0"/>
                    <w:ind w:firstLine="0" w:firstLineChars="0"/>
                    <w:jc w:val="center"/>
                    <w:rPr>
                      <w:color w:val="auto"/>
                      <w:sz w:val="21"/>
                      <w:szCs w:val="21"/>
                    </w:rPr>
                  </w:pPr>
                  <w:r>
                    <w:rPr>
                      <w:color w:val="auto"/>
                      <w:sz w:val="21"/>
                      <w:szCs w:val="21"/>
                    </w:rPr>
                    <w:t>食堂</w:t>
                  </w:r>
                  <w:r>
                    <w:rPr>
                      <w:rFonts w:hint="eastAsia"/>
                      <w:color w:val="auto"/>
                      <w:sz w:val="21"/>
                      <w:szCs w:val="21"/>
                    </w:rPr>
                    <w:t>油烟</w:t>
                  </w:r>
                </w:p>
              </w:tc>
              <w:tc>
                <w:tcPr>
                  <w:tcW w:w="2883" w:type="pct"/>
                  <w:vAlign w:val="center"/>
                </w:tcPr>
                <w:p w14:paraId="75AA0B78">
                  <w:pPr>
                    <w:jc w:val="center"/>
                    <w:rPr>
                      <w:color w:val="auto"/>
                      <w:szCs w:val="21"/>
                    </w:rPr>
                  </w:pPr>
                  <w:r>
                    <w:rPr>
                      <w:color w:val="auto"/>
                      <w:szCs w:val="21"/>
                    </w:rPr>
                    <w:t>食堂油烟配套“1台油烟净化设施+排气筒”，油烟净化器净化效率不低于</w:t>
                  </w:r>
                  <w:r>
                    <w:rPr>
                      <w:rFonts w:hint="eastAsia"/>
                      <w:color w:val="auto"/>
                      <w:szCs w:val="21"/>
                    </w:rPr>
                    <w:t>60</w:t>
                  </w:r>
                  <w:r>
                    <w:rPr>
                      <w:color w:val="auto"/>
                      <w:szCs w:val="21"/>
                    </w:rPr>
                    <w:t>%。</w:t>
                  </w:r>
                </w:p>
              </w:tc>
              <w:tc>
                <w:tcPr>
                  <w:tcW w:w="688" w:type="pct"/>
                  <w:vAlign w:val="center"/>
                </w:tcPr>
                <w:p w14:paraId="249FE477">
                  <w:pPr>
                    <w:adjustRightInd w:val="0"/>
                    <w:snapToGrid w:val="0"/>
                    <w:spacing w:line="0" w:lineRule="atLeast"/>
                    <w:jc w:val="center"/>
                    <w:rPr>
                      <w:rFonts w:hint="eastAsia" w:eastAsia="宋体"/>
                      <w:color w:val="auto"/>
                      <w:szCs w:val="21"/>
                      <w:lang w:eastAsia="zh-CN"/>
                    </w:rPr>
                  </w:pPr>
                  <w:r>
                    <w:rPr>
                      <w:rFonts w:hint="eastAsia"/>
                      <w:color w:val="auto"/>
                      <w:szCs w:val="21"/>
                    </w:rPr>
                    <w:t>0.</w:t>
                  </w:r>
                  <w:r>
                    <w:rPr>
                      <w:rFonts w:hint="eastAsia"/>
                      <w:color w:val="auto"/>
                      <w:szCs w:val="21"/>
                      <w:lang w:val="en-US" w:eastAsia="zh-CN"/>
                    </w:rPr>
                    <w:t>5</w:t>
                  </w:r>
                </w:p>
              </w:tc>
            </w:tr>
            <w:tr w14:paraId="6E07C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 w:type="pct"/>
                  <w:vMerge w:val="continue"/>
                  <w:vAlign w:val="center"/>
                </w:tcPr>
                <w:p w14:paraId="08B59E60">
                  <w:pPr>
                    <w:pStyle w:val="7"/>
                    <w:ind w:firstLine="0" w:firstLineChars="0"/>
                    <w:jc w:val="center"/>
                    <w:rPr>
                      <w:color w:val="auto"/>
                      <w:szCs w:val="21"/>
                    </w:rPr>
                  </w:pPr>
                </w:p>
              </w:tc>
              <w:tc>
                <w:tcPr>
                  <w:tcW w:w="426" w:type="pct"/>
                  <w:vMerge w:val="restart"/>
                  <w:vAlign w:val="center"/>
                </w:tcPr>
                <w:p w14:paraId="7B508E30">
                  <w:pPr>
                    <w:pStyle w:val="7"/>
                    <w:ind w:firstLine="0" w:firstLineChars="0"/>
                    <w:jc w:val="center"/>
                    <w:rPr>
                      <w:color w:val="auto"/>
                      <w:szCs w:val="21"/>
                    </w:rPr>
                  </w:pPr>
                  <w:r>
                    <w:rPr>
                      <w:color w:val="auto"/>
                      <w:szCs w:val="21"/>
                    </w:rPr>
                    <w:t>废水治理</w:t>
                  </w:r>
                </w:p>
              </w:tc>
              <w:tc>
                <w:tcPr>
                  <w:tcW w:w="757" w:type="pct"/>
                  <w:vAlign w:val="center"/>
                </w:tcPr>
                <w:p w14:paraId="59F320FD">
                  <w:pPr>
                    <w:widowControl/>
                    <w:jc w:val="center"/>
                    <w:rPr>
                      <w:color w:val="auto"/>
                      <w:szCs w:val="21"/>
                    </w:rPr>
                  </w:pPr>
                  <w:r>
                    <w:rPr>
                      <w:color w:val="auto"/>
                      <w:szCs w:val="21"/>
                    </w:rPr>
                    <w:t>雨污分流</w:t>
                  </w:r>
                </w:p>
              </w:tc>
              <w:tc>
                <w:tcPr>
                  <w:tcW w:w="2883" w:type="pct"/>
                  <w:vAlign w:val="center"/>
                </w:tcPr>
                <w:p w14:paraId="3B3361CA">
                  <w:pPr>
                    <w:widowControl/>
                    <w:jc w:val="center"/>
                    <w:rPr>
                      <w:color w:val="auto"/>
                      <w:szCs w:val="21"/>
                    </w:rPr>
                  </w:pPr>
                  <w:r>
                    <w:rPr>
                      <w:rFonts w:hint="eastAsia"/>
                      <w:color w:val="auto"/>
                      <w:szCs w:val="21"/>
                      <w:lang w:val="en-US" w:eastAsia="zh-CN"/>
                    </w:rPr>
                    <w:t>项目排水采用雨污分流的排水方式，项目区建筑物屋面及地面雨水经厂区雨水沟收集后排入园区雨水市政管网。</w:t>
                  </w:r>
                </w:p>
              </w:tc>
              <w:tc>
                <w:tcPr>
                  <w:tcW w:w="688" w:type="pct"/>
                  <w:shd w:val="clear" w:color="auto" w:fill="auto"/>
                  <w:vAlign w:val="center"/>
                </w:tcPr>
                <w:p w14:paraId="73ED5E4E">
                  <w:pPr>
                    <w:jc w:val="center"/>
                    <w:rPr>
                      <w:rFonts w:hint="default"/>
                      <w:bCs/>
                      <w:color w:val="auto"/>
                      <w:szCs w:val="21"/>
                      <w:lang w:val="en-US"/>
                    </w:rPr>
                  </w:pPr>
                  <w:r>
                    <w:rPr>
                      <w:rFonts w:hint="eastAsia"/>
                      <w:bCs/>
                      <w:color w:val="auto"/>
                      <w:szCs w:val="21"/>
                      <w:lang w:val="en-US" w:eastAsia="zh-CN"/>
                    </w:rPr>
                    <w:t>2.1</w:t>
                  </w:r>
                </w:p>
              </w:tc>
            </w:tr>
            <w:tr w14:paraId="4739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244" w:type="pct"/>
                  <w:vMerge w:val="continue"/>
                  <w:vAlign w:val="center"/>
                </w:tcPr>
                <w:p w14:paraId="3510606D">
                  <w:pPr>
                    <w:pStyle w:val="7"/>
                    <w:ind w:firstLine="0" w:firstLineChars="0"/>
                    <w:jc w:val="center"/>
                    <w:rPr>
                      <w:color w:val="auto"/>
                      <w:szCs w:val="21"/>
                    </w:rPr>
                  </w:pPr>
                </w:p>
              </w:tc>
              <w:tc>
                <w:tcPr>
                  <w:tcW w:w="426" w:type="pct"/>
                  <w:vMerge w:val="continue"/>
                  <w:vAlign w:val="center"/>
                </w:tcPr>
                <w:p w14:paraId="5C3354A2">
                  <w:pPr>
                    <w:pStyle w:val="7"/>
                    <w:ind w:firstLine="0" w:firstLineChars="0"/>
                    <w:jc w:val="center"/>
                    <w:rPr>
                      <w:color w:val="auto"/>
                      <w:szCs w:val="21"/>
                    </w:rPr>
                  </w:pPr>
                </w:p>
              </w:tc>
              <w:tc>
                <w:tcPr>
                  <w:tcW w:w="757" w:type="pct"/>
                  <w:vAlign w:val="center"/>
                </w:tcPr>
                <w:p w14:paraId="31D1D73A">
                  <w:pPr>
                    <w:widowControl/>
                    <w:adjustRightInd w:val="0"/>
                    <w:snapToGrid w:val="0"/>
                    <w:jc w:val="center"/>
                    <w:rPr>
                      <w:color w:val="auto"/>
                      <w:szCs w:val="21"/>
                    </w:rPr>
                  </w:pPr>
                  <w:r>
                    <w:rPr>
                      <w:rFonts w:hint="eastAsia"/>
                      <w:color w:val="auto"/>
                      <w:kern w:val="0"/>
                      <w:szCs w:val="21"/>
                    </w:rPr>
                    <w:t>隔油池</w:t>
                  </w:r>
                </w:p>
              </w:tc>
              <w:tc>
                <w:tcPr>
                  <w:tcW w:w="2883" w:type="pct"/>
                  <w:vAlign w:val="center"/>
                </w:tcPr>
                <w:p w14:paraId="06866E77">
                  <w:pPr>
                    <w:widowControl/>
                    <w:adjustRightInd w:val="0"/>
                    <w:snapToGrid w:val="0"/>
                    <w:rPr>
                      <w:color w:val="auto"/>
                      <w:szCs w:val="21"/>
                    </w:rPr>
                  </w:pPr>
                  <w:r>
                    <w:rPr>
                      <w:rFonts w:hint="eastAsia"/>
                      <w:color w:val="auto"/>
                      <w:kern w:val="0"/>
                    </w:rPr>
                    <w:t>设置1个隔油池，位于食堂旁，容积为0.</w:t>
                  </w:r>
                  <w:r>
                    <w:rPr>
                      <w:rFonts w:hint="eastAsia"/>
                      <w:color w:val="auto"/>
                      <w:kern w:val="0"/>
                      <w:lang w:val="en-US" w:eastAsia="zh-CN"/>
                    </w:rPr>
                    <w:t>1</w:t>
                  </w:r>
                  <w:r>
                    <w:rPr>
                      <w:rFonts w:hint="eastAsia"/>
                      <w:color w:val="auto"/>
                      <w:kern w:val="0"/>
                    </w:rPr>
                    <w:t>m</w:t>
                  </w:r>
                  <w:r>
                    <w:rPr>
                      <w:rFonts w:hint="eastAsia"/>
                      <w:color w:val="auto"/>
                      <w:kern w:val="0"/>
                      <w:vertAlign w:val="superscript"/>
                    </w:rPr>
                    <w:t>3</w:t>
                  </w:r>
                  <w:r>
                    <w:rPr>
                      <w:rFonts w:hint="eastAsia"/>
                      <w:color w:val="auto"/>
                      <w:kern w:val="0"/>
                    </w:rPr>
                    <w:t>，用于处理食堂含油废水。</w:t>
                  </w:r>
                </w:p>
              </w:tc>
              <w:tc>
                <w:tcPr>
                  <w:tcW w:w="688" w:type="pct"/>
                  <w:shd w:val="clear" w:color="auto" w:fill="auto"/>
                  <w:vAlign w:val="center"/>
                </w:tcPr>
                <w:p w14:paraId="6E02EAAF">
                  <w:pPr>
                    <w:jc w:val="center"/>
                    <w:rPr>
                      <w:rFonts w:hint="default" w:eastAsia="宋体"/>
                      <w:color w:val="auto"/>
                      <w:kern w:val="0"/>
                      <w:szCs w:val="21"/>
                      <w:lang w:val="en-US" w:eastAsia="zh-CN"/>
                    </w:rPr>
                  </w:pPr>
                  <w:r>
                    <w:rPr>
                      <w:rFonts w:hint="eastAsia"/>
                      <w:color w:val="auto"/>
                      <w:kern w:val="0"/>
                      <w:szCs w:val="21"/>
                      <w:lang w:val="en-US" w:eastAsia="zh-CN"/>
                    </w:rPr>
                    <w:t>0.2</w:t>
                  </w:r>
                </w:p>
              </w:tc>
            </w:tr>
            <w:tr w14:paraId="157AD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44" w:type="pct"/>
                  <w:vMerge w:val="continue"/>
                  <w:vAlign w:val="center"/>
                </w:tcPr>
                <w:p w14:paraId="7F8AB840">
                  <w:pPr>
                    <w:pStyle w:val="7"/>
                    <w:ind w:firstLine="0" w:firstLineChars="0"/>
                    <w:jc w:val="center"/>
                    <w:rPr>
                      <w:color w:val="auto"/>
                      <w:szCs w:val="21"/>
                    </w:rPr>
                  </w:pPr>
                </w:p>
              </w:tc>
              <w:tc>
                <w:tcPr>
                  <w:tcW w:w="426" w:type="pct"/>
                  <w:vMerge w:val="continue"/>
                  <w:vAlign w:val="center"/>
                </w:tcPr>
                <w:p w14:paraId="511CC99F">
                  <w:pPr>
                    <w:pStyle w:val="7"/>
                    <w:ind w:firstLine="0" w:firstLineChars="0"/>
                    <w:jc w:val="center"/>
                    <w:rPr>
                      <w:color w:val="auto"/>
                      <w:szCs w:val="21"/>
                    </w:rPr>
                  </w:pPr>
                </w:p>
              </w:tc>
              <w:tc>
                <w:tcPr>
                  <w:tcW w:w="757" w:type="pct"/>
                  <w:vAlign w:val="center"/>
                </w:tcPr>
                <w:p w14:paraId="07FBB74D">
                  <w:pPr>
                    <w:widowControl/>
                    <w:adjustRightInd w:val="0"/>
                    <w:snapToGrid w:val="0"/>
                    <w:jc w:val="center"/>
                    <w:rPr>
                      <w:rStyle w:val="106"/>
                      <w:color w:val="auto"/>
                      <w:szCs w:val="21"/>
                    </w:rPr>
                  </w:pPr>
                  <w:r>
                    <w:rPr>
                      <w:color w:val="auto"/>
                      <w:kern w:val="0"/>
                      <w:szCs w:val="21"/>
                    </w:rPr>
                    <w:t>化粪池</w:t>
                  </w:r>
                </w:p>
              </w:tc>
              <w:tc>
                <w:tcPr>
                  <w:tcW w:w="2883" w:type="pct"/>
                  <w:vAlign w:val="center"/>
                </w:tcPr>
                <w:p w14:paraId="4F4AEE01">
                  <w:pPr>
                    <w:widowControl/>
                    <w:adjustRightInd w:val="0"/>
                    <w:snapToGrid w:val="0"/>
                    <w:rPr>
                      <w:color w:val="auto"/>
                      <w:szCs w:val="21"/>
                    </w:rPr>
                  </w:pPr>
                  <w:r>
                    <w:rPr>
                      <w:rFonts w:hint="eastAsia"/>
                      <w:color w:val="auto"/>
                      <w:kern w:val="0"/>
                    </w:rPr>
                    <w:t>设置</w:t>
                  </w:r>
                  <w:r>
                    <w:rPr>
                      <w:rFonts w:hint="eastAsia"/>
                      <w:color w:val="auto"/>
                      <w:kern w:val="0"/>
                      <w:lang w:val="en-US" w:eastAsia="zh-CN"/>
                    </w:rPr>
                    <w:t>1</w:t>
                  </w:r>
                  <w:r>
                    <w:rPr>
                      <w:rFonts w:hint="eastAsia"/>
                      <w:color w:val="auto"/>
                      <w:kern w:val="0"/>
                    </w:rPr>
                    <w:t>个</w:t>
                  </w:r>
                  <w:r>
                    <w:rPr>
                      <w:rFonts w:hint="eastAsia"/>
                      <w:color w:val="auto"/>
                      <w:kern w:val="0"/>
                      <w:lang w:val="en-US" w:eastAsia="zh-CN"/>
                    </w:rPr>
                    <w:t>容积为6m</w:t>
                  </w:r>
                  <w:r>
                    <w:rPr>
                      <w:rFonts w:hint="eastAsia"/>
                      <w:color w:val="auto"/>
                      <w:kern w:val="0"/>
                      <w:vertAlign w:val="superscript"/>
                      <w:lang w:val="en-US" w:eastAsia="zh-CN"/>
                    </w:rPr>
                    <w:t>3</w:t>
                  </w:r>
                  <w:r>
                    <w:rPr>
                      <w:rFonts w:hint="eastAsia"/>
                      <w:color w:val="auto"/>
                      <w:kern w:val="0"/>
                    </w:rPr>
                    <w:t>化粪池，</w:t>
                  </w:r>
                  <w:r>
                    <w:rPr>
                      <w:color w:val="auto"/>
                      <w:kern w:val="0"/>
                    </w:rPr>
                    <w:t>用于处理项目内的</w:t>
                  </w:r>
                  <w:r>
                    <w:rPr>
                      <w:rFonts w:hint="eastAsia"/>
                      <w:color w:val="auto"/>
                      <w:kern w:val="0"/>
                    </w:rPr>
                    <w:t>生活污水</w:t>
                  </w:r>
                  <w:r>
                    <w:rPr>
                      <w:color w:val="auto"/>
                      <w:kern w:val="0"/>
                    </w:rPr>
                    <w:t>。</w:t>
                  </w:r>
                </w:p>
              </w:tc>
              <w:tc>
                <w:tcPr>
                  <w:tcW w:w="688" w:type="pct"/>
                  <w:vAlign w:val="center"/>
                </w:tcPr>
                <w:p w14:paraId="71DAEA66">
                  <w:pPr>
                    <w:jc w:val="center"/>
                    <w:rPr>
                      <w:rFonts w:hint="default" w:eastAsia="宋体"/>
                      <w:bCs/>
                      <w:color w:val="auto"/>
                      <w:szCs w:val="21"/>
                      <w:lang w:val="en-US" w:eastAsia="zh-CN"/>
                    </w:rPr>
                  </w:pPr>
                  <w:r>
                    <w:rPr>
                      <w:rFonts w:hint="eastAsia"/>
                      <w:bCs/>
                      <w:color w:val="auto"/>
                      <w:szCs w:val="21"/>
                      <w:lang w:val="en-US" w:eastAsia="zh-CN"/>
                    </w:rPr>
                    <w:t>依托已建成</w:t>
                  </w:r>
                </w:p>
              </w:tc>
            </w:tr>
            <w:tr w14:paraId="5FFD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244" w:type="pct"/>
                  <w:vMerge w:val="continue"/>
                  <w:vAlign w:val="center"/>
                </w:tcPr>
                <w:p w14:paraId="1AE99DF3">
                  <w:pPr>
                    <w:jc w:val="center"/>
                    <w:rPr>
                      <w:color w:val="auto"/>
                    </w:rPr>
                  </w:pPr>
                </w:p>
              </w:tc>
              <w:tc>
                <w:tcPr>
                  <w:tcW w:w="426" w:type="pct"/>
                  <w:vMerge w:val="continue"/>
                  <w:vAlign w:val="center"/>
                </w:tcPr>
                <w:p w14:paraId="694A8D60">
                  <w:pPr>
                    <w:jc w:val="center"/>
                    <w:rPr>
                      <w:color w:val="auto"/>
                    </w:rPr>
                  </w:pPr>
                </w:p>
              </w:tc>
              <w:tc>
                <w:tcPr>
                  <w:tcW w:w="757" w:type="pct"/>
                  <w:vAlign w:val="center"/>
                </w:tcPr>
                <w:p w14:paraId="3AC971B0">
                  <w:pPr>
                    <w:widowControl/>
                    <w:adjustRightInd w:val="0"/>
                    <w:snapToGrid w:val="0"/>
                    <w:jc w:val="center"/>
                    <w:rPr>
                      <w:color w:val="auto"/>
                      <w:kern w:val="0"/>
                      <w:szCs w:val="21"/>
                      <w:highlight w:val="none"/>
                    </w:rPr>
                  </w:pPr>
                  <w:r>
                    <w:rPr>
                      <w:rFonts w:hint="default" w:ascii="Times New Roman" w:hAnsi="Times New Roman" w:eastAsia="宋体" w:cs="Times New Roman"/>
                      <w:color w:val="auto"/>
                      <w:sz w:val="21"/>
                      <w:szCs w:val="21"/>
                      <w:highlight w:val="none"/>
                    </w:rPr>
                    <w:t>一体化生活污水处理</w:t>
                  </w:r>
                  <w:r>
                    <w:rPr>
                      <w:rFonts w:hint="eastAsia" w:cs="Times New Roman"/>
                      <w:color w:val="auto"/>
                      <w:sz w:val="21"/>
                      <w:szCs w:val="21"/>
                      <w:highlight w:val="none"/>
                      <w:lang w:eastAsia="zh-CN"/>
                    </w:rPr>
                    <w:t>站</w:t>
                  </w:r>
                </w:p>
              </w:tc>
              <w:tc>
                <w:tcPr>
                  <w:tcW w:w="2883" w:type="pct"/>
                  <w:vAlign w:val="center"/>
                </w:tcPr>
                <w:p w14:paraId="6C66C7C2">
                  <w:pPr>
                    <w:widowControl/>
                    <w:adjustRightInd w:val="0"/>
                    <w:snapToGrid w:val="0"/>
                    <w:jc w:val="center"/>
                    <w:rPr>
                      <w:color w:val="auto"/>
                      <w:kern w:val="0"/>
                      <w:szCs w:val="21"/>
                      <w:highlight w:val="none"/>
                    </w:rPr>
                  </w:pPr>
                  <w:r>
                    <w:rPr>
                      <w:rFonts w:hint="default" w:ascii="Times New Roman" w:hAnsi="Times New Roman" w:eastAsia="宋体" w:cs="Times New Roman"/>
                      <w:color w:val="auto"/>
                      <w:sz w:val="21"/>
                      <w:szCs w:val="21"/>
                      <w:highlight w:val="none"/>
                    </w:rPr>
                    <w:t>1套处理规模</w:t>
                  </w:r>
                  <w:r>
                    <w:rPr>
                      <w:rFonts w:hint="default" w:ascii="Times New Roman" w:hAnsi="Times New Roman" w:eastAsia="宋体" w:cs="Times New Roman"/>
                      <w:color w:val="auto"/>
                      <w:sz w:val="21"/>
                      <w:szCs w:val="21"/>
                      <w:highlight w:val="none"/>
                      <w:lang w:val="en-US" w:eastAsia="zh-CN"/>
                    </w:rPr>
                    <w:t>为</w:t>
                  </w:r>
                  <w:r>
                    <w:rPr>
                      <w:rFonts w:hint="eastAsia"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/d的一体化生活污水处理设备</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处理工艺为“</w:t>
                  </w:r>
                  <w:r>
                    <w:rPr>
                      <w:rFonts w:hint="eastAsia" w:cs="Times New Roman"/>
                      <w:color w:val="auto"/>
                      <w:sz w:val="21"/>
                      <w:szCs w:val="21"/>
                      <w:highlight w:val="none"/>
                      <w:lang w:val="en-US" w:eastAsia="zh-CN"/>
                    </w:rPr>
                    <w:t>曝气+沉降+光催化氧化+消毒</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，用于处理项目区产生的生活</w:t>
                  </w:r>
                  <w:r>
                    <w:rPr>
                      <w:rFonts w:hint="eastAsia" w:cs="Times New Roman"/>
                      <w:color w:val="auto"/>
                      <w:sz w:val="21"/>
                      <w:szCs w:val="21"/>
                      <w:highlight w:val="none"/>
                      <w:lang w:eastAsia="zh-CN"/>
                    </w:rPr>
                    <w:t>污</w:t>
                  </w:r>
                  <w:r>
                    <w:rPr>
                      <w:rFonts w:hint="default" w:ascii="Times New Roman" w:hAnsi="Times New Roman" w:eastAsia="宋体" w:cs="Times New Roman"/>
                      <w:color w:val="auto"/>
                      <w:sz w:val="21"/>
                      <w:szCs w:val="21"/>
                      <w:highlight w:val="none"/>
                    </w:rPr>
                    <w:t>水</w:t>
                  </w:r>
                  <w:r>
                    <w:rPr>
                      <w:rFonts w:hint="eastAsia" w:eastAsia="宋体" w:cs="Times New Roman"/>
                      <w:color w:val="auto"/>
                      <w:sz w:val="21"/>
                      <w:szCs w:val="21"/>
                      <w:highlight w:val="none"/>
                      <w:lang w:eastAsia="zh-CN"/>
                    </w:rPr>
                    <w:t>。</w:t>
                  </w:r>
                </w:p>
              </w:tc>
              <w:tc>
                <w:tcPr>
                  <w:tcW w:w="688" w:type="pct"/>
                  <w:vAlign w:val="center"/>
                </w:tcPr>
                <w:p w14:paraId="2DE0BAFC">
                  <w:pPr>
                    <w:jc w:val="center"/>
                    <w:rPr>
                      <w:rFonts w:hint="eastAsia" w:eastAsia="宋体"/>
                      <w:color w:val="auto"/>
                      <w:kern w:val="0"/>
                      <w:szCs w:val="21"/>
                      <w:highlight w:val="yellow"/>
                      <w:lang w:eastAsia="zh-CN"/>
                    </w:rPr>
                  </w:pPr>
                  <w:r>
                    <w:rPr>
                      <w:rFonts w:hint="eastAsia"/>
                      <w:bCs/>
                      <w:color w:val="auto"/>
                      <w:szCs w:val="21"/>
                      <w:lang w:val="en-US" w:eastAsia="zh-CN"/>
                    </w:rPr>
                    <w:t>依托已建成</w:t>
                  </w:r>
                </w:p>
              </w:tc>
            </w:tr>
            <w:tr w14:paraId="0B8D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244" w:type="pct"/>
                  <w:vMerge w:val="continue"/>
                  <w:vAlign w:val="center"/>
                </w:tcPr>
                <w:p w14:paraId="02908310">
                  <w:pPr>
                    <w:jc w:val="center"/>
                    <w:rPr>
                      <w:color w:val="auto"/>
                    </w:rPr>
                  </w:pPr>
                </w:p>
              </w:tc>
              <w:tc>
                <w:tcPr>
                  <w:tcW w:w="426" w:type="pct"/>
                  <w:vMerge w:val="continue"/>
                  <w:vAlign w:val="center"/>
                </w:tcPr>
                <w:p w14:paraId="4C3117CF">
                  <w:pPr>
                    <w:jc w:val="center"/>
                    <w:rPr>
                      <w:color w:val="auto"/>
                    </w:rPr>
                  </w:pPr>
                </w:p>
              </w:tc>
              <w:tc>
                <w:tcPr>
                  <w:tcW w:w="757" w:type="pct"/>
                  <w:vAlign w:val="center"/>
                </w:tcPr>
                <w:p w14:paraId="601C8F98">
                  <w:pPr>
                    <w:widowControl/>
                    <w:adjustRightInd w:val="0"/>
                    <w:snapToGrid w:val="0"/>
                    <w:jc w:val="center"/>
                    <w:rPr>
                      <w:color w:val="auto"/>
                      <w:kern w:val="0"/>
                      <w:szCs w:val="21"/>
                      <w:highlight w:val="none"/>
                    </w:rPr>
                  </w:pPr>
                  <w:r>
                    <w:rPr>
                      <w:rFonts w:hint="eastAsia"/>
                      <w:color w:val="auto"/>
                      <w:kern w:val="0"/>
                      <w:szCs w:val="21"/>
                      <w:highlight w:val="none"/>
                      <w:lang w:val="en-US" w:eastAsia="zh-CN"/>
                    </w:rPr>
                    <w:t>蓄水池</w:t>
                  </w:r>
                </w:p>
              </w:tc>
              <w:tc>
                <w:tcPr>
                  <w:tcW w:w="2883" w:type="pct"/>
                  <w:vAlign w:val="center"/>
                </w:tcPr>
                <w:p w14:paraId="10EC88A7">
                  <w:pPr>
                    <w:widowControl/>
                    <w:adjustRightInd w:val="0"/>
                    <w:snapToGrid w:val="0"/>
                    <w:jc w:val="center"/>
                    <w:rPr>
                      <w:color w:val="auto"/>
                      <w:kern w:val="0"/>
                      <w:szCs w:val="21"/>
                      <w:highlight w:val="none"/>
                    </w:rPr>
                  </w:pPr>
                  <w:r>
                    <w:rPr>
                      <w:rFonts w:hint="default" w:ascii="Times New Roman" w:hAnsi="Times New Roman" w:eastAsia="宋体" w:cs="Times New Roman"/>
                      <w:color w:val="auto"/>
                      <w:sz w:val="21"/>
                      <w:szCs w:val="21"/>
                      <w:highlight w:val="none"/>
                    </w:rPr>
                    <w:t>设置1个容积为</w:t>
                  </w:r>
                  <w:r>
                    <w:rPr>
                      <w:rFonts w:hint="eastAsia"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的蓄水池，对雨天项目区内处理达标后的生活污水进行收集暂存。</w:t>
                  </w:r>
                </w:p>
              </w:tc>
              <w:tc>
                <w:tcPr>
                  <w:tcW w:w="688" w:type="pct"/>
                  <w:vAlign w:val="center"/>
                </w:tcPr>
                <w:p w14:paraId="61ED27AC">
                  <w:pPr>
                    <w:jc w:val="center"/>
                    <w:rPr>
                      <w:rFonts w:hint="default" w:eastAsia="宋体"/>
                      <w:color w:val="auto"/>
                      <w:kern w:val="0"/>
                      <w:szCs w:val="21"/>
                      <w:highlight w:val="none"/>
                      <w:lang w:val="en-US" w:eastAsia="zh-CN"/>
                    </w:rPr>
                  </w:pPr>
                  <w:r>
                    <w:rPr>
                      <w:rFonts w:hint="eastAsia"/>
                      <w:bCs/>
                      <w:color w:val="auto"/>
                      <w:szCs w:val="21"/>
                      <w:highlight w:val="none"/>
                      <w:lang w:val="en-US" w:eastAsia="zh-CN"/>
                    </w:rPr>
                    <w:t>依托已建成</w:t>
                  </w:r>
                </w:p>
              </w:tc>
            </w:tr>
            <w:tr w14:paraId="0F52B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 w:type="pct"/>
                  <w:vMerge w:val="continue"/>
                  <w:vAlign w:val="center"/>
                </w:tcPr>
                <w:p w14:paraId="28ACE500">
                  <w:pPr>
                    <w:pStyle w:val="7"/>
                    <w:ind w:firstLine="0" w:firstLineChars="0"/>
                    <w:jc w:val="center"/>
                    <w:rPr>
                      <w:color w:val="auto"/>
                      <w:szCs w:val="21"/>
                    </w:rPr>
                  </w:pPr>
                </w:p>
              </w:tc>
              <w:tc>
                <w:tcPr>
                  <w:tcW w:w="426" w:type="pct"/>
                  <w:vAlign w:val="center"/>
                </w:tcPr>
                <w:p w14:paraId="6D0A1803">
                  <w:pPr>
                    <w:pStyle w:val="7"/>
                    <w:ind w:firstLine="0" w:firstLineChars="0"/>
                    <w:jc w:val="center"/>
                    <w:rPr>
                      <w:color w:val="auto"/>
                      <w:szCs w:val="21"/>
                    </w:rPr>
                  </w:pPr>
                  <w:r>
                    <w:rPr>
                      <w:color w:val="auto"/>
                      <w:szCs w:val="21"/>
                    </w:rPr>
                    <w:t>噪声</w:t>
                  </w:r>
                </w:p>
              </w:tc>
              <w:tc>
                <w:tcPr>
                  <w:tcW w:w="757" w:type="pct"/>
                  <w:vAlign w:val="center"/>
                </w:tcPr>
                <w:p w14:paraId="6593EE55">
                  <w:pPr>
                    <w:jc w:val="center"/>
                    <w:rPr>
                      <w:color w:val="auto"/>
                      <w:szCs w:val="21"/>
                    </w:rPr>
                  </w:pPr>
                  <w:r>
                    <w:rPr>
                      <w:color w:val="auto"/>
                      <w:szCs w:val="21"/>
                    </w:rPr>
                    <w:t>生产设备噪声</w:t>
                  </w:r>
                </w:p>
              </w:tc>
              <w:tc>
                <w:tcPr>
                  <w:tcW w:w="2883" w:type="pct"/>
                  <w:vAlign w:val="center"/>
                </w:tcPr>
                <w:p w14:paraId="1449F805">
                  <w:pPr>
                    <w:jc w:val="center"/>
                    <w:rPr>
                      <w:color w:val="auto"/>
                      <w:szCs w:val="21"/>
                    </w:rPr>
                  </w:pPr>
                  <w:r>
                    <w:rPr>
                      <w:color w:val="auto"/>
                      <w:szCs w:val="21"/>
                    </w:rPr>
                    <w:t>项目区所有生产设备均置于厂房内，高噪声设备安装消声、减振装置</w:t>
                  </w:r>
                  <w:r>
                    <w:rPr>
                      <w:rFonts w:hint="eastAsia"/>
                      <w:color w:val="auto"/>
                      <w:szCs w:val="21"/>
                    </w:rPr>
                    <w:t>，设置空压机房</w:t>
                  </w:r>
                  <w:r>
                    <w:rPr>
                      <w:color w:val="auto"/>
                      <w:szCs w:val="21"/>
                    </w:rPr>
                    <w:t>。</w:t>
                  </w:r>
                </w:p>
              </w:tc>
              <w:tc>
                <w:tcPr>
                  <w:tcW w:w="688" w:type="pct"/>
                  <w:vAlign w:val="center"/>
                </w:tcPr>
                <w:p w14:paraId="5D1DE3E4">
                  <w:pPr>
                    <w:jc w:val="center"/>
                    <w:rPr>
                      <w:rFonts w:hint="default" w:eastAsia="宋体"/>
                      <w:bCs/>
                      <w:color w:val="auto"/>
                      <w:szCs w:val="21"/>
                      <w:lang w:val="en-US" w:eastAsia="zh-CN"/>
                    </w:rPr>
                  </w:pPr>
                  <w:r>
                    <w:rPr>
                      <w:rFonts w:hint="eastAsia"/>
                      <w:bCs/>
                      <w:color w:val="auto"/>
                      <w:szCs w:val="21"/>
                      <w:lang w:val="en-US" w:eastAsia="zh-CN"/>
                    </w:rPr>
                    <w:t>1.3</w:t>
                  </w:r>
                </w:p>
              </w:tc>
            </w:tr>
            <w:tr w14:paraId="1FCC9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244" w:type="pct"/>
                  <w:vMerge w:val="continue"/>
                  <w:vAlign w:val="center"/>
                </w:tcPr>
                <w:p w14:paraId="671EEA10">
                  <w:pPr>
                    <w:pStyle w:val="7"/>
                    <w:ind w:firstLine="0" w:firstLineChars="0"/>
                    <w:jc w:val="center"/>
                    <w:rPr>
                      <w:color w:val="auto"/>
                      <w:szCs w:val="21"/>
                    </w:rPr>
                  </w:pPr>
                </w:p>
              </w:tc>
              <w:tc>
                <w:tcPr>
                  <w:tcW w:w="426" w:type="pct"/>
                  <w:vMerge w:val="restart"/>
                  <w:vAlign w:val="center"/>
                </w:tcPr>
                <w:p w14:paraId="4144091D">
                  <w:pPr>
                    <w:pStyle w:val="7"/>
                    <w:ind w:firstLine="0" w:firstLineChars="0"/>
                    <w:jc w:val="center"/>
                    <w:rPr>
                      <w:color w:val="auto"/>
                      <w:szCs w:val="21"/>
                    </w:rPr>
                  </w:pPr>
                  <w:r>
                    <w:rPr>
                      <w:color w:val="auto"/>
                      <w:szCs w:val="21"/>
                    </w:rPr>
                    <w:t>固废治理</w:t>
                  </w:r>
                </w:p>
              </w:tc>
              <w:tc>
                <w:tcPr>
                  <w:tcW w:w="757" w:type="pct"/>
                  <w:vAlign w:val="center"/>
                </w:tcPr>
                <w:p w14:paraId="310B533E">
                  <w:pPr>
                    <w:widowControl/>
                    <w:jc w:val="center"/>
                    <w:rPr>
                      <w:color w:val="auto"/>
                      <w:szCs w:val="21"/>
                    </w:rPr>
                  </w:pPr>
                  <w:r>
                    <w:rPr>
                      <w:color w:val="auto"/>
                      <w:szCs w:val="21"/>
                    </w:rPr>
                    <w:t>带盖垃圾收集桶</w:t>
                  </w:r>
                </w:p>
              </w:tc>
              <w:tc>
                <w:tcPr>
                  <w:tcW w:w="2883" w:type="pct"/>
                  <w:vAlign w:val="center"/>
                </w:tcPr>
                <w:p w14:paraId="1585FC3C">
                  <w:pPr>
                    <w:widowControl/>
                    <w:jc w:val="center"/>
                    <w:rPr>
                      <w:color w:val="auto"/>
                      <w:szCs w:val="21"/>
                    </w:rPr>
                  </w:pPr>
                  <w:r>
                    <w:rPr>
                      <w:color w:val="auto"/>
                      <w:szCs w:val="21"/>
                    </w:rPr>
                    <w:t>厂区内分散设置若干带盖垃圾收集桶，用于收集生活垃圾。</w:t>
                  </w:r>
                </w:p>
              </w:tc>
              <w:tc>
                <w:tcPr>
                  <w:tcW w:w="688" w:type="pct"/>
                  <w:vAlign w:val="center"/>
                </w:tcPr>
                <w:p w14:paraId="3CAB2F06">
                  <w:pPr>
                    <w:jc w:val="center"/>
                    <w:rPr>
                      <w:bCs/>
                      <w:color w:val="auto"/>
                      <w:szCs w:val="21"/>
                    </w:rPr>
                  </w:pPr>
                  <w:r>
                    <w:rPr>
                      <w:rFonts w:hint="eastAsia"/>
                      <w:bCs/>
                      <w:color w:val="auto"/>
                      <w:szCs w:val="21"/>
                    </w:rPr>
                    <w:t>0.05</w:t>
                  </w:r>
                </w:p>
              </w:tc>
            </w:tr>
            <w:tr w14:paraId="0D4D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244" w:type="pct"/>
                  <w:vMerge w:val="continue"/>
                  <w:vAlign w:val="center"/>
                </w:tcPr>
                <w:p w14:paraId="6CD98005">
                  <w:pPr>
                    <w:jc w:val="center"/>
                    <w:rPr>
                      <w:color w:val="auto"/>
                    </w:rPr>
                  </w:pPr>
                </w:p>
              </w:tc>
              <w:tc>
                <w:tcPr>
                  <w:tcW w:w="426" w:type="pct"/>
                  <w:vMerge w:val="continue"/>
                  <w:vAlign w:val="center"/>
                </w:tcPr>
                <w:p w14:paraId="03A8F214">
                  <w:pPr>
                    <w:jc w:val="center"/>
                    <w:rPr>
                      <w:color w:val="auto"/>
                    </w:rPr>
                  </w:pPr>
                </w:p>
              </w:tc>
              <w:tc>
                <w:tcPr>
                  <w:tcW w:w="757" w:type="pct"/>
                  <w:vAlign w:val="center"/>
                </w:tcPr>
                <w:p w14:paraId="0296E71F">
                  <w:pPr>
                    <w:widowControl/>
                    <w:jc w:val="center"/>
                    <w:rPr>
                      <w:color w:val="auto"/>
                      <w:szCs w:val="21"/>
                    </w:rPr>
                  </w:pPr>
                  <w:r>
                    <w:rPr>
                      <w:color w:val="auto"/>
                      <w:szCs w:val="21"/>
                    </w:rPr>
                    <w:t>泔水桶</w:t>
                  </w:r>
                </w:p>
              </w:tc>
              <w:tc>
                <w:tcPr>
                  <w:tcW w:w="2883" w:type="pct"/>
                  <w:vAlign w:val="center"/>
                </w:tcPr>
                <w:p w14:paraId="425A410C">
                  <w:pPr>
                    <w:widowControl/>
                    <w:jc w:val="center"/>
                    <w:rPr>
                      <w:color w:val="auto"/>
                      <w:szCs w:val="21"/>
                    </w:rPr>
                  </w:pPr>
                  <w:r>
                    <w:rPr>
                      <w:color w:val="auto"/>
                      <w:szCs w:val="21"/>
                    </w:rPr>
                    <w:t>食堂内设置2只泔水桶，1用1备，用于收集食堂泔水。</w:t>
                  </w:r>
                </w:p>
              </w:tc>
              <w:tc>
                <w:tcPr>
                  <w:tcW w:w="688" w:type="pct"/>
                  <w:vAlign w:val="center"/>
                </w:tcPr>
                <w:p w14:paraId="7E1F375C">
                  <w:pPr>
                    <w:jc w:val="center"/>
                    <w:rPr>
                      <w:color w:val="auto"/>
                      <w:szCs w:val="21"/>
                    </w:rPr>
                  </w:pPr>
                  <w:r>
                    <w:rPr>
                      <w:rFonts w:hint="eastAsia"/>
                      <w:color w:val="auto"/>
                      <w:szCs w:val="21"/>
                    </w:rPr>
                    <w:t>0.01</w:t>
                  </w:r>
                </w:p>
              </w:tc>
            </w:tr>
            <w:tr w14:paraId="31B4C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244" w:type="pct"/>
                  <w:vMerge w:val="continue"/>
                  <w:vAlign w:val="center"/>
                </w:tcPr>
                <w:p w14:paraId="3F623D53">
                  <w:pPr>
                    <w:jc w:val="center"/>
                    <w:rPr>
                      <w:color w:val="auto"/>
                      <w:szCs w:val="21"/>
                    </w:rPr>
                  </w:pPr>
                </w:p>
              </w:tc>
              <w:tc>
                <w:tcPr>
                  <w:tcW w:w="426" w:type="pct"/>
                  <w:vMerge w:val="continue"/>
                  <w:vAlign w:val="center"/>
                </w:tcPr>
                <w:p w14:paraId="0906C8EF">
                  <w:pPr>
                    <w:jc w:val="center"/>
                    <w:rPr>
                      <w:color w:val="auto"/>
                      <w:szCs w:val="21"/>
                    </w:rPr>
                  </w:pPr>
                </w:p>
              </w:tc>
              <w:tc>
                <w:tcPr>
                  <w:tcW w:w="757" w:type="pct"/>
                  <w:vAlign w:val="center"/>
                </w:tcPr>
                <w:p w14:paraId="6760B0F5">
                  <w:pPr>
                    <w:widowControl/>
                    <w:jc w:val="center"/>
                    <w:rPr>
                      <w:color w:val="auto"/>
                      <w:szCs w:val="21"/>
                    </w:rPr>
                  </w:pPr>
                  <w:r>
                    <w:rPr>
                      <w:color w:val="auto"/>
                      <w:szCs w:val="21"/>
                    </w:rPr>
                    <w:t>废油脂收集桶</w:t>
                  </w:r>
                </w:p>
              </w:tc>
              <w:tc>
                <w:tcPr>
                  <w:tcW w:w="2883" w:type="pct"/>
                  <w:vAlign w:val="center"/>
                </w:tcPr>
                <w:p w14:paraId="23E277F2">
                  <w:pPr>
                    <w:widowControl/>
                    <w:jc w:val="center"/>
                    <w:rPr>
                      <w:color w:val="auto"/>
                      <w:szCs w:val="21"/>
                    </w:rPr>
                  </w:pPr>
                  <w:r>
                    <w:rPr>
                      <w:color w:val="auto"/>
                      <w:szCs w:val="21"/>
                    </w:rPr>
                    <w:t>2只，1用1备，用于收集食堂隔油池</w:t>
                  </w:r>
                  <w:r>
                    <w:rPr>
                      <w:rFonts w:hint="eastAsia"/>
                      <w:color w:val="auto"/>
                      <w:szCs w:val="21"/>
                      <w:lang w:eastAsia="zh-CN"/>
                    </w:rPr>
                    <w:t>油污</w:t>
                  </w:r>
                  <w:r>
                    <w:rPr>
                      <w:color w:val="auto"/>
                      <w:szCs w:val="21"/>
                    </w:rPr>
                    <w:t>。</w:t>
                  </w:r>
                </w:p>
              </w:tc>
              <w:tc>
                <w:tcPr>
                  <w:tcW w:w="688" w:type="pct"/>
                  <w:vAlign w:val="center"/>
                </w:tcPr>
                <w:p w14:paraId="6D5683A9">
                  <w:pPr>
                    <w:jc w:val="center"/>
                    <w:rPr>
                      <w:color w:val="auto"/>
                      <w:szCs w:val="21"/>
                    </w:rPr>
                  </w:pPr>
                  <w:r>
                    <w:rPr>
                      <w:rFonts w:hint="eastAsia"/>
                      <w:color w:val="auto"/>
                      <w:szCs w:val="21"/>
                    </w:rPr>
                    <w:t>0.01</w:t>
                  </w:r>
                </w:p>
              </w:tc>
            </w:tr>
            <w:tr w14:paraId="42D1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 w:type="pct"/>
                  <w:vMerge w:val="continue"/>
                  <w:vAlign w:val="center"/>
                </w:tcPr>
                <w:p w14:paraId="5EF3997B">
                  <w:pPr>
                    <w:pStyle w:val="7"/>
                    <w:ind w:firstLine="0" w:firstLineChars="0"/>
                    <w:jc w:val="center"/>
                    <w:rPr>
                      <w:color w:val="auto"/>
                      <w:szCs w:val="21"/>
                    </w:rPr>
                  </w:pPr>
                </w:p>
              </w:tc>
              <w:tc>
                <w:tcPr>
                  <w:tcW w:w="426" w:type="pct"/>
                  <w:vMerge w:val="continue"/>
                  <w:vAlign w:val="center"/>
                </w:tcPr>
                <w:p w14:paraId="5C0AA9ED">
                  <w:pPr>
                    <w:pStyle w:val="7"/>
                    <w:ind w:firstLine="0" w:firstLineChars="0"/>
                    <w:jc w:val="center"/>
                    <w:rPr>
                      <w:color w:val="auto"/>
                      <w:szCs w:val="21"/>
                    </w:rPr>
                  </w:pPr>
                </w:p>
              </w:tc>
              <w:tc>
                <w:tcPr>
                  <w:tcW w:w="757" w:type="pct"/>
                  <w:vAlign w:val="center"/>
                </w:tcPr>
                <w:p w14:paraId="68849F65">
                  <w:pPr>
                    <w:jc w:val="center"/>
                    <w:rPr>
                      <w:bCs/>
                      <w:color w:val="auto"/>
                      <w:szCs w:val="21"/>
                    </w:rPr>
                  </w:pPr>
                  <w:r>
                    <w:rPr>
                      <w:bCs/>
                      <w:color w:val="auto"/>
                      <w:szCs w:val="21"/>
                    </w:rPr>
                    <w:t>一般固废暂存</w:t>
                  </w:r>
                  <w:r>
                    <w:rPr>
                      <w:rFonts w:hint="eastAsia"/>
                      <w:bCs/>
                      <w:color w:val="auto"/>
                      <w:szCs w:val="21"/>
                    </w:rPr>
                    <w:t>间</w:t>
                  </w:r>
                </w:p>
              </w:tc>
              <w:tc>
                <w:tcPr>
                  <w:tcW w:w="2883" w:type="pct"/>
                  <w:vAlign w:val="center"/>
                </w:tcPr>
                <w:p w14:paraId="19F57754">
                  <w:pPr>
                    <w:jc w:val="center"/>
                    <w:rPr>
                      <w:bCs/>
                      <w:color w:val="auto"/>
                      <w:szCs w:val="21"/>
                    </w:rPr>
                  </w:pPr>
                  <w:r>
                    <w:rPr>
                      <w:bCs/>
                      <w:color w:val="auto"/>
                      <w:szCs w:val="21"/>
                    </w:rPr>
                    <w:t>设置1间建筑面积</w:t>
                  </w:r>
                  <w:r>
                    <w:rPr>
                      <w:rFonts w:hint="eastAsia"/>
                      <w:bCs/>
                      <w:color w:val="auto"/>
                      <w:szCs w:val="21"/>
                    </w:rPr>
                    <w:t>为10</w:t>
                  </w:r>
                  <w:r>
                    <w:rPr>
                      <w:bCs/>
                      <w:color w:val="auto"/>
                      <w:szCs w:val="21"/>
                    </w:rPr>
                    <w:t>m</w:t>
                  </w:r>
                  <w:r>
                    <w:rPr>
                      <w:bCs/>
                      <w:color w:val="auto"/>
                      <w:szCs w:val="21"/>
                      <w:vertAlign w:val="superscript"/>
                    </w:rPr>
                    <w:t>2</w:t>
                  </w:r>
                  <w:r>
                    <w:rPr>
                      <w:rFonts w:hint="eastAsia"/>
                      <w:bCs/>
                      <w:color w:val="auto"/>
                      <w:szCs w:val="21"/>
                    </w:rPr>
                    <w:t>的</w:t>
                  </w:r>
                  <w:r>
                    <w:rPr>
                      <w:bCs/>
                      <w:color w:val="auto"/>
                      <w:szCs w:val="21"/>
                    </w:rPr>
                    <w:t>一般固废暂存</w:t>
                  </w:r>
                  <w:r>
                    <w:rPr>
                      <w:rFonts w:hint="eastAsia"/>
                      <w:bCs/>
                      <w:color w:val="auto"/>
                      <w:szCs w:val="21"/>
                    </w:rPr>
                    <w:t>间，</w:t>
                  </w:r>
                  <w:r>
                    <w:rPr>
                      <w:bCs/>
                      <w:color w:val="auto"/>
                      <w:szCs w:val="21"/>
                    </w:rPr>
                    <w:t>用于收集暂存生产过程产生的一般固体废弃物，一般固废暂存</w:t>
                  </w:r>
                  <w:r>
                    <w:rPr>
                      <w:rFonts w:hint="eastAsia"/>
                      <w:bCs/>
                      <w:color w:val="auto"/>
                      <w:szCs w:val="21"/>
                    </w:rPr>
                    <w:t>间建设需满足《一般工业固体废物贮存和填埋污染控制标准》（GB18599-2020）相关要求</w:t>
                  </w:r>
                  <w:r>
                    <w:rPr>
                      <w:bCs/>
                      <w:color w:val="auto"/>
                      <w:szCs w:val="21"/>
                    </w:rPr>
                    <w:t>。</w:t>
                  </w:r>
                </w:p>
              </w:tc>
              <w:tc>
                <w:tcPr>
                  <w:tcW w:w="688" w:type="pct"/>
                  <w:vAlign w:val="center"/>
                </w:tcPr>
                <w:p w14:paraId="4AE5AAE6">
                  <w:pPr>
                    <w:jc w:val="center"/>
                    <w:rPr>
                      <w:bCs/>
                      <w:color w:val="auto"/>
                      <w:szCs w:val="21"/>
                    </w:rPr>
                  </w:pPr>
                  <w:r>
                    <w:rPr>
                      <w:rFonts w:hint="eastAsia"/>
                      <w:bCs/>
                      <w:color w:val="auto"/>
                      <w:szCs w:val="21"/>
                    </w:rPr>
                    <w:t>0.3</w:t>
                  </w:r>
                </w:p>
              </w:tc>
            </w:tr>
            <w:tr w14:paraId="6377F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 w:type="pct"/>
                  <w:vMerge w:val="continue"/>
                  <w:vAlign w:val="center"/>
                </w:tcPr>
                <w:p w14:paraId="2F550D49">
                  <w:pPr>
                    <w:pStyle w:val="7"/>
                    <w:ind w:firstLine="0" w:firstLineChars="0"/>
                    <w:jc w:val="center"/>
                    <w:rPr>
                      <w:color w:val="auto"/>
                      <w:szCs w:val="21"/>
                    </w:rPr>
                  </w:pPr>
                </w:p>
              </w:tc>
              <w:tc>
                <w:tcPr>
                  <w:tcW w:w="426" w:type="pct"/>
                  <w:vMerge w:val="continue"/>
                  <w:vAlign w:val="center"/>
                </w:tcPr>
                <w:p w14:paraId="4795BE95">
                  <w:pPr>
                    <w:pStyle w:val="7"/>
                    <w:ind w:firstLine="0" w:firstLineChars="0"/>
                    <w:jc w:val="center"/>
                    <w:rPr>
                      <w:color w:val="auto"/>
                      <w:szCs w:val="21"/>
                    </w:rPr>
                  </w:pPr>
                </w:p>
              </w:tc>
              <w:tc>
                <w:tcPr>
                  <w:tcW w:w="757" w:type="pct"/>
                  <w:vAlign w:val="center"/>
                </w:tcPr>
                <w:p w14:paraId="0D04C66F">
                  <w:pPr>
                    <w:widowControl/>
                    <w:jc w:val="center"/>
                    <w:rPr>
                      <w:color w:val="auto"/>
                      <w:szCs w:val="21"/>
                    </w:rPr>
                  </w:pPr>
                  <w:r>
                    <w:rPr>
                      <w:color w:val="auto"/>
                      <w:szCs w:val="21"/>
                    </w:rPr>
                    <w:t>危险废物</w:t>
                  </w:r>
                  <w:r>
                    <w:rPr>
                      <w:rFonts w:hint="eastAsia"/>
                      <w:color w:val="auto"/>
                      <w:szCs w:val="21"/>
                      <w:lang w:val="en-US" w:eastAsia="zh-CN"/>
                    </w:rPr>
                    <w:t>贮存库</w:t>
                  </w:r>
                </w:p>
              </w:tc>
              <w:tc>
                <w:tcPr>
                  <w:tcW w:w="2883" w:type="pct"/>
                  <w:vAlign w:val="center"/>
                </w:tcPr>
                <w:p w14:paraId="1B370AD0">
                  <w:pPr>
                    <w:rPr>
                      <w:color w:val="auto"/>
                      <w:szCs w:val="21"/>
                    </w:rPr>
                  </w:pPr>
                  <w:r>
                    <w:rPr>
                      <w:color w:val="auto"/>
                      <w:szCs w:val="21"/>
                    </w:rPr>
                    <w:t>设置1间占地面积为</w:t>
                  </w:r>
                  <w:r>
                    <w:rPr>
                      <w:rFonts w:hint="eastAsia"/>
                      <w:color w:val="auto"/>
                      <w:szCs w:val="21"/>
                      <w:lang w:val="en-US" w:eastAsia="zh-CN"/>
                    </w:rPr>
                    <w:t>8</w:t>
                  </w:r>
                  <w:r>
                    <w:rPr>
                      <w:color w:val="auto"/>
                      <w:szCs w:val="21"/>
                    </w:rPr>
                    <w:t>m</w:t>
                  </w:r>
                  <w:r>
                    <w:rPr>
                      <w:color w:val="auto"/>
                      <w:szCs w:val="21"/>
                      <w:vertAlign w:val="superscript"/>
                    </w:rPr>
                    <w:t>2</w:t>
                  </w:r>
                  <w:r>
                    <w:rPr>
                      <w:color w:val="auto"/>
                      <w:szCs w:val="21"/>
                    </w:rPr>
                    <w:t>的</w:t>
                  </w:r>
                  <w:r>
                    <w:rPr>
                      <w:rFonts w:hint="eastAsia"/>
                      <w:color w:val="auto"/>
                      <w:szCs w:val="21"/>
                      <w:lang w:val="en-US" w:eastAsia="zh-CN"/>
                    </w:rPr>
                    <w:t>危险废物贮存库</w:t>
                  </w:r>
                  <w:r>
                    <w:rPr>
                      <w:color w:val="auto"/>
                      <w:szCs w:val="21"/>
                    </w:rPr>
                    <w:t>，</w:t>
                  </w:r>
                  <w:r>
                    <w:rPr>
                      <w:color w:val="auto"/>
                      <w:sz w:val="21"/>
                      <w:szCs w:val="21"/>
                    </w:rPr>
                    <w:t>并配套</w:t>
                  </w:r>
                  <w:r>
                    <w:rPr>
                      <w:rFonts w:hint="eastAsia"/>
                      <w:color w:val="auto"/>
                      <w:sz w:val="21"/>
                      <w:szCs w:val="21"/>
                      <w:lang w:val="en-US" w:eastAsia="zh-CN"/>
                    </w:rPr>
                    <w:t>3</w:t>
                  </w:r>
                  <w:r>
                    <w:rPr>
                      <w:color w:val="auto"/>
                      <w:sz w:val="21"/>
                      <w:szCs w:val="21"/>
                    </w:rPr>
                    <w:t>个危险废物专用收集容器，用于收集暂存</w:t>
                  </w:r>
                  <w:r>
                    <w:rPr>
                      <w:rFonts w:hint="eastAsia"/>
                      <w:color w:val="auto"/>
                      <w:sz w:val="21"/>
                      <w:szCs w:val="21"/>
                      <w:lang w:eastAsia="zh-CN"/>
                    </w:rPr>
                    <w:t>废气处理过程中产生的废活性炭、</w:t>
                  </w:r>
                  <w:r>
                    <w:rPr>
                      <w:rFonts w:hint="eastAsia"/>
                      <w:color w:val="auto"/>
                      <w:lang w:val="en-US" w:eastAsia="zh-CN"/>
                    </w:rPr>
                    <w:t>设备</w:t>
                  </w:r>
                  <w:r>
                    <w:rPr>
                      <w:rFonts w:hint="eastAsia"/>
                      <w:color w:val="auto"/>
                      <w:szCs w:val="21"/>
                      <w:lang w:val="en-US" w:eastAsia="zh-CN"/>
                    </w:rPr>
                    <w:t>维护保养</w:t>
                  </w:r>
                  <w:r>
                    <w:rPr>
                      <w:color w:val="auto"/>
                      <w:szCs w:val="21"/>
                    </w:rPr>
                    <w:t>过程产生的废机油及</w:t>
                  </w:r>
                  <w:r>
                    <w:rPr>
                      <w:rFonts w:hint="eastAsia"/>
                      <w:color w:val="auto"/>
                      <w:szCs w:val="21"/>
                      <w:lang w:val="en-US" w:eastAsia="zh-CN"/>
                    </w:rPr>
                    <w:t>维护保养</w:t>
                  </w:r>
                  <w:r>
                    <w:rPr>
                      <w:color w:val="auto"/>
                      <w:szCs w:val="21"/>
                    </w:rPr>
                    <w:t>废物。危险废物</w:t>
                  </w:r>
                  <w:r>
                    <w:rPr>
                      <w:rFonts w:hint="eastAsia"/>
                      <w:color w:val="auto"/>
                      <w:lang w:val="en-US" w:eastAsia="zh-CN"/>
                    </w:rPr>
                    <w:t>贮存库</w:t>
                  </w:r>
                  <w:r>
                    <w:rPr>
                      <w:color w:val="auto"/>
                      <w:szCs w:val="21"/>
                    </w:rPr>
                    <w:t>地面和四周墙裙脚</w:t>
                  </w:r>
                  <w:r>
                    <w:rPr>
                      <w:color w:val="auto"/>
                      <w:szCs w:val="21"/>
                      <w:lang w:val="zh-CN"/>
                    </w:rPr>
                    <w:t>采用</w:t>
                  </w:r>
                  <w:r>
                    <w:rPr>
                      <w:color w:val="auto"/>
                      <w:szCs w:val="21"/>
                    </w:rPr>
                    <w:t>“抗渗混凝土+2mm厚HDPE+环氧树脂涂料”进行重点防渗处理</w:t>
                  </w:r>
                  <w:r>
                    <w:rPr>
                      <w:color w:val="auto"/>
                      <w:szCs w:val="21"/>
                      <w:lang w:val="zh-CN"/>
                    </w:rPr>
                    <w:t>，渗透系数≤10</w:t>
                  </w:r>
                  <w:r>
                    <w:rPr>
                      <w:color w:val="auto"/>
                      <w:szCs w:val="21"/>
                      <w:vertAlign w:val="superscript"/>
                      <w:lang w:val="zh-CN"/>
                    </w:rPr>
                    <w:t>-10</w:t>
                  </w:r>
                  <w:r>
                    <w:rPr>
                      <w:color w:val="auto"/>
                      <w:szCs w:val="21"/>
                      <w:lang w:val="zh-CN"/>
                    </w:rPr>
                    <w:t>cm/s</w:t>
                  </w:r>
                  <w:r>
                    <w:rPr>
                      <w:color w:val="auto"/>
                      <w:szCs w:val="21"/>
                    </w:rPr>
                    <w:t>，并按照要求设置规范的标识标牌。</w:t>
                  </w:r>
                </w:p>
              </w:tc>
              <w:tc>
                <w:tcPr>
                  <w:tcW w:w="688" w:type="pct"/>
                  <w:vAlign w:val="center"/>
                </w:tcPr>
                <w:p w14:paraId="3516EC83">
                  <w:pPr>
                    <w:jc w:val="center"/>
                    <w:rPr>
                      <w:rFonts w:hint="eastAsia" w:eastAsia="宋体"/>
                      <w:bCs/>
                      <w:color w:val="auto"/>
                      <w:szCs w:val="21"/>
                      <w:lang w:eastAsia="zh-CN"/>
                    </w:rPr>
                  </w:pPr>
                  <w:r>
                    <w:rPr>
                      <w:rFonts w:hint="eastAsia"/>
                      <w:bCs/>
                      <w:color w:val="auto"/>
                      <w:szCs w:val="21"/>
                    </w:rPr>
                    <w:t>2.</w:t>
                  </w:r>
                  <w:r>
                    <w:rPr>
                      <w:rFonts w:hint="eastAsia"/>
                      <w:bCs/>
                      <w:color w:val="auto"/>
                      <w:szCs w:val="21"/>
                      <w:lang w:val="en-US" w:eastAsia="zh-CN"/>
                    </w:rPr>
                    <w:t>7</w:t>
                  </w:r>
                </w:p>
              </w:tc>
            </w:tr>
            <w:tr w14:paraId="16FAF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 w:type="pct"/>
                  <w:vMerge w:val="continue"/>
                  <w:vAlign w:val="center"/>
                </w:tcPr>
                <w:p w14:paraId="0C232750">
                  <w:pPr>
                    <w:pStyle w:val="7"/>
                    <w:ind w:firstLine="0" w:firstLineChars="0"/>
                    <w:jc w:val="center"/>
                    <w:rPr>
                      <w:color w:val="auto"/>
                      <w:szCs w:val="21"/>
                    </w:rPr>
                  </w:pPr>
                </w:p>
              </w:tc>
              <w:tc>
                <w:tcPr>
                  <w:tcW w:w="1184" w:type="pct"/>
                  <w:gridSpan w:val="2"/>
                  <w:vAlign w:val="center"/>
                </w:tcPr>
                <w:p w14:paraId="614666CD">
                  <w:pPr>
                    <w:jc w:val="center"/>
                    <w:rPr>
                      <w:color w:val="auto"/>
                      <w:szCs w:val="21"/>
                    </w:rPr>
                  </w:pPr>
                  <w:r>
                    <w:rPr>
                      <w:color w:val="auto"/>
                      <w:szCs w:val="21"/>
                    </w:rPr>
                    <w:t>分区防渗</w:t>
                  </w:r>
                </w:p>
              </w:tc>
              <w:tc>
                <w:tcPr>
                  <w:tcW w:w="2883" w:type="pct"/>
                  <w:vAlign w:val="center"/>
                </w:tcPr>
                <w:p w14:paraId="3D23621D">
                  <w:pPr>
                    <w:widowControl/>
                    <w:jc w:val="center"/>
                    <w:rPr>
                      <w:color w:val="auto"/>
                      <w:szCs w:val="21"/>
                    </w:rPr>
                  </w:pPr>
                  <w:r>
                    <w:rPr>
                      <w:b/>
                      <w:bCs/>
                      <w:color w:val="auto"/>
                      <w:szCs w:val="21"/>
                    </w:rPr>
                    <w:t>重点防渗：</w:t>
                  </w:r>
                  <w:r>
                    <w:rPr>
                      <w:rFonts w:hint="eastAsia"/>
                      <w:color w:val="auto"/>
                      <w:szCs w:val="21"/>
                      <w:lang w:val="en-US" w:eastAsia="zh-CN"/>
                    </w:rPr>
                    <w:t>危险废物贮存库</w:t>
                  </w:r>
                  <w:r>
                    <w:rPr>
                      <w:color w:val="auto"/>
                      <w:szCs w:val="21"/>
                      <w:lang w:val="zh-CN"/>
                    </w:rPr>
                    <w:t>地面及</w:t>
                  </w:r>
                  <w:r>
                    <w:rPr>
                      <w:color w:val="auto"/>
                      <w:szCs w:val="21"/>
                    </w:rPr>
                    <w:t>四周墙裙脚</w:t>
                  </w:r>
                  <w:r>
                    <w:rPr>
                      <w:color w:val="auto"/>
                      <w:szCs w:val="21"/>
                      <w:lang w:val="zh-CN"/>
                    </w:rPr>
                    <w:t>采用“</w:t>
                  </w:r>
                  <w:r>
                    <w:rPr>
                      <w:color w:val="auto"/>
                      <w:szCs w:val="21"/>
                    </w:rPr>
                    <w:t>抗渗混凝土</w:t>
                  </w:r>
                  <w:r>
                    <w:rPr>
                      <w:color w:val="auto"/>
                      <w:szCs w:val="21"/>
                      <w:lang w:val="zh-CN"/>
                    </w:rPr>
                    <w:t>+2mm厚HDPE+环氧树脂”</w:t>
                  </w:r>
                  <w:r>
                    <w:rPr>
                      <w:color w:val="auto"/>
                      <w:szCs w:val="21"/>
                    </w:rPr>
                    <w:t>进行重点防渗处理</w:t>
                  </w:r>
                  <w:r>
                    <w:rPr>
                      <w:color w:val="auto"/>
                      <w:szCs w:val="21"/>
                      <w:lang w:val="zh-CN"/>
                    </w:rPr>
                    <w:t>，渗透系数≤10</w:t>
                  </w:r>
                  <w:r>
                    <w:rPr>
                      <w:color w:val="auto"/>
                      <w:szCs w:val="21"/>
                      <w:vertAlign w:val="superscript"/>
                      <w:lang w:val="zh-CN"/>
                    </w:rPr>
                    <w:t>-10</w:t>
                  </w:r>
                  <w:r>
                    <w:rPr>
                      <w:color w:val="auto"/>
                      <w:szCs w:val="21"/>
                      <w:lang w:val="zh-CN"/>
                    </w:rPr>
                    <w:t>cm/s</w:t>
                  </w:r>
                  <w:r>
                    <w:rPr>
                      <w:color w:val="auto"/>
                      <w:szCs w:val="21"/>
                    </w:rPr>
                    <w:t>，并按照要求设置规范的标识、标牌；</w:t>
                  </w:r>
                  <w:r>
                    <w:rPr>
                      <w:color w:val="auto"/>
                      <w:szCs w:val="21"/>
                      <w:lang w:val="zh-CN"/>
                    </w:rPr>
                    <w:t>采用“</w:t>
                  </w:r>
                  <w:r>
                    <w:rPr>
                      <w:color w:val="auto"/>
                      <w:szCs w:val="21"/>
                    </w:rPr>
                    <w:t>抗渗混凝土</w:t>
                  </w:r>
                  <w:r>
                    <w:rPr>
                      <w:color w:val="auto"/>
                      <w:szCs w:val="21"/>
                      <w:lang w:val="zh-CN"/>
                    </w:rPr>
                    <w:t>+2mm厚HDPE+环氧树脂”</w:t>
                  </w:r>
                  <w:r>
                    <w:rPr>
                      <w:color w:val="auto"/>
                      <w:szCs w:val="21"/>
                    </w:rPr>
                    <w:t>进行重点防渗处理，</w:t>
                  </w:r>
                  <w:r>
                    <w:rPr>
                      <w:color w:val="auto"/>
                      <w:kern w:val="0"/>
                      <w:szCs w:val="21"/>
                    </w:rPr>
                    <w:t>等效粘土防渗层Mb≥6.0m，渗透系数≤1×10</w:t>
                  </w:r>
                  <w:r>
                    <w:rPr>
                      <w:color w:val="auto"/>
                      <w:kern w:val="0"/>
                      <w:szCs w:val="21"/>
                      <w:vertAlign w:val="superscript"/>
                    </w:rPr>
                    <w:t>-10</w:t>
                  </w:r>
                  <w:r>
                    <w:rPr>
                      <w:color w:val="auto"/>
                      <w:kern w:val="0"/>
                      <w:szCs w:val="21"/>
                    </w:rPr>
                    <w:t>cm/s</w:t>
                  </w:r>
                  <w:r>
                    <w:rPr>
                      <w:color w:val="auto"/>
                      <w:szCs w:val="21"/>
                    </w:rPr>
                    <w:t>。</w:t>
                  </w:r>
                </w:p>
                <w:p w14:paraId="5DF13BEC">
                  <w:pPr>
                    <w:widowControl/>
                    <w:jc w:val="center"/>
                    <w:rPr>
                      <w:color w:val="auto"/>
                      <w:szCs w:val="21"/>
                    </w:rPr>
                  </w:pPr>
                  <w:r>
                    <w:rPr>
                      <w:b/>
                      <w:bCs/>
                      <w:color w:val="auto"/>
                      <w:szCs w:val="21"/>
                    </w:rPr>
                    <w:t>一般防渗区：</w:t>
                  </w:r>
                  <w:r>
                    <w:rPr>
                      <w:rFonts w:hint="eastAsia"/>
                      <w:color w:val="auto"/>
                      <w:sz w:val="21"/>
                      <w:szCs w:val="21"/>
                      <w:highlight w:val="none"/>
                      <w:lang w:val="en-US" w:eastAsia="zh-CN"/>
                    </w:rPr>
                    <w:t>一体化</w:t>
                  </w:r>
                  <w:r>
                    <w:rPr>
                      <w:rFonts w:hint="eastAsia"/>
                      <w:color w:val="auto"/>
                      <w:sz w:val="21"/>
                      <w:szCs w:val="21"/>
                      <w:highlight w:val="none"/>
                    </w:rPr>
                    <w:t>污水处理</w:t>
                  </w:r>
                  <w:r>
                    <w:rPr>
                      <w:rFonts w:hint="eastAsia"/>
                      <w:color w:val="auto"/>
                      <w:sz w:val="21"/>
                      <w:szCs w:val="21"/>
                      <w:highlight w:val="none"/>
                      <w:lang w:val="en-US" w:eastAsia="zh-CN"/>
                    </w:rPr>
                    <w:t>站</w:t>
                  </w:r>
                  <w:r>
                    <w:rPr>
                      <w:rFonts w:hint="eastAsia"/>
                      <w:color w:val="auto"/>
                      <w:sz w:val="21"/>
                      <w:szCs w:val="21"/>
                      <w:highlight w:val="none"/>
                    </w:rPr>
                    <w:t>、</w:t>
                  </w:r>
                  <w:r>
                    <w:rPr>
                      <w:rFonts w:hint="eastAsia" w:ascii="Times New Roman" w:hAnsi="Times New Roman" w:eastAsia="宋体" w:cs="Times New Roman"/>
                      <w:color w:val="auto"/>
                      <w:kern w:val="0"/>
                      <w:sz w:val="21"/>
                      <w:szCs w:val="21"/>
                      <w:highlight w:val="none"/>
                    </w:rPr>
                    <w:t>化粪池、隔油池、</w:t>
                  </w:r>
                  <w:r>
                    <w:rPr>
                      <w:rFonts w:hint="eastAsia" w:ascii="Times New Roman" w:hAnsi="Times New Roman" w:eastAsia="宋体" w:cs="Times New Roman"/>
                      <w:color w:val="auto"/>
                      <w:kern w:val="0"/>
                      <w:sz w:val="21"/>
                      <w:szCs w:val="21"/>
                      <w:highlight w:val="none"/>
                      <w:lang w:val="en-US" w:eastAsia="zh-CN"/>
                    </w:rPr>
                    <w:t>蓄水池、</w:t>
                  </w:r>
                  <w:r>
                    <w:rPr>
                      <w:rFonts w:ascii="Times New Roman" w:hAnsi="Times New Roman" w:eastAsia="宋体" w:cs="Times New Roman"/>
                      <w:color w:val="auto"/>
                      <w:kern w:val="0"/>
                      <w:sz w:val="21"/>
                      <w:szCs w:val="21"/>
                      <w:highlight w:val="none"/>
                    </w:rPr>
                    <w:t>一般固体废物暂存</w:t>
                  </w:r>
                  <w:r>
                    <w:rPr>
                      <w:rFonts w:hint="eastAsia" w:ascii="Times New Roman" w:hAnsi="Times New Roman" w:eastAsia="宋体" w:cs="Times New Roman"/>
                      <w:color w:val="auto"/>
                      <w:kern w:val="0"/>
                      <w:sz w:val="21"/>
                      <w:szCs w:val="21"/>
                      <w:highlight w:val="none"/>
                    </w:rPr>
                    <w:t>间</w:t>
                  </w:r>
                  <w:r>
                    <w:rPr>
                      <w:color w:val="auto"/>
                      <w:sz w:val="21"/>
                      <w:szCs w:val="21"/>
                      <w:lang w:val="zh-CN"/>
                    </w:rPr>
                    <w:t>防渗技术要求达到等效黏</w:t>
                  </w:r>
                  <w:r>
                    <w:rPr>
                      <w:color w:val="auto"/>
                      <w:szCs w:val="21"/>
                      <w:lang w:val="zh-CN"/>
                    </w:rPr>
                    <w:t>土防渗层Mb≥1.5m，渗透系数≤10</w:t>
                  </w:r>
                  <w:r>
                    <w:rPr>
                      <w:color w:val="auto"/>
                      <w:szCs w:val="21"/>
                      <w:vertAlign w:val="superscript"/>
                      <w:lang w:val="zh-CN"/>
                    </w:rPr>
                    <w:t>-</w:t>
                  </w:r>
                  <w:r>
                    <w:rPr>
                      <w:color w:val="auto"/>
                      <w:szCs w:val="21"/>
                      <w:vertAlign w:val="superscript"/>
                    </w:rPr>
                    <w:t>7</w:t>
                  </w:r>
                  <w:r>
                    <w:rPr>
                      <w:color w:val="auto"/>
                      <w:szCs w:val="21"/>
                      <w:lang w:val="zh-CN"/>
                    </w:rPr>
                    <w:t>cm/s。</w:t>
                  </w:r>
                </w:p>
                <w:p w14:paraId="0000D6B1">
                  <w:pPr>
                    <w:jc w:val="center"/>
                    <w:rPr>
                      <w:color w:val="auto"/>
                      <w:szCs w:val="21"/>
                    </w:rPr>
                  </w:pPr>
                  <w:r>
                    <w:rPr>
                      <w:b/>
                      <w:bCs/>
                      <w:color w:val="auto"/>
                      <w:szCs w:val="21"/>
                    </w:rPr>
                    <w:t>简单防渗区：</w:t>
                  </w:r>
                  <w:r>
                    <w:rPr>
                      <w:color w:val="auto"/>
                      <w:szCs w:val="21"/>
                      <w:lang w:val="zh-CN"/>
                    </w:rPr>
                    <w:t>其余生产区、</w:t>
                  </w:r>
                  <w:r>
                    <w:rPr>
                      <w:color w:val="auto"/>
                      <w:szCs w:val="21"/>
                    </w:rPr>
                    <w:t>道路及办公区域（除绿化外）</w:t>
                  </w:r>
                  <w:r>
                    <w:rPr>
                      <w:color w:val="auto"/>
                      <w:szCs w:val="21"/>
                      <w:lang w:val="zh-CN"/>
                    </w:rPr>
                    <w:t>进行一般</w:t>
                  </w:r>
                  <w:r>
                    <w:rPr>
                      <w:color w:val="auto"/>
                      <w:szCs w:val="21"/>
                    </w:rPr>
                    <w:t>硬化处理。</w:t>
                  </w:r>
                </w:p>
              </w:tc>
              <w:tc>
                <w:tcPr>
                  <w:tcW w:w="688" w:type="pct"/>
                  <w:vAlign w:val="center"/>
                </w:tcPr>
                <w:p w14:paraId="3964D7EE">
                  <w:pPr>
                    <w:jc w:val="center"/>
                    <w:rPr>
                      <w:bCs/>
                      <w:color w:val="auto"/>
                      <w:szCs w:val="21"/>
                    </w:rPr>
                  </w:pPr>
                  <w:r>
                    <w:rPr>
                      <w:rFonts w:hint="eastAsia"/>
                      <w:bCs/>
                      <w:color w:val="auto"/>
                      <w:szCs w:val="21"/>
                    </w:rPr>
                    <w:t>/（</w:t>
                  </w:r>
                  <w:r>
                    <w:rPr>
                      <w:rFonts w:hint="eastAsia"/>
                      <w:color w:val="auto"/>
                      <w:szCs w:val="21"/>
                    </w:rPr>
                    <w:t>环保工程的重点或一般</w:t>
                  </w:r>
                  <w:r>
                    <w:rPr>
                      <w:rFonts w:hint="eastAsia"/>
                      <w:color w:val="auto"/>
                    </w:rPr>
                    <w:t>防渗工程投资不再重复计算，主体工程</w:t>
                  </w:r>
                  <w:r>
                    <w:rPr>
                      <w:color w:val="auto"/>
                      <w:lang w:val="zh-CN"/>
                    </w:rPr>
                    <w:t>生产区</w:t>
                  </w:r>
                  <w:r>
                    <w:rPr>
                      <w:rFonts w:hint="eastAsia"/>
                      <w:color w:val="auto"/>
                    </w:rPr>
                    <w:t>的简单防渗纳入主体投资</w:t>
                  </w:r>
                  <w:r>
                    <w:rPr>
                      <w:rFonts w:hint="eastAsia"/>
                      <w:bCs/>
                      <w:color w:val="auto"/>
                      <w:szCs w:val="21"/>
                    </w:rPr>
                    <w:t>）</w:t>
                  </w:r>
                </w:p>
              </w:tc>
            </w:tr>
            <w:tr w14:paraId="27964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4" w:type="pct"/>
                  <w:vAlign w:val="center"/>
                </w:tcPr>
                <w:p w14:paraId="4AC61554">
                  <w:pPr>
                    <w:jc w:val="center"/>
                    <w:rPr>
                      <w:color w:val="auto"/>
                      <w:szCs w:val="21"/>
                    </w:rPr>
                  </w:pPr>
                </w:p>
              </w:tc>
              <w:tc>
                <w:tcPr>
                  <w:tcW w:w="4067" w:type="pct"/>
                  <w:gridSpan w:val="3"/>
                  <w:vAlign w:val="center"/>
                </w:tcPr>
                <w:p w14:paraId="1B806C9D">
                  <w:pPr>
                    <w:jc w:val="center"/>
                    <w:rPr>
                      <w:color w:val="auto"/>
                      <w:szCs w:val="21"/>
                    </w:rPr>
                  </w:pPr>
                  <w:r>
                    <w:rPr>
                      <w:color w:val="auto"/>
                      <w:szCs w:val="21"/>
                    </w:rPr>
                    <w:t>合计</w:t>
                  </w:r>
                </w:p>
              </w:tc>
              <w:tc>
                <w:tcPr>
                  <w:tcW w:w="688" w:type="pct"/>
                  <w:vAlign w:val="center"/>
                </w:tcPr>
                <w:p w14:paraId="0749FC28">
                  <w:pPr>
                    <w:jc w:val="center"/>
                    <w:rPr>
                      <w:rFonts w:hint="default" w:eastAsia="宋体"/>
                      <w:bCs/>
                      <w:color w:val="auto"/>
                      <w:szCs w:val="21"/>
                      <w:lang w:val="en-US" w:eastAsia="zh-CN"/>
                    </w:rPr>
                  </w:pPr>
                  <w:r>
                    <w:rPr>
                      <w:rFonts w:hint="eastAsia"/>
                      <w:bCs/>
                      <w:color w:val="auto"/>
                      <w:szCs w:val="21"/>
                      <w:lang w:val="en-US" w:eastAsia="zh-CN"/>
                    </w:rPr>
                    <w:t>29.67</w:t>
                  </w:r>
                </w:p>
              </w:tc>
            </w:tr>
          </w:tbl>
          <w:p w14:paraId="4CE0E188">
            <w:pPr>
              <w:pStyle w:val="17"/>
              <w:adjustRightInd w:val="0"/>
              <w:snapToGrid w:val="0"/>
              <w:spacing w:line="360" w:lineRule="auto"/>
              <w:ind w:firstLine="482" w:firstLineChars="200"/>
              <w:rPr>
                <w:rFonts w:ascii="Times New Roman" w:hAnsi="Times New Roman"/>
                <w:b/>
                <w:color w:val="auto"/>
                <w:sz w:val="24"/>
              </w:rPr>
            </w:pPr>
            <w:r>
              <w:rPr>
                <w:rFonts w:hint="eastAsia" w:ascii="Times New Roman" w:hAnsi="Times New Roman"/>
                <w:b/>
                <w:color w:val="auto"/>
                <w:sz w:val="24"/>
              </w:rPr>
              <w:t>12</w:t>
            </w:r>
            <w:r>
              <w:rPr>
                <w:rFonts w:ascii="Times New Roman" w:hAnsi="Times New Roman"/>
                <w:b/>
                <w:color w:val="auto"/>
                <w:sz w:val="24"/>
              </w:rPr>
              <w:t>、</w:t>
            </w:r>
            <w:r>
              <w:rPr>
                <w:rFonts w:hint="eastAsia" w:ascii="Times New Roman" w:hAnsi="Times New Roman"/>
                <w:b/>
                <w:color w:val="auto"/>
                <w:sz w:val="24"/>
              </w:rPr>
              <w:t>项目</w:t>
            </w:r>
            <w:r>
              <w:rPr>
                <w:rFonts w:ascii="Times New Roman" w:hAnsi="Times New Roman"/>
                <w:b/>
                <w:color w:val="auto"/>
                <w:sz w:val="24"/>
              </w:rPr>
              <w:t>水平衡</w:t>
            </w:r>
          </w:p>
          <w:p w14:paraId="43A7FEEA">
            <w:pPr>
              <w:pStyle w:val="14"/>
              <w:adjustRightInd w:val="0"/>
              <w:snapToGrid w:val="0"/>
              <w:spacing w:after="0" w:line="360" w:lineRule="auto"/>
              <w:ind w:firstLine="482" w:firstLineChars="200"/>
              <w:rPr>
                <w:b/>
                <w:bCs/>
                <w:snapToGrid w:val="0"/>
                <w:color w:val="auto"/>
                <w:sz w:val="24"/>
              </w:rPr>
            </w:pPr>
            <w:r>
              <w:rPr>
                <w:b/>
                <w:bCs/>
                <w:snapToGrid w:val="0"/>
                <w:color w:val="auto"/>
                <w:sz w:val="24"/>
              </w:rPr>
              <w:t>（1）产排污参数计算</w:t>
            </w:r>
          </w:p>
          <w:p w14:paraId="2523AFED">
            <w:pPr>
              <w:pStyle w:val="12"/>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本项目运营期用水包括冷却用水、办公生活用水及绿化、道路场地洒水，废水主要为冷却水及办公生活污水。</w:t>
            </w:r>
          </w:p>
          <w:p w14:paraId="3CDF16A0">
            <w:pPr>
              <w:pStyle w:val="14"/>
              <w:widowControl/>
              <w:snapToGrid w:val="0"/>
              <w:spacing w:after="0" w:line="360" w:lineRule="auto"/>
              <w:ind w:firstLine="482" w:firstLineChars="200"/>
              <w:rPr>
                <w:b/>
                <w:bCs/>
                <w:snapToGrid w:val="0"/>
                <w:color w:val="auto"/>
                <w:sz w:val="24"/>
              </w:rPr>
            </w:pPr>
            <w:r>
              <w:rPr>
                <w:rFonts w:hint="eastAsia"/>
                <w:b/>
                <w:bCs/>
                <w:snapToGrid w:val="0"/>
                <w:color w:val="auto"/>
                <w:sz w:val="24"/>
              </w:rPr>
              <w:t>①</w:t>
            </w:r>
            <w:r>
              <w:rPr>
                <w:rFonts w:hint="eastAsia"/>
                <w:b/>
                <w:bCs/>
                <w:color w:val="auto"/>
                <w:sz w:val="24"/>
              </w:rPr>
              <w:t>冷却用排水</w:t>
            </w:r>
          </w:p>
          <w:p w14:paraId="40A3FA99">
            <w:pPr>
              <w:widowControl/>
              <w:adjustRightInd w:val="0"/>
              <w:snapToGrid w:val="0"/>
              <w:spacing w:line="360" w:lineRule="auto"/>
              <w:ind w:firstLine="480" w:firstLineChars="200"/>
              <w:rPr>
                <w:color w:val="auto"/>
                <w:sz w:val="24"/>
              </w:rPr>
            </w:pPr>
            <w:r>
              <w:rPr>
                <w:rFonts w:hint="eastAsia"/>
                <w:color w:val="auto"/>
                <w:sz w:val="24"/>
              </w:rPr>
              <w:t>根据建设单位提供资料可知，本项目生产物料经高温热熔工序后需要对注塑</w:t>
            </w:r>
            <w:r>
              <w:rPr>
                <w:color w:val="auto"/>
                <w:sz w:val="24"/>
              </w:rPr>
              <w:t>后的成型物料进行间接冷却，冷却过程产生冷却水，冷却水不与物料直接接触。根据《工业循环冷却水处理设计规范》（</w:t>
            </w:r>
            <w:r>
              <w:rPr>
                <w:rFonts w:hint="eastAsia"/>
                <w:color w:val="auto"/>
                <w:sz w:val="24"/>
              </w:rPr>
              <w:t>GB/T 50050-2017</w:t>
            </w:r>
            <w:r>
              <w:rPr>
                <w:color w:val="auto"/>
                <w:sz w:val="24"/>
              </w:rPr>
              <w:t>），本项目冷却水不与物料直接接触，且冷却水设置冷却塔及冷却循环水池进行冷却，冷却水与空气直接接触，因此本项目冷却系统为间冷开式循环冷却水系统。</w:t>
            </w:r>
          </w:p>
          <w:p w14:paraId="2EBCBE36">
            <w:pPr>
              <w:widowControl/>
              <w:adjustRightInd w:val="0"/>
              <w:snapToGrid w:val="0"/>
              <w:spacing w:line="360" w:lineRule="auto"/>
              <w:ind w:firstLine="480" w:firstLineChars="200"/>
              <w:rPr>
                <w:color w:val="auto"/>
                <w:sz w:val="24"/>
              </w:rPr>
            </w:pPr>
            <w:r>
              <w:rPr>
                <w:color w:val="auto"/>
                <w:sz w:val="24"/>
              </w:rPr>
              <w:t>本项目冷却系统用排水情况如下：</w:t>
            </w:r>
          </w:p>
          <w:p w14:paraId="490C4E44">
            <w:pPr>
              <w:widowControl/>
              <w:adjustRightInd w:val="0"/>
              <w:snapToGrid w:val="0"/>
              <w:spacing w:line="360" w:lineRule="auto"/>
              <w:ind w:firstLine="480" w:firstLineChars="200"/>
              <w:rPr>
                <w:color w:val="auto"/>
                <w:sz w:val="24"/>
              </w:rPr>
            </w:pPr>
            <w:r>
              <w:rPr>
                <w:color w:val="auto"/>
                <w:sz w:val="24"/>
              </w:rPr>
              <w:t>参照《云南省地方标准用水定额》（DB53/T 168-2</w:t>
            </w:r>
            <w:r>
              <w:rPr>
                <w:rFonts w:hint="eastAsia"/>
                <w:color w:val="auto"/>
                <w:sz w:val="24"/>
                <w:lang w:val="en-US" w:eastAsia="zh-CN"/>
              </w:rPr>
              <w:t>026</w:t>
            </w:r>
            <w:r>
              <w:rPr>
                <w:color w:val="auto"/>
                <w:sz w:val="24"/>
              </w:rPr>
              <w:t>）表</w:t>
            </w:r>
            <w:r>
              <w:rPr>
                <w:rFonts w:hint="eastAsia"/>
                <w:color w:val="auto"/>
                <w:sz w:val="24"/>
                <w:lang w:val="en-US" w:eastAsia="zh-CN"/>
              </w:rPr>
              <w:t>11</w:t>
            </w:r>
            <w:r>
              <w:rPr>
                <w:color w:val="auto"/>
                <w:sz w:val="24"/>
              </w:rPr>
              <w:t>（续）292塑料制品业中的塑料</w:t>
            </w:r>
            <w:r>
              <w:rPr>
                <w:rFonts w:hint="eastAsia"/>
                <w:color w:val="auto"/>
                <w:sz w:val="24"/>
              </w:rPr>
              <w:t>周转箱、桶、</w:t>
            </w:r>
            <w:r>
              <w:rPr>
                <w:color w:val="auto"/>
                <w:sz w:val="24"/>
              </w:rPr>
              <w:t>瓶生产用水量为8m</w:t>
            </w:r>
            <w:r>
              <w:rPr>
                <w:color w:val="auto"/>
                <w:sz w:val="24"/>
                <w:vertAlign w:val="superscript"/>
              </w:rPr>
              <w:t>3</w:t>
            </w:r>
            <w:r>
              <w:rPr>
                <w:color w:val="auto"/>
                <w:sz w:val="24"/>
              </w:rPr>
              <w:t>/t-产品，项目</w:t>
            </w:r>
            <w:r>
              <w:rPr>
                <w:rFonts w:hint="default" w:ascii="Times New Roman" w:hAnsi="Times New Roman" w:eastAsia="宋体" w:cs="Times New Roman"/>
                <w:color w:val="auto"/>
                <w:sz w:val="24"/>
                <w:szCs w:val="24"/>
                <w:highlight w:val="none"/>
                <w:lang w:val="en-US" w:eastAsia="zh-CN"/>
              </w:rPr>
              <w:t>年产</w:t>
            </w:r>
            <w:r>
              <w:rPr>
                <w:rFonts w:hint="eastAsia" w:ascii="Times New Roman" w:hAnsi="Times New Roman" w:eastAsia="宋体" w:cs="Times New Roman"/>
                <w:color w:val="auto"/>
                <w:sz w:val="24"/>
                <w:szCs w:val="24"/>
                <w:highlight w:val="none"/>
                <w:lang w:val="en-US" w:eastAsia="zh-CN"/>
              </w:rPr>
              <w:t>各类塑料包装箱及容器8691吨</w:t>
            </w:r>
            <w:r>
              <w:rPr>
                <w:color w:val="auto"/>
                <w:sz w:val="24"/>
              </w:rPr>
              <w:t>，则冷却水总用量为</w:t>
            </w:r>
            <w:r>
              <w:rPr>
                <w:rFonts w:hint="eastAsia"/>
                <w:color w:val="auto"/>
                <w:sz w:val="24"/>
                <w:lang w:val="en-US" w:eastAsia="zh-CN"/>
              </w:rPr>
              <w:t>69528</w:t>
            </w:r>
            <w:r>
              <w:rPr>
                <w:color w:val="auto"/>
                <w:sz w:val="24"/>
              </w:rPr>
              <w:t>m</w:t>
            </w:r>
            <w:r>
              <w:rPr>
                <w:color w:val="auto"/>
                <w:sz w:val="24"/>
                <w:vertAlign w:val="superscript"/>
              </w:rPr>
              <w:t>3</w:t>
            </w:r>
            <w:r>
              <w:rPr>
                <w:color w:val="auto"/>
                <w:sz w:val="24"/>
              </w:rPr>
              <w:t>/a、</w:t>
            </w:r>
            <w:r>
              <w:rPr>
                <w:rFonts w:hint="eastAsia"/>
                <w:color w:val="auto"/>
                <w:sz w:val="24"/>
                <w:lang w:val="en-US" w:eastAsia="zh-CN"/>
              </w:rPr>
              <w:t>231.76</w:t>
            </w:r>
            <w:r>
              <w:rPr>
                <w:color w:val="auto"/>
                <w:sz w:val="24"/>
              </w:rPr>
              <w:t>m</w:t>
            </w:r>
            <w:r>
              <w:rPr>
                <w:color w:val="auto"/>
                <w:sz w:val="24"/>
                <w:vertAlign w:val="superscript"/>
              </w:rPr>
              <w:t>3</w:t>
            </w:r>
            <w:r>
              <w:rPr>
                <w:color w:val="auto"/>
                <w:sz w:val="24"/>
              </w:rPr>
              <w:t>/d，</w:t>
            </w:r>
            <w:r>
              <w:rPr>
                <w:rFonts w:hint="eastAsia"/>
                <w:color w:val="auto"/>
                <w:sz w:val="24"/>
                <w:lang w:val="en-US" w:eastAsia="zh-CN"/>
              </w:rPr>
              <w:t>28.97</w:t>
            </w:r>
            <w:r>
              <w:rPr>
                <w:color w:val="auto"/>
                <w:sz w:val="24"/>
              </w:rPr>
              <w:t>m</w:t>
            </w:r>
            <w:r>
              <w:rPr>
                <w:color w:val="auto"/>
                <w:sz w:val="24"/>
                <w:vertAlign w:val="superscript"/>
              </w:rPr>
              <w:t>3</w:t>
            </w:r>
            <w:r>
              <w:rPr>
                <w:color w:val="auto"/>
                <w:sz w:val="24"/>
              </w:rPr>
              <w:t>/h，该部分用水量包括蒸发损耗补水量及循环水量。项目厂</w:t>
            </w:r>
            <w:r>
              <w:rPr>
                <w:rFonts w:hint="eastAsia"/>
                <w:color w:val="auto"/>
                <w:sz w:val="24"/>
              </w:rPr>
              <w:t>区</w:t>
            </w:r>
            <w:r>
              <w:rPr>
                <w:color w:val="auto"/>
                <w:sz w:val="24"/>
              </w:rPr>
              <w:t>内设置</w:t>
            </w:r>
            <w:r>
              <w:rPr>
                <w:rFonts w:hint="eastAsia"/>
                <w:color w:val="auto"/>
                <w:sz w:val="24"/>
                <w:lang w:val="en-US" w:eastAsia="zh-CN"/>
              </w:rPr>
              <w:t>1个容积</w:t>
            </w:r>
            <w:r>
              <w:rPr>
                <w:color w:val="auto"/>
                <w:sz w:val="24"/>
              </w:rPr>
              <w:t>为</w:t>
            </w:r>
            <w:r>
              <w:rPr>
                <w:rFonts w:hint="eastAsia"/>
                <w:color w:val="auto"/>
                <w:sz w:val="24"/>
                <w:lang w:val="en-US" w:eastAsia="zh-CN"/>
              </w:rPr>
              <w:t>30</w:t>
            </w:r>
            <w:r>
              <w:rPr>
                <w:color w:val="auto"/>
                <w:sz w:val="24"/>
              </w:rPr>
              <w:t>m</w:t>
            </w:r>
            <w:r>
              <w:rPr>
                <w:color w:val="auto"/>
                <w:sz w:val="24"/>
                <w:vertAlign w:val="superscript"/>
              </w:rPr>
              <w:t>3</w:t>
            </w:r>
            <w:r>
              <w:rPr>
                <w:color w:val="auto"/>
                <w:sz w:val="24"/>
              </w:rPr>
              <w:t>的冷却循环水</w:t>
            </w:r>
            <w:r>
              <w:rPr>
                <w:rFonts w:hint="eastAsia"/>
                <w:color w:val="auto"/>
                <w:sz w:val="24"/>
                <w:lang w:eastAsia="zh-CN"/>
              </w:rPr>
              <w:t>箱</w:t>
            </w:r>
            <w:r>
              <w:rPr>
                <w:color w:val="auto"/>
                <w:sz w:val="24"/>
              </w:rPr>
              <w:t>及</w:t>
            </w:r>
            <w:r>
              <w:rPr>
                <w:rFonts w:hint="eastAsia"/>
                <w:color w:val="auto"/>
                <w:sz w:val="24"/>
                <w:lang w:val="en-US" w:eastAsia="zh-CN"/>
              </w:rPr>
              <w:t>1</w:t>
            </w:r>
            <w:r>
              <w:rPr>
                <w:color w:val="auto"/>
                <w:sz w:val="24"/>
              </w:rPr>
              <w:t>台处理规模</w:t>
            </w:r>
            <w:r>
              <w:rPr>
                <w:rFonts w:hint="eastAsia"/>
                <w:color w:val="auto"/>
                <w:sz w:val="24"/>
                <w:lang w:val="en-US" w:eastAsia="zh-CN"/>
              </w:rPr>
              <w:t>100</w:t>
            </w:r>
            <w:r>
              <w:rPr>
                <w:color w:val="auto"/>
                <w:sz w:val="24"/>
              </w:rPr>
              <w:t>m</w:t>
            </w:r>
            <w:r>
              <w:rPr>
                <w:color w:val="auto"/>
                <w:sz w:val="24"/>
                <w:vertAlign w:val="superscript"/>
              </w:rPr>
              <w:t>3</w:t>
            </w:r>
            <w:r>
              <w:rPr>
                <w:color w:val="auto"/>
                <w:sz w:val="24"/>
              </w:rPr>
              <w:t>/h的冷却水塔，冷却过程中由于系统损耗（工件带走、蒸发损耗等），需要补充新鲜水。</w:t>
            </w:r>
          </w:p>
          <w:p w14:paraId="5E7DC4FD">
            <w:pPr>
              <w:adjustRightInd w:val="0"/>
              <w:snapToGrid w:val="0"/>
              <w:spacing w:line="360" w:lineRule="auto"/>
              <w:ind w:firstLine="480" w:firstLineChars="200"/>
              <w:rPr>
                <w:color w:val="auto"/>
                <w:sz w:val="24"/>
              </w:rPr>
            </w:pPr>
            <w:r>
              <w:rPr>
                <w:color w:val="auto"/>
                <w:sz w:val="24"/>
              </w:rPr>
              <w:t>冷却过程中由于系统损耗</w:t>
            </w:r>
            <w:r>
              <w:rPr>
                <w:color w:val="auto"/>
                <w:sz w:val="24"/>
                <w:lang w:bidi="ar"/>
              </w:rPr>
              <w:t>（工件带走、蒸发损耗等）</w:t>
            </w:r>
            <w:r>
              <w:rPr>
                <w:color w:val="auto"/>
                <w:sz w:val="24"/>
              </w:rPr>
              <w:t>，需要补充新鲜水</w:t>
            </w:r>
            <w:r>
              <w:rPr>
                <w:rFonts w:hint="eastAsia"/>
                <w:color w:val="auto"/>
                <w:sz w:val="24"/>
                <w:lang w:eastAsia="zh-CN"/>
              </w:rPr>
              <w:t>，本项目冷却水进入模具之间的空隙间进行非接触式间接冷却</w:t>
            </w:r>
            <w:r>
              <w:rPr>
                <w:color w:val="auto"/>
                <w:sz w:val="24"/>
              </w:rPr>
              <w:t>。</w:t>
            </w:r>
          </w:p>
          <w:p w14:paraId="77C47E9C">
            <w:pPr>
              <w:adjustRightInd w:val="0"/>
              <w:snapToGrid w:val="0"/>
              <w:spacing w:line="360" w:lineRule="auto"/>
              <w:ind w:firstLine="480" w:firstLineChars="200"/>
              <w:rPr>
                <w:color w:val="auto"/>
                <w:sz w:val="24"/>
              </w:rPr>
            </w:pPr>
            <w:r>
              <w:rPr>
                <w:color w:val="auto"/>
                <w:sz w:val="24"/>
              </w:rPr>
              <w:t>蒸发损耗补水量参照《冷却塔补水量计算方法》进行计算，补给水量计算公式如下：</w:t>
            </w:r>
          </w:p>
          <w:p w14:paraId="0D6AF70C">
            <w:pPr>
              <w:adjustRightInd w:val="0"/>
              <w:snapToGrid w:val="0"/>
              <w:spacing w:line="360" w:lineRule="auto"/>
              <w:jc w:val="center"/>
              <w:rPr>
                <w:color w:val="auto"/>
                <w:sz w:val="24"/>
              </w:rPr>
            </w:pPr>
            <w:r>
              <w:rPr>
                <w:color w:val="auto"/>
                <w:sz w:val="24"/>
              </w:rPr>
              <w:t>E=（T2-T1）*L/600   （1）</w:t>
            </w:r>
          </w:p>
          <w:p w14:paraId="0FBF1729">
            <w:pPr>
              <w:adjustRightInd w:val="0"/>
              <w:snapToGrid w:val="0"/>
              <w:spacing w:line="360" w:lineRule="auto"/>
              <w:ind w:firstLine="480" w:firstLineChars="200"/>
              <w:rPr>
                <w:color w:val="auto"/>
                <w:sz w:val="24"/>
              </w:rPr>
            </w:pPr>
            <w:r>
              <w:rPr>
                <w:color w:val="auto"/>
                <w:sz w:val="24"/>
              </w:rPr>
              <w:t>其中：600代表水的蒸发潜热(Kcal/h)；</w:t>
            </w:r>
          </w:p>
          <w:p w14:paraId="06F02C1D">
            <w:pPr>
              <w:adjustRightInd w:val="0"/>
              <w:snapToGrid w:val="0"/>
              <w:spacing w:line="360" w:lineRule="auto"/>
              <w:ind w:firstLine="1200" w:firstLineChars="500"/>
              <w:rPr>
                <w:color w:val="auto"/>
                <w:sz w:val="24"/>
              </w:rPr>
            </w:pPr>
            <w:r>
              <w:rPr>
                <w:color w:val="auto"/>
                <w:sz w:val="24"/>
              </w:rPr>
              <w:t>T1代表</w:t>
            </w:r>
            <w:r>
              <w:rPr>
                <w:rFonts w:hint="eastAsia"/>
                <w:color w:val="auto"/>
                <w:sz w:val="24"/>
              </w:rPr>
              <w:t>冷却塔出</w:t>
            </w:r>
            <w:r>
              <w:rPr>
                <w:color w:val="auto"/>
                <w:sz w:val="24"/>
              </w:rPr>
              <w:t>水温度（℃），本项目取</w:t>
            </w:r>
            <w:r>
              <w:rPr>
                <w:rFonts w:hint="eastAsia"/>
                <w:color w:val="auto"/>
                <w:sz w:val="24"/>
              </w:rPr>
              <w:t>30</w:t>
            </w:r>
            <w:r>
              <w:rPr>
                <w:color w:val="auto"/>
                <w:sz w:val="24"/>
              </w:rPr>
              <w:t>℃；</w:t>
            </w:r>
          </w:p>
          <w:p w14:paraId="53F88432">
            <w:pPr>
              <w:adjustRightInd w:val="0"/>
              <w:snapToGrid w:val="0"/>
              <w:spacing w:line="360" w:lineRule="auto"/>
              <w:ind w:firstLine="1200" w:firstLineChars="500"/>
              <w:rPr>
                <w:color w:val="auto"/>
                <w:sz w:val="24"/>
              </w:rPr>
            </w:pPr>
            <w:r>
              <w:rPr>
                <w:color w:val="auto"/>
                <w:sz w:val="24"/>
              </w:rPr>
              <w:t>T2代表</w:t>
            </w:r>
            <w:r>
              <w:rPr>
                <w:rFonts w:hint="eastAsia"/>
                <w:color w:val="auto"/>
                <w:sz w:val="24"/>
              </w:rPr>
              <w:t>冷却塔入</w:t>
            </w:r>
            <w:r>
              <w:rPr>
                <w:color w:val="auto"/>
                <w:sz w:val="24"/>
              </w:rPr>
              <w:t>水温度（℃），本项目取</w:t>
            </w:r>
            <w:r>
              <w:rPr>
                <w:rFonts w:hint="eastAsia"/>
                <w:color w:val="auto"/>
                <w:sz w:val="24"/>
              </w:rPr>
              <w:t>70</w:t>
            </w:r>
            <w:r>
              <w:rPr>
                <w:color w:val="auto"/>
                <w:sz w:val="24"/>
              </w:rPr>
              <w:t>℃；</w:t>
            </w:r>
          </w:p>
          <w:p w14:paraId="31C04005">
            <w:pPr>
              <w:adjustRightInd w:val="0"/>
              <w:snapToGrid w:val="0"/>
              <w:spacing w:line="360" w:lineRule="auto"/>
              <w:ind w:firstLine="1200" w:firstLineChars="500"/>
              <w:rPr>
                <w:color w:val="auto"/>
                <w:sz w:val="24"/>
              </w:rPr>
            </w:pPr>
            <w:r>
              <w:rPr>
                <w:color w:val="auto"/>
                <w:sz w:val="24"/>
              </w:rPr>
              <w:t>L代表循环水量(kg/h），由上计算可知循环水量为</w:t>
            </w:r>
            <w:r>
              <w:rPr>
                <w:rFonts w:hint="eastAsia"/>
                <w:color w:val="auto"/>
                <w:sz w:val="24"/>
                <w:lang w:val="en-US" w:eastAsia="zh-CN"/>
              </w:rPr>
              <w:t>28970</w:t>
            </w:r>
            <w:r>
              <w:rPr>
                <w:color w:val="auto"/>
                <w:sz w:val="24"/>
              </w:rPr>
              <w:t>kg/h。</w:t>
            </w:r>
          </w:p>
          <w:p w14:paraId="0BA34D55">
            <w:pPr>
              <w:adjustRightInd w:val="0"/>
              <w:snapToGrid w:val="0"/>
              <w:spacing w:line="360" w:lineRule="auto"/>
              <w:ind w:firstLine="1200" w:firstLineChars="500"/>
              <w:rPr>
                <w:rFonts w:hint="default" w:eastAsia="宋体"/>
                <w:color w:val="auto"/>
                <w:sz w:val="24"/>
                <w:lang w:val="en-US" w:eastAsia="zh-CN"/>
              </w:rPr>
            </w:pPr>
            <w:r>
              <w:rPr>
                <w:rFonts w:hint="eastAsia"/>
                <w:color w:val="auto"/>
                <w:sz w:val="24"/>
                <w:lang w:val="en-US" w:eastAsia="zh-CN"/>
              </w:rPr>
              <w:t>E=1.9313</w:t>
            </w:r>
            <w:r>
              <w:rPr>
                <w:color w:val="auto"/>
                <w:sz w:val="24"/>
              </w:rPr>
              <w:t>m</w:t>
            </w:r>
            <w:r>
              <w:rPr>
                <w:color w:val="auto"/>
                <w:sz w:val="24"/>
                <w:vertAlign w:val="superscript"/>
              </w:rPr>
              <w:t>3</w:t>
            </w:r>
            <w:r>
              <w:rPr>
                <w:color w:val="auto"/>
                <w:sz w:val="24"/>
              </w:rPr>
              <w:t>/h</w:t>
            </w:r>
          </w:p>
          <w:p w14:paraId="4FEC5C15">
            <w:pPr>
              <w:widowControl/>
              <w:adjustRightInd w:val="0"/>
              <w:snapToGrid w:val="0"/>
              <w:spacing w:line="360" w:lineRule="auto"/>
              <w:ind w:firstLine="480" w:firstLineChars="200"/>
              <w:rPr>
                <w:color w:val="auto"/>
                <w:sz w:val="24"/>
              </w:rPr>
            </w:pPr>
            <w:r>
              <w:rPr>
                <w:color w:val="auto"/>
                <w:sz w:val="24"/>
              </w:rPr>
              <w:t>综上，项目建设完成后冷却水总用量为</w:t>
            </w:r>
            <w:r>
              <w:rPr>
                <w:rFonts w:hint="eastAsia"/>
                <w:color w:val="auto"/>
                <w:sz w:val="24"/>
                <w:lang w:val="en-US" w:eastAsia="zh-CN"/>
              </w:rPr>
              <w:t>74163.12</w:t>
            </w:r>
            <w:r>
              <w:rPr>
                <w:color w:val="auto"/>
                <w:sz w:val="24"/>
              </w:rPr>
              <w:t>m</w:t>
            </w:r>
            <w:r>
              <w:rPr>
                <w:color w:val="auto"/>
                <w:sz w:val="24"/>
                <w:vertAlign w:val="superscript"/>
              </w:rPr>
              <w:t>3</w:t>
            </w:r>
            <w:r>
              <w:rPr>
                <w:color w:val="auto"/>
                <w:sz w:val="24"/>
              </w:rPr>
              <w:t>/a、</w:t>
            </w:r>
            <w:r>
              <w:rPr>
                <w:rFonts w:hint="eastAsia"/>
                <w:color w:val="auto"/>
                <w:sz w:val="24"/>
                <w:lang w:val="en-US" w:eastAsia="zh-CN"/>
              </w:rPr>
              <w:t>247.2104</w:t>
            </w:r>
            <w:r>
              <w:rPr>
                <w:color w:val="auto"/>
                <w:sz w:val="24"/>
              </w:rPr>
              <w:t>m</w:t>
            </w:r>
            <w:r>
              <w:rPr>
                <w:color w:val="auto"/>
                <w:sz w:val="24"/>
                <w:vertAlign w:val="superscript"/>
              </w:rPr>
              <w:t>3</w:t>
            </w:r>
            <w:r>
              <w:rPr>
                <w:color w:val="auto"/>
                <w:sz w:val="24"/>
              </w:rPr>
              <w:t>/d，</w:t>
            </w:r>
            <w:r>
              <w:rPr>
                <w:rFonts w:hint="eastAsia"/>
                <w:color w:val="auto"/>
                <w:sz w:val="24"/>
                <w:lang w:val="en-US" w:eastAsia="zh-CN"/>
              </w:rPr>
              <w:t>30.9013</w:t>
            </w:r>
            <w:r>
              <w:rPr>
                <w:color w:val="auto"/>
                <w:sz w:val="24"/>
              </w:rPr>
              <w:t>m</w:t>
            </w:r>
            <w:r>
              <w:rPr>
                <w:color w:val="auto"/>
                <w:sz w:val="24"/>
                <w:vertAlign w:val="superscript"/>
              </w:rPr>
              <w:t>3</w:t>
            </w:r>
            <w:r>
              <w:rPr>
                <w:color w:val="auto"/>
                <w:sz w:val="24"/>
              </w:rPr>
              <w:t>/h</w:t>
            </w:r>
            <w:r>
              <w:rPr>
                <w:rFonts w:hint="eastAsia"/>
                <w:color w:val="auto"/>
                <w:sz w:val="24"/>
                <w:lang w:eastAsia="zh-CN"/>
              </w:rPr>
              <w:t>；其中</w:t>
            </w:r>
            <w:r>
              <w:rPr>
                <w:color w:val="auto"/>
                <w:sz w:val="24"/>
              </w:rPr>
              <w:t>冷却水</w:t>
            </w:r>
            <w:r>
              <w:rPr>
                <w:rFonts w:hint="eastAsia"/>
                <w:color w:val="auto"/>
                <w:sz w:val="24"/>
                <w:lang w:eastAsia="zh-CN"/>
              </w:rPr>
              <w:t>循环</w:t>
            </w:r>
            <w:r>
              <w:rPr>
                <w:color w:val="auto"/>
                <w:sz w:val="24"/>
              </w:rPr>
              <w:t>总用量为</w:t>
            </w:r>
            <w:r>
              <w:rPr>
                <w:rFonts w:hint="eastAsia"/>
                <w:color w:val="auto"/>
                <w:sz w:val="24"/>
                <w:lang w:val="en-US" w:eastAsia="zh-CN"/>
              </w:rPr>
              <w:t>69528</w:t>
            </w:r>
            <w:r>
              <w:rPr>
                <w:color w:val="auto"/>
                <w:sz w:val="24"/>
              </w:rPr>
              <w:t>m</w:t>
            </w:r>
            <w:r>
              <w:rPr>
                <w:color w:val="auto"/>
                <w:sz w:val="24"/>
                <w:vertAlign w:val="superscript"/>
              </w:rPr>
              <w:t>3</w:t>
            </w:r>
            <w:r>
              <w:rPr>
                <w:color w:val="auto"/>
                <w:sz w:val="24"/>
              </w:rPr>
              <w:t>/a、</w:t>
            </w:r>
            <w:r>
              <w:rPr>
                <w:rFonts w:hint="eastAsia"/>
                <w:color w:val="auto"/>
                <w:sz w:val="24"/>
                <w:lang w:val="en-US" w:eastAsia="zh-CN"/>
              </w:rPr>
              <w:t>231.76</w:t>
            </w:r>
            <w:r>
              <w:rPr>
                <w:color w:val="auto"/>
                <w:sz w:val="24"/>
              </w:rPr>
              <w:t>m</w:t>
            </w:r>
            <w:r>
              <w:rPr>
                <w:color w:val="auto"/>
                <w:sz w:val="24"/>
                <w:vertAlign w:val="superscript"/>
              </w:rPr>
              <w:t>3</w:t>
            </w:r>
            <w:r>
              <w:rPr>
                <w:color w:val="auto"/>
                <w:sz w:val="24"/>
              </w:rPr>
              <w:t>/d，</w:t>
            </w:r>
            <w:r>
              <w:rPr>
                <w:rFonts w:hint="eastAsia"/>
                <w:color w:val="auto"/>
                <w:sz w:val="24"/>
                <w:lang w:val="en-US" w:eastAsia="zh-CN"/>
              </w:rPr>
              <w:t>28.97</w:t>
            </w:r>
            <w:r>
              <w:rPr>
                <w:color w:val="auto"/>
                <w:sz w:val="24"/>
              </w:rPr>
              <w:t>m</w:t>
            </w:r>
            <w:r>
              <w:rPr>
                <w:color w:val="auto"/>
                <w:sz w:val="24"/>
                <w:vertAlign w:val="superscript"/>
              </w:rPr>
              <w:t>3</w:t>
            </w:r>
            <w:r>
              <w:rPr>
                <w:color w:val="auto"/>
                <w:sz w:val="24"/>
              </w:rPr>
              <w:t>/h，补充水量为</w:t>
            </w:r>
            <w:r>
              <w:rPr>
                <w:rFonts w:hint="eastAsia"/>
                <w:color w:val="auto"/>
                <w:sz w:val="24"/>
                <w:lang w:val="en-US" w:eastAsia="zh-CN"/>
              </w:rPr>
              <w:t>1.9313</w:t>
            </w:r>
            <w:r>
              <w:rPr>
                <w:color w:val="auto"/>
                <w:sz w:val="24"/>
              </w:rPr>
              <w:t>m</w:t>
            </w:r>
            <w:r>
              <w:rPr>
                <w:color w:val="auto"/>
                <w:sz w:val="24"/>
                <w:vertAlign w:val="superscript"/>
              </w:rPr>
              <w:t>3</w:t>
            </w:r>
            <w:r>
              <w:rPr>
                <w:color w:val="auto"/>
                <w:sz w:val="24"/>
              </w:rPr>
              <w:t>/h、</w:t>
            </w:r>
            <w:r>
              <w:rPr>
                <w:rFonts w:hint="eastAsia"/>
                <w:color w:val="auto"/>
                <w:sz w:val="24"/>
                <w:lang w:val="en-US" w:eastAsia="zh-CN"/>
              </w:rPr>
              <w:t>15.4504</w:t>
            </w:r>
            <w:r>
              <w:rPr>
                <w:color w:val="auto"/>
                <w:sz w:val="24"/>
              </w:rPr>
              <w:t>m</w:t>
            </w:r>
            <w:r>
              <w:rPr>
                <w:color w:val="auto"/>
                <w:sz w:val="24"/>
                <w:vertAlign w:val="superscript"/>
              </w:rPr>
              <w:t>3</w:t>
            </w:r>
            <w:r>
              <w:rPr>
                <w:color w:val="auto"/>
                <w:sz w:val="24"/>
              </w:rPr>
              <w:t>/d、</w:t>
            </w:r>
            <w:r>
              <w:rPr>
                <w:rFonts w:hint="eastAsia"/>
                <w:color w:val="auto"/>
                <w:sz w:val="24"/>
                <w:lang w:val="en-US" w:eastAsia="zh-CN"/>
              </w:rPr>
              <w:t>4635.12</w:t>
            </w:r>
            <w:r>
              <w:rPr>
                <w:color w:val="auto"/>
                <w:sz w:val="24"/>
              </w:rPr>
              <w:t>m</w:t>
            </w:r>
            <w:r>
              <w:rPr>
                <w:color w:val="auto"/>
                <w:sz w:val="24"/>
                <w:vertAlign w:val="superscript"/>
              </w:rPr>
              <w:t>3</w:t>
            </w:r>
            <w:r>
              <w:rPr>
                <w:color w:val="auto"/>
                <w:sz w:val="24"/>
              </w:rPr>
              <w:t>/a</w:t>
            </w:r>
            <w:r>
              <w:rPr>
                <w:rFonts w:hint="eastAsia"/>
                <w:color w:val="auto"/>
                <w:sz w:val="24"/>
              </w:rPr>
              <w:t>。</w:t>
            </w:r>
            <w:r>
              <w:rPr>
                <w:color w:val="auto"/>
                <w:sz w:val="24"/>
              </w:rPr>
              <w:t>同时，项目厂区设冷却塔，并配套</w:t>
            </w:r>
            <w:r>
              <w:rPr>
                <w:rFonts w:hint="eastAsia"/>
                <w:color w:val="auto"/>
                <w:sz w:val="24"/>
                <w:lang w:val="en-US" w:eastAsia="zh-CN"/>
              </w:rPr>
              <w:t>1个</w:t>
            </w:r>
            <w:r>
              <w:rPr>
                <w:rFonts w:hint="eastAsia"/>
                <w:color w:val="auto"/>
                <w:sz w:val="24"/>
                <w:lang w:eastAsia="zh-CN"/>
              </w:rPr>
              <w:t>容积为</w:t>
            </w:r>
            <w:r>
              <w:rPr>
                <w:rFonts w:hint="eastAsia"/>
                <w:color w:val="auto"/>
                <w:sz w:val="24"/>
                <w:lang w:val="en-US" w:eastAsia="zh-CN"/>
              </w:rPr>
              <w:t>30</w:t>
            </w:r>
            <w:r>
              <w:rPr>
                <w:color w:val="auto"/>
                <w:sz w:val="24"/>
              </w:rPr>
              <w:t>m</w:t>
            </w:r>
            <w:r>
              <w:rPr>
                <w:color w:val="auto"/>
                <w:sz w:val="24"/>
                <w:vertAlign w:val="superscript"/>
              </w:rPr>
              <w:t>3</w:t>
            </w:r>
            <w:r>
              <w:rPr>
                <w:color w:val="auto"/>
                <w:sz w:val="24"/>
              </w:rPr>
              <w:t>的冷却循环水</w:t>
            </w:r>
            <w:r>
              <w:rPr>
                <w:rFonts w:hint="eastAsia"/>
                <w:color w:val="auto"/>
                <w:sz w:val="24"/>
                <w:lang w:eastAsia="zh-CN"/>
              </w:rPr>
              <w:t>箱</w:t>
            </w:r>
            <w:r>
              <w:rPr>
                <w:color w:val="auto"/>
                <w:sz w:val="24"/>
              </w:rPr>
              <w:t>使用，本项目冷却水</w:t>
            </w:r>
            <w:r>
              <w:rPr>
                <w:rFonts w:hint="eastAsia"/>
                <w:color w:val="auto"/>
                <w:sz w:val="24"/>
                <w:lang w:eastAsia="zh-CN"/>
              </w:rPr>
              <w:t>循环</w:t>
            </w:r>
            <w:r>
              <w:rPr>
                <w:color w:val="auto"/>
                <w:sz w:val="24"/>
              </w:rPr>
              <w:t>总用量为</w:t>
            </w:r>
            <w:r>
              <w:rPr>
                <w:rFonts w:hint="eastAsia"/>
                <w:color w:val="auto"/>
                <w:sz w:val="24"/>
                <w:lang w:val="en-US" w:eastAsia="zh-CN"/>
              </w:rPr>
              <w:t>28.97</w:t>
            </w:r>
            <w:r>
              <w:rPr>
                <w:color w:val="auto"/>
                <w:sz w:val="24"/>
              </w:rPr>
              <w:t>m</w:t>
            </w:r>
            <w:r>
              <w:rPr>
                <w:color w:val="auto"/>
                <w:sz w:val="24"/>
                <w:vertAlign w:val="superscript"/>
              </w:rPr>
              <w:t>3</w:t>
            </w:r>
            <w:r>
              <w:rPr>
                <w:color w:val="auto"/>
                <w:sz w:val="24"/>
              </w:rPr>
              <w:t>/h，冷却塔及冷却</w:t>
            </w:r>
            <w:r>
              <w:rPr>
                <w:rFonts w:hint="eastAsia"/>
                <w:color w:val="auto"/>
                <w:sz w:val="24"/>
                <w:lang w:eastAsia="zh-CN"/>
              </w:rPr>
              <w:t>水箱</w:t>
            </w:r>
            <w:r>
              <w:rPr>
                <w:color w:val="auto"/>
                <w:sz w:val="24"/>
              </w:rPr>
              <w:t>可满足使用要求。</w:t>
            </w:r>
            <w:r>
              <w:rPr>
                <w:bCs/>
                <w:color w:val="auto"/>
                <w:sz w:val="24"/>
              </w:rPr>
              <w:t>冷却废水经</w:t>
            </w:r>
            <w:r>
              <w:rPr>
                <w:color w:val="auto"/>
                <w:sz w:val="24"/>
              </w:rPr>
              <w:t>冷却循环水</w:t>
            </w:r>
            <w:r>
              <w:rPr>
                <w:rFonts w:hint="eastAsia"/>
                <w:color w:val="auto"/>
                <w:sz w:val="24"/>
                <w:lang w:eastAsia="zh-CN"/>
              </w:rPr>
              <w:t>箱</w:t>
            </w:r>
            <w:r>
              <w:rPr>
                <w:color w:val="auto"/>
                <w:sz w:val="24"/>
              </w:rPr>
              <w:t>冷却后循环使用，不外排。</w:t>
            </w:r>
          </w:p>
          <w:p w14:paraId="4B2AE45D">
            <w:pPr>
              <w:keepNext w:val="0"/>
              <w:keepLines w:val="0"/>
              <w:pageBreakBefore w:val="0"/>
              <w:widowControl w:val="0"/>
              <w:kinsoku/>
              <w:wordWrap/>
              <w:overflowPunct/>
              <w:topLinePunct w:val="0"/>
              <w:autoSpaceDE/>
              <w:autoSpaceDN/>
              <w:bidi w:val="0"/>
              <w:adjustRightInd w:val="0"/>
              <w:snapToGrid w:val="0"/>
              <w:spacing w:beforeLines="0" w:afterLines="0" w:line="360" w:lineRule="auto"/>
              <w:ind w:firstLine="482" w:firstLineChars="200"/>
              <w:textAlignment w:val="auto"/>
              <w:rPr>
                <w:rFonts w:hint="default" w:ascii="Times New Roman" w:hAnsi="Times New Roman" w:eastAsia="宋体" w:cs="Times New Roman"/>
                <w:b/>
                <w:bCs/>
                <w:color w:val="auto"/>
                <w:sz w:val="24"/>
                <w:szCs w:val="24"/>
                <w:highlight w:val="none"/>
                <w:lang w:val="zh-CN"/>
              </w:rPr>
            </w:pPr>
            <w:r>
              <w:rPr>
                <w:rFonts w:hint="eastAsia" w:cs="Times New Roman"/>
                <w:b/>
                <w:bCs/>
                <w:color w:val="auto"/>
                <w:sz w:val="24"/>
                <w:szCs w:val="24"/>
                <w:highlight w:val="none"/>
                <w:lang w:val="en-US" w:eastAsia="zh-CN"/>
              </w:rPr>
              <w:t>②</w:t>
            </w:r>
            <w:r>
              <w:rPr>
                <w:rFonts w:hint="default" w:ascii="Times New Roman" w:hAnsi="Times New Roman" w:eastAsia="宋体" w:cs="Times New Roman"/>
                <w:b/>
                <w:bCs/>
                <w:color w:val="auto"/>
                <w:sz w:val="24"/>
                <w:szCs w:val="24"/>
                <w:highlight w:val="none"/>
                <w:lang w:val="en-US" w:eastAsia="zh-CN"/>
              </w:rPr>
              <w:t>绿化、道路场地洒水</w:t>
            </w:r>
          </w:p>
          <w:p w14:paraId="13A7A223">
            <w:pPr>
              <w:pStyle w:val="14"/>
              <w:widowControl/>
              <w:snapToGrid w:val="0"/>
              <w:spacing w:after="0" w:line="356" w:lineRule="auto"/>
              <w:ind w:firstLine="480" w:firstLineChars="200"/>
              <w:rPr>
                <w:rFonts w:hint="default" w:eastAsia="宋体"/>
                <w:b/>
                <w:bCs/>
                <w:snapToGrid w:val="0"/>
                <w:color w:val="auto"/>
                <w:sz w:val="24"/>
                <w:highlight w:val="none"/>
                <w:lang w:val="en-US" w:eastAsia="zh-CN"/>
              </w:rPr>
            </w:pPr>
            <w:r>
              <w:rPr>
                <w:rFonts w:hint="default" w:ascii="Times New Roman" w:hAnsi="Times New Roman" w:eastAsia="宋体" w:cs="Times New Roman"/>
                <w:b w:val="0"/>
                <w:bCs w:val="0"/>
                <w:color w:val="auto"/>
                <w:sz w:val="24"/>
                <w:szCs w:val="24"/>
                <w:highlight w:val="none"/>
                <w:lang w:eastAsia="zh-CN"/>
              </w:rPr>
              <w:t>项目区内</w:t>
            </w:r>
            <w:r>
              <w:rPr>
                <w:rFonts w:hint="default" w:ascii="Times New Roman" w:hAnsi="Times New Roman" w:eastAsia="宋体" w:cs="Times New Roman"/>
                <w:b w:val="0"/>
                <w:bCs w:val="0"/>
                <w:color w:val="auto"/>
                <w:sz w:val="24"/>
                <w:szCs w:val="24"/>
                <w:highlight w:val="none"/>
                <w:lang w:val="en-US" w:eastAsia="zh-CN"/>
              </w:rPr>
              <w:t>绿化面积为</w:t>
            </w:r>
            <w:r>
              <w:rPr>
                <w:rFonts w:hint="eastAsia"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lang w:val="en-US" w:eastAsia="zh-CN"/>
              </w:rPr>
              <w:t>00m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lang w:val="en-US" w:eastAsia="zh-CN"/>
              </w:rPr>
              <w:t>，道路及空地面积</w:t>
            </w:r>
            <w:r>
              <w:rPr>
                <w:rFonts w:hint="default" w:ascii="Times New Roman" w:hAnsi="Times New Roman" w:eastAsia="宋体" w:cs="Times New Roman"/>
                <w:b w:val="0"/>
                <w:bCs w:val="0"/>
                <w:color w:val="auto"/>
                <w:sz w:val="24"/>
                <w:szCs w:val="24"/>
                <w:highlight w:val="none"/>
                <w:lang w:eastAsia="zh-CN"/>
              </w:rPr>
              <w:t>约为</w:t>
            </w:r>
            <w:r>
              <w:rPr>
                <w:rFonts w:hint="eastAsia" w:cs="Times New Roman"/>
                <w:color w:val="auto"/>
                <w:sz w:val="24"/>
                <w:szCs w:val="24"/>
                <w:highlight w:val="none"/>
                <w:lang w:val="en-US" w:eastAsia="zh-CN"/>
              </w:rPr>
              <w:t>500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b w:val="0"/>
                <w:bCs w:val="0"/>
                <w:color w:val="auto"/>
                <w:sz w:val="24"/>
                <w:szCs w:val="24"/>
                <w:highlight w:val="none"/>
                <w:lang w:eastAsia="zh-CN"/>
              </w:rPr>
              <w:t>，根据</w:t>
            </w:r>
            <w:r>
              <w:rPr>
                <w:rFonts w:hint="default" w:ascii="Times New Roman" w:hAnsi="Times New Roman" w:eastAsia="宋体" w:cs="Times New Roman"/>
                <w:color w:val="auto"/>
                <w:sz w:val="24"/>
                <w:szCs w:val="24"/>
                <w:highlight w:val="none"/>
                <w:lang w:bidi="ar"/>
              </w:rPr>
              <w:t>《云南省地方标准 用水定额》（</w:t>
            </w:r>
            <w:r>
              <w:rPr>
                <w:color w:val="auto"/>
                <w:sz w:val="24"/>
                <w:highlight w:val="none"/>
              </w:rPr>
              <w:t>DB53/T 168-2</w:t>
            </w:r>
            <w:r>
              <w:rPr>
                <w:rFonts w:hint="eastAsia"/>
                <w:color w:val="auto"/>
                <w:sz w:val="24"/>
                <w:highlight w:val="none"/>
                <w:lang w:val="en-US" w:eastAsia="zh-CN"/>
              </w:rPr>
              <w:t>026</w:t>
            </w:r>
            <w:r>
              <w:rPr>
                <w:rFonts w:hint="default" w:ascii="Times New Roman" w:hAnsi="Times New Roman" w:eastAsia="宋体" w:cs="Times New Roman"/>
                <w:color w:val="auto"/>
                <w:sz w:val="24"/>
                <w:szCs w:val="24"/>
                <w:highlight w:val="none"/>
                <w:lang w:bidi="ar"/>
              </w:rPr>
              <w:t>）</w:t>
            </w:r>
            <w:r>
              <w:rPr>
                <w:rFonts w:hint="default" w:ascii="Times New Roman" w:hAnsi="Times New Roman" w:eastAsia="宋体" w:cs="Times New Roman"/>
                <w:color w:val="auto"/>
                <w:sz w:val="24"/>
                <w:szCs w:val="24"/>
                <w:highlight w:val="none"/>
                <w:lang w:eastAsia="zh-CN" w:bidi="ar"/>
              </w:rPr>
              <w:t>，</w:t>
            </w:r>
            <w:r>
              <w:rPr>
                <w:rFonts w:hint="eastAsia" w:cs="Times New Roman"/>
                <w:b w:val="0"/>
                <w:bCs w:val="0"/>
                <w:color w:val="auto"/>
                <w:sz w:val="24"/>
                <w:szCs w:val="24"/>
                <w:highlight w:val="none"/>
                <w:lang w:val="en-US" w:eastAsia="zh-CN"/>
              </w:rPr>
              <w:t>道路</w:t>
            </w:r>
            <w:r>
              <w:rPr>
                <w:rFonts w:hint="default" w:ascii="Times New Roman" w:hAnsi="Times New Roman" w:eastAsia="宋体" w:cs="Times New Roman"/>
                <w:color w:val="auto"/>
                <w:sz w:val="24"/>
                <w:szCs w:val="24"/>
                <w:highlight w:val="none"/>
                <w:lang w:val="en-US" w:eastAsia="zh-CN"/>
              </w:rPr>
              <w:t>浇洒</w:t>
            </w:r>
            <w:r>
              <w:rPr>
                <w:rFonts w:hint="default" w:ascii="Times New Roman" w:hAnsi="Times New Roman" w:eastAsia="宋体" w:cs="Times New Roman"/>
                <w:b w:val="0"/>
                <w:bCs w:val="0"/>
                <w:color w:val="auto"/>
                <w:sz w:val="24"/>
                <w:szCs w:val="24"/>
                <w:highlight w:val="none"/>
                <w:lang w:eastAsia="zh-CN"/>
              </w:rPr>
              <w:t>用水</w:t>
            </w:r>
            <w:r>
              <w:rPr>
                <w:rFonts w:hint="default" w:ascii="Times New Roman" w:hAnsi="Times New Roman" w:eastAsia="宋体" w:cs="Times New Roman"/>
                <w:b w:val="0"/>
                <w:bCs w:val="0"/>
                <w:color w:val="auto"/>
                <w:sz w:val="24"/>
                <w:szCs w:val="24"/>
                <w:highlight w:val="none"/>
                <w:lang w:val="en-US" w:eastAsia="zh-CN"/>
              </w:rPr>
              <w:t>按2</w:t>
            </w:r>
            <w:r>
              <w:rPr>
                <w:rFonts w:hint="default" w:ascii="Times New Roman" w:hAnsi="Times New Roman" w:eastAsia="宋体" w:cs="Times New Roman"/>
                <w:b w:val="0"/>
                <w:bCs w:val="0"/>
                <w:color w:val="auto"/>
                <w:sz w:val="24"/>
                <w:szCs w:val="24"/>
                <w:highlight w:val="none"/>
                <w:lang w:eastAsia="zh-CN"/>
              </w:rPr>
              <w:t>L/</w:t>
            </w:r>
            <w:r>
              <w:rPr>
                <w:rFonts w:hint="eastAsia"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eastAsia="zh-CN"/>
              </w:rPr>
              <w:t>m</w:t>
            </w:r>
            <w:r>
              <w:rPr>
                <w:rFonts w:hint="default" w:ascii="Times New Roman" w:hAnsi="Times New Roman" w:eastAsia="宋体" w:cs="Times New Roman"/>
                <w:b w:val="0"/>
                <w:bCs w:val="0"/>
                <w:color w:val="auto"/>
                <w:sz w:val="24"/>
                <w:szCs w:val="24"/>
                <w:highlight w:val="none"/>
                <w:vertAlign w:val="superscript"/>
                <w:lang w:eastAsia="zh-CN"/>
              </w:rPr>
              <w:t>2</w:t>
            </w:r>
            <w:r>
              <w:rPr>
                <w:rFonts w:hint="default" w:ascii="Times New Roman" w:hAnsi="Times New Roman" w:eastAsia="宋体" w:cs="Times New Roman"/>
                <w:b w:val="0"/>
                <w:bCs w:val="0"/>
                <w:color w:val="auto"/>
                <w:sz w:val="24"/>
                <w:szCs w:val="24"/>
                <w:highlight w:val="none"/>
                <w:lang w:eastAsia="zh-CN"/>
              </w:rPr>
              <w:t>·</w:t>
            </w:r>
            <w:r>
              <w:rPr>
                <w:rFonts w:hint="eastAsia" w:cs="Times New Roman"/>
                <w:b w:val="0"/>
                <w:bCs w:val="0"/>
                <w:color w:val="auto"/>
                <w:sz w:val="24"/>
                <w:szCs w:val="24"/>
                <w:highlight w:val="none"/>
                <w:lang w:val="en-US" w:eastAsia="zh-CN"/>
              </w:rPr>
              <w:t>d</w:t>
            </w:r>
            <w:r>
              <w:rPr>
                <w:rFonts w:hint="eastAsia"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计</w:t>
            </w:r>
            <w:r>
              <w:rPr>
                <w:rFonts w:hint="default" w:ascii="Times New Roman" w:hAnsi="Times New Roman" w:eastAsia="宋体" w:cs="Times New Roman"/>
                <w:b w:val="0"/>
                <w:bCs w:val="0"/>
                <w:color w:val="auto"/>
                <w:sz w:val="24"/>
                <w:szCs w:val="24"/>
                <w:highlight w:val="none"/>
                <w:lang w:eastAsia="zh-CN"/>
              </w:rPr>
              <w:t>，</w:t>
            </w:r>
            <w:r>
              <w:rPr>
                <w:rFonts w:hint="eastAsia" w:ascii="Times New Roman" w:hAnsi="Times New Roman" w:eastAsia="宋体" w:cs="Times New Roman"/>
                <w:b w:val="0"/>
                <w:bCs w:val="0"/>
                <w:color w:val="auto"/>
                <w:sz w:val="24"/>
                <w:szCs w:val="24"/>
                <w:highlight w:val="none"/>
                <w:lang w:val="en-US" w:eastAsia="zh-CN"/>
              </w:rPr>
              <w:t>绿化</w:t>
            </w:r>
            <w:r>
              <w:rPr>
                <w:rFonts w:hint="default" w:ascii="Times New Roman" w:hAnsi="Times New Roman" w:eastAsia="宋体" w:cs="Times New Roman"/>
                <w:b w:val="0"/>
                <w:bCs w:val="0"/>
                <w:color w:val="auto"/>
                <w:sz w:val="24"/>
                <w:szCs w:val="24"/>
                <w:highlight w:val="none"/>
                <w:lang w:eastAsia="zh-CN"/>
              </w:rPr>
              <w:t>用水</w:t>
            </w:r>
            <w:r>
              <w:rPr>
                <w:rFonts w:hint="default" w:ascii="Times New Roman" w:hAnsi="Times New Roman" w:eastAsia="宋体" w:cs="Times New Roman"/>
                <w:b w:val="0"/>
                <w:bCs w:val="0"/>
                <w:color w:val="auto"/>
                <w:sz w:val="24"/>
                <w:szCs w:val="24"/>
                <w:highlight w:val="none"/>
                <w:lang w:val="en-US" w:eastAsia="zh-CN"/>
              </w:rPr>
              <w:t>按</w:t>
            </w:r>
            <w:r>
              <w:rPr>
                <w:rFonts w:hint="eastAsia" w:cs="Times New Roman"/>
                <w:b w:val="0"/>
                <w:bCs w:val="0"/>
                <w:color w:val="auto"/>
                <w:sz w:val="24"/>
                <w:szCs w:val="24"/>
                <w:highlight w:val="none"/>
                <w:lang w:val="en-US" w:eastAsia="zh-CN"/>
              </w:rPr>
              <w:t>2.6</w:t>
            </w:r>
            <w:r>
              <w:rPr>
                <w:rFonts w:hint="default" w:ascii="Times New Roman" w:hAnsi="Times New Roman" w:eastAsia="宋体" w:cs="Times New Roman"/>
                <w:b w:val="0"/>
                <w:bCs w:val="0"/>
                <w:color w:val="auto"/>
                <w:sz w:val="24"/>
                <w:szCs w:val="24"/>
                <w:highlight w:val="none"/>
                <w:lang w:eastAsia="zh-CN"/>
              </w:rPr>
              <w:t>L/</w:t>
            </w:r>
            <w:r>
              <w:rPr>
                <w:rFonts w:hint="eastAsia"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eastAsia="zh-CN"/>
              </w:rPr>
              <w:t>m</w:t>
            </w:r>
            <w:r>
              <w:rPr>
                <w:rFonts w:hint="default" w:ascii="Times New Roman" w:hAnsi="Times New Roman" w:eastAsia="宋体" w:cs="Times New Roman"/>
                <w:b w:val="0"/>
                <w:bCs w:val="0"/>
                <w:color w:val="auto"/>
                <w:sz w:val="24"/>
                <w:szCs w:val="24"/>
                <w:highlight w:val="none"/>
                <w:vertAlign w:val="superscript"/>
                <w:lang w:eastAsia="zh-CN"/>
              </w:rPr>
              <w:t>2</w:t>
            </w:r>
            <w:r>
              <w:rPr>
                <w:rFonts w:hint="default" w:ascii="Times New Roman" w:hAnsi="Times New Roman" w:eastAsia="宋体" w:cs="Times New Roman"/>
                <w:b w:val="0"/>
                <w:bCs w:val="0"/>
                <w:color w:val="auto"/>
                <w:sz w:val="24"/>
                <w:szCs w:val="24"/>
                <w:highlight w:val="none"/>
                <w:lang w:eastAsia="zh-CN"/>
              </w:rPr>
              <w:t>·</w:t>
            </w:r>
            <w:r>
              <w:rPr>
                <w:rFonts w:hint="eastAsia" w:cs="Times New Roman"/>
                <w:b w:val="0"/>
                <w:bCs w:val="0"/>
                <w:color w:val="auto"/>
                <w:sz w:val="24"/>
                <w:szCs w:val="24"/>
                <w:highlight w:val="none"/>
                <w:lang w:val="en-US" w:eastAsia="zh-CN"/>
              </w:rPr>
              <w:t>d</w:t>
            </w:r>
            <w:r>
              <w:rPr>
                <w:rFonts w:hint="eastAsia"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计</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非雨天每天</w:t>
            </w:r>
            <w:r>
              <w:rPr>
                <w:rFonts w:hint="default" w:ascii="Times New Roman" w:hAnsi="Times New Roman" w:eastAsia="宋体" w:cs="Times New Roman"/>
                <w:color w:val="auto"/>
                <w:sz w:val="24"/>
                <w:szCs w:val="24"/>
                <w:highlight w:val="none"/>
                <w:lang w:val="en-US" w:eastAsia="zh-CN"/>
              </w:rPr>
              <w:t>浇洒</w:t>
            </w:r>
            <w:r>
              <w:rPr>
                <w:rFonts w:hint="default" w:ascii="Times New Roman" w:hAnsi="Times New Roman" w:eastAsia="宋体" w:cs="Times New Roman"/>
                <w:b w:val="0"/>
                <w:bCs w:val="0"/>
                <w:color w:val="auto"/>
                <w:sz w:val="24"/>
                <w:szCs w:val="24"/>
                <w:highlight w:val="none"/>
                <w:lang w:val="en-US" w:eastAsia="zh-CN"/>
              </w:rPr>
              <w:t>一次，</w:t>
            </w:r>
            <w:r>
              <w:rPr>
                <w:rFonts w:hint="default" w:ascii="Times New Roman" w:hAnsi="Times New Roman" w:eastAsia="宋体" w:cs="Times New Roman"/>
                <w:b w:val="0"/>
                <w:bCs w:val="0"/>
                <w:color w:val="auto"/>
                <w:sz w:val="24"/>
                <w:szCs w:val="24"/>
                <w:highlight w:val="none"/>
                <w:lang w:eastAsia="zh-CN"/>
              </w:rPr>
              <w:t>则</w:t>
            </w:r>
            <w:r>
              <w:rPr>
                <w:rFonts w:hint="default" w:ascii="Times New Roman" w:hAnsi="Times New Roman" w:eastAsia="宋体" w:cs="Times New Roman"/>
                <w:b w:val="0"/>
                <w:bCs w:val="0"/>
                <w:color w:val="auto"/>
                <w:sz w:val="24"/>
                <w:szCs w:val="24"/>
                <w:highlight w:val="none"/>
                <w:lang w:val="en-US" w:eastAsia="zh-CN"/>
              </w:rPr>
              <w:t>项目绿化及</w:t>
            </w:r>
            <w:r>
              <w:rPr>
                <w:rFonts w:hint="default" w:ascii="Times New Roman" w:hAnsi="Times New Roman" w:eastAsia="宋体" w:cs="Times New Roman"/>
                <w:color w:val="auto"/>
                <w:sz w:val="24"/>
                <w:szCs w:val="24"/>
                <w:highlight w:val="none"/>
                <w:lang w:val="en-US" w:eastAsia="zh-CN"/>
              </w:rPr>
              <w:t>道路场地</w:t>
            </w:r>
            <w:r>
              <w:rPr>
                <w:rFonts w:hint="default" w:ascii="Times New Roman" w:hAnsi="Times New Roman" w:eastAsia="宋体" w:cs="Times New Roman"/>
                <w:b w:val="0"/>
                <w:bCs w:val="0"/>
                <w:color w:val="auto"/>
                <w:sz w:val="24"/>
                <w:szCs w:val="24"/>
                <w:highlight w:val="none"/>
                <w:lang w:val="en-US" w:eastAsia="zh-CN"/>
              </w:rPr>
              <w:t>洒水</w:t>
            </w:r>
            <w:r>
              <w:rPr>
                <w:rFonts w:hint="default" w:ascii="Times New Roman" w:hAnsi="Times New Roman" w:eastAsia="宋体" w:cs="Times New Roman"/>
                <w:b w:val="0"/>
                <w:bCs w:val="0"/>
                <w:color w:val="auto"/>
                <w:sz w:val="24"/>
                <w:szCs w:val="24"/>
                <w:highlight w:val="none"/>
                <w:lang w:eastAsia="zh-CN"/>
              </w:rPr>
              <w:t>用水</w:t>
            </w:r>
            <w:r>
              <w:rPr>
                <w:rFonts w:hint="default" w:ascii="Times New Roman" w:hAnsi="Times New Roman" w:eastAsia="宋体" w:cs="Times New Roman"/>
                <w:b w:val="0"/>
                <w:bCs w:val="0"/>
                <w:color w:val="auto"/>
                <w:sz w:val="24"/>
                <w:szCs w:val="24"/>
                <w:highlight w:val="none"/>
                <w:lang w:val="en-US" w:eastAsia="zh-CN"/>
              </w:rPr>
              <w:t>量为</w:t>
            </w:r>
            <w:r>
              <w:rPr>
                <w:rFonts w:hint="eastAsia" w:cs="Times New Roman"/>
                <w:b w:val="0"/>
                <w:bCs w:val="0"/>
                <w:color w:val="auto"/>
                <w:sz w:val="24"/>
                <w:szCs w:val="24"/>
                <w:highlight w:val="none"/>
                <w:lang w:val="en-US" w:eastAsia="zh-CN"/>
              </w:rPr>
              <w:t>1.26</w:t>
            </w:r>
            <w:r>
              <w:rPr>
                <w:rFonts w:hint="default" w:ascii="Times New Roman" w:hAnsi="Times New Roman" w:eastAsia="宋体" w:cs="Times New Roman"/>
                <w:color w:val="auto"/>
                <w:sz w:val="24"/>
                <w:szCs w:val="24"/>
                <w:highlight w:val="none"/>
                <w:lang w:bidi="ar"/>
              </w:rPr>
              <w:t>m</w:t>
            </w:r>
            <w:r>
              <w:rPr>
                <w:rFonts w:hint="default" w:ascii="Times New Roman" w:hAnsi="Times New Roman" w:eastAsia="宋体" w:cs="Times New Roman"/>
                <w:color w:val="auto"/>
                <w:sz w:val="24"/>
                <w:szCs w:val="24"/>
                <w:highlight w:val="none"/>
                <w:vertAlign w:val="superscript"/>
                <w:lang w:bidi="ar"/>
              </w:rPr>
              <w:t>3</w:t>
            </w:r>
            <w:r>
              <w:rPr>
                <w:rFonts w:hint="default" w:ascii="Times New Roman" w:hAnsi="Times New Roman" w:eastAsia="宋体" w:cs="Times New Roman"/>
                <w:color w:val="auto"/>
                <w:sz w:val="24"/>
                <w:szCs w:val="24"/>
                <w:highlight w:val="none"/>
                <w:lang w:bidi="ar"/>
              </w:rPr>
              <w:t>/d</w:t>
            </w:r>
            <w:r>
              <w:rPr>
                <w:rFonts w:hint="default" w:ascii="Times New Roman" w:hAnsi="Times New Roman" w:eastAsia="宋体" w:cs="Times New Roman"/>
                <w:color w:val="auto"/>
                <w:sz w:val="24"/>
                <w:szCs w:val="24"/>
                <w:highlight w:val="none"/>
                <w:lang w:val="zh-CN"/>
              </w:rPr>
              <w:t>、</w:t>
            </w:r>
            <w:r>
              <w:rPr>
                <w:rFonts w:hint="eastAsia" w:cs="Times New Roman"/>
                <w:color w:val="auto"/>
                <w:sz w:val="24"/>
                <w:szCs w:val="24"/>
                <w:highlight w:val="none"/>
                <w:lang w:val="en-US" w:eastAsia="zh-CN"/>
              </w:rPr>
              <w:t>267.12</w:t>
            </w:r>
            <w:r>
              <w:rPr>
                <w:rFonts w:hint="default" w:ascii="Times New Roman" w:hAnsi="Times New Roman" w:eastAsia="宋体" w:cs="Times New Roman"/>
                <w:color w:val="auto"/>
                <w:sz w:val="24"/>
                <w:szCs w:val="24"/>
                <w:highlight w:val="none"/>
                <w:lang w:val="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zh-CN"/>
              </w:rPr>
              <w:t>/a</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非雨天按2</w:t>
            </w:r>
            <w:r>
              <w:rPr>
                <w:rFonts w:hint="eastAsia" w:cs="Times New Roman"/>
                <w:color w:val="auto"/>
                <w:sz w:val="24"/>
                <w:szCs w:val="24"/>
                <w:highlight w:val="none"/>
                <w:lang w:val="en-US" w:eastAsia="zh-CN"/>
              </w:rPr>
              <w:t>12</w:t>
            </w:r>
            <w:r>
              <w:rPr>
                <w:rFonts w:hint="default" w:ascii="Times New Roman" w:hAnsi="Times New Roman" w:eastAsia="宋体" w:cs="Times New Roman"/>
                <w:color w:val="auto"/>
                <w:sz w:val="24"/>
                <w:szCs w:val="24"/>
                <w:highlight w:val="none"/>
                <w:lang w:val="en-US" w:eastAsia="zh-CN"/>
              </w:rPr>
              <w:t>d计</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绿化及</w:t>
            </w:r>
            <w:r>
              <w:rPr>
                <w:rFonts w:hint="default" w:ascii="Times New Roman" w:hAnsi="Times New Roman" w:eastAsia="宋体" w:cs="Times New Roman"/>
                <w:color w:val="auto"/>
                <w:sz w:val="24"/>
                <w:szCs w:val="24"/>
                <w:highlight w:val="none"/>
                <w:lang w:val="en-US" w:eastAsia="zh-CN"/>
              </w:rPr>
              <w:t>道路场地洒水</w:t>
            </w:r>
            <w:r>
              <w:rPr>
                <w:rFonts w:hint="default" w:ascii="Times New Roman" w:hAnsi="Times New Roman" w:eastAsia="宋体" w:cs="Times New Roman"/>
                <w:b w:val="0"/>
                <w:bCs w:val="0"/>
                <w:color w:val="auto"/>
                <w:sz w:val="24"/>
                <w:szCs w:val="24"/>
                <w:highlight w:val="none"/>
                <w:lang w:val="en-US" w:eastAsia="zh-CN"/>
              </w:rPr>
              <w:t>使用</w:t>
            </w:r>
            <w:r>
              <w:rPr>
                <w:rFonts w:hint="eastAsia" w:cs="Times New Roman"/>
                <w:b w:val="0"/>
                <w:bCs w:val="0"/>
                <w:color w:val="auto"/>
                <w:sz w:val="24"/>
                <w:szCs w:val="24"/>
                <w:highlight w:val="none"/>
                <w:lang w:val="en-US" w:eastAsia="zh-CN"/>
              </w:rPr>
              <w:t>进入依托的</w:t>
            </w:r>
            <w:r>
              <w:rPr>
                <w:rFonts w:hint="default" w:ascii="Times New Roman" w:hAnsi="Times New Roman" w:eastAsia="宋体" w:cs="Times New Roman"/>
                <w:color w:val="auto"/>
                <w:sz w:val="24"/>
                <w:szCs w:val="24"/>
                <w:highlight w:val="none"/>
                <w:lang w:eastAsia="zh-CN" w:bidi="ar"/>
              </w:rPr>
              <w:t>一体化</w:t>
            </w:r>
            <w:r>
              <w:rPr>
                <w:rFonts w:hint="default" w:ascii="Times New Roman" w:hAnsi="Times New Roman" w:eastAsia="宋体" w:cs="Times New Roman"/>
                <w:color w:val="auto"/>
                <w:sz w:val="24"/>
                <w:szCs w:val="24"/>
                <w:highlight w:val="none"/>
                <w:lang w:val="en-US" w:eastAsia="zh-CN" w:bidi="ar"/>
              </w:rPr>
              <w:t>生活</w:t>
            </w:r>
            <w:r>
              <w:rPr>
                <w:rFonts w:hint="default" w:ascii="Times New Roman" w:hAnsi="Times New Roman" w:eastAsia="宋体" w:cs="Times New Roman"/>
                <w:b w:val="0"/>
                <w:bCs w:val="0"/>
                <w:color w:val="auto"/>
                <w:sz w:val="24"/>
                <w:szCs w:val="24"/>
                <w:highlight w:val="none"/>
                <w:lang w:val="en-US" w:eastAsia="zh-CN"/>
              </w:rPr>
              <w:t>污水处理站处理达标的中水，</w:t>
            </w:r>
            <w:r>
              <w:rPr>
                <w:rFonts w:hint="default" w:ascii="Times New Roman" w:hAnsi="Times New Roman" w:eastAsia="宋体" w:cs="Times New Roman"/>
                <w:color w:val="auto"/>
                <w:sz w:val="24"/>
                <w:szCs w:val="24"/>
                <w:highlight w:val="none"/>
                <w:lang w:val="en-US" w:eastAsia="zh-CN"/>
              </w:rPr>
              <w:t>洒</w:t>
            </w:r>
            <w:r>
              <w:rPr>
                <w:rFonts w:hint="default" w:ascii="Times New Roman" w:hAnsi="Times New Roman" w:eastAsia="宋体" w:cs="Times New Roman"/>
                <w:b w:val="0"/>
                <w:bCs w:val="0"/>
                <w:color w:val="auto"/>
                <w:sz w:val="24"/>
                <w:szCs w:val="24"/>
                <w:highlight w:val="none"/>
                <w:lang w:val="en-US" w:eastAsia="zh-CN"/>
              </w:rPr>
              <w:t>水后水分自然蒸发，不产生废水。</w:t>
            </w:r>
          </w:p>
          <w:p w14:paraId="0E7D119A">
            <w:pPr>
              <w:pStyle w:val="14"/>
              <w:widowControl/>
              <w:snapToGrid w:val="0"/>
              <w:spacing w:after="0" w:line="356" w:lineRule="auto"/>
              <w:ind w:firstLine="482" w:firstLineChars="200"/>
              <w:rPr>
                <w:b/>
                <w:bCs/>
                <w:snapToGrid w:val="0"/>
                <w:color w:val="auto"/>
                <w:sz w:val="24"/>
              </w:rPr>
            </w:pPr>
            <w:r>
              <w:rPr>
                <w:rFonts w:hint="eastAsia"/>
                <w:b/>
                <w:bCs/>
                <w:snapToGrid w:val="0"/>
                <w:color w:val="auto"/>
                <w:sz w:val="24"/>
              </w:rPr>
              <w:t>②</w:t>
            </w:r>
            <w:r>
              <w:rPr>
                <w:b/>
                <w:bCs/>
                <w:snapToGrid w:val="0"/>
                <w:color w:val="auto"/>
                <w:sz w:val="24"/>
              </w:rPr>
              <w:t>生活用水</w:t>
            </w:r>
          </w:p>
          <w:p w14:paraId="28E31B63">
            <w:pPr>
              <w:pStyle w:val="14"/>
              <w:widowControl/>
              <w:snapToGrid w:val="0"/>
              <w:spacing w:after="0" w:line="356" w:lineRule="auto"/>
              <w:ind w:firstLine="480" w:firstLineChars="200"/>
              <w:rPr>
                <w:b/>
                <w:bCs/>
                <w:color w:val="auto"/>
                <w:sz w:val="24"/>
              </w:rPr>
            </w:pPr>
            <w:r>
              <w:rPr>
                <w:snapToGrid w:val="0"/>
                <w:color w:val="auto"/>
                <w:sz w:val="24"/>
              </w:rPr>
              <w:t>运营期工作人员</w:t>
            </w:r>
            <w:r>
              <w:rPr>
                <w:rFonts w:hint="eastAsia"/>
                <w:snapToGrid w:val="0"/>
                <w:color w:val="auto"/>
                <w:sz w:val="24"/>
                <w:lang w:val="en-US" w:eastAsia="zh-CN"/>
              </w:rPr>
              <w:t>4</w:t>
            </w:r>
            <w:r>
              <w:rPr>
                <w:rFonts w:hint="eastAsia"/>
                <w:snapToGrid w:val="0"/>
                <w:color w:val="auto"/>
                <w:sz w:val="24"/>
              </w:rPr>
              <w:t>0</w:t>
            </w:r>
            <w:r>
              <w:rPr>
                <w:snapToGrid w:val="0"/>
                <w:color w:val="auto"/>
                <w:sz w:val="24"/>
              </w:rPr>
              <w:t>人，年工作</w:t>
            </w:r>
            <w:r>
              <w:rPr>
                <w:rFonts w:hint="eastAsia"/>
                <w:snapToGrid w:val="0"/>
                <w:color w:val="auto"/>
                <w:sz w:val="24"/>
                <w:lang w:val="en-US" w:eastAsia="zh-CN"/>
              </w:rPr>
              <w:t>30</w:t>
            </w:r>
            <w:r>
              <w:rPr>
                <w:snapToGrid w:val="0"/>
                <w:color w:val="auto"/>
                <w:sz w:val="24"/>
              </w:rPr>
              <w:t>0天，</w:t>
            </w:r>
            <w:r>
              <w:rPr>
                <w:rFonts w:hint="eastAsia"/>
                <w:snapToGrid w:val="0"/>
                <w:color w:val="auto"/>
                <w:sz w:val="24"/>
              </w:rPr>
              <w:t>其中</w:t>
            </w:r>
            <w:r>
              <w:rPr>
                <w:rFonts w:hint="eastAsia"/>
                <w:snapToGrid w:val="0"/>
                <w:color w:val="auto"/>
                <w:sz w:val="24"/>
                <w:lang w:val="en-US" w:eastAsia="zh-CN"/>
              </w:rPr>
              <w:t>2</w:t>
            </w:r>
            <w:r>
              <w:rPr>
                <w:rFonts w:hint="eastAsia"/>
                <w:snapToGrid w:val="0"/>
                <w:color w:val="auto"/>
                <w:sz w:val="24"/>
              </w:rPr>
              <w:t>0人</w:t>
            </w:r>
            <w:r>
              <w:rPr>
                <w:snapToGrid w:val="0"/>
                <w:color w:val="auto"/>
                <w:sz w:val="24"/>
              </w:rPr>
              <w:t>在项目区食宿，</w:t>
            </w:r>
            <w:r>
              <w:rPr>
                <w:rFonts w:hint="eastAsia"/>
                <w:snapToGrid w:val="0"/>
                <w:color w:val="auto"/>
                <w:sz w:val="24"/>
                <w:lang w:val="en-US" w:eastAsia="zh-CN"/>
              </w:rPr>
              <w:t>20</w:t>
            </w:r>
            <w:r>
              <w:rPr>
                <w:rFonts w:hint="eastAsia"/>
                <w:snapToGrid w:val="0"/>
                <w:color w:val="auto"/>
                <w:sz w:val="24"/>
              </w:rPr>
              <w:t>人不在项目区食宿，在项目区食宿人员</w:t>
            </w:r>
            <w:r>
              <w:rPr>
                <w:snapToGrid w:val="0"/>
                <w:color w:val="auto"/>
                <w:sz w:val="24"/>
              </w:rPr>
              <w:t>用水主要为食堂用水和其它生活用水。根据《云南省地方标准用水定额》（DB53/T168-20</w:t>
            </w:r>
            <w:r>
              <w:rPr>
                <w:rFonts w:hint="eastAsia"/>
                <w:snapToGrid w:val="0"/>
                <w:color w:val="auto"/>
                <w:sz w:val="24"/>
                <w:lang w:val="en-US" w:eastAsia="zh-CN"/>
              </w:rPr>
              <w:t>26</w:t>
            </w:r>
            <w:r>
              <w:rPr>
                <w:snapToGrid w:val="0"/>
                <w:color w:val="auto"/>
                <w:sz w:val="24"/>
              </w:rPr>
              <w:t>）</w:t>
            </w:r>
            <w:r>
              <w:rPr>
                <w:color w:val="auto"/>
                <w:sz w:val="24"/>
              </w:rPr>
              <w:t>表1</w:t>
            </w:r>
            <w:r>
              <w:rPr>
                <w:rFonts w:hint="eastAsia"/>
                <w:color w:val="auto"/>
                <w:sz w:val="24"/>
                <w:lang w:val="en-US" w:eastAsia="zh-CN"/>
              </w:rPr>
              <w:t>4</w:t>
            </w:r>
            <w:r>
              <w:rPr>
                <w:color w:val="auto"/>
                <w:sz w:val="24"/>
              </w:rPr>
              <w:t>城镇居民生活用水定额</w:t>
            </w:r>
            <w:r>
              <w:rPr>
                <w:snapToGrid w:val="0"/>
                <w:color w:val="auto"/>
                <w:sz w:val="24"/>
              </w:rPr>
              <w:t>，用水定额按100L/（人·d）计，则</w:t>
            </w:r>
            <w:r>
              <w:rPr>
                <w:rFonts w:hint="eastAsia"/>
                <w:snapToGrid w:val="0"/>
                <w:color w:val="auto"/>
                <w:sz w:val="24"/>
              </w:rPr>
              <w:t>在项目区食宿人员</w:t>
            </w:r>
            <w:r>
              <w:rPr>
                <w:snapToGrid w:val="0"/>
                <w:color w:val="auto"/>
                <w:sz w:val="24"/>
              </w:rPr>
              <w:t>生活用水量为</w:t>
            </w:r>
            <w:r>
              <w:rPr>
                <w:rFonts w:hint="eastAsia"/>
                <w:snapToGrid w:val="0"/>
                <w:color w:val="auto"/>
                <w:sz w:val="24"/>
                <w:lang w:val="en-US" w:eastAsia="zh-CN"/>
              </w:rPr>
              <w:t>2</w:t>
            </w:r>
            <w:r>
              <w:rPr>
                <w:rFonts w:hint="eastAsia"/>
                <w:snapToGrid w:val="0"/>
                <w:color w:val="auto"/>
                <w:sz w:val="24"/>
              </w:rPr>
              <w:t>.0</w:t>
            </w:r>
            <w:r>
              <w:rPr>
                <w:snapToGrid w:val="0"/>
                <w:color w:val="auto"/>
                <w:sz w:val="24"/>
              </w:rPr>
              <w:t>m</w:t>
            </w:r>
            <w:r>
              <w:rPr>
                <w:snapToGrid w:val="0"/>
                <w:color w:val="auto"/>
                <w:sz w:val="24"/>
                <w:vertAlign w:val="superscript"/>
              </w:rPr>
              <w:t>3</w:t>
            </w:r>
            <w:r>
              <w:rPr>
                <w:snapToGrid w:val="0"/>
                <w:color w:val="auto"/>
                <w:sz w:val="24"/>
              </w:rPr>
              <w:t>/d、</w:t>
            </w:r>
            <w:r>
              <w:rPr>
                <w:rFonts w:hint="eastAsia"/>
                <w:snapToGrid w:val="0"/>
                <w:color w:val="auto"/>
                <w:sz w:val="24"/>
                <w:lang w:val="en-US" w:eastAsia="zh-CN"/>
              </w:rPr>
              <w:t>60</w:t>
            </w:r>
            <w:r>
              <w:rPr>
                <w:snapToGrid w:val="0"/>
                <w:color w:val="auto"/>
                <w:sz w:val="24"/>
              </w:rPr>
              <w:t>0m</w:t>
            </w:r>
            <w:r>
              <w:rPr>
                <w:snapToGrid w:val="0"/>
                <w:color w:val="auto"/>
                <w:sz w:val="24"/>
                <w:vertAlign w:val="superscript"/>
              </w:rPr>
              <w:t>3</w:t>
            </w:r>
            <w:r>
              <w:rPr>
                <w:snapToGrid w:val="0"/>
                <w:color w:val="auto"/>
                <w:sz w:val="24"/>
              </w:rPr>
              <w:t>/a，产污系数按0.8计算，废水量为</w:t>
            </w:r>
            <w:r>
              <w:rPr>
                <w:rFonts w:hint="eastAsia"/>
                <w:snapToGrid w:val="0"/>
                <w:color w:val="auto"/>
                <w:sz w:val="24"/>
                <w:lang w:val="en-US" w:eastAsia="zh-CN"/>
              </w:rPr>
              <w:t>1.6</w:t>
            </w:r>
            <w:r>
              <w:rPr>
                <w:snapToGrid w:val="0"/>
                <w:color w:val="auto"/>
                <w:sz w:val="24"/>
              </w:rPr>
              <w:t>m</w:t>
            </w:r>
            <w:r>
              <w:rPr>
                <w:snapToGrid w:val="0"/>
                <w:color w:val="auto"/>
                <w:sz w:val="24"/>
                <w:vertAlign w:val="superscript"/>
              </w:rPr>
              <w:t>3</w:t>
            </w:r>
            <w:r>
              <w:rPr>
                <w:snapToGrid w:val="0"/>
                <w:color w:val="auto"/>
                <w:sz w:val="24"/>
              </w:rPr>
              <w:t>/d、</w:t>
            </w:r>
            <w:r>
              <w:rPr>
                <w:rFonts w:hint="eastAsia"/>
                <w:snapToGrid w:val="0"/>
                <w:color w:val="auto"/>
                <w:sz w:val="24"/>
                <w:lang w:val="en-US" w:eastAsia="zh-CN"/>
              </w:rPr>
              <w:t>480</w:t>
            </w:r>
            <w:r>
              <w:rPr>
                <w:snapToGrid w:val="0"/>
                <w:color w:val="auto"/>
                <w:sz w:val="24"/>
              </w:rPr>
              <w:t>m</w:t>
            </w:r>
            <w:r>
              <w:rPr>
                <w:snapToGrid w:val="0"/>
                <w:color w:val="auto"/>
                <w:sz w:val="24"/>
                <w:vertAlign w:val="superscript"/>
              </w:rPr>
              <w:t>3</w:t>
            </w:r>
            <w:r>
              <w:rPr>
                <w:snapToGrid w:val="0"/>
                <w:color w:val="auto"/>
                <w:sz w:val="24"/>
              </w:rPr>
              <w:t>/a</w:t>
            </w:r>
            <w:r>
              <w:rPr>
                <w:rFonts w:hint="eastAsia"/>
                <w:snapToGrid w:val="0"/>
                <w:color w:val="auto"/>
                <w:sz w:val="24"/>
              </w:rPr>
              <w:t>；</w:t>
            </w:r>
            <w:r>
              <w:rPr>
                <w:snapToGrid w:val="0"/>
                <w:color w:val="auto"/>
                <w:sz w:val="24"/>
              </w:rPr>
              <w:t>其中食堂用水量占生活总用水量的20%，其他生活用水占80%，则食堂用水量为</w:t>
            </w:r>
            <w:r>
              <w:rPr>
                <w:rFonts w:hint="eastAsia"/>
                <w:snapToGrid w:val="0"/>
                <w:color w:val="auto"/>
                <w:sz w:val="24"/>
                <w:lang w:val="en-US" w:eastAsia="zh-CN"/>
              </w:rPr>
              <w:t>0.4</w:t>
            </w:r>
            <w:r>
              <w:rPr>
                <w:snapToGrid w:val="0"/>
                <w:color w:val="auto"/>
                <w:sz w:val="24"/>
              </w:rPr>
              <w:t>m</w:t>
            </w:r>
            <w:r>
              <w:rPr>
                <w:snapToGrid w:val="0"/>
                <w:color w:val="auto"/>
                <w:sz w:val="24"/>
                <w:vertAlign w:val="superscript"/>
              </w:rPr>
              <w:t>3</w:t>
            </w:r>
            <w:r>
              <w:rPr>
                <w:snapToGrid w:val="0"/>
                <w:color w:val="auto"/>
                <w:sz w:val="24"/>
              </w:rPr>
              <w:t>/d、</w:t>
            </w:r>
            <w:r>
              <w:rPr>
                <w:rFonts w:hint="eastAsia"/>
                <w:snapToGrid w:val="0"/>
                <w:color w:val="auto"/>
                <w:sz w:val="24"/>
                <w:lang w:val="en-US" w:eastAsia="zh-CN"/>
              </w:rPr>
              <w:t>120</w:t>
            </w:r>
            <w:r>
              <w:rPr>
                <w:snapToGrid w:val="0"/>
                <w:color w:val="auto"/>
                <w:sz w:val="24"/>
              </w:rPr>
              <w:t>m</w:t>
            </w:r>
            <w:r>
              <w:rPr>
                <w:snapToGrid w:val="0"/>
                <w:color w:val="auto"/>
                <w:sz w:val="24"/>
                <w:vertAlign w:val="superscript"/>
              </w:rPr>
              <w:t>3</w:t>
            </w:r>
            <w:r>
              <w:rPr>
                <w:snapToGrid w:val="0"/>
                <w:color w:val="auto"/>
                <w:sz w:val="24"/>
              </w:rPr>
              <w:t>/a，废水量为</w:t>
            </w:r>
            <w:r>
              <w:rPr>
                <w:rFonts w:hint="eastAsia"/>
                <w:snapToGrid w:val="0"/>
                <w:color w:val="auto"/>
                <w:sz w:val="24"/>
                <w:lang w:val="en-US" w:eastAsia="zh-CN"/>
              </w:rPr>
              <w:t>0.32</w:t>
            </w:r>
            <w:r>
              <w:rPr>
                <w:snapToGrid w:val="0"/>
                <w:color w:val="auto"/>
                <w:sz w:val="24"/>
              </w:rPr>
              <w:t>m</w:t>
            </w:r>
            <w:r>
              <w:rPr>
                <w:snapToGrid w:val="0"/>
                <w:color w:val="auto"/>
                <w:sz w:val="24"/>
                <w:vertAlign w:val="superscript"/>
              </w:rPr>
              <w:t>3</w:t>
            </w:r>
            <w:r>
              <w:rPr>
                <w:snapToGrid w:val="0"/>
                <w:color w:val="auto"/>
                <w:sz w:val="24"/>
              </w:rPr>
              <w:t>/d、</w:t>
            </w:r>
            <w:r>
              <w:rPr>
                <w:rFonts w:hint="eastAsia"/>
                <w:snapToGrid w:val="0"/>
                <w:color w:val="auto"/>
                <w:sz w:val="24"/>
                <w:lang w:val="en-US" w:eastAsia="zh-CN"/>
              </w:rPr>
              <w:t>96</w:t>
            </w:r>
            <w:r>
              <w:rPr>
                <w:snapToGrid w:val="0"/>
                <w:color w:val="auto"/>
                <w:sz w:val="24"/>
              </w:rPr>
              <w:t>m</w:t>
            </w:r>
            <w:r>
              <w:rPr>
                <w:snapToGrid w:val="0"/>
                <w:color w:val="auto"/>
                <w:sz w:val="24"/>
                <w:vertAlign w:val="superscript"/>
              </w:rPr>
              <w:t>3</w:t>
            </w:r>
            <w:r>
              <w:rPr>
                <w:snapToGrid w:val="0"/>
                <w:color w:val="auto"/>
                <w:sz w:val="24"/>
              </w:rPr>
              <w:t>/a。</w:t>
            </w:r>
            <w:r>
              <w:rPr>
                <w:rFonts w:hint="eastAsia"/>
                <w:snapToGrid w:val="0"/>
                <w:color w:val="auto"/>
                <w:sz w:val="24"/>
              </w:rPr>
              <w:t>不在项目区食宿人员生活用水量</w:t>
            </w:r>
            <w:r>
              <w:rPr>
                <w:rFonts w:hint="eastAsia" w:cs="宋体"/>
                <w:color w:val="auto"/>
                <w:sz w:val="24"/>
                <w:szCs w:val="22"/>
              </w:rPr>
              <w:t>根据《云南省地方标准用水定额》（DB53/T168-20</w:t>
            </w:r>
            <w:r>
              <w:rPr>
                <w:rFonts w:hint="eastAsia" w:cs="宋体"/>
                <w:color w:val="auto"/>
                <w:sz w:val="24"/>
                <w:szCs w:val="22"/>
                <w:lang w:val="en-US" w:eastAsia="zh-CN"/>
              </w:rPr>
              <w:t>26</w:t>
            </w:r>
            <w:r>
              <w:rPr>
                <w:rFonts w:hint="eastAsia" w:cs="宋体"/>
                <w:color w:val="auto"/>
                <w:sz w:val="24"/>
                <w:szCs w:val="22"/>
              </w:rPr>
              <w:t>）“国家</w:t>
            </w:r>
            <w:r>
              <w:rPr>
                <w:rFonts w:hint="eastAsia" w:cs="宋体"/>
                <w:color w:val="auto"/>
                <w:sz w:val="24"/>
                <w:szCs w:val="22"/>
                <w:lang w:val="en-US" w:eastAsia="zh-CN"/>
              </w:rPr>
              <w:t>行政</w:t>
            </w:r>
            <w:r>
              <w:rPr>
                <w:rFonts w:hint="eastAsia" w:cs="宋体"/>
                <w:color w:val="auto"/>
                <w:sz w:val="24"/>
                <w:szCs w:val="22"/>
              </w:rPr>
              <w:t>机构  无食堂”用水量按</w:t>
            </w:r>
            <w:r>
              <w:rPr>
                <w:rFonts w:hint="eastAsia" w:cs="宋体"/>
                <w:color w:val="auto"/>
                <w:sz w:val="24"/>
                <w:szCs w:val="22"/>
                <w:lang w:val="en-US" w:eastAsia="zh-CN"/>
              </w:rPr>
              <w:t>11m</w:t>
            </w:r>
            <w:r>
              <w:rPr>
                <w:rFonts w:hint="eastAsia" w:cs="宋体"/>
                <w:color w:val="auto"/>
                <w:sz w:val="24"/>
                <w:szCs w:val="22"/>
                <w:vertAlign w:val="superscript"/>
                <w:lang w:val="en-US" w:eastAsia="zh-CN"/>
              </w:rPr>
              <w:t>3</w:t>
            </w:r>
            <w:r>
              <w:rPr>
                <w:rFonts w:hint="eastAsia" w:cs="宋体"/>
                <w:color w:val="auto"/>
                <w:sz w:val="24"/>
                <w:szCs w:val="22"/>
              </w:rPr>
              <w:t>/（人·</w:t>
            </w:r>
            <w:r>
              <w:rPr>
                <w:rFonts w:hint="eastAsia" w:cs="宋体"/>
                <w:color w:val="auto"/>
                <w:sz w:val="24"/>
                <w:szCs w:val="22"/>
                <w:lang w:val="en-US" w:eastAsia="zh-CN"/>
              </w:rPr>
              <w:t>a</w:t>
            </w:r>
            <w:r>
              <w:rPr>
                <w:rFonts w:hint="eastAsia" w:cs="宋体"/>
                <w:color w:val="auto"/>
                <w:sz w:val="24"/>
                <w:szCs w:val="22"/>
              </w:rPr>
              <w:t>）计，</w:t>
            </w:r>
            <w:r>
              <w:rPr>
                <w:snapToGrid w:val="0"/>
                <w:color w:val="auto"/>
                <w:sz w:val="24"/>
              </w:rPr>
              <w:t>用水量为</w:t>
            </w:r>
            <w:r>
              <w:rPr>
                <w:rFonts w:hint="eastAsia"/>
                <w:snapToGrid w:val="0"/>
                <w:color w:val="auto"/>
                <w:sz w:val="24"/>
                <w:lang w:val="en-US" w:eastAsia="zh-CN"/>
              </w:rPr>
              <w:t>0.7333</w:t>
            </w:r>
            <w:r>
              <w:rPr>
                <w:snapToGrid w:val="0"/>
                <w:color w:val="auto"/>
                <w:sz w:val="24"/>
              </w:rPr>
              <w:t>m</w:t>
            </w:r>
            <w:r>
              <w:rPr>
                <w:snapToGrid w:val="0"/>
                <w:color w:val="auto"/>
                <w:sz w:val="24"/>
                <w:vertAlign w:val="superscript"/>
              </w:rPr>
              <w:t>3</w:t>
            </w:r>
            <w:r>
              <w:rPr>
                <w:snapToGrid w:val="0"/>
                <w:color w:val="auto"/>
                <w:sz w:val="24"/>
              </w:rPr>
              <w:t>/d、</w:t>
            </w:r>
            <w:r>
              <w:rPr>
                <w:rFonts w:hint="eastAsia"/>
                <w:snapToGrid w:val="0"/>
                <w:color w:val="auto"/>
                <w:sz w:val="24"/>
                <w:lang w:val="en-US" w:eastAsia="zh-CN"/>
              </w:rPr>
              <w:t>220</w:t>
            </w:r>
            <w:r>
              <w:rPr>
                <w:snapToGrid w:val="0"/>
                <w:color w:val="auto"/>
                <w:sz w:val="24"/>
              </w:rPr>
              <w:t>m</w:t>
            </w:r>
            <w:r>
              <w:rPr>
                <w:snapToGrid w:val="0"/>
                <w:color w:val="auto"/>
                <w:sz w:val="24"/>
                <w:vertAlign w:val="superscript"/>
              </w:rPr>
              <w:t>3</w:t>
            </w:r>
            <w:r>
              <w:rPr>
                <w:snapToGrid w:val="0"/>
                <w:color w:val="auto"/>
                <w:sz w:val="24"/>
              </w:rPr>
              <w:t>/a，产污系数按0.8计算，废水量为</w:t>
            </w:r>
            <w:r>
              <w:rPr>
                <w:rFonts w:hint="eastAsia"/>
                <w:snapToGrid w:val="0"/>
                <w:color w:val="auto"/>
                <w:sz w:val="24"/>
                <w:lang w:val="en-US" w:eastAsia="zh-CN"/>
              </w:rPr>
              <w:t>0.5867</w:t>
            </w:r>
            <w:r>
              <w:rPr>
                <w:snapToGrid w:val="0"/>
                <w:color w:val="auto"/>
                <w:sz w:val="24"/>
              </w:rPr>
              <w:t>m</w:t>
            </w:r>
            <w:r>
              <w:rPr>
                <w:snapToGrid w:val="0"/>
                <w:color w:val="auto"/>
                <w:sz w:val="24"/>
                <w:vertAlign w:val="superscript"/>
              </w:rPr>
              <w:t>3</w:t>
            </w:r>
            <w:r>
              <w:rPr>
                <w:snapToGrid w:val="0"/>
                <w:color w:val="auto"/>
                <w:sz w:val="24"/>
              </w:rPr>
              <w:t>/d、</w:t>
            </w:r>
            <w:r>
              <w:rPr>
                <w:rFonts w:hint="eastAsia"/>
                <w:snapToGrid w:val="0"/>
                <w:color w:val="auto"/>
                <w:sz w:val="24"/>
                <w:lang w:val="en-US" w:eastAsia="zh-CN"/>
              </w:rPr>
              <w:t>176</w:t>
            </w:r>
            <w:r>
              <w:rPr>
                <w:snapToGrid w:val="0"/>
                <w:color w:val="auto"/>
                <w:sz w:val="24"/>
              </w:rPr>
              <w:t>m</w:t>
            </w:r>
            <w:r>
              <w:rPr>
                <w:snapToGrid w:val="0"/>
                <w:color w:val="auto"/>
                <w:sz w:val="24"/>
                <w:vertAlign w:val="superscript"/>
              </w:rPr>
              <w:t>3</w:t>
            </w:r>
            <w:r>
              <w:rPr>
                <w:snapToGrid w:val="0"/>
                <w:color w:val="auto"/>
                <w:sz w:val="24"/>
              </w:rPr>
              <w:t>/a</w:t>
            </w:r>
            <w:r>
              <w:rPr>
                <w:rFonts w:hint="eastAsia"/>
                <w:snapToGrid w:val="0"/>
                <w:color w:val="auto"/>
                <w:sz w:val="24"/>
              </w:rPr>
              <w:t>。项目总生活用水量为</w:t>
            </w:r>
            <w:r>
              <w:rPr>
                <w:rFonts w:hint="eastAsia"/>
                <w:snapToGrid w:val="0"/>
                <w:color w:val="auto"/>
                <w:sz w:val="24"/>
                <w:lang w:val="en-US" w:eastAsia="zh-CN"/>
              </w:rPr>
              <w:t>2.7333</w:t>
            </w:r>
            <w:r>
              <w:rPr>
                <w:snapToGrid w:val="0"/>
                <w:color w:val="auto"/>
                <w:sz w:val="24"/>
              </w:rPr>
              <w:t>m</w:t>
            </w:r>
            <w:r>
              <w:rPr>
                <w:snapToGrid w:val="0"/>
                <w:color w:val="auto"/>
                <w:sz w:val="24"/>
                <w:vertAlign w:val="superscript"/>
              </w:rPr>
              <w:t>3</w:t>
            </w:r>
            <w:r>
              <w:rPr>
                <w:snapToGrid w:val="0"/>
                <w:color w:val="auto"/>
                <w:sz w:val="24"/>
              </w:rPr>
              <w:t>/d、</w:t>
            </w:r>
            <w:r>
              <w:rPr>
                <w:rFonts w:hint="eastAsia"/>
                <w:snapToGrid w:val="0"/>
                <w:color w:val="auto"/>
                <w:sz w:val="24"/>
                <w:lang w:val="en-US" w:eastAsia="zh-CN"/>
              </w:rPr>
              <w:t>820</w:t>
            </w:r>
            <w:r>
              <w:rPr>
                <w:snapToGrid w:val="0"/>
                <w:color w:val="auto"/>
                <w:sz w:val="24"/>
              </w:rPr>
              <w:t>m</w:t>
            </w:r>
            <w:r>
              <w:rPr>
                <w:snapToGrid w:val="0"/>
                <w:color w:val="auto"/>
                <w:sz w:val="24"/>
                <w:vertAlign w:val="superscript"/>
              </w:rPr>
              <w:t>3</w:t>
            </w:r>
            <w:r>
              <w:rPr>
                <w:snapToGrid w:val="0"/>
                <w:color w:val="auto"/>
                <w:sz w:val="24"/>
              </w:rPr>
              <w:t>/a</w:t>
            </w:r>
            <w:r>
              <w:rPr>
                <w:rFonts w:hint="eastAsia"/>
                <w:snapToGrid w:val="0"/>
                <w:color w:val="auto"/>
                <w:sz w:val="24"/>
              </w:rPr>
              <w:t>，废水量为</w:t>
            </w:r>
            <w:r>
              <w:rPr>
                <w:rFonts w:hint="eastAsia"/>
                <w:snapToGrid w:val="0"/>
                <w:color w:val="auto"/>
                <w:sz w:val="24"/>
                <w:lang w:val="en-US" w:eastAsia="zh-CN"/>
              </w:rPr>
              <w:t>2.1867</w:t>
            </w:r>
            <w:r>
              <w:rPr>
                <w:snapToGrid w:val="0"/>
                <w:color w:val="auto"/>
                <w:sz w:val="24"/>
              </w:rPr>
              <w:t>m</w:t>
            </w:r>
            <w:r>
              <w:rPr>
                <w:snapToGrid w:val="0"/>
                <w:color w:val="auto"/>
                <w:sz w:val="24"/>
                <w:vertAlign w:val="superscript"/>
              </w:rPr>
              <w:t>3</w:t>
            </w:r>
            <w:r>
              <w:rPr>
                <w:snapToGrid w:val="0"/>
                <w:color w:val="auto"/>
                <w:sz w:val="24"/>
              </w:rPr>
              <w:t>/d、</w:t>
            </w:r>
            <w:r>
              <w:rPr>
                <w:rFonts w:hint="eastAsia"/>
                <w:snapToGrid w:val="0"/>
                <w:color w:val="auto"/>
                <w:sz w:val="24"/>
                <w:lang w:val="en-US" w:eastAsia="zh-CN"/>
              </w:rPr>
              <w:t>656</w:t>
            </w:r>
            <w:r>
              <w:rPr>
                <w:snapToGrid w:val="0"/>
                <w:color w:val="auto"/>
                <w:sz w:val="24"/>
              </w:rPr>
              <w:t>m</w:t>
            </w:r>
            <w:r>
              <w:rPr>
                <w:snapToGrid w:val="0"/>
                <w:color w:val="auto"/>
                <w:sz w:val="24"/>
                <w:vertAlign w:val="superscript"/>
              </w:rPr>
              <w:t>3</w:t>
            </w:r>
            <w:r>
              <w:rPr>
                <w:snapToGrid w:val="0"/>
                <w:color w:val="auto"/>
                <w:sz w:val="24"/>
              </w:rPr>
              <w:t>/a</w:t>
            </w:r>
            <w:r>
              <w:rPr>
                <w:rFonts w:hint="eastAsia"/>
                <w:snapToGrid w:val="0"/>
                <w:color w:val="auto"/>
                <w:sz w:val="24"/>
              </w:rPr>
              <w:t>。</w:t>
            </w:r>
          </w:p>
          <w:p w14:paraId="724DE6ED">
            <w:pPr>
              <w:pStyle w:val="83"/>
              <w:spacing w:line="360" w:lineRule="auto"/>
              <w:ind w:firstLine="482" w:firstLineChars="200"/>
              <w:rPr>
                <w:b/>
                <w:bCs/>
                <w:color w:val="auto"/>
              </w:rPr>
            </w:pPr>
            <w:r>
              <w:rPr>
                <w:b/>
                <w:bCs/>
                <w:color w:val="auto"/>
              </w:rPr>
              <w:t>（2）项目用排水情况汇总统计</w:t>
            </w:r>
          </w:p>
          <w:p w14:paraId="0CD7A5F0">
            <w:pPr>
              <w:pStyle w:val="83"/>
              <w:keepNext w:val="0"/>
              <w:keepLines w:val="0"/>
              <w:pageBreakBefore w:val="0"/>
              <w:widowControl w:val="0"/>
              <w:kinsoku/>
              <w:wordWrap/>
              <w:overflowPunct/>
              <w:topLinePunct w:val="0"/>
              <w:autoSpaceDE/>
              <w:autoSpaceDN/>
              <w:bidi w:val="0"/>
              <w:spacing w:beforeLines="0" w:afterLines="0" w:line="360" w:lineRule="auto"/>
              <w:ind w:left="0" w:right="0" w:firstLine="480" w:firstLineChars="200"/>
              <w:textAlignment w:val="auto"/>
              <w:rPr>
                <w:rFonts w:ascii="Times New Roman" w:hAnsi="Times New Roman" w:eastAsia="宋体"/>
                <w:color w:val="auto"/>
                <w:sz w:val="24"/>
                <w:highlight w:val="yellow"/>
              </w:rPr>
            </w:pPr>
            <w:r>
              <w:rPr>
                <w:rFonts w:ascii="Times New Roman" w:hAnsi="Times New Roman" w:eastAsia="宋体"/>
                <w:color w:val="auto"/>
                <w:sz w:val="24"/>
                <w:szCs w:val="24"/>
              </w:rPr>
              <w:t>本项目排水采用雨污分流的排水方式，项目区建筑物屋面及地面雨水经厂区雨水沟收集后排入园区雨水市政管网；冷却水经冷却循环</w:t>
            </w:r>
            <w:r>
              <w:rPr>
                <w:rFonts w:hint="eastAsia" w:ascii="Times New Roman" w:hAnsi="Times New Roman" w:eastAsia="宋体"/>
                <w:color w:val="auto"/>
                <w:sz w:val="24"/>
                <w:szCs w:val="24"/>
                <w:lang w:eastAsia="zh-CN"/>
              </w:rPr>
              <w:t>水箱</w:t>
            </w:r>
            <w:r>
              <w:rPr>
                <w:rFonts w:ascii="Times New Roman" w:hAnsi="Times New Roman" w:eastAsia="宋体"/>
                <w:color w:val="auto"/>
                <w:sz w:val="24"/>
                <w:szCs w:val="24"/>
              </w:rPr>
              <w:t>冷却后循环使用，不外排；</w:t>
            </w:r>
            <w:r>
              <w:rPr>
                <w:rFonts w:hint="default" w:ascii="Times New Roman" w:hAnsi="Times New Roman" w:eastAsia="宋体" w:cs="Times New Roman"/>
                <w:b w:val="0"/>
                <w:bCs w:val="0"/>
                <w:color w:val="auto"/>
                <w:sz w:val="24"/>
                <w:szCs w:val="24"/>
                <w:highlight w:val="none"/>
                <w:lang w:val="en-US" w:eastAsia="zh-CN"/>
              </w:rPr>
              <w:t>食堂含油废水经隔油池预处理后与其他办公生活污水一并进入</w:t>
            </w:r>
            <w:r>
              <w:rPr>
                <w:rFonts w:hint="eastAsia" w:cs="Times New Roman"/>
                <w:b w:val="0"/>
                <w:bCs w:val="0"/>
                <w:color w:val="auto"/>
                <w:sz w:val="24"/>
                <w:szCs w:val="24"/>
                <w:highlight w:val="none"/>
                <w:lang w:val="en-US" w:eastAsia="zh-CN"/>
              </w:rPr>
              <w:t>依托的</w:t>
            </w:r>
            <w:r>
              <w:rPr>
                <w:rFonts w:hint="default" w:ascii="Times New Roman" w:hAnsi="Times New Roman" w:eastAsia="宋体" w:cs="Times New Roman"/>
                <w:b w:val="0"/>
                <w:bCs w:val="0"/>
                <w:color w:val="auto"/>
                <w:sz w:val="24"/>
                <w:szCs w:val="24"/>
                <w:highlight w:val="none"/>
                <w:lang w:val="en-US" w:eastAsia="zh-CN"/>
              </w:rPr>
              <w:t>化粪池</w:t>
            </w:r>
            <w:r>
              <w:rPr>
                <w:rFonts w:hint="eastAsia" w:cs="Times New Roman"/>
                <w:b w:val="0"/>
                <w:bCs w:val="0"/>
                <w:color w:val="auto"/>
                <w:sz w:val="24"/>
                <w:szCs w:val="24"/>
                <w:highlight w:val="none"/>
                <w:lang w:val="en-US" w:eastAsia="zh-CN"/>
              </w:rPr>
              <w:t>处理</w:t>
            </w:r>
            <w:r>
              <w:rPr>
                <w:rFonts w:hint="eastAsia" w:ascii="Times New Roman" w:hAnsi="Times New Roman" w:eastAsia="宋体" w:cs="Times New Roman"/>
                <w:color w:val="auto"/>
                <w:sz w:val="24"/>
                <w:szCs w:val="24"/>
                <w:highlight w:val="none"/>
                <w:lang w:val="en-US" w:eastAsia="zh-CN"/>
              </w:rPr>
              <w:t>后</w:t>
            </w:r>
            <w:r>
              <w:rPr>
                <w:rFonts w:hint="default" w:ascii="Times New Roman" w:hAnsi="Times New Roman" w:eastAsia="宋体" w:cs="Times New Roman"/>
                <w:color w:val="auto"/>
                <w:sz w:val="24"/>
                <w:szCs w:val="24"/>
                <w:highlight w:val="none"/>
                <w:lang w:val="en-US" w:eastAsia="zh-CN"/>
              </w:rPr>
              <w:t>再进入到</w:t>
            </w:r>
            <w:r>
              <w:rPr>
                <w:rFonts w:hint="eastAsia" w:ascii="Times New Roman" w:hAnsi="Times New Roman" w:eastAsia="宋体" w:cs="Times New Roman"/>
                <w:color w:val="auto"/>
                <w:sz w:val="24"/>
                <w:szCs w:val="24"/>
                <w:highlight w:val="none"/>
                <w:lang w:val="en-US" w:eastAsia="zh-CN"/>
              </w:rPr>
              <w:t>依托的一体化污水处理站</w:t>
            </w:r>
            <w:r>
              <w:rPr>
                <w:rFonts w:hint="default" w:ascii="Times New Roman" w:hAnsi="Times New Roman" w:eastAsia="宋体" w:cs="Times New Roman"/>
                <w:color w:val="auto"/>
                <w:sz w:val="24"/>
                <w:szCs w:val="24"/>
                <w:highlight w:val="none"/>
                <w:lang w:val="en-US" w:eastAsia="zh-CN"/>
              </w:rPr>
              <w:t>处理</w:t>
            </w:r>
            <w:r>
              <w:rPr>
                <w:rFonts w:hint="eastAsia" w:ascii="Times New Roman" w:hAnsi="Times New Roman" w:eastAsia="宋体" w:cs="Times New Roman"/>
                <w:color w:val="auto"/>
                <w:sz w:val="24"/>
                <w:szCs w:val="24"/>
                <w:highlight w:val="none"/>
                <w:lang w:val="en-US" w:eastAsia="zh-CN"/>
              </w:rPr>
              <w:t>达到</w:t>
            </w:r>
            <w:r>
              <w:rPr>
                <w:rFonts w:hint="default" w:ascii="Times New Roman" w:hAnsi="Times New Roman" w:eastAsia="宋体" w:cs="Times New Roman"/>
                <w:b w:val="0"/>
                <w:bCs w:val="0"/>
                <w:color w:val="auto"/>
                <w:sz w:val="24"/>
                <w:szCs w:val="24"/>
                <w:highlight w:val="none"/>
                <w:lang w:val="en-US" w:eastAsia="zh-CN"/>
              </w:rPr>
              <w:t>《城市污水再生利用 城市杂用水水质》（GB/T18920-2020）中的城市绿化、道路清扫、消防、建筑施工标准后，用于</w:t>
            </w:r>
            <w:r>
              <w:rPr>
                <w:rFonts w:hint="eastAsia" w:cs="Times New Roman"/>
                <w:b w:val="0"/>
                <w:bCs w:val="0"/>
                <w:color w:val="auto"/>
                <w:sz w:val="24"/>
                <w:szCs w:val="24"/>
                <w:highlight w:val="none"/>
                <w:lang w:val="en-US" w:eastAsia="zh-CN"/>
              </w:rPr>
              <w:t>本</w:t>
            </w:r>
            <w:r>
              <w:rPr>
                <w:rFonts w:hint="default" w:ascii="Times New Roman" w:hAnsi="Times New Roman" w:eastAsia="宋体" w:cs="Times New Roman"/>
                <w:b w:val="0"/>
                <w:bCs w:val="0"/>
                <w:color w:val="auto"/>
                <w:sz w:val="24"/>
                <w:szCs w:val="24"/>
                <w:highlight w:val="none"/>
                <w:lang w:val="en-US" w:eastAsia="zh-CN"/>
              </w:rPr>
              <w:t>项目区</w:t>
            </w:r>
            <w:r>
              <w:rPr>
                <w:rFonts w:hint="eastAsia" w:cs="Times New Roman"/>
                <w:b w:val="0"/>
                <w:bCs w:val="0"/>
                <w:color w:val="auto"/>
                <w:sz w:val="24"/>
                <w:szCs w:val="24"/>
                <w:highlight w:val="none"/>
                <w:lang w:val="en-US" w:eastAsia="zh-CN"/>
              </w:rPr>
              <w:t>及</w:t>
            </w:r>
            <w:r>
              <w:rPr>
                <w:rFonts w:hint="eastAsia"/>
                <w:bCs/>
                <w:color w:val="auto"/>
                <w:sz w:val="24"/>
                <w:highlight w:val="none"/>
                <w:lang w:eastAsia="zh-CN"/>
              </w:rPr>
              <w:t>云</w:t>
            </w:r>
            <w:r>
              <w:rPr>
                <w:rFonts w:hint="eastAsia"/>
                <w:color w:val="auto"/>
                <w:sz w:val="24"/>
                <w:highlight w:val="none"/>
                <w:lang w:val="en-US" w:eastAsia="zh-CN"/>
              </w:rPr>
              <w:t>南宝泰轻化机械</w:t>
            </w:r>
            <w:r>
              <w:rPr>
                <w:rFonts w:hint="eastAsia"/>
                <w:color w:val="auto"/>
                <w:sz w:val="24"/>
                <w:highlight w:val="none"/>
                <w:lang w:eastAsia="zh-CN"/>
              </w:rPr>
              <w:t>有限公司</w:t>
            </w:r>
            <w:r>
              <w:rPr>
                <w:rFonts w:hint="default" w:ascii="Times New Roman" w:hAnsi="Times New Roman" w:eastAsia="宋体" w:cs="Times New Roman"/>
                <w:b w:val="0"/>
                <w:bCs w:val="0"/>
                <w:color w:val="auto"/>
                <w:sz w:val="24"/>
                <w:szCs w:val="24"/>
                <w:highlight w:val="none"/>
                <w:lang w:val="en-US" w:eastAsia="zh-CN"/>
              </w:rPr>
              <w:t>内绿化及道路场地洒水降尘，不外排。</w:t>
            </w:r>
          </w:p>
          <w:p w14:paraId="60DE35CF">
            <w:pPr>
              <w:adjustRightInd w:val="0"/>
              <w:snapToGrid w:val="0"/>
              <w:spacing w:line="356" w:lineRule="auto"/>
              <w:ind w:firstLine="480" w:firstLineChars="200"/>
              <w:rPr>
                <w:b/>
                <w:snapToGrid w:val="0"/>
                <w:color w:val="auto"/>
                <w:szCs w:val="21"/>
              </w:rPr>
            </w:pPr>
            <w:r>
              <w:rPr>
                <w:snapToGrid w:val="0"/>
                <w:color w:val="auto"/>
                <w:sz w:val="24"/>
                <w:lang w:val="zh-CN"/>
              </w:rPr>
              <w:t>综上，项目用水量、污水排放量详见表</w:t>
            </w:r>
            <w:r>
              <w:rPr>
                <w:snapToGrid w:val="0"/>
                <w:color w:val="auto"/>
                <w:sz w:val="24"/>
              </w:rPr>
              <w:t>2</w:t>
            </w:r>
            <w:r>
              <w:rPr>
                <w:snapToGrid w:val="0"/>
                <w:color w:val="auto"/>
                <w:sz w:val="24"/>
                <w:lang w:val="zh-CN"/>
              </w:rPr>
              <w:t>-</w:t>
            </w:r>
            <w:r>
              <w:rPr>
                <w:rFonts w:hint="eastAsia"/>
                <w:snapToGrid w:val="0"/>
                <w:color w:val="auto"/>
                <w:sz w:val="24"/>
                <w:lang w:val="en-US" w:eastAsia="zh-CN"/>
              </w:rPr>
              <w:t>7</w:t>
            </w:r>
            <w:r>
              <w:rPr>
                <w:snapToGrid w:val="0"/>
                <w:color w:val="auto"/>
                <w:sz w:val="24"/>
                <w:lang w:val="zh-CN"/>
              </w:rPr>
              <w:t>。</w:t>
            </w:r>
          </w:p>
          <w:p w14:paraId="45E4BA80">
            <w:pPr>
              <w:snapToGrid w:val="0"/>
              <w:jc w:val="center"/>
              <w:rPr>
                <w:b/>
                <w:snapToGrid w:val="0"/>
                <w:color w:val="auto"/>
                <w:szCs w:val="21"/>
              </w:rPr>
            </w:pPr>
          </w:p>
          <w:p w14:paraId="1A67DD2A">
            <w:pPr>
              <w:snapToGrid w:val="0"/>
              <w:jc w:val="center"/>
              <w:rPr>
                <w:b/>
                <w:snapToGrid w:val="0"/>
                <w:color w:val="auto"/>
                <w:szCs w:val="21"/>
              </w:rPr>
            </w:pPr>
            <w:r>
              <w:rPr>
                <w:b/>
                <w:snapToGrid w:val="0"/>
                <w:color w:val="auto"/>
                <w:szCs w:val="21"/>
              </w:rPr>
              <w:t>表2-</w:t>
            </w:r>
            <w:r>
              <w:rPr>
                <w:rFonts w:hint="eastAsia"/>
                <w:b/>
                <w:snapToGrid w:val="0"/>
                <w:color w:val="auto"/>
                <w:szCs w:val="21"/>
                <w:lang w:val="en-US" w:eastAsia="zh-CN"/>
              </w:rPr>
              <w:t>7</w:t>
            </w:r>
            <w:r>
              <w:rPr>
                <w:b/>
                <w:snapToGrid w:val="0"/>
                <w:color w:val="auto"/>
                <w:szCs w:val="21"/>
              </w:rPr>
              <w:t xml:space="preserve">  项目用排水情况一览表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857"/>
              <w:gridCol w:w="858"/>
              <w:gridCol w:w="1013"/>
              <w:gridCol w:w="835"/>
              <w:gridCol w:w="915"/>
              <w:gridCol w:w="1098"/>
              <w:gridCol w:w="783"/>
              <w:gridCol w:w="699"/>
              <w:gridCol w:w="686"/>
            </w:tblGrid>
            <w:tr w14:paraId="2F97D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19" w:type="pct"/>
                  <w:gridSpan w:val="3"/>
                  <w:vMerge w:val="restart"/>
                  <w:vAlign w:val="center"/>
                </w:tcPr>
                <w:p w14:paraId="1D506C88">
                  <w:pPr>
                    <w:snapToGrid w:val="0"/>
                    <w:jc w:val="center"/>
                    <w:rPr>
                      <w:b/>
                      <w:snapToGrid w:val="0"/>
                      <w:color w:val="auto"/>
                      <w:szCs w:val="21"/>
                    </w:rPr>
                  </w:pPr>
                  <w:r>
                    <w:rPr>
                      <w:b/>
                      <w:snapToGrid w:val="0"/>
                      <w:color w:val="auto"/>
                      <w:szCs w:val="21"/>
                    </w:rPr>
                    <w:t>项目</w:t>
                  </w:r>
                </w:p>
              </w:tc>
              <w:tc>
                <w:tcPr>
                  <w:tcW w:w="601" w:type="pct"/>
                  <w:vMerge w:val="restart"/>
                  <w:vAlign w:val="center"/>
                </w:tcPr>
                <w:p w14:paraId="2B761DCB">
                  <w:pPr>
                    <w:snapToGrid w:val="0"/>
                    <w:jc w:val="center"/>
                    <w:rPr>
                      <w:b/>
                      <w:snapToGrid w:val="0"/>
                      <w:color w:val="auto"/>
                      <w:szCs w:val="21"/>
                    </w:rPr>
                  </w:pPr>
                  <w:r>
                    <w:rPr>
                      <w:b/>
                      <w:snapToGrid w:val="0"/>
                      <w:color w:val="auto"/>
                      <w:szCs w:val="21"/>
                    </w:rPr>
                    <w:t>用水定额</w:t>
                  </w:r>
                </w:p>
              </w:tc>
              <w:tc>
                <w:tcPr>
                  <w:tcW w:w="495" w:type="pct"/>
                  <w:vMerge w:val="restart"/>
                  <w:vAlign w:val="center"/>
                </w:tcPr>
                <w:p w14:paraId="5B65F537">
                  <w:pPr>
                    <w:snapToGrid w:val="0"/>
                    <w:jc w:val="center"/>
                    <w:rPr>
                      <w:b/>
                      <w:snapToGrid w:val="0"/>
                      <w:color w:val="auto"/>
                      <w:szCs w:val="21"/>
                    </w:rPr>
                  </w:pPr>
                  <w:r>
                    <w:rPr>
                      <w:b/>
                      <w:snapToGrid w:val="0"/>
                      <w:color w:val="auto"/>
                      <w:szCs w:val="21"/>
                    </w:rPr>
                    <w:t>数量</w:t>
                  </w:r>
                </w:p>
              </w:tc>
              <w:tc>
                <w:tcPr>
                  <w:tcW w:w="1195" w:type="pct"/>
                  <w:gridSpan w:val="2"/>
                  <w:vAlign w:val="center"/>
                </w:tcPr>
                <w:p w14:paraId="0B127CF9">
                  <w:pPr>
                    <w:snapToGrid w:val="0"/>
                    <w:jc w:val="center"/>
                    <w:rPr>
                      <w:b/>
                      <w:snapToGrid w:val="0"/>
                      <w:color w:val="auto"/>
                      <w:szCs w:val="21"/>
                    </w:rPr>
                  </w:pPr>
                  <w:r>
                    <w:rPr>
                      <w:b/>
                      <w:snapToGrid w:val="0"/>
                      <w:color w:val="auto"/>
                      <w:szCs w:val="21"/>
                    </w:rPr>
                    <w:t>用水量</w:t>
                  </w:r>
                </w:p>
              </w:tc>
              <w:tc>
                <w:tcPr>
                  <w:tcW w:w="464" w:type="pct"/>
                  <w:vMerge w:val="restart"/>
                  <w:vAlign w:val="center"/>
                </w:tcPr>
                <w:p w14:paraId="4E9E4D0F">
                  <w:pPr>
                    <w:snapToGrid w:val="0"/>
                    <w:jc w:val="center"/>
                    <w:rPr>
                      <w:b/>
                      <w:snapToGrid w:val="0"/>
                      <w:color w:val="auto"/>
                      <w:szCs w:val="21"/>
                    </w:rPr>
                  </w:pPr>
                  <w:r>
                    <w:rPr>
                      <w:b/>
                      <w:snapToGrid w:val="0"/>
                      <w:color w:val="auto"/>
                      <w:szCs w:val="21"/>
                    </w:rPr>
                    <w:t>产污率</w:t>
                  </w:r>
                </w:p>
              </w:tc>
              <w:tc>
                <w:tcPr>
                  <w:tcW w:w="822" w:type="pct"/>
                  <w:gridSpan w:val="2"/>
                  <w:vAlign w:val="center"/>
                </w:tcPr>
                <w:p w14:paraId="02FC2A2C">
                  <w:pPr>
                    <w:snapToGrid w:val="0"/>
                    <w:jc w:val="center"/>
                    <w:rPr>
                      <w:b/>
                      <w:snapToGrid w:val="0"/>
                      <w:color w:val="auto"/>
                      <w:szCs w:val="21"/>
                    </w:rPr>
                  </w:pPr>
                  <w:r>
                    <w:rPr>
                      <w:b/>
                      <w:snapToGrid w:val="0"/>
                      <w:color w:val="auto"/>
                      <w:szCs w:val="21"/>
                    </w:rPr>
                    <w:t>污水量</w:t>
                  </w:r>
                </w:p>
              </w:tc>
            </w:tr>
            <w:tr w14:paraId="553B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19" w:type="pct"/>
                  <w:gridSpan w:val="3"/>
                  <w:vMerge w:val="continue"/>
                  <w:vAlign w:val="center"/>
                </w:tcPr>
                <w:p w14:paraId="2148295D">
                  <w:pPr>
                    <w:snapToGrid w:val="0"/>
                    <w:jc w:val="center"/>
                    <w:rPr>
                      <w:b/>
                      <w:snapToGrid w:val="0"/>
                      <w:color w:val="auto"/>
                      <w:szCs w:val="21"/>
                    </w:rPr>
                  </w:pPr>
                </w:p>
              </w:tc>
              <w:tc>
                <w:tcPr>
                  <w:tcW w:w="601" w:type="pct"/>
                  <w:vMerge w:val="continue"/>
                  <w:vAlign w:val="center"/>
                </w:tcPr>
                <w:p w14:paraId="2B27F4B7">
                  <w:pPr>
                    <w:snapToGrid w:val="0"/>
                    <w:jc w:val="center"/>
                    <w:rPr>
                      <w:b/>
                      <w:snapToGrid w:val="0"/>
                      <w:color w:val="auto"/>
                      <w:szCs w:val="21"/>
                    </w:rPr>
                  </w:pPr>
                </w:p>
              </w:tc>
              <w:tc>
                <w:tcPr>
                  <w:tcW w:w="495" w:type="pct"/>
                  <w:vMerge w:val="continue"/>
                  <w:vAlign w:val="center"/>
                </w:tcPr>
                <w:p w14:paraId="57F977BD">
                  <w:pPr>
                    <w:snapToGrid w:val="0"/>
                    <w:jc w:val="center"/>
                    <w:rPr>
                      <w:b/>
                      <w:snapToGrid w:val="0"/>
                      <w:color w:val="auto"/>
                      <w:szCs w:val="21"/>
                    </w:rPr>
                  </w:pPr>
                </w:p>
              </w:tc>
              <w:tc>
                <w:tcPr>
                  <w:tcW w:w="543" w:type="pct"/>
                  <w:vAlign w:val="center"/>
                </w:tcPr>
                <w:p w14:paraId="6262D08E">
                  <w:pPr>
                    <w:snapToGrid w:val="0"/>
                    <w:jc w:val="center"/>
                    <w:rPr>
                      <w:b/>
                      <w:snapToGrid w:val="0"/>
                      <w:color w:val="auto"/>
                      <w:szCs w:val="21"/>
                    </w:rPr>
                  </w:pPr>
                  <w:r>
                    <w:rPr>
                      <w:b/>
                      <w:bCs/>
                      <w:snapToGrid w:val="0"/>
                      <w:color w:val="auto"/>
                      <w:szCs w:val="21"/>
                    </w:rPr>
                    <w:t>m</w:t>
                  </w:r>
                  <w:r>
                    <w:rPr>
                      <w:b/>
                      <w:bCs/>
                      <w:snapToGrid w:val="0"/>
                      <w:color w:val="auto"/>
                      <w:szCs w:val="21"/>
                      <w:vertAlign w:val="superscript"/>
                    </w:rPr>
                    <w:t>3</w:t>
                  </w:r>
                  <w:r>
                    <w:rPr>
                      <w:b/>
                      <w:bCs/>
                      <w:snapToGrid w:val="0"/>
                      <w:color w:val="auto"/>
                      <w:szCs w:val="21"/>
                    </w:rPr>
                    <w:t>/d</w:t>
                  </w:r>
                </w:p>
              </w:tc>
              <w:tc>
                <w:tcPr>
                  <w:tcW w:w="652" w:type="pct"/>
                  <w:vAlign w:val="center"/>
                </w:tcPr>
                <w:p w14:paraId="2AC57F28">
                  <w:pPr>
                    <w:snapToGrid w:val="0"/>
                    <w:jc w:val="center"/>
                    <w:rPr>
                      <w:b/>
                      <w:snapToGrid w:val="0"/>
                      <w:color w:val="auto"/>
                      <w:szCs w:val="21"/>
                    </w:rPr>
                  </w:pPr>
                  <w:r>
                    <w:rPr>
                      <w:b/>
                      <w:bCs/>
                      <w:snapToGrid w:val="0"/>
                      <w:color w:val="auto"/>
                      <w:szCs w:val="21"/>
                    </w:rPr>
                    <w:t>m</w:t>
                  </w:r>
                  <w:r>
                    <w:rPr>
                      <w:b/>
                      <w:bCs/>
                      <w:snapToGrid w:val="0"/>
                      <w:color w:val="auto"/>
                      <w:szCs w:val="21"/>
                      <w:vertAlign w:val="superscript"/>
                    </w:rPr>
                    <w:t>3</w:t>
                  </w:r>
                  <w:r>
                    <w:rPr>
                      <w:b/>
                      <w:bCs/>
                      <w:snapToGrid w:val="0"/>
                      <w:color w:val="auto"/>
                      <w:szCs w:val="21"/>
                    </w:rPr>
                    <w:t>/a</w:t>
                  </w:r>
                </w:p>
              </w:tc>
              <w:tc>
                <w:tcPr>
                  <w:tcW w:w="464" w:type="pct"/>
                  <w:vMerge w:val="continue"/>
                  <w:vAlign w:val="center"/>
                </w:tcPr>
                <w:p w14:paraId="7D8C4B37">
                  <w:pPr>
                    <w:snapToGrid w:val="0"/>
                    <w:jc w:val="center"/>
                    <w:rPr>
                      <w:b/>
                      <w:snapToGrid w:val="0"/>
                      <w:color w:val="auto"/>
                      <w:szCs w:val="21"/>
                    </w:rPr>
                  </w:pPr>
                </w:p>
              </w:tc>
              <w:tc>
                <w:tcPr>
                  <w:tcW w:w="415" w:type="pct"/>
                  <w:vAlign w:val="center"/>
                </w:tcPr>
                <w:p w14:paraId="3F01DEAA">
                  <w:pPr>
                    <w:snapToGrid w:val="0"/>
                    <w:jc w:val="center"/>
                    <w:rPr>
                      <w:b/>
                      <w:snapToGrid w:val="0"/>
                      <w:color w:val="auto"/>
                      <w:szCs w:val="21"/>
                    </w:rPr>
                  </w:pPr>
                  <w:r>
                    <w:rPr>
                      <w:b/>
                      <w:bCs/>
                      <w:snapToGrid w:val="0"/>
                      <w:color w:val="auto"/>
                      <w:szCs w:val="21"/>
                    </w:rPr>
                    <w:t>m</w:t>
                  </w:r>
                  <w:r>
                    <w:rPr>
                      <w:b/>
                      <w:bCs/>
                      <w:snapToGrid w:val="0"/>
                      <w:color w:val="auto"/>
                      <w:szCs w:val="21"/>
                      <w:vertAlign w:val="superscript"/>
                    </w:rPr>
                    <w:t>3</w:t>
                  </w:r>
                  <w:r>
                    <w:rPr>
                      <w:b/>
                      <w:bCs/>
                      <w:snapToGrid w:val="0"/>
                      <w:color w:val="auto"/>
                      <w:szCs w:val="21"/>
                    </w:rPr>
                    <w:t>/d</w:t>
                  </w:r>
                </w:p>
              </w:tc>
              <w:tc>
                <w:tcPr>
                  <w:tcW w:w="407" w:type="pct"/>
                  <w:vAlign w:val="center"/>
                </w:tcPr>
                <w:p w14:paraId="6AF185F6">
                  <w:pPr>
                    <w:snapToGrid w:val="0"/>
                    <w:jc w:val="center"/>
                    <w:rPr>
                      <w:b/>
                      <w:snapToGrid w:val="0"/>
                      <w:color w:val="auto"/>
                      <w:szCs w:val="21"/>
                    </w:rPr>
                  </w:pPr>
                  <w:r>
                    <w:rPr>
                      <w:b/>
                      <w:bCs/>
                      <w:snapToGrid w:val="0"/>
                      <w:color w:val="auto"/>
                      <w:szCs w:val="21"/>
                    </w:rPr>
                    <w:t>m</w:t>
                  </w:r>
                  <w:r>
                    <w:rPr>
                      <w:b/>
                      <w:bCs/>
                      <w:snapToGrid w:val="0"/>
                      <w:color w:val="auto"/>
                      <w:szCs w:val="21"/>
                      <w:vertAlign w:val="superscript"/>
                    </w:rPr>
                    <w:t>3</w:t>
                  </w:r>
                  <w:r>
                    <w:rPr>
                      <w:b/>
                      <w:bCs/>
                      <w:snapToGrid w:val="0"/>
                      <w:color w:val="auto"/>
                      <w:szCs w:val="21"/>
                    </w:rPr>
                    <w:t>/a</w:t>
                  </w:r>
                </w:p>
              </w:tc>
            </w:tr>
            <w:tr w14:paraId="66AC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1" w:type="pct"/>
                  <w:vAlign w:val="center"/>
                </w:tcPr>
                <w:p w14:paraId="3228C946">
                  <w:pPr>
                    <w:snapToGrid w:val="0"/>
                    <w:jc w:val="center"/>
                    <w:rPr>
                      <w:rFonts w:hint="eastAsia" w:eastAsia="宋体"/>
                      <w:snapToGrid w:val="0"/>
                      <w:color w:val="auto"/>
                      <w:szCs w:val="21"/>
                      <w:lang w:eastAsia="zh-CN"/>
                    </w:rPr>
                  </w:pPr>
                  <w:r>
                    <w:rPr>
                      <w:rFonts w:hint="eastAsia"/>
                      <w:snapToGrid w:val="0"/>
                      <w:color w:val="auto"/>
                      <w:szCs w:val="21"/>
                      <w:lang w:eastAsia="zh-CN"/>
                    </w:rPr>
                    <w:t>生产过程</w:t>
                  </w:r>
                </w:p>
              </w:tc>
              <w:tc>
                <w:tcPr>
                  <w:tcW w:w="1018" w:type="pct"/>
                  <w:gridSpan w:val="2"/>
                  <w:vAlign w:val="center"/>
                </w:tcPr>
                <w:p w14:paraId="73A01E8B">
                  <w:pPr>
                    <w:jc w:val="center"/>
                    <w:rPr>
                      <w:color w:val="auto"/>
                      <w:kern w:val="0"/>
                      <w:szCs w:val="21"/>
                    </w:rPr>
                  </w:pPr>
                  <w:r>
                    <w:rPr>
                      <w:color w:val="auto"/>
                      <w:kern w:val="0"/>
                      <w:szCs w:val="21"/>
                    </w:rPr>
                    <w:t>冷却水池补充水</w:t>
                  </w:r>
                </w:p>
              </w:tc>
              <w:tc>
                <w:tcPr>
                  <w:tcW w:w="601" w:type="pct"/>
                  <w:vAlign w:val="center"/>
                </w:tcPr>
                <w:p w14:paraId="3559D54A">
                  <w:pPr>
                    <w:snapToGrid w:val="0"/>
                    <w:jc w:val="center"/>
                    <w:rPr>
                      <w:snapToGrid w:val="0"/>
                      <w:color w:val="auto"/>
                      <w:szCs w:val="21"/>
                    </w:rPr>
                  </w:pPr>
                  <w:r>
                    <w:rPr>
                      <w:snapToGrid w:val="0"/>
                      <w:color w:val="auto"/>
                      <w:szCs w:val="21"/>
                    </w:rPr>
                    <w:t>/</w:t>
                  </w:r>
                </w:p>
              </w:tc>
              <w:tc>
                <w:tcPr>
                  <w:tcW w:w="495" w:type="pct"/>
                  <w:vAlign w:val="center"/>
                </w:tcPr>
                <w:p w14:paraId="7BCECE14">
                  <w:pPr>
                    <w:snapToGrid w:val="0"/>
                    <w:jc w:val="center"/>
                    <w:rPr>
                      <w:snapToGrid w:val="0"/>
                      <w:color w:val="auto"/>
                      <w:szCs w:val="21"/>
                    </w:rPr>
                  </w:pPr>
                  <w:r>
                    <w:rPr>
                      <w:snapToGrid w:val="0"/>
                      <w:color w:val="auto"/>
                      <w:szCs w:val="21"/>
                    </w:rPr>
                    <w:t>/</w:t>
                  </w:r>
                </w:p>
              </w:tc>
              <w:tc>
                <w:tcPr>
                  <w:tcW w:w="543" w:type="pct"/>
                  <w:vAlign w:val="center"/>
                </w:tcPr>
                <w:p w14:paraId="2CBA3921">
                  <w:pPr>
                    <w:widowControl/>
                    <w:jc w:val="center"/>
                    <w:textAlignment w:val="center"/>
                    <w:rPr>
                      <w:rFonts w:hint="default" w:eastAsia="宋体"/>
                      <w:snapToGrid w:val="0"/>
                      <w:color w:val="auto"/>
                      <w:szCs w:val="21"/>
                      <w:lang w:val="en-US" w:eastAsia="zh-CN"/>
                    </w:rPr>
                  </w:pPr>
                  <w:r>
                    <w:rPr>
                      <w:rFonts w:hint="eastAsia"/>
                      <w:color w:val="auto"/>
                      <w:kern w:val="0"/>
                      <w:szCs w:val="21"/>
                      <w:lang w:val="en-US" w:eastAsia="zh-CN" w:bidi="ar"/>
                    </w:rPr>
                    <w:t>15.4504</w:t>
                  </w:r>
                </w:p>
              </w:tc>
              <w:tc>
                <w:tcPr>
                  <w:tcW w:w="652" w:type="pct"/>
                  <w:vAlign w:val="center"/>
                </w:tcPr>
                <w:p w14:paraId="63780F1E">
                  <w:pPr>
                    <w:widowControl/>
                    <w:jc w:val="center"/>
                    <w:textAlignment w:val="center"/>
                    <w:rPr>
                      <w:rFonts w:hint="default" w:eastAsia="宋体"/>
                      <w:snapToGrid w:val="0"/>
                      <w:color w:val="auto"/>
                      <w:szCs w:val="21"/>
                      <w:lang w:val="en-US" w:eastAsia="zh-CN"/>
                    </w:rPr>
                  </w:pPr>
                  <w:r>
                    <w:rPr>
                      <w:rFonts w:hint="eastAsia"/>
                      <w:color w:val="auto"/>
                      <w:kern w:val="0"/>
                      <w:szCs w:val="21"/>
                      <w:lang w:val="en-US" w:eastAsia="zh-CN" w:bidi="ar"/>
                    </w:rPr>
                    <w:t>4653.12</w:t>
                  </w:r>
                </w:p>
              </w:tc>
              <w:tc>
                <w:tcPr>
                  <w:tcW w:w="464" w:type="pct"/>
                  <w:vAlign w:val="center"/>
                </w:tcPr>
                <w:p w14:paraId="46EDE7F4">
                  <w:pPr>
                    <w:widowControl/>
                    <w:jc w:val="center"/>
                    <w:textAlignment w:val="center"/>
                    <w:rPr>
                      <w:snapToGrid w:val="0"/>
                      <w:color w:val="auto"/>
                      <w:szCs w:val="21"/>
                    </w:rPr>
                  </w:pPr>
                  <w:r>
                    <w:rPr>
                      <w:color w:val="auto"/>
                      <w:kern w:val="0"/>
                      <w:szCs w:val="21"/>
                      <w:lang w:bidi="ar"/>
                    </w:rPr>
                    <w:t>/</w:t>
                  </w:r>
                </w:p>
              </w:tc>
              <w:tc>
                <w:tcPr>
                  <w:tcW w:w="415" w:type="pct"/>
                  <w:vAlign w:val="center"/>
                </w:tcPr>
                <w:p w14:paraId="5A089B64">
                  <w:pPr>
                    <w:widowControl/>
                    <w:jc w:val="center"/>
                    <w:textAlignment w:val="center"/>
                    <w:rPr>
                      <w:snapToGrid w:val="0"/>
                      <w:color w:val="auto"/>
                      <w:szCs w:val="21"/>
                    </w:rPr>
                  </w:pPr>
                  <w:r>
                    <w:rPr>
                      <w:color w:val="auto"/>
                      <w:kern w:val="0"/>
                      <w:szCs w:val="21"/>
                      <w:lang w:bidi="ar"/>
                    </w:rPr>
                    <w:t>0</w:t>
                  </w:r>
                </w:p>
              </w:tc>
              <w:tc>
                <w:tcPr>
                  <w:tcW w:w="407" w:type="pct"/>
                  <w:vAlign w:val="center"/>
                </w:tcPr>
                <w:p w14:paraId="6D6A3EFA">
                  <w:pPr>
                    <w:widowControl/>
                    <w:jc w:val="center"/>
                    <w:textAlignment w:val="center"/>
                    <w:rPr>
                      <w:snapToGrid w:val="0"/>
                      <w:color w:val="auto"/>
                      <w:szCs w:val="21"/>
                    </w:rPr>
                  </w:pPr>
                  <w:r>
                    <w:rPr>
                      <w:color w:val="auto"/>
                      <w:kern w:val="0"/>
                      <w:szCs w:val="21"/>
                      <w:lang w:bidi="ar"/>
                    </w:rPr>
                    <w:t>0</w:t>
                  </w:r>
                </w:p>
              </w:tc>
            </w:tr>
            <w:tr w14:paraId="31B9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17" w:type="pct"/>
                  <w:gridSpan w:val="5"/>
                  <w:vAlign w:val="center"/>
                </w:tcPr>
                <w:p w14:paraId="4A63C3DA">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ascii="Times New Roman" w:hAnsi="Times New Roman" w:eastAsia="宋体" w:cs="Times New Roman"/>
                      <w:color w:val="auto"/>
                      <w:kern w:val="0"/>
                      <w:szCs w:val="21"/>
                      <w:lang w:val="en-US" w:eastAsia="zh-CN" w:bidi="ar"/>
                    </w:rPr>
                    <w:t>小计</w:t>
                  </w:r>
                </w:p>
              </w:tc>
              <w:tc>
                <w:tcPr>
                  <w:tcW w:w="543" w:type="pct"/>
                  <w:vAlign w:val="center"/>
                </w:tcPr>
                <w:p w14:paraId="6A7B12F0">
                  <w:pPr>
                    <w:widowControl/>
                    <w:jc w:val="center"/>
                    <w:textAlignment w:val="center"/>
                    <w:rPr>
                      <w:rFonts w:hint="default" w:ascii="Times New Roman" w:hAnsi="Times New Roman" w:eastAsia="宋体" w:cs="Times New Roman"/>
                      <w:color w:val="auto"/>
                      <w:kern w:val="0"/>
                      <w:szCs w:val="21"/>
                      <w:lang w:val="en-US" w:eastAsia="zh-CN" w:bidi="ar"/>
                    </w:rPr>
                  </w:pPr>
                  <w:r>
                    <w:rPr>
                      <w:rFonts w:hint="eastAsia"/>
                      <w:color w:val="auto"/>
                      <w:kern w:val="0"/>
                      <w:szCs w:val="21"/>
                      <w:lang w:val="en-US" w:eastAsia="zh-CN" w:bidi="ar"/>
                    </w:rPr>
                    <w:t>15.4504</w:t>
                  </w:r>
                </w:p>
              </w:tc>
              <w:tc>
                <w:tcPr>
                  <w:tcW w:w="652" w:type="pct"/>
                  <w:vAlign w:val="center"/>
                </w:tcPr>
                <w:p w14:paraId="31F3C462">
                  <w:pPr>
                    <w:widowControl/>
                    <w:jc w:val="center"/>
                    <w:textAlignment w:val="center"/>
                    <w:rPr>
                      <w:rFonts w:hint="eastAsia" w:ascii="Times New Roman" w:hAnsi="Times New Roman" w:eastAsia="宋体" w:cs="Times New Roman"/>
                      <w:color w:val="auto"/>
                      <w:kern w:val="0"/>
                      <w:szCs w:val="21"/>
                      <w:lang w:val="en-US" w:eastAsia="zh-CN" w:bidi="ar"/>
                    </w:rPr>
                  </w:pPr>
                  <w:r>
                    <w:rPr>
                      <w:rFonts w:hint="eastAsia"/>
                      <w:color w:val="auto"/>
                      <w:kern w:val="0"/>
                      <w:szCs w:val="21"/>
                      <w:lang w:val="en-US" w:eastAsia="zh-CN" w:bidi="ar"/>
                    </w:rPr>
                    <w:t>4653.12</w:t>
                  </w:r>
                </w:p>
              </w:tc>
              <w:tc>
                <w:tcPr>
                  <w:tcW w:w="464" w:type="pct"/>
                  <w:vAlign w:val="center"/>
                </w:tcPr>
                <w:p w14:paraId="6AE41F48">
                  <w:pPr>
                    <w:widowControl/>
                    <w:jc w:val="center"/>
                    <w:textAlignment w:val="center"/>
                    <w:rPr>
                      <w:rFonts w:hint="eastAsia" w:ascii="Times New Roman" w:hAnsi="Times New Roman" w:eastAsia="宋体" w:cs="Times New Roman"/>
                      <w:color w:val="auto"/>
                      <w:kern w:val="0"/>
                      <w:szCs w:val="21"/>
                      <w:lang w:val="en-US" w:eastAsia="zh-CN" w:bidi="ar"/>
                    </w:rPr>
                  </w:pPr>
                  <w:r>
                    <w:rPr>
                      <w:rFonts w:hint="default" w:ascii="Times New Roman" w:hAnsi="Times New Roman" w:eastAsia="宋体" w:cs="Times New Roman"/>
                      <w:color w:val="auto"/>
                      <w:kern w:val="0"/>
                      <w:szCs w:val="21"/>
                      <w:lang w:val="en-US" w:eastAsia="zh-CN" w:bidi="ar"/>
                    </w:rPr>
                    <w:t>/</w:t>
                  </w:r>
                </w:p>
              </w:tc>
              <w:tc>
                <w:tcPr>
                  <w:tcW w:w="415" w:type="pct"/>
                  <w:vAlign w:val="center"/>
                </w:tcPr>
                <w:p w14:paraId="41A02DAF">
                  <w:pPr>
                    <w:widowControl/>
                    <w:jc w:val="center"/>
                    <w:textAlignment w:val="center"/>
                    <w:rPr>
                      <w:rFonts w:hint="eastAsia" w:ascii="Times New Roman" w:hAnsi="Times New Roman" w:eastAsia="宋体" w:cs="Times New Roman"/>
                      <w:color w:val="auto"/>
                      <w:kern w:val="0"/>
                      <w:szCs w:val="21"/>
                      <w:lang w:val="en-US" w:eastAsia="zh-CN" w:bidi="ar"/>
                    </w:rPr>
                  </w:pPr>
                  <w:r>
                    <w:rPr>
                      <w:rFonts w:hint="default" w:ascii="Times New Roman" w:hAnsi="Times New Roman" w:eastAsia="宋体" w:cs="Times New Roman"/>
                      <w:color w:val="auto"/>
                      <w:kern w:val="0"/>
                      <w:szCs w:val="21"/>
                      <w:lang w:val="en-US" w:eastAsia="zh-CN" w:bidi="ar"/>
                    </w:rPr>
                    <w:t>0</w:t>
                  </w:r>
                </w:p>
              </w:tc>
              <w:tc>
                <w:tcPr>
                  <w:tcW w:w="407" w:type="pct"/>
                  <w:vAlign w:val="center"/>
                </w:tcPr>
                <w:p w14:paraId="78F6A5F9">
                  <w:pPr>
                    <w:widowControl/>
                    <w:jc w:val="center"/>
                    <w:textAlignment w:val="center"/>
                    <w:rPr>
                      <w:rFonts w:hint="eastAsia" w:ascii="Times New Roman" w:hAnsi="Times New Roman" w:eastAsia="宋体" w:cs="Times New Roman"/>
                      <w:color w:val="auto"/>
                      <w:kern w:val="0"/>
                      <w:szCs w:val="21"/>
                      <w:lang w:val="en-US" w:eastAsia="zh-CN" w:bidi="ar"/>
                    </w:rPr>
                  </w:pPr>
                  <w:r>
                    <w:rPr>
                      <w:rFonts w:hint="default" w:ascii="Times New Roman" w:hAnsi="Times New Roman" w:eastAsia="宋体" w:cs="Times New Roman"/>
                      <w:color w:val="auto"/>
                      <w:kern w:val="0"/>
                      <w:szCs w:val="21"/>
                      <w:lang w:val="en-US" w:eastAsia="zh-CN" w:bidi="ar"/>
                    </w:rPr>
                    <w:t>0</w:t>
                  </w:r>
                </w:p>
              </w:tc>
            </w:tr>
            <w:tr w14:paraId="6EF07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01" w:type="pct"/>
                  <w:vMerge w:val="restart"/>
                  <w:vAlign w:val="center"/>
                </w:tcPr>
                <w:p w14:paraId="62503DA8">
                  <w:pPr>
                    <w:snapToGrid w:val="0"/>
                    <w:jc w:val="center"/>
                    <w:rPr>
                      <w:snapToGrid w:val="0"/>
                      <w:color w:val="auto"/>
                      <w:szCs w:val="21"/>
                    </w:rPr>
                  </w:pPr>
                  <w:r>
                    <w:rPr>
                      <w:snapToGrid w:val="0"/>
                      <w:color w:val="auto"/>
                      <w:szCs w:val="21"/>
                    </w:rPr>
                    <w:t>办公生活区</w:t>
                  </w:r>
                </w:p>
              </w:tc>
              <w:tc>
                <w:tcPr>
                  <w:tcW w:w="1018" w:type="pct"/>
                  <w:gridSpan w:val="2"/>
                  <w:vAlign w:val="center"/>
                </w:tcPr>
                <w:p w14:paraId="49C38CB2">
                  <w:pPr>
                    <w:snapToGrid w:val="0"/>
                    <w:jc w:val="center"/>
                    <w:rPr>
                      <w:snapToGrid w:val="0"/>
                      <w:color w:val="auto"/>
                      <w:szCs w:val="21"/>
                    </w:rPr>
                  </w:pPr>
                  <w:r>
                    <w:rPr>
                      <w:snapToGrid w:val="0"/>
                      <w:color w:val="auto"/>
                      <w:szCs w:val="21"/>
                    </w:rPr>
                    <w:t>食堂</w:t>
                  </w:r>
                </w:p>
              </w:tc>
              <w:tc>
                <w:tcPr>
                  <w:tcW w:w="601" w:type="pct"/>
                  <w:vAlign w:val="center"/>
                </w:tcPr>
                <w:p w14:paraId="46F4A554">
                  <w:pPr>
                    <w:snapToGrid w:val="0"/>
                    <w:jc w:val="center"/>
                    <w:rPr>
                      <w:snapToGrid w:val="0"/>
                      <w:color w:val="auto"/>
                      <w:szCs w:val="21"/>
                    </w:rPr>
                  </w:pPr>
                  <w:r>
                    <w:rPr>
                      <w:snapToGrid w:val="0"/>
                      <w:color w:val="auto"/>
                      <w:szCs w:val="21"/>
                    </w:rPr>
                    <w:t>20L/人·d</w:t>
                  </w:r>
                </w:p>
              </w:tc>
              <w:tc>
                <w:tcPr>
                  <w:tcW w:w="495" w:type="pct"/>
                  <w:vAlign w:val="center"/>
                </w:tcPr>
                <w:p w14:paraId="21F3001E">
                  <w:pPr>
                    <w:snapToGrid w:val="0"/>
                    <w:jc w:val="center"/>
                    <w:rPr>
                      <w:snapToGrid w:val="0"/>
                      <w:color w:val="auto"/>
                      <w:szCs w:val="21"/>
                    </w:rPr>
                  </w:pPr>
                  <w:r>
                    <w:rPr>
                      <w:snapToGrid w:val="0"/>
                      <w:color w:val="auto"/>
                      <w:szCs w:val="21"/>
                    </w:rPr>
                    <w:t>2</w:t>
                  </w:r>
                  <w:r>
                    <w:rPr>
                      <w:rFonts w:hint="eastAsia"/>
                      <w:snapToGrid w:val="0"/>
                      <w:color w:val="auto"/>
                      <w:szCs w:val="21"/>
                      <w:lang w:val="en-US" w:eastAsia="zh-CN"/>
                    </w:rPr>
                    <w:t>0</w:t>
                  </w:r>
                  <w:r>
                    <w:rPr>
                      <w:snapToGrid w:val="0"/>
                      <w:color w:val="auto"/>
                      <w:szCs w:val="21"/>
                    </w:rPr>
                    <w:t>人</w:t>
                  </w:r>
                </w:p>
              </w:tc>
              <w:tc>
                <w:tcPr>
                  <w:tcW w:w="543" w:type="pct"/>
                  <w:vAlign w:val="center"/>
                </w:tcPr>
                <w:p w14:paraId="635841C0">
                  <w:pPr>
                    <w:widowControl/>
                    <w:jc w:val="center"/>
                    <w:textAlignment w:val="center"/>
                    <w:rPr>
                      <w:rFonts w:hint="eastAsia" w:eastAsia="宋体"/>
                      <w:snapToGrid w:val="0"/>
                      <w:color w:val="auto"/>
                      <w:szCs w:val="21"/>
                      <w:lang w:eastAsia="zh-CN"/>
                    </w:rPr>
                  </w:pPr>
                  <w:r>
                    <w:rPr>
                      <w:color w:val="auto"/>
                      <w:kern w:val="0"/>
                      <w:szCs w:val="21"/>
                      <w:lang w:bidi="ar"/>
                    </w:rPr>
                    <w:t>0.</w:t>
                  </w:r>
                  <w:r>
                    <w:rPr>
                      <w:rFonts w:hint="eastAsia"/>
                      <w:color w:val="auto"/>
                      <w:kern w:val="0"/>
                      <w:szCs w:val="21"/>
                      <w:lang w:val="en-US" w:eastAsia="zh-CN" w:bidi="ar"/>
                    </w:rPr>
                    <w:t>4</w:t>
                  </w:r>
                </w:p>
              </w:tc>
              <w:tc>
                <w:tcPr>
                  <w:tcW w:w="652" w:type="pct"/>
                  <w:vAlign w:val="center"/>
                </w:tcPr>
                <w:p w14:paraId="54491062">
                  <w:pPr>
                    <w:widowControl/>
                    <w:jc w:val="center"/>
                    <w:textAlignment w:val="center"/>
                    <w:rPr>
                      <w:rFonts w:hint="default" w:eastAsia="宋体"/>
                      <w:snapToGrid w:val="0"/>
                      <w:color w:val="auto"/>
                      <w:szCs w:val="21"/>
                      <w:lang w:val="en-US" w:eastAsia="zh-CN"/>
                    </w:rPr>
                  </w:pPr>
                  <w:r>
                    <w:rPr>
                      <w:rFonts w:hint="eastAsia"/>
                      <w:color w:val="auto"/>
                      <w:kern w:val="0"/>
                      <w:szCs w:val="21"/>
                      <w:lang w:val="en-US" w:eastAsia="zh-CN" w:bidi="ar"/>
                    </w:rPr>
                    <w:t>120</w:t>
                  </w:r>
                </w:p>
              </w:tc>
              <w:tc>
                <w:tcPr>
                  <w:tcW w:w="464" w:type="pct"/>
                  <w:vAlign w:val="center"/>
                </w:tcPr>
                <w:p w14:paraId="25177421">
                  <w:pPr>
                    <w:widowControl/>
                    <w:jc w:val="center"/>
                    <w:textAlignment w:val="center"/>
                    <w:rPr>
                      <w:snapToGrid w:val="0"/>
                      <w:color w:val="auto"/>
                      <w:szCs w:val="21"/>
                    </w:rPr>
                  </w:pPr>
                  <w:r>
                    <w:rPr>
                      <w:color w:val="auto"/>
                      <w:kern w:val="0"/>
                      <w:szCs w:val="21"/>
                      <w:lang w:bidi="ar"/>
                    </w:rPr>
                    <w:t>0.8</w:t>
                  </w:r>
                </w:p>
              </w:tc>
              <w:tc>
                <w:tcPr>
                  <w:tcW w:w="415" w:type="pct"/>
                  <w:vAlign w:val="center"/>
                </w:tcPr>
                <w:p w14:paraId="42E8A44B">
                  <w:pPr>
                    <w:widowControl/>
                    <w:jc w:val="center"/>
                    <w:textAlignment w:val="center"/>
                    <w:rPr>
                      <w:rFonts w:hint="default" w:eastAsia="宋体"/>
                      <w:snapToGrid w:val="0"/>
                      <w:color w:val="auto"/>
                      <w:szCs w:val="21"/>
                      <w:lang w:val="en-US" w:eastAsia="zh-CN"/>
                    </w:rPr>
                  </w:pPr>
                  <w:r>
                    <w:rPr>
                      <w:color w:val="auto"/>
                      <w:kern w:val="0"/>
                      <w:szCs w:val="21"/>
                      <w:lang w:bidi="ar"/>
                    </w:rPr>
                    <w:t>0.</w:t>
                  </w:r>
                  <w:r>
                    <w:rPr>
                      <w:rFonts w:hint="eastAsia"/>
                      <w:color w:val="auto"/>
                      <w:kern w:val="0"/>
                      <w:szCs w:val="21"/>
                      <w:lang w:val="en-US" w:eastAsia="zh-CN" w:bidi="ar"/>
                    </w:rPr>
                    <w:t>32</w:t>
                  </w:r>
                </w:p>
              </w:tc>
              <w:tc>
                <w:tcPr>
                  <w:tcW w:w="407" w:type="pct"/>
                  <w:vAlign w:val="center"/>
                </w:tcPr>
                <w:p w14:paraId="2C07F2B1">
                  <w:pPr>
                    <w:widowControl/>
                    <w:jc w:val="center"/>
                    <w:textAlignment w:val="center"/>
                    <w:rPr>
                      <w:rFonts w:hint="default" w:eastAsia="宋体"/>
                      <w:snapToGrid w:val="0"/>
                      <w:color w:val="auto"/>
                      <w:szCs w:val="21"/>
                      <w:lang w:val="en-US" w:eastAsia="zh-CN"/>
                    </w:rPr>
                  </w:pPr>
                  <w:r>
                    <w:rPr>
                      <w:rFonts w:hint="eastAsia"/>
                      <w:color w:val="auto"/>
                      <w:kern w:val="0"/>
                      <w:szCs w:val="21"/>
                      <w:lang w:val="en-US" w:eastAsia="zh-CN" w:bidi="ar"/>
                    </w:rPr>
                    <w:t>96</w:t>
                  </w:r>
                </w:p>
              </w:tc>
            </w:tr>
            <w:tr w14:paraId="1A4BB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01" w:type="pct"/>
                  <w:vMerge w:val="continue"/>
                  <w:vAlign w:val="center"/>
                </w:tcPr>
                <w:p w14:paraId="7712E3A5">
                  <w:pPr>
                    <w:snapToGrid w:val="0"/>
                    <w:jc w:val="center"/>
                    <w:rPr>
                      <w:snapToGrid w:val="0"/>
                      <w:color w:val="auto"/>
                      <w:szCs w:val="21"/>
                    </w:rPr>
                  </w:pPr>
                </w:p>
              </w:tc>
              <w:tc>
                <w:tcPr>
                  <w:tcW w:w="508" w:type="pct"/>
                  <w:vMerge w:val="restart"/>
                  <w:vAlign w:val="center"/>
                </w:tcPr>
                <w:p w14:paraId="35DF59F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snapToGrid w:val="0"/>
                      <w:color w:val="auto"/>
                      <w:szCs w:val="21"/>
                    </w:rPr>
                  </w:pPr>
                  <w:r>
                    <w:rPr>
                      <w:rFonts w:hint="eastAsia" w:cs="Times New Roman"/>
                      <w:caps w:val="0"/>
                      <w:snapToGrid w:val="0"/>
                      <w:color w:val="auto"/>
                      <w:spacing w:val="0"/>
                      <w:w w:val="100"/>
                      <w:position w:val="0"/>
                      <w:sz w:val="21"/>
                      <w:szCs w:val="21"/>
                      <w:highlight w:val="none"/>
                      <w:lang w:val="en-US" w:eastAsia="zh-CN"/>
                    </w:rPr>
                    <w:t>其他</w:t>
                  </w:r>
                  <w:r>
                    <w:rPr>
                      <w:rFonts w:hint="default" w:ascii="Times New Roman" w:hAnsi="Times New Roman" w:eastAsia="宋体" w:cs="Times New Roman"/>
                      <w:caps w:val="0"/>
                      <w:snapToGrid w:val="0"/>
                      <w:color w:val="auto"/>
                      <w:spacing w:val="0"/>
                      <w:w w:val="100"/>
                      <w:position w:val="0"/>
                      <w:sz w:val="21"/>
                      <w:szCs w:val="21"/>
                      <w:highlight w:val="none"/>
                      <w:lang w:val="en-US" w:eastAsia="zh-CN"/>
                    </w:rPr>
                    <w:t>办公生活</w:t>
                  </w:r>
                  <w:r>
                    <w:rPr>
                      <w:rFonts w:hint="eastAsia" w:cs="Times New Roman"/>
                      <w:caps w:val="0"/>
                      <w:snapToGrid w:val="0"/>
                      <w:color w:val="auto"/>
                      <w:spacing w:val="0"/>
                      <w:w w:val="100"/>
                      <w:position w:val="0"/>
                      <w:sz w:val="21"/>
                      <w:szCs w:val="21"/>
                      <w:highlight w:val="none"/>
                      <w:lang w:val="en-US" w:eastAsia="zh-CN"/>
                    </w:rPr>
                    <w:t>用水</w:t>
                  </w:r>
                </w:p>
              </w:tc>
              <w:tc>
                <w:tcPr>
                  <w:tcW w:w="509" w:type="pct"/>
                  <w:vAlign w:val="center"/>
                </w:tcPr>
                <w:p w14:paraId="7586158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snapToGrid w:val="0"/>
                      <w:color w:val="auto"/>
                      <w:szCs w:val="21"/>
                    </w:rPr>
                  </w:pPr>
                  <w:r>
                    <w:rPr>
                      <w:rFonts w:hint="eastAsia" w:cs="Times New Roman"/>
                      <w:caps w:val="0"/>
                      <w:snapToGrid w:val="0"/>
                      <w:color w:val="auto"/>
                      <w:spacing w:val="0"/>
                      <w:w w:val="100"/>
                      <w:position w:val="0"/>
                      <w:sz w:val="21"/>
                      <w:szCs w:val="21"/>
                      <w:highlight w:val="none"/>
                      <w:lang w:val="en-US" w:eastAsia="zh-CN"/>
                    </w:rPr>
                    <w:t>住宿</w:t>
                  </w:r>
                </w:p>
              </w:tc>
              <w:tc>
                <w:tcPr>
                  <w:tcW w:w="601" w:type="pct"/>
                  <w:vAlign w:val="center"/>
                </w:tcPr>
                <w:p w14:paraId="6006685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snapToGrid w:val="0"/>
                      <w:color w:val="auto"/>
                      <w:szCs w:val="21"/>
                    </w:rPr>
                  </w:pPr>
                  <w:r>
                    <w:rPr>
                      <w:rFonts w:hint="eastAsia" w:cs="Times New Roman"/>
                      <w:caps w:val="0"/>
                      <w:snapToGrid w:val="0"/>
                      <w:color w:val="auto"/>
                      <w:spacing w:val="0"/>
                      <w:w w:val="100"/>
                      <w:position w:val="0"/>
                      <w:sz w:val="21"/>
                      <w:szCs w:val="21"/>
                      <w:highlight w:val="none"/>
                      <w:lang w:val="en-US" w:eastAsia="zh-CN"/>
                    </w:rPr>
                    <w:t>10</w:t>
                  </w:r>
                  <w:r>
                    <w:rPr>
                      <w:rFonts w:hint="default" w:ascii="Times New Roman" w:hAnsi="Times New Roman" w:eastAsia="宋体" w:cs="Times New Roman"/>
                      <w:caps w:val="0"/>
                      <w:snapToGrid w:val="0"/>
                      <w:color w:val="auto"/>
                      <w:spacing w:val="0"/>
                      <w:w w:val="100"/>
                      <w:position w:val="0"/>
                      <w:sz w:val="21"/>
                      <w:szCs w:val="21"/>
                      <w:highlight w:val="none"/>
                      <w:lang w:val="en-US" w:eastAsia="zh-CN"/>
                    </w:rPr>
                    <w:t>0L/人·d</w:t>
                  </w:r>
                </w:p>
              </w:tc>
              <w:tc>
                <w:tcPr>
                  <w:tcW w:w="495" w:type="pct"/>
                  <w:vAlign w:val="center"/>
                </w:tcPr>
                <w:p w14:paraId="14BB25C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snapToGrid w:val="0"/>
                      <w:color w:val="auto"/>
                      <w:szCs w:val="21"/>
                    </w:rPr>
                  </w:pPr>
                  <w:r>
                    <w:rPr>
                      <w:rFonts w:hint="eastAsia" w:cs="Times New Roman"/>
                      <w:caps w:val="0"/>
                      <w:snapToGrid w:val="0"/>
                      <w:color w:val="auto"/>
                      <w:spacing w:val="0"/>
                      <w:w w:val="100"/>
                      <w:position w:val="0"/>
                      <w:sz w:val="21"/>
                      <w:szCs w:val="21"/>
                      <w:highlight w:val="none"/>
                      <w:lang w:val="en-US" w:eastAsia="zh-CN"/>
                    </w:rPr>
                    <w:t>20</w:t>
                  </w:r>
                  <w:r>
                    <w:rPr>
                      <w:rFonts w:hint="default" w:ascii="Times New Roman" w:hAnsi="Times New Roman" w:eastAsia="宋体" w:cs="Times New Roman"/>
                      <w:caps w:val="0"/>
                      <w:snapToGrid w:val="0"/>
                      <w:color w:val="auto"/>
                      <w:spacing w:val="0"/>
                      <w:w w:val="100"/>
                      <w:position w:val="0"/>
                      <w:sz w:val="21"/>
                      <w:szCs w:val="21"/>
                      <w:highlight w:val="none"/>
                      <w:lang w:val="en-US" w:eastAsia="zh-CN"/>
                    </w:rPr>
                    <w:t>人</w:t>
                  </w:r>
                </w:p>
              </w:tc>
              <w:tc>
                <w:tcPr>
                  <w:tcW w:w="543" w:type="pct"/>
                  <w:vAlign w:val="center"/>
                </w:tcPr>
                <w:p w14:paraId="03AF8EAE">
                  <w:pPr>
                    <w:keepNext w:val="0"/>
                    <w:keepLines w:val="0"/>
                    <w:widowControl/>
                    <w:suppressLineNumbers w:val="0"/>
                    <w:jc w:val="center"/>
                    <w:textAlignment w:val="center"/>
                    <w:rPr>
                      <w:rFonts w:hint="default"/>
                      <w:snapToGrid w:val="0"/>
                      <w:color w:val="auto"/>
                      <w:szCs w:val="21"/>
                      <w:lang w:val="en-US"/>
                    </w:rPr>
                  </w:pPr>
                  <w:r>
                    <w:rPr>
                      <w:rFonts w:hint="eastAsia" w:cs="Times New Roman"/>
                      <w:caps w:val="0"/>
                      <w:snapToGrid w:val="0"/>
                      <w:color w:val="auto"/>
                      <w:spacing w:val="0"/>
                      <w:w w:val="100"/>
                      <w:position w:val="0"/>
                      <w:sz w:val="21"/>
                      <w:szCs w:val="21"/>
                      <w:highlight w:val="none"/>
                      <w:lang w:val="en-US" w:eastAsia="zh-CN"/>
                    </w:rPr>
                    <w:t>1.6</w:t>
                  </w:r>
                </w:p>
              </w:tc>
              <w:tc>
                <w:tcPr>
                  <w:tcW w:w="652" w:type="pct"/>
                  <w:vAlign w:val="center"/>
                </w:tcPr>
                <w:p w14:paraId="513DBF80">
                  <w:pPr>
                    <w:keepNext w:val="0"/>
                    <w:keepLines w:val="0"/>
                    <w:widowControl/>
                    <w:suppressLineNumbers w:val="0"/>
                    <w:jc w:val="center"/>
                    <w:textAlignment w:val="center"/>
                    <w:rPr>
                      <w:rFonts w:hint="default"/>
                      <w:snapToGrid w:val="0"/>
                      <w:color w:val="auto"/>
                      <w:szCs w:val="21"/>
                      <w:lang w:val="en-US"/>
                    </w:rPr>
                  </w:pPr>
                  <w:r>
                    <w:rPr>
                      <w:rFonts w:hint="eastAsia" w:cs="Times New Roman"/>
                      <w:caps w:val="0"/>
                      <w:snapToGrid w:val="0"/>
                      <w:color w:val="auto"/>
                      <w:spacing w:val="0"/>
                      <w:w w:val="100"/>
                      <w:position w:val="0"/>
                      <w:sz w:val="21"/>
                      <w:szCs w:val="21"/>
                      <w:highlight w:val="none"/>
                      <w:lang w:val="en-US" w:eastAsia="zh-CN"/>
                    </w:rPr>
                    <w:t>480</w:t>
                  </w:r>
                </w:p>
              </w:tc>
              <w:tc>
                <w:tcPr>
                  <w:tcW w:w="464" w:type="pct"/>
                  <w:vAlign w:val="center"/>
                </w:tcPr>
                <w:p w14:paraId="63A2D668">
                  <w:pPr>
                    <w:keepNext w:val="0"/>
                    <w:keepLines w:val="0"/>
                    <w:widowControl/>
                    <w:suppressLineNumbers w:val="0"/>
                    <w:jc w:val="center"/>
                    <w:textAlignment w:val="center"/>
                    <w:rPr>
                      <w:rFonts w:hint="default"/>
                      <w:snapToGrid w:val="0"/>
                      <w:color w:val="auto"/>
                      <w:szCs w:val="21"/>
                      <w:lang w:val="en-US"/>
                    </w:rPr>
                  </w:pPr>
                  <w:r>
                    <w:rPr>
                      <w:rFonts w:hint="eastAsia" w:ascii="Times New Roman" w:hAnsi="Times New Roman" w:eastAsia="宋体" w:cs="Times New Roman"/>
                      <w:i w:val="0"/>
                      <w:iCs w:val="0"/>
                      <w:color w:val="auto"/>
                      <w:kern w:val="0"/>
                      <w:sz w:val="21"/>
                      <w:szCs w:val="21"/>
                      <w:highlight w:val="none"/>
                      <w:u w:val="none"/>
                      <w:lang w:val="en-US" w:eastAsia="zh-CN" w:bidi="ar"/>
                    </w:rPr>
                    <w:t>0.8</w:t>
                  </w:r>
                </w:p>
              </w:tc>
              <w:tc>
                <w:tcPr>
                  <w:tcW w:w="415" w:type="pct"/>
                  <w:vAlign w:val="center"/>
                </w:tcPr>
                <w:p w14:paraId="4BB77158">
                  <w:pPr>
                    <w:keepNext w:val="0"/>
                    <w:keepLines w:val="0"/>
                    <w:widowControl/>
                    <w:suppressLineNumbers w:val="0"/>
                    <w:jc w:val="center"/>
                    <w:textAlignment w:val="center"/>
                    <w:rPr>
                      <w:rFonts w:hint="default"/>
                      <w:snapToGrid w:val="0"/>
                      <w:color w:val="auto"/>
                      <w:szCs w:val="21"/>
                      <w:lang w:val="en-US"/>
                    </w:rPr>
                  </w:pPr>
                  <w:r>
                    <w:rPr>
                      <w:rFonts w:hint="eastAsia" w:cs="Times New Roman"/>
                      <w:caps w:val="0"/>
                      <w:snapToGrid w:val="0"/>
                      <w:color w:val="auto"/>
                      <w:spacing w:val="0"/>
                      <w:w w:val="100"/>
                      <w:position w:val="0"/>
                      <w:sz w:val="21"/>
                      <w:szCs w:val="21"/>
                      <w:highlight w:val="none"/>
                      <w:lang w:val="en-US" w:eastAsia="zh-CN"/>
                    </w:rPr>
                    <w:t>1.28</w:t>
                  </w:r>
                </w:p>
              </w:tc>
              <w:tc>
                <w:tcPr>
                  <w:tcW w:w="407" w:type="pct"/>
                  <w:vAlign w:val="center"/>
                </w:tcPr>
                <w:p w14:paraId="0597A877">
                  <w:pPr>
                    <w:keepNext w:val="0"/>
                    <w:keepLines w:val="0"/>
                    <w:widowControl/>
                    <w:suppressLineNumbers w:val="0"/>
                    <w:jc w:val="center"/>
                    <w:textAlignment w:val="center"/>
                    <w:rPr>
                      <w:rFonts w:hint="default"/>
                      <w:snapToGrid w:val="0"/>
                      <w:color w:val="auto"/>
                      <w:szCs w:val="21"/>
                      <w:lang w:val="en-US"/>
                    </w:rPr>
                  </w:pPr>
                  <w:r>
                    <w:rPr>
                      <w:rFonts w:hint="eastAsia" w:cs="Times New Roman"/>
                      <w:caps w:val="0"/>
                      <w:snapToGrid w:val="0"/>
                      <w:color w:val="auto"/>
                      <w:spacing w:val="0"/>
                      <w:w w:val="100"/>
                      <w:position w:val="0"/>
                      <w:sz w:val="21"/>
                      <w:szCs w:val="21"/>
                      <w:highlight w:val="none"/>
                      <w:lang w:val="en-US" w:eastAsia="zh-CN"/>
                    </w:rPr>
                    <w:t>384</w:t>
                  </w:r>
                </w:p>
              </w:tc>
            </w:tr>
            <w:tr w14:paraId="50B2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01" w:type="pct"/>
                  <w:vMerge w:val="continue"/>
                  <w:vAlign w:val="center"/>
                </w:tcPr>
                <w:p w14:paraId="412139F9">
                  <w:pPr>
                    <w:widowControl/>
                    <w:jc w:val="center"/>
                    <w:textAlignment w:val="center"/>
                    <w:rPr>
                      <w:color w:val="auto"/>
                    </w:rPr>
                  </w:pPr>
                </w:p>
              </w:tc>
              <w:tc>
                <w:tcPr>
                  <w:tcW w:w="508" w:type="pct"/>
                  <w:vMerge w:val="continue"/>
                  <w:vAlign w:val="center"/>
                </w:tcPr>
                <w:p w14:paraId="32B2F83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color w:val="auto"/>
                    </w:rPr>
                  </w:pPr>
                </w:p>
              </w:tc>
              <w:tc>
                <w:tcPr>
                  <w:tcW w:w="509" w:type="pct"/>
                  <w:vAlign w:val="center"/>
                </w:tcPr>
                <w:p w14:paraId="51DAB85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snapToGrid w:val="0"/>
                      <w:color w:val="auto"/>
                      <w:szCs w:val="21"/>
                    </w:rPr>
                  </w:pPr>
                  <w:r>
                    <w:rPr>
                      <w:rFonts w:hint="eastAsia" w:cs="Times New Roman"/>
                      <w:caps w:val="0"/>
                      <w:snapToGrid w:val="0"/>
                      <w:color w:val="auto"/>
                      <w:spacing w:val="0"/>
                      <w:w w:val="100"/>
                      <w:position w:val="0"/>
                      <w:sz w:val="21"/>
                      <w:szCs w:val="21"/>
                      <w:highlight w:val="none"/>
                      <w:lang w:val="en-US" w:eastAsia="zh-CN"/>
                    </w:rPr>
                    <w:t>不住宿</w:t>
                  </w:r>
                </w:p>
              </w:tc>
              <w:tc>
                <w:tcPr>
                  <w:tcW w:w="601" w:type="pct"/>
                  <w:vAlign w:val="center"/>
                </w:tcPr>
                <w:p w14:paraId="491D0E9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snapToGrid w:val="0"/>
                      <w:color w:val="auto"/>
                      <w:szCs w:val="21"/>
                    </w:rPr>
                  </w:pPr>
                  <w:r>
                    <w:rPr>
                      <w:rFonts w:hint="eastAsia" w:ascii="Times New Roman" w:hAnsi="Times New Roman" w:eastAsia="宋体" w:cs="Times New Roman"/>
                      <w:caps w:val="0"/>
                      <w:snapToGrid w:val="0"/>
                      <w:color w:val="auto"/>
                      <w:spacing w:val="0"/>
                      <w:w w:val="100"/>
                      <w:position w:val="0"/>
                      <w:sz w:val="21"/>
                      <w:szCs w:val="21"/>
                      <w:highlight w:val="none"/>
                      <w:lang w:val="en-US" w:eastAsia="zh-CN"/>
                    </w:rPr>
                    <w:t>11m</w:t>
                  </w:r>
                  <w:r>
                    <w:rPr>
                      <w:rFonts w:hint="eastAsia" w:ascii="Times New Roman" w:hAnsi="Times New Roman" w:eastAsia="宋体" w:cs="Times New Roman"/>
                      <w:caps w:val="0"/>
                      <w:snapToGrid w:val="0"/>
                      <w:color w:val="auto"/>
                      <w:spacing w:val="0"/>
                      <w:w w:val="100"/>
                      <w:position w:val="0"/>
                      <w:sz w:val="21"/>
                      <w:szCs w:val="21"/>
                      <w:highlight w:val="none"/>
                      <w:vertAlign w:val="superscript"/>
                      <w:lang w:val="en-US" w:eastAsia="zh-CN"/>
                    </w:rPr>
                    <w:t>3</w:t>
                  </w:r>
                  <w:r>
                    <w:rPr>
                      <w:rFonts w:hint="eastAsia" w:ascii="Times New Roman" w:hAnsi="Times New Roman" w:eastAsia="宋体" w:cs="Times New Roman"/>
                      <w:caps w:val="0"/>
                      <w:snapToGrid w:val="0"/>
                      <w:color w:val="auto"/>
                      <w:spacing w:val="0"/>
                      <w:w w:val="100"/>
                      <w:position w:val="0"/>
                      <w:sz w:val="21"/>
                      <w:szCs w:val="21"/>
                      <w:highlight w:val="none"/>
                      <w:lang w:val="en-US" w:eastAsia="zh-CN"/>
                    </w:rPr>
                    <w:t>/（人·a）</w:t>
                  </w:r>
                </w:p>
              </w:tc>
              <w:tc>
                <w:tcPr>
                  <w:tcW w:w="495" w:type="pct"/>
                  <w:vAlign w:val="center"/>
                </w:tcPr>
                <w:p w14:paraId="1CDABAE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snapToGrid w:val="0"/>
                      <w:color w:val="auto"/>
                      <w:szCs w:val="21"/>
                    </w:rPr>
                  </w:pPr>
                  <w:r>
                    <w:rPr>
                      <w:rFonts w:hint="eastAsia" w:cs="Times New Roman"/>
                      <w:caps w:val="0"/>
                      <w:snapToGrid w:val="0"/>
                      <w:color w:val="auto"/>
                      <w:spacing w:val="0"/>
                      <w:w w:val="100"/>
                      <w:position w:val="0"/>
                      <w:sz w:val="21"/>
                      <w:szCs w:val="21"/>
                      <w:highlight w:val="none"/>
                      <w:lang w:val="en-US" w:eastAsia="zh-CN"/>
                    </w:rPr>
                    <w:t>20人</w:t>
                  </w:r>
                </w:p>
              </w:tc>
              <w:tc>
                <w:tcPr>
                  <w:tcW w:w="543" w:type="pct"/>
                  <w:vAlign w:val="center"/>
                </w:tcPr>
                <w:p w14:paraId="7436855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snapToGrid w:val="0"/>
                      <w:color w:val="auto"/>
                      <w:szCs w:val="21"/>
                      <w:lang w:val="en-US"/>
                    </w:rPr>
                  </w:pPr>
                  <w:r>
                    <w:rPr>
                      <w:rFonts w:hint="eastAsia" w:cs="Times New Roman"/>
                      <w:caps w:val="0"/>
                      <w:snapToGrid w:val="0"/>
                      <w:color w:val="auto"/>
                      <w:spacing w:val="0"/>
                      <w:w w:val="100"/>
                      <w:position w:val="0"/>
                      <w:sz w:val="21"/>
                      <w:szCs w:val="21"/>
                      <w:highlight w:val="none"/>
                      <w:lang w:val="en-US" w:eastAsia="zh-CN"/>
                    </w:rPr>
                    <w:t>0.7333</w:t>
                  </w:r>
                </w:p>
              </w:tc>
              <w:tc>
                <w:tcPr>
                  <w:tcW w:w="652" w:type="pct"/>
                  <w:vAlign w:val="center"/>
                </w:tcPr>
                <w:p w14:paraId="49E44B6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snapToGrid w:val="0"/>
                      <w:color w:val="auto"/>
                      <w:szCs w:val="21"/>
                      <w:lang w:val="en-US"/>
                    </w:rPr>
                  </w:pPr>
                  <w:r>
                    <w:rPr>
                      <w:rFonts w:hint="eastAsia" w:cs="Times New Roman"/>
                      <w:caps w:val="0"/>
                      <w:snapToGrid w:val="0"/>
                      <w:color w:val="auto"/>
                      <w:spacing w:val="0"/>
                      <w:w w:val="100"/>
                      <w:position w:val="0"/>
                      <w:sz w:val="21"/>
                      <w:szCs w:val="21"/>
                      <w:highlight w:val="none"/>
                      <w:lang w:val="en-US" w:eastAsia="zh-CN"/>
                    </w:rPr>
                    <w:t>220</w:t>
                  </w:r>
                </w:p>
              </w:tc>
              <w:tc>
                <w:tcPr>
                  <w:tcW w:w="464" w:type="pct"/>
                  <w:vAlign w:val="center"/>
                </w:tcPr>
                <w:p w14:paraId="48ECF11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snapToGrid w:val="0"/>
                      <w:color w:val="auto"/>
                      <w:szCs w:val="21"/>
                    </w:rPr>
                  </w:pPr>
                  <w:r>
                    <w:rPr>
                      <w:rFonts w:hint="eastAsia" w:cs="Times New Roman"/>
                      <w:caps w:val="0"/>
                      <w:snapToGrid w:val="0"/>
                      <w:color w:val="auto"/>
                      <w:spacing w:val="0"/>
                      <w:w w:val="100"/>
                      <w:position w:val="0"/>
                      <w:sz w:val="21"/>
                      <w:szCs w:val="21"/>
                      <w:highlight w:val="none"/>
                      <w:lang w:val="en-US" w:eastAsia="zh-CN"/>
                    </w:rPr>
                    <w:t>0.8</w:t>
                  </w:r>
                </w:p>
              </w:tc>
              <w:tc>
                <w:tcPr>
                  <w:tcW w:w="415" w:type="pct"/>
                  <w:vAlign w:val="center"/>
                </w:tcPr>
                <w:p w14:paraId="70EC3A3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snapToGrid w:val="0"/>
                      <w:color w:val="auto"/>
                      <w:szCs w:val="21"/>
                      <w:lang w:val="en-US"/>
                    </w:rPr>
                  </w:pPr>
                  <w:r>
                    <w:rPr>
                      <w:rFonts w:hint="eastAsia" w:cs="Times New Roman"/>
                      <w:caps w:val="0"/>
                      <w:snapToGrid w:val="0"/>
                      <w:color w:val="auto"/>
                      <w:spacing w:val="0"/>
                      <w:w w:val="100"/>
                      <w:position w:val="0"/>
                      <w:sz w:val="21"/>
                      <w:szCs w:val="21"/>
                      <w:highlight w:val="none"/>
                      <w:lang w:val="en-US" w:eastAsia="zh-CN"/>
                    </w:rPr>
                    <w:t>0.5867</w:t>
                  </w:r>
                </w:p>
              </w:tc>
              <w:tc>
                <w:tcPr>
                  <w:tcW w:w="407" w:type="pct"/>
                  <w:vAlign w:val="center"/>
                </w:tcPr>
                <w:p w14:paraId="76FFE56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snapToGrid w:val="0"/>
                      <w:color w:val="auto"/>
                      <w:szCs w:val="21"/>
                      <w:lang w:val="en-US"/>
                    </w:rPr>
                  </w:pPr>
                  <w:r>
                    <w:rPr>
                      <w:rFonts w:hint="eastAsia" w:cs="Times New Roman"/>
                      <w:caps w:val="0"/>
                      <w:snapToGrid w:val="0"/>
                      <w:color w:val="auto"/>
                      <w:spacing w:val="0"/>
                      <w:w w:val="100"/>
                      <w:position w:val="0"/>
                      <w:sz w:val="21"/>
                      <w:szCs w:val="21"/>
                      <w:highlight w:val="none"/>
                      <w:lang w:val="en-US" w:eastAsia="zh-CN"/>
                    </w:rPr>
                    <w:t>176</w:t>
                  </w:r>
                </w:p>
              </w:tc>
            </w:tr>
            <w:tr w14:paraId="5152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21" w:type="pct"/>
                  <w:gridSpan w:val="4"/>
                  <w:vAlign w:val="center"/>
                </w:tcPr>
                <w:p w14:paraId="4582193A">
                  <w:pPr>
                    <w:snapToGrid w:val="0"/>
                    <w:jc w:val="center"/>
                    <w:rPr>
                      <w:snapToGrid w:val="0"/>
                      <w:color w:val="auto"/>
                      <w:szCs w:val="21"/>
                    </w:rPr>
                  </w:pPr>
                  <w:r>
                    <w:rPr>
                      <w:snapToGrid w:val="0"/>
                      <w:color w:val="auto"/>
                      <w:szCs w:val="21"/>
                    </w:rPr>
                    <w:t>小计</w:t>
                  </w:r>
                </w:p>
              </w:tc>
              <w:tc>
                <w:tcPr>
                  <w:tcW w:w="495" w:type="pct"/>
                  <w:vAlign w:val="center"/>
                </w:tcPr>
                <w:p w14:paraId="303AE05D">
                  <w:pPr>
                    <w:snapToGrid w:val="0"/>
                    <w:jc w:val="center"/>
                    <w:rPr>
                      <w:snapToGrid w:val="0"/>
                      <w:color w:val="auto"/>
                      <w:szCs w:val="21"/>
                    </w:rPr>
                  </w:pPr>
                  <w:r>
                    <w:rPr>
                      <w:snapToGrid w:val="0"/>
                      <w:color w:val="auto"/>
                      <w:szCs w:val="21"/>
                    </w:rPr>
                    <w:t>/</w:t>
                  </w:r>
                </w:p>
              </w:tc>
              <w:tc>
                <w:tcPr>
                  <w:tcW w:w="543" w:type="pct"/>
                  <w:vAlign w:val="center"/>
                </w:tcPr>
                <w:p w14:paraId="6496DE90">
                  <w:pPr>
                    <w:keepNext w:val="0"/>
                    <w:keepLines w:val="0"/>
                    <w:widowControl/>
                    <w:suppressLineNumbers w:val="0"/>
                    <w:jc w:val="center"/>
                    <w:textAlignment w:val="center"/>
                    <w:rPr>
                      <w:snapToGrid w:val="0"/>
                      <w:color w:val="auto"/>
                      <w:szCs w:val="21"/>
                    </w:rPr>
                  </w:pPr>
                  <w:r>
                    <w:rPr>
                      <w:rFonts w:hint="default" w:ascii="Times New Roman" w:hAnsi="Times New Roman" w:eastAsia="宋体" w:cs="Times New Roman"/>
                      <w:i w:val="0"/>
                      <w:iCs w:val="0"/>
                      <w:color w:val="auto"/>
                      <w:kern w:val="0"/>
                      <w:sz w:val="21"/>
                      <w:szCs w:val="21"/>
                      <w:u w:val="none"/>
                      <w:lang w:val="en-US" w:eastAsia="zh-CN" w:bidi="ar"/>
                    </w:rPr>
                    <w:t>2.7333</w:t>
                  </w:r>
                </w:p>
              </w:tc>
              <w:tc>
                <w:tcPr>
                  <w:tcW w:w="652" w:type="pct"/>
                  <w:vAlign w:val="center"/>
                </w:tcPr>
                <w:p w14:paraId="2CB5D78C">
                  <w:pPr>
                    <w:keepNext w:val="0"/>
                    <w:keepLines w:val="0"/>
                    <w:widowControl/>
                    <w:suppressLineNumbers w:val="0"/>
                    <w:jc w:val="center"/>
                    <w:textAlignment w:val="center"/>
                    <w:rPr>
                      <w:snapToGrid w:val="0"/>
                      <w:color w:val="auto"/>
                      <w:szCs w:val="21"/>
                    </w:rPr>
                  </w:pPr>
                  <w:r>
                    <w:rPr>
                      <w:rFonts w:hint="default" w:ascii="Times New Roman" w:hAnsi="Times New Roman" w:eastAsia="宋体" w:cs="Times New Roman"/>
                      <w:i w:val="0"/>
                      <w:iCs w:val="0"/>
                      <w:color w:val="auto"/>
                      <w:kern w:val="0"/>
                      <w:sz w:val="21"/>
                      <w:szCs w:val="21"/>
                      <w:u w:val="none"/>
                      <w:lang w:val="en-US" w:eastAsia="zh-CN" w:bidi="ar"/>
                    </w:rPr>
                    <w:t>820</w:t>
                  </w:r>
                </w:p>
              </w:tc>
              <w:tc>
                <w:tcPr>
                  <w:tcW w:w="464" w:type="pct"/>
                  <w:vAlign w:val="center"/>
                </w:tcPr>
                <w:p w14:paraId="2B3885F3">
                  <w:pPr>
                    <w:keepNext w:val="0"/>
                    <w:keepLines w:val="0"/>
                    <w:widowControl/>
                    <w:suppressLineNumbers w:val="0"/>
                    <w:jc w:val="center"/>
                    <w:textAlignment w:val="center"/>
                    <w:rPr>
                      <w:snapToGrid w:val="0"/>
                      <w:color w:val="auto"/>
                      <w:szCs w:val="21"/>
                    </w:rPr>
                  </w:pPr>
                  <w:r>
                    <w:rPr>
                      <w:rFonts w:hint="default" w:ascii="Times New Roman" w:hAnsi="Times New Roman" w:eastAsia="宋体" w:cs="Times New Roman"/>
                      <w:i w:val="0"/>
                      <w:iCs w:val="0"/>
                      <w:color w:val="auto"/>
                      <w:kern w:val="0"/>
                      <w:sz w:val="21"/>
                      <w:szCs w:val="21"/>
                      <w:u w:val="none"/>
                      <w:lang w:val="en-US" w:eastAsia="zh-CN" w:bidi="ar"/>
                    </w:rPr>
                    <w:t>0.8</w:t>
                  </w:r>
                </w:p>
              </w:tc>
              <w:tc>
                <w:tcPr>
                  <w:tcW w:w="415" w:type="pct"/>
                  <w:vAlign w:val="center"/>
                </w:tcPr>
                <w:p w14:paraId="334880B8">
                  <w:pPr>
                    <w:keepNext w:val="0"/>
                    <w:keepLines w:val="0"/>
                    <w:widowControl/>
                    <w:suppressLineNumbers w:val="0"/>
                    <w:jc w:val="center"/>
                    <w:textAlignment w:val="center"/>
                    <w:rPr>
                      <w:snapToGrid w:val="0"/>
                      <w:color w:val="auto"/>
                      <w:szCs w:val="21"/>
                    </w:rPr>
                  </w:pPr>
                  <w:r>
                    <w:rPr>
                      <w:rFonts w:hint="default" w:ascii="Times New Roman" w:hAnsi="Times New Roman" w:eastAsia="宋体" w:cs="Times New Roman"/>
                      <w:i w:val="0"/>
                      <w:iCs w:val="0"/>
                      <w:color w:val="auto"/>
                      <w:kern w:val="0"/>
                      <w:sz w:val="21"/>
                      <w:szCs w:val="21"/>
                      <w:u w:val="none"/>
                      <w:lang w:val="en-US" w:eastAsia="zh-CN" w:bidi="ar"/>
                    </w:rPr>
                    <w:t>2.1867</w:t>
                  </w:r>
                </w:p>
              </w:tc>
              <w:tc>
                <w:tcPr>
                  <w:tcW w:w="407" w:type="pct"/>
                  <w:vAlign w:val="center"/>
                </w:tcPr>
                <w:p w14:paraId="60248C76">
                  <w:pPr>
                    <w:keepNext w:val="0"/>
                    <w:keepLines w:val="0"/>
                    <w:widowControl/>
                    <w:suppressLineNumbers w:val="0"/>
                    <w:jc w:val="center"/>
                    <w:textAlignment w:val="center"/>
                    <w:rPr>
                      <w:snapToGrid w:val="0"/>
                      <w:color w:val="auto"/>
                      <w:szCs w:val="21"/>
                    </w:rPr>
                  </w:pPr>
                  <w:r>
                    <w:rPr>
                      <w:rFonts w:hint="default" w:ascii="Times New Roman" w:hAnsi="Times New Roman" w:eastAsia="宋体" w:cs="Times New Roman"/>
                      <w:i w:val="0"/>
                      <w:iCs w:val="0"/>
                      <w:color w:val="auto"/>
                      <w:kern w:val="0"/>
                      <w:sz w:val="21"/>
                      <w:szCs w:val="21"/>
                      <w:u w:val="none"/>
                      <w:lang w:val="en-US" w:eastAsia="zh-CN" w:bidi="ar"/>
                    </w:rPr>
                    <w:t>656</w:t>
                  </w:r>
                </w:p>
              </w:tc>
            </w:tr>
            <w:tr w14:paraId="75E9E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19" w:type="pct"/>
                  <w:gridSpan w:val="3"/>
                  <w:vAlign w:val="center"/>
                </w:tcPr>
                <w:p w14:paraId="3421A33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snapToGrid w:val="0"/>
                      <w:color w:val="auto"/>
                      <w:szCs w:val="21"/>
                      <w:highlight w:val="none"/>
                    </w:rPr>
                  </w:pPr>
                  <w:r>
                    <w:rPr>
                      <w:rFonts w:hint="default" w:ascii="Times New Roman" w:hAnsi="Times New Roman" w:eastAsia="宋体" w:cs="Times New Roman"/>
                      <w:caps w:val="0"/>
                      <w:snapToGrid w:val="0"/>
                      <w:color w:val="auto"/>
                      <w:spacing w:val="0"/>
                      <w:w w:val="100"/>
                      <w:position w:val="0"/>
                      <w:sz w:val="21"/>
                      <w:szCs w:val="21"/>
                      <w:highlight w:val="none"/>
                      <w:lang w:val="en-US" w:eastAsia="zh-CN"/>
                    </w:rPr>
                    <w:t>绿化</w:t>
                  </w:r>
                </w:p>
              </w:tc>
              <w:tc>
                <w:tcPr>
                  <w:tcW w:w="601" w:type="pct"/>
                  <w:vAlign w:val="center"/>
                </w:tcPr>
                <w:p w14:paraId="56F01F2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snapToGrid w:val="0"/>
                      <w:color w:val="auto"/>
                      <w:szCs w:val="21"/>
                      <w:highlight w:val="none"/>
                    </w:rPr>
                  </w:pPr>
                  <w:r>
                    <w:rPr>
                      <w:rFonts w:hint="eastAsia" w:cs="Times New Roman"/>
                      <w:b w:val="0"/>
                      <w:bCs w:val="0"/>
                      <w:color w:val="auto"/>
                      <w:sz w:val="21"/>
                      <w:szCs w:val="21"/>
                      <w:highlight w:val="none"/>
                      <w:lang w:val="en-US" w:eastAsia="zh-CN"/>
                    </w:rPr>
                    <w:t>2.6</w:t>
                  </w:r>
                  <w:r>
                    <w:rPr>
                      <w:rFonts w:hint="default" w:ascii="Times New Roman" w:hAnsi="Times New Roman" w:eastAsia="宋体" w:cs="Times New Roman"/>
                      <w:b w:val="0"/>
                      <w:bCs w:val="0"/>
                      <w:color w:val="auto"/>
                      <w:sz w:val="21"/>
                      <w:szCs w:val="21"/>
                      <w:highlight w:val="none"/>
                      <w:lang w:eastAsia="zh-CN"/>
                    </w:rPr>
                    <w:t>L/m</w:t>
                  </w:r>
                  <w:r>
                    <w:rPr>
                      <w:rFonts w:hint="default" w:ascii="Times New Roman" w:hAnsi="Times New Roman" w:eastAsia="宋体" w:cs="Times New Roman"/>
                      <w:b w:val="0"/>
                      <w:bCs w:val="0"/>
                      <w:color w:val="auto"/>
                      <w:sz w:val="21"/>
                      <w:szCs w:val="21"/>
                      <w:highlight w:val="none"/>
                      <w:vertAlign w:val="superscript"/>
                      <w:lang w:eastAsia="zh-CN"/>
                    </w:rPr>
                    <w:t>2</w:t>
                  </w:r>
                  <w:r>
                    <w:rPr>
                      <w:rFonts w:hint="default" w:ascii="Times New Roman" w:hAnsi="Times New Roman" w:eastAsia="宋体" w:cs="Times New Roman"/>
                      <w:b w:val="0"/>
                      <w:bCs w:val="0"/>
                      <w:color w:val="auto"/>
                      <w:sz w:val="21"/>
                      <w:szCs w:val="21"/>
                      <w:highlight w:val="none"/>
                      <w:lang w:eastAsia="zh-CN"/>
                    </w:rPr>
                    <w:t>·</w:t>
                  </w:r>
                  <w:r>
                    <w:rPr>
                      <w:rFonts w:hint="eastAsia" w:ascii="Times New Roman" w:hAnsi="Times New Roman" w:eastAsia="宋体" w:cs="Times New Roman"/>
                      <w:b w:val="0"/>
                      <w:bCs w:val="0"/>
                      <w:color w:val="auto"/>
                      <w:sz w:val="21"/>
                      <w:szCs w:val="21"/>
                      <w:highlight w:val="none"/>
                      <w:lang w:val="en-US" w:eastAsia="zh-CN"/>
                    </w:rPr>
                    <w:t>d</w:t>
                  </w:r>
                </w:p>
              </w:tc>
              <w:tc>
                <w:tcPr>
                  <w:tcW w:w="495" w:type="pct"/>
                  <w:vAlign w:val="center"/>
                </w:tcPr>
                <w:p w14:paraId="74752EB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snapToGrid w:val="0"/>
                      <w:color w:val="auto"/>
                      <w:szCs w:val="21"/>
                      <w:highlight w:val="none"/>
                    </w:rPr>
                  </w:pPr>
                  <w:r>
                    <w:rPr>
                      <w:rFonts w:hint="eastAsia" w:cs="Times New Roman"/>
                      <w:caps w:val="0"/>
                      <w:snapToGrid w:val="0"/>
                      <w:color w:val="auto"/>
                      <w:spacing w:val="0"/>
                      <w:w w:val="100"/>
                      <w:position w:val="0"/>
                      <w:sz w:val="21"/>
                      <w:szCs w:val="21"/>
                      <w:highlight w:val="none"/>
                      <w:lang w:val="en-US" w:eastAsia="zh-CN"/>
                    </w:rPr>
                    <w:t>1</w:t>
                  </w:r>
                  <w:r>
                    <w:rPr>
                      <w:rFonts w:hint="default" w:ascii="Times New Roman" w:hAnsi="Times New Roman" w:eastAsia="宋体" w:cs="Times New Roman"/>
                      <w:caps w:val="0"/>
                      <w:snapToGrid w:val="0"/>
                      <w:color w:val="auto"/>
                      <w:spacing w:val="0"/>
                      <w:w w:val="100"/>
                      <w:position w:val="0"/>
                      <w:sz w:val="21"/>
                      <w:szCs w:val="21"/>
                      <w:highlight w:val="none"/>
                      <w:lang w:val="en-US" w:eastAsia="zh-CN"/>
                    </w:rPr>
                    <w:t>00m</w:t>
                  </w:r>
                  <w:r>
                    <w:rPr>
                      <w:rFonts w:hint="default" w:ascii="Times New Roman" w:hAnsi="Times New Roman" w:eastAsia="宋体" w:cs="Times New Roman"/>
                      <w:caps w:val="0"/>
                      <w:snapToGrid w:val="0"/>
                      <w:color w:val="auto"/>
                      <w:spacing w:val="0"/>
                      <w:w w:val="100"/>
                      <w:position w:val="0"/>
                      <w:sz w:val="21"/>
                      <w:szCs w:val="21"/>
                      <w:highlight w:val="none"/>
                      <w:vertAlign w:val="superscript"/>
                      <w:lang w:val="en-US" w:eastAsia="zh-CN"/>
                    </w:rPr>
                    <w:t>2</w:t>
                  </w:r>
                </w:p>
              </w:tc>
              <w:tc>
                <w:tcPr>
                  <w:tcW w:w="543" w:type="pct"/>
                  <w:vAlign w:val="center"/>
                </w:tcPr>
                <w:p w14:paraId="18A2AB5A">
                  <w:pPr>
                    <w:keepNext w:val="0"/>
                    <w:keepLines w:val="0"/>
                    <w:widowControl/>
                    <w:suppressLineNumbers w:val="0"/>
                    <w:jc w:val="center"/>
                    <w:textAlignment w:val="center"/>
                    <w:rPr>
                      <w:rFonts w:hint="default"/>
                      <w:color w:val="auto"/>
                      <w:kern w:val="0"/>
                      <w:szCs w:val="21"/>
                      <w:highlight w:val="none"/>
                      <w:lang w:val="en-US" w:bidi="ar"/>
                    </w:rPr>
                  </w:pPr>
                  <w:r>
                    <w:rPr>
                      <w:rFonts w:hint="eastAsia" w:cs="Times New Roman"/>
                      <w:caps w:val="0"/>
                      <w:snapToGrid w:val="0"/>
                      <w:color w:val="auto"/>
                      <w:spacing w:val="0"/>
                      <w:w w:val="100"/>
                      <w:position w:val="0"/>
                      <w:sz w:val="21"/>
                      <w:szCs w:val="21"/>
                      <w:highlight w:val="none"/>
                      <w:lang w:val="en-US" w:eastAsia="zh-CN"/>
                    </w:rPr>
                    <w:t>0.26</w:t>
                  </w:r>
                </w:p>
              </w:tc>
              <w:tc>
                <w:tcPr>
                  <w:tcW w:w="652" w:type="pct"/>
                  <w:vAlign w:val="center"/>
                </w:tcPr>
                <w:p w14:paraId="27783ED7">
                  <w:pPr>
                    <w:keepNext w:val="0"/>
                    <w:keepLines w:val="0"/>
                    <w:widowControl/>
                    <w:suppressLineNumbers w:val="0"/>
                    <w:jc w:val="center"/>
                    <w:textAlignment w:val="center"/>
                    <w:rPr>
                      <w:rFonts w:hint="default"/>
                      <w:color w:val="auto"/>
                      <w:kern w:val="0"/>
                      <w:szCs w:val="21"/>
                      <w:highlight w:val="none"/>
                      <w:lang w:val="en-US" w:bidi="ar"/>
                    </w:rPr>
                  </w:pPr>
                  <w:r>
                    <w:rPr>
                      <w:rFonts w:hint="eastAsia" w:cs="Times New Roman"/>
                      <w:caps w:val="0"/>
                      <w:snapToGrid w:val="0"/>
                      <w:color w:val="auto"/>
                      <w:spacing w:val="0"/>
                      <w:w w:val="100"/>
                      <w:position w:val="0"/>
                      <w:sz w:val="21"/>
                      <w:szCs w:val="21"/>
                      <w:highlight w:val="none"/>
                      <w:lang w:val="en-US" w:eastAsia="zh-CN"/>
                    </w:rPr>
                    <w:t>55.12</w:t>
                  </w:r>
                </w:p>
              </w:tc>
              <w:tc>
                <w:tcPr>
                  <w:tcW w:w="464" w:type="pct"/>
                  <w:vAlign w:val="center"/>
                </w:tcPr>
                <w:p w14:paraId="11A6994B">
                  <w:pPr>
                    <w:keepNext w:val="0"/>
                    <w:keepLines w:val="0"/>
                    <w:widowControl/>
                    <w:suppressLineNumbers w:val="0"/>
                    <w:jc w:val="center"/>
                    <w:textAlignment w:val="center"/>
                    <w:rPr>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415" w:type="pct"/>
                  <w:vAlign w:val="center"/>
                </w:tcPr>
                <w:p w14:paraId="4318B3CE">
                  <w:pPr>
                    <w:keepNext w:val="0"/>
                    <w:keepLines w:val="0"/>
                    <w:widowControl/>
                    <w:suppressLineNumbers w:val="0"/>
                    <w:jc w:val="center"/>
                    <w:textAlignment w:val="center"/>
                    <w:rPr>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407" w:type="pct"/>
                  <w:vAlign w:val="center"/>
                </w:tcPr>
                <w:p w14:paraId="5758C928">
                  <w:pPr>
                    <w:keepNext w:val="0"/>
                    <w:keepLines w:val="0"/>
                    <w:widowControl/>
                    <w:suppressLineNumbers w:val="0"/>
                    <w:jc w:val="center"/>
                    <w:textAlignment w:val="center"/>
                    <w:rPr>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r>
            <w:tr w14:paraId="4F527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19" w:type="pct"/>
                  <w:gridSpan w:val="3"/>
                  <w:vAlign w:val="center"/>
                </w:tcPr>
                <w:p w14:paraId="1AE3B9C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snapToGrid w:val="0"/>
                      <w:color w:val="auto"/>
                      <w:szCs w:val="21"/>
                      <w:highlight w:val="none"/>
                    </w:rPr>
                  </w:pPr>
                  <w:r>
                    <w:rPr>
                      <w:rFonts w:hint="default" w:ascii="Times New Roman" w:hAnsi="Times New Roman" w:eastAsia="宋体" w:cs="Times New Roman"/>
                      <w:caps w:val="0"/>
                      <w:snapToGrid w:val="0"/>
                      <w:color w:val="auto"/>
                      <w:spacing w:val="0"/>
                      <w:w w:val="100"/>
                      <w:position w:val="0"/>
                      <w:sz w:val="21"/>
                      <w:szCs w:val="21"/>
                      <w:highlight w:val="none"/>
                      <w:lang w:val="en-US" w:eastAsia="zh-CN"/>
                    </w:rPr>
                    <w:t>道路浇洒</w:t>
                  </w:r>
                </w:p>
              </w:tc>
              <w:tc>
                <w:tcPr>
                  <w:tcW w:w="601" w:type="pct"/>
                  <w:vAlign w:val="center"/>
                </w:tcPr>
                <w:p w14:paraId="65A73C4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snapToGrid w:val="0"/>
                      <w:color w:val="auto"/>
                      <w:szCs w:val="21"/>
                      <w:highlight w:val="none"/>
                    </w:rPr>
                  </w:pPr>
                  <w:r>
                    <w:rPr>
                      <w:rFonts w:hint="default" w:ascii="Times New Roman" w:hAnsi="Times New Roman" w:eastAsia="宋体" w:cs="Times New Roman"/>
                      <w:b w:val="0"/>
                      <w:bCs w:val="0"/>
                      <w:color w:val="auto"/>
                      <w:sz w:val="21"/>
                      <w:szCs w:val="21"/>
                      <w:highlight w:val="none"/>
                      <w:lang w:val="en-US" w:eastAsia="zh-CN"/>
                    </w:rPr>
                    <w:t>2</w:t>
                  </w:r>
                  <w:r>
                    <w:rPr>
                      <w:rFonts w:hint="default" w:ascii="Times New Roman" w:hAnsi="Times New Roman" w:eastAsia="宋体" w:cs="Times New Roman"/>
                      <w:b w:val="0"/>
                      <w:bCs w:val="0"/>
                      <w:color w:val="auto"/>
                      <w:sz w:val="21"/>
                      <w:szCs w:val="21"/>
                      <w:highlight w:val="none"/>
                      <w:lang w:eastAsia="zh-CN"/>
                    </w:rPr>
                    <w:t>L/m</w:t>
                  </w:r>
                  <w:r>
                    <w:rPr>
                      <w:rFonts w:hint="default" w:ascii="Times New Roman" w:hAnsi="Times New Roman" w:eastAsia="宋体" w:cs="Times New Roman"/>
                      <w:b w:val="0"/>
                      <w:bCs w:val="0"/>
                      <w:color w:val="auto"/>
                      <w:sz w:val="21"/>
                      <w:szCs w:val="21"/>
                      <w:highlight w:val="none"/>
                      <w:vertAlign w:val="superscript"/>
                      <w:lang w:eastAsia="zh-CN"/>
                    </w:rPr>
                    <w:t>2</w:t>
                  </w:r>
                  <w:r>
                    <w:rPr>
                      <w:rFonts w:hint="default" w:ascii="Times New Roman" w:hAnsi="Times New Roman" w:eastAsia="宋体" w:cs="Times New Roman"/>
                      <w:b w:val="0"/>
                      <w:bCs w:val="0"/>
                      <w:color w:val="auto"/>
                      <w:sz w:val="21"/>
                      <w:szCs w:val="21"/>
                      <w:highlight w:val="none"/>
                      <w:lang w:eastAsia="zh-CN"/>
                    </w:rPr>
                    <w:t>·</w:t>
                  </w:r>
                  <w:r>
                    <w:rPr>
                      <w:rFonts w:hint="eastAsia" w:ascii="Times New Roman" w:hAnsi="Times New Roman" w:eastAsia="宋体" w:cs="Times New Roman"/>
                      <w:b w:val="0"/>
                      <w:bCs w:val="0"/>
                      <w:color w:val="auto"/>
                      <w:sz w:val="21"/>
                      <w:szCs w:val="21"/>
                      <w:highlight w:val="none"/>
                      <w:lang w:val="en-US" w:eastAsia="zh-CN"/>
                    </w:rPr>
                    <w:t>d</w:t>
                  </w:r>
                </w:p>
              </w:tc>
              <w:tc>
                <w:tcPr>
                  <w:tcW w:w="495" w:type="pct"/>
                  <w:vAlign w:val="center"/>
                </w:tcPr>
                <w:p w14:paraId="7FB2426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snapToGrid w:val="0"/>
                      <w:color w:val="auto"/>
                      <w:szCs w:val="21"/>
                      <w:highlight w:val="none"/>
                    </w:rPr>
                  </w:pPr>
                  <w:r>
                    <w:rPr>
                      <w:rFonts w:hint="eastAsia" w:cs="Times New Roman"/>
                      <w:caps w:val="0"/>
                      <w:snapToGrid w:val="0"/>
                      <w:color w:val="auto"/>
                      <w:spacing w:val="0"/>
                      <w:w w:val="100"/>
                      <w:position w:val="0"/>
                      <w:sz w:val="21"/>
                      <w:szCs w:val="21"/>
                      <w:highlight w:val="none"/>
                      <w:lang w:val="en-US" w:eastAsia="zh-CN"/>
                    </w:rPr>
                    <w:t>500</w:t>
                  </w:r>
                  <w:r>
                    <w:rPr>
                      <w:rFonts w:hint="default" w:ascii="Times New Roman" w:hAnsi="Times New Roman" w:eastAsia="宋体" w:cs="Times New Roman"/>
                      <w:caps w:val="0"/>
                      <w:snapToGrid w:val="0"/>
                      <w:color w:val="auto"/>
                      <w:spacing w:val="0"/>
                      <w:w w:val="100"/>
                      <w:position w:val="0"/>
                      <w:sz w:val="21"/>
                      <w:szCs w:val="21"/>
                      <w:highlight w:val="none"/>
                      <w:lang w:val="en-US" w:eastAsia="zh-CN"/>
                    </w:rPr>
                    <w:t>m</w:t>
                  </w:r>
                  <w:r>
                    <w:rPr>
                      <w:rFonts w:hint="default" w:ascii="Times New Roman" w:hAnsi="Times New Roman" w:eastAsia="宋体" w:cs="Times New Roman"/>
                      <w:caps w:val="0"/>
                      <w:snapToGrid w:val="0"/>
                      <w:color w:val="auto"/>
                      <w:spacing w:val="0"/>
                      <w:w w:val="100"/>
                      <w:position w:val="0"/>
                      <w:sz w:val="21"/>
                      <w:szCs w:val="21"/>
                      <w:highlight w:val="none"/>
                      <w:vertAlign w:val="superscript"/>
                      <w:lang w:val="en-US" w:eastAsia="zh-CN"/>
                    </w:rPr>
                    <w:t>2</w:t>
                  </w:r>
                </w:p>
              </w:tc>
              <w:tc>
                <w:tcPr>
                  <w:tcW w:w="543" w:type="pct"/>
                  <w:vAlign w:val="center"/>
                </w:tcPr>
                <w:p w14:paraId="5925D95A">
                  <w:pPr>
                    <w:keepNext w:val="0"/>
                    <w:keepLines w:val="0"/>
                    <w:widowControl/>
                    <w:suppressLineNumbers w:val="0"/>
                    <w:jc w:val="center"/>
                    <w:textAlignment w:val="center"/>
                    <w:rPr>
                      <w:rFonts w:hint="default" w:eastAsia="宋体"/>
                      <w:color w:val="auto"/>
                      <w:kern w:val="0"/>
                      <w:szCs w:val="21"/>
                      <w:highlight w:val="none"/>
                      <w:lang w:val="en-US" w:eastAsia="zh-CN" w:bidi="ar"/>
                    </w:rPr>
                  </w:pPr>
                  <w:r>
                    <w:rPr>
                      <w:rFonts w:hint="eastAsia"/>
                      <w:color w:val="auto"/>
                      <w:kern w:val="0"/>
                      <w:szCs w:val="21"/>
                      <w:highlight w:val="none"/>
                      <w:lang w:val="en-US" w:eastAsia="zh-CN" w:bidi="ar"/>
                    </w:rPr>
                    <w:t>1.0</w:t>
                  </w:r>
                </w:p>
              </w:tc>
              <w:tc>
                <w:tcPr>
                  <w:tcW w:w="652" w:type="pct"/>
                  <w:vAlign w:val="center"/>
                </w:tcPr>
                <w:p w14:paraId="760C76F3">
                  <w:pPr>
                    <w:keepNext w:val="0"/>
                    <w:keepLines w:val="0"/>
                    <w:widowControl/>
                    <w:suppressLineNumbers w:val="0"/>
                    <w:jc w:val="center"/>
                    <w:textAlignment w:val="center"/>
                    <w:rPr>
                      <w:rFonts w:hint="default"/>
                      <w:color w:val="auto"/>
                      <w:kern w:val="0"/>
                      <w:szCs w:val="21"/>
                      <w:highlight w:val="none"/>
                      <w:lang w:val="en-US" w:bidi="ar"/>
                    </w:rPr>
                  </w:pPr>
                  <w:r>
                    <w:rPr>
                      <w:rFonts w:hint="eastAsia" w:cs="Times New Roman"/>
                      <w:caps w:val="0"/>
                      <w:snapToGrid w:val="0"/>
                      <w:color w:val="auto"/>
                      <w:spacing w:val="0"/>
                      <w:w w:val="100"/>
                      <w:position w:val="0"/>
                      <w:sz w:val="21"/>
                      <w:szCs w:val="21"/>
                      <w:highlight w:val="none"/>
                      <w:lang w:val="en-US" w:eastAsia="zh-CN"/>
                    </w:rPr>
                    <w:t>212</w:t>
                  </w:r>
                </w:p>
              </w:tc>
              <w:tc>
                <w:tcPr>
                  <w:tcW w:w="464" w:type="pct"/>
                  <w:vAlign w:val="center"/>
                </w:tcPr>
                <w:p w14:paraId="205A0320">
                  <w:pPr>
                    <w:keepNext w:val="0"/>
                    <w:keepLines w:val="0"/>
                    <w:widowControl/>
                    <w:suppressLineNumbers w:val="0"/>
                    <w:jc w:val="center"/>
                    <w:textAlignment w:val="center"/>
                    <w:rPr>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415" w:type="pct"/>
                  <w:vAlign w:val="center"/>
                </w:tcPr>
                <w:p w14:paraId="55A8AB04">
                  <w:pPr>
                    <w:keepNext w:val="0"/>
                    <w:keepLines w:val="0"/>
                    <w:widowControl/>
                    <w:suppressLineNumbers w:val="0"/>
                    <w:jc w:val="center"/>
                    <w:textAlignment w:val="center"/>
                    <w:rPr>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407" w:type="pct"/>
                  <w:vAlign w:val="center"/>
                </w:tcPr>
                <w:p w14:paraId="1779BFD2">
                  <w:pPr>
                    <w:keepNext w:val="0"/>
                    <w:keepLines w:val="0"/>
                    <w:widowControl/>
                    <w:suppressLineNumbers w:val="0"/>
                    <w:jc w:val="center"/>
                    <w:textAlignment w:val="center"/>
                    <w:rPr>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r>
            <w:tr w14:paraId="5181F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021" w:type="pct"/>
                  <w:gridSpan w:val="4"/>
                  <w:vAlign w:val="center"/>
                </w:tcPr>
                <w:p w14:paraId="37D32F3A">
                  <w:pPr>
                    <w:widowControl/>
                    <w:jc w:val="center"/>
                    <w:textAlignment w:val="center"/>
                    <w:rPr>
                      <w:rFonts w:hint="default" w:eastAsia="宋体"/>
                      <w:b/>
                      <w:bCs/>
                      <w:snapToGrid w:val="0"/>
                      <w:color w:val="auto"/>
                      <w:szCs w:val="21"/>
                      <w:highlight w:val="none"/>
                      <w:lang w:val="en-US" w:eastAsia="zh-CN"/>
                    </w:rPr>
                  </w:pPr>
                  <w:r>
                    <w:rPr>
                      <w:rFonts w:hint="eastAsia"/>
                      <w:b/>
                      <w:bCs/>
                      <w:snapToGrid w:val="0"/>
                      <w:color w:val="auto"/>
                      <w:szCs w:val="21"/>
                      <w:highlight w:val="none"/>
                      <w:lang w:val="en-US" w:eastAsia="zh-CN"/>
                    </w:rPr>
                    <w:t>小计</w:t>
                  </w:r>
                </w:p>
              </w:tc>
              <w:tc>
                <w:tcPr>
                  <w:tcW w:w="495" w:type="pct"/>
                  <w:vAlign w:val="center"/>
                </w:tcPr>
                <w:p w14:paraId="3403CB93">
                  <w:pPr>
                    <w:widowControl/>
                    <w:jc w:val="center"/>
                    <w:textAlignment w:val="center"/>
                    <w:rPr>
                      <w:rFonts w:hint="eastAsia" w:eastAsia="宋体"/>
                      <w:color w:val="auto"/>
                      <w:highlight w:val="none"/>
                      <w:lang w:val="en-US" w:eastAsia="zh-CN"/>
                    </w:rPr>
                  </w:pPr>
                  <w:r>
                    <w:rPr>
                      <w:rFonts w:hint="eastAsia"/>
                      <w:color w:val="auto"/>
                      <w:highlight w:val="none"/>
                      <w:lang w:val="en-US" w:eastAsia="zh-CN"/>
                    </w:rPr>
                    <w:t>/</w:t>
                  </w:r>
                </w:p>
              </w:tc>
              <w:tc>
                <w:tcPr>
                  <w:tcW w:w="543" w:type="pct"/>
                  <w:vAlign w:val="center"/>
                </w:tcPr>
                <w:p w14:paraId="7943878A">
                  <w:pPr>
                    <w:keepNext w:val="0"/>
                    <w:keepLines w:val="0"/>
                    <w:widowControl/>
                    <w:suppressLineNumbers w:val="0"/>
                    <w:jc w:val="center"/>
                    <w:textAlignment w:val="center"/>
                    <w:rPr>
                      <w:rFonts w:hint="default" w:cs="Times New Roman"/>
                      <w:i w:val="0"/>
                      <w:iCs w:val="0"/>
                      <w:color w:val="auto"/>
                      <w:kern w:val="0"/>
                      <w:sz w:val="21"/>
                      <w:szCs w:val="21"/>
                      <w:highlight w:val="none"/>
                      <w:u w:val="none"/>
                      <w:lang w:val="en-US" w:eastAsia="zh-CN" w:bidi="ar"/>
                    </w:rPr>
                  </w:pPr>
                  <w:r>
                    <w:rPr>
                      <w:rFonts w:hint="eastAsia"/>
                      <w:color w:val="auto"/>
                      <w:kern w:val="0"/>
                      <w:szCs w:val="21"/>
                      <w:highlight w:val="none"/>
                      <w:lang w:val="en-US" w:eastAsia="zh-CN" w:bidi="ar"/>
                    </w:rPr>
                    <w:t>1.26</w:t>
                  </w:r>
                </w:p>
              </w:tc>
              <w:tc>
                <w:tcPr>
                  <w:tcW w:w="652" w:type="pct"/>
                  <w:vAlign w:val="center"/>
                </w:tcPr>
                <w:p w14:paraId="7A79744D">
                  <w:pPr>
                    <w:keepNext w:val="0"/>
                    <w:keepLines w:val="0"/>
                    <w:widowControl/>
                    <w:suppressLineNumbers w:val="0"/>
                    <w:jc w:val="center"/>
                    <w:textAlignment w:val="center"/>
                    <w:rPr>
                      <w:rFonts w:hint="default" w:cs="Times New Roman"/>
                      <w:i w:val="0"/>
                      <w:iCs w:val="0"/>
                      <w:color w:val="auto"/>
                      <w:kern w:val="0"/>
                      <w:sz w:val="21"/>
                      <w:szCs w:val="21"/>
                      <w:highlight w:val="none"/>
                      <w:u w:val="none"/>
                      <w:lang w:val="en-US" w:eastAsia="zh-CN" w:bidi="ar"/>
                    </w:rPr>
                  </w:pPr>
                  <w:r>
                    <w:rPr>
                      <w:rFonts w:hint="eastAsia"/>
                      <w:color w:val="auto"/>
                      <w:kern w:val="0"/>
                      <w:szCs w:val="21"/>
                      <w:highlight w:val="none"/>
                      <w:lang w:val="en-US" w:eastAsia="zh-CN" w:bidi="ar"/>
                    </w:rPr>
                    <w:t>267.12</w:t>
                  </w:r>
                </w:p>
              </w:tc>
              <w:tc>
                <w:tcPr>
                  <w:tcW w:w="464" w:type="pct"/>
                  <w:vAlign w:val="center"/>
                </w:tcPr>
                <w:p w14:paraId="1C12A654">
                  <w:pPr>
                    <w:keepNext w:val="0"/>
                    <w:keepLines w:val="0"/>
                    <w:widowControl/>
                    <w:suppressLineNumbers w:val="0"/>
                    <w:jc w:val="center"/>
                    <w:textAlignment w:val="center"/>
                    <w:rPr>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415" w:type="pct"/>
                  <w:vAlign w:val="center"/>
                </w:tcPr>
                <w:p w14:paraId="305940C1">
                  <w:pPr>
                    <w:keepNext w:val="0"/>
                    <w:keepLines w:val="0"/>
                    <w:widowControl/>
                    <w:suppressLineNumbers w:val="0"/>
                    <w:jc w:val="center"/>
                    <w:textAlignment w:val="center"/>
                    <w:rPr>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407" w:type="pct"/>
                  <w:vAlign w:val="center"/>
                </w:tcPr>
                <w:p w14:paraId="5C2D1083">
                  <w:pPr>
                    <w:keepNext w:val="0"/>
                    <w:keepLines w:val="0"/>
                    <w:widowControl/>
                    <w:suppressLineNumbers w:val="0"/>
                    <w:jc w:val="center"/>
                    <w:textAlignment w:val="center"/>
                    <w:rPr>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r>
            <w:tr w14:paraId="3691B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517" w:type="pct"/>
                  <w:gridSpan w:val="5"/>
                  <w:vAlign w:val="center"/>
                </w:tcPr>
                <w:p w14:paraId="68A25ABF">
                  <w:pPr>
                    <w:widowControl/>
                    <w:jc w:val="center"/>
                    <w:textAlignment w:val="center"/>
                    <w:rPr>
                      <w:rFonts w:hint="eastAsia" w:eastAsia="宋体"/>
                      <w:snapToGrid w:val="0"/>
                      <w:color w:val="auto"/>
                      <w:szCs w:val="21"/>
                      <w:highlight w:val="none"/>
                      <w:lang w:eastAsia="zh-CN"/>
                    </w:rPr>
                  </w:pPr>
                  <w:r>
                    <w:rPr>
                      <w:b/>
                      <w:bCs/>
                      <w:snapToGrid w:val="0"/>
                      <w:color w:val="auto"/>
                      <w:szCs w:val="21"/>
                      <w:highlight w:val="none"/>
                    </w:rPr>
                    <w:t>合计</w:t>
                  </w:r>
                  <w:r>
                    <w:rPr>
                      <w:rFonts w:hint="eastAsia"/>
                      <w:b/>
                      <w:bCs/>
                      <w:snapToGrid w:val="0"/>
                      <w:color w:val="auto"/>
                      <w:szCs w:val="21"/>
                      <w:highlight w:val="none"/>
                      <w:lang w:eastAsia="zh-CN"/>
                    </w:rPr>
                    <w:t>（新鲜水）</w:t>
                  </w:r>
                </w:p>
              </w:tc>
              <w:tc>
                <w:tcPr>
                  <w:tcW w:w="543" w:type="pct"/>
                  <w:vAlign w:val="center"/>
                </w:tcPr>
                <w:p w14:paraId="217FD5D6">
                  <w:pPr>
                    <w:keepNext w:val="0"/>
                    <w:keepLines w:val="0"/>
                    <w:widowControl/>
                    <w:suppressLineNumbers w:val="0"/>
                    <w:jc w:val="center"/>
                    <w:textAlignment w:val="center"/>
                    <w:rPr>
                      <w:rFonts w:hint="default"/>
                      <w:snapToGrid w:val="0"/>
                      <w:color w:val="auto"/>
                      <w:szCs w:val="21"/>
                      <w:highlight w:val="none"/>
                      <w:lang w:val="en-US"/>
                    </w:rPr>
                  </w:pPr>
                  <w:r>
                    <w:rPr>
                      <w:rFonts w:hint="eastAsia" w:cs="Times New Roman"/>
                      <w:i w:val="0"/>
                      <w:iCs w:val="0"/>
                      <w:color w:val="auto"/>
                      <w:kern w:val="0"/>
                      <w:sz w:val="21"/>
                      <w:szCs w:val="21"/>
                      <w:highlight w:val="none"/>
                      <w:u w:val="none"/>
                      <w:lang w:val="en-US" w:eastAsia="zh-CN" w:bidi="ar"/>
                    </w:rPr>
                    <w:t>18.1837</w:t>
                  </w:r>
                </w:p>
              </w:tc>
              <w:tc>
                <w:tcPr>
                  <w:tcW w:w="652" w:type="pct"/>
                  <w:vAlign w:val="center"/>
                </w:tcPr>
                <w:p w14:paraId="5F74ACDC">
                  <w:pPr>
                    <w:keepNext w:val="0"/>
                    <w:keepLines w:val="0"/>
                    <w:widowControl/>
                    <w:suppressLineNumbers w:val="0"/>
                    <w:jc w:val="center"/>
                    <w:textAlignment w:val="center"/>
                    <w:rPr>
                      <w:rFonts w:hint="default"/>
                      <w:snapToGrid w:val="0"/>
                      <w:color w:val="auto"/>
                      <w:szCs w:val="21"/>
                      <w:highlight w:val="none"/>
                      <w:lang w:val="en-US"/>
                    </w:rPr>
                  </w:pPr>
                  <w:r>
                    <w:rPr>
                      <w:rFonts w:hint="eastAsia" w:cs="Times New Roman"/>
                      <w:i w:val="0"/>
                      <w:iCs w:val="0"/>
                      <w:color w:val="auto"/>
                      <w:kern w:val="0"/>
                      <w:sz w:val="21"/>
                      <w:szCs w:val="21"/>
                      <w:highlight w:val="none"/>
                      <w:u w:val="none"/>
                      <w:lang w:val="en-US" w:eastAsia="zh-CN" w:bidi="ar"/>
                    </w:rPr>
                    <w:t>5473.12</w:t>
                  </w:r>
                </w:p>
              </w:tc>
              <w:tc>
                <w:tcPr>
                  <w:tcW w:w="464" w:type="pct"/>
                  <w:vAlign w:val="center"/>
                </w:tcPr>
                <w:p w14:paraId="4BCD3BE6">
                  <w:pPr>
                    <w:keepNext w:val="0"/>
                    <w:keepLines w:val="0"/>
                    <w:widowControl/>
                    <w:suppressLineNumbers w:val="0"/>
                    <w:jc w:val="center"/>
                    <w:textAlignment w:val="center"/>
                    <w:rPr>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415" w:type="pct"/>
                  <w:vAlign w:val="center"/>
                </w:tcPr>
                <w:p w14:paraId="7E38F0FA">
                  <w:pPr>
                    <w:keepNext w:val="0"/>
                    <w:keepLines w:val="0"/>
                    <w:widowControl/>
                    <w:suppressLineNumbers w:val="0"/>
                    <w:jc w:val="center"/>
                    <w:textAlignment w:val="center"/>
                    <w:rPr>
                      <w:snapToGrid w:val="0"/>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2.1867</w:t>
                  </w:r>
                </w:p>
              </w:tc>
              <w:tc>
                <w:tcPr>
                  <w:tcW w:w="407" w:type="pct"/>
                  <w:vAlign w:val="center"/>
                </w:tcPr>
                <w:p w14:paraId="66E98DCD">
                  <w:pPr>
                    <w:keepNext w:val="0"/>
                    <w:keepLines w:val="0"/>
                    <w:widowControl/>
                    <w:suppressLineNumbers w:val="0"/>
                    <w:jc w:val="center"/>
                    <w:textAlignment w:val="center"/>
                    <w:rPr>
                      <w:snapToGrid w:val="0"/>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656</w:t>
                  </w:r>
                </w:p>
              </w:tc>
            </w:tr>
          </w:tbl>
          <w:p w14:paraId="540F70A5">
            <w:pPr>
              <w:pStyle w:val="14"/>
              <w:adjustRightInd w:val="0"/>
              <w:snapToGrid w:val="0"/>
              <w:spacing w:after="0" w:line="360" w:lineRule="auto"/>
              <w:ind w:firstLine="482" w:firstLineChars="200"/>
              <w:rPr>
                <w:b/>
                <w:bCs/>
                <w:snapToGrid w:val="0"/>
                <w:color w:val="auto"/>
                <w:sz w:val="24"/>
              </w:rPr>
            </w:pPr>
            <w:r>
              <w:rPr>
                <w:b/>
                <w:bCs/>
                <w:snapToGrid w:val="0"/>
                <w:color w:val="auto"/>
                <w:sz w:val="24"/>
              </w:rPr>
              <w:t>（3）项目运营期用排水平衡</w:t>
            </w:r>
          </w:p>
          <w:p w14:paraId="74F66C85">
            <w:pPr>
              <w:pStyle w:val="14"/>
              <w:adjustRightInd w:val="0"/>
              <w:snapToGrid w:val="0"/>
              <w:spacing w:after="0" w:line="360" w:lineRule="auto"/>
              <w:ind w:firstLine="480" w:firstLineChars="200"/>
              <w:rPr>
                <w:snapToGrid w:val="0"/>
                <w:color w:val="auto"/>
                <w:sz w:val="24"/>
              </w:rPr>
            </w:pPr>
            <w:r>
              <w:rPr>
                <w:snapToGrid w:val="0"/>
                <w:color w:val="auto"/>
                <w:sz w:val="24"/>
              </w:rPr>
              <w:t>项目运营期水平衡如图2-1</w:t>
            </w:r>
            <w:r>
              <w:rPr>
                <w:rFonts w:hint="eastAsia"/>
                <w:snapToGrid w:val="0"/>
                <w:color w:val="auto"/>
                <w:sz w:val="24"/>
                <w:lang w:eastAsia="zh-CN"/>
              </w:rPr>
              <w:t>、</w:t>
            </w:r>
            <w:r>
              <w:rPr>
                <w:rFonts w:hint="eastAsia"/>
                <w:snapToGrid w:val="0"/>
                <w:color w:val="auto"/>
                <w:sz w:val="24"/>
                <w:lang w:val="en-US" w:eastAsia="zh-CN"/>
              </w:rPr>
              <w:t>2-2</w:t>
            </w:r>
            <w:r>
              <w:rPr>
                <w:snapToGrid w:val="0"/>
                <w:color w:val="auto"/>
                <w:sz w:val="24"/>
              </w:rPr>
              <w:t>所示。</w:t>
            </w:r>
          </w:p>
          <w:p w14:paraId="1CBE8076">
            <w:pPr>
              <w:adjustRightInd w:val="0"/>
              <w:snapToGrid w:val="0"/>
              <w:jc w:val="center"/>
              <w:rPr>
                <w:b/>
                <w:bCs/>
                <w:snapToGrid w:val="0"/>
                <w:color w:val="auto"/>
                <w:szCs w:val="21"/>
              </w:rPr>
            </w:pPr>
            <w:r>
              <w:rPr>
                <w:b/>
                <w:bCs/>
                <w:snapToGrid w:val="0"/>
                <w:color w:val="auto"/>
                <w:szCs w:val="21"/>
              </w:rPr>
              <w:pict>
                <v:shape id="_x0000_s1036" o:spid="_x0000_s1036" o:spt="75" type="#_x0000_t75" style="position:absolute;left:0pt;margin-left:-1.15pt;margin-top:4.75pt;height:264.5pt;width:421.25pt;mso-wrap-distance-bottom:0pt;mso-wrap-distance-left:9pt;mso-wrap-distance-right:9pt;mso-wrap-distance-top:0pt;z-index:251661312;mso-width-relative:page;mso-height-relative:page;" o:ole="t" filled="f" o:preferrelative="t" stroked="f" coordsize="21600,21600">
                  <v:path/>
                  <v:fill on="f" focussize="0,0"/>
                  <v:stroke on="f"/>
                  <v:imagedata r:id="rId11" o:title=""/>
                  <o:lock v:ext="edit" aspectratio="f"/>
                  <w10:wrap type="square"/>
                </v:shape>
                <o:OLEObject Type="Embed" ProgID="Visio.Drawing.15" ShapeID="_x0000_s1036" DrawAspect="Content" ObjectID="_1468075725" r:id="rId10">
                  <o:LockedField>false</o:LockedField>
                </o:OLEObject>
              </w:pict>
            </w:r>
          </w:p>
          <w:p w14:paraId="6ACA9A1F">
            <w:pPr>
              <w:adjustRightInd w:val="0"/>
              <w:snapToGrid w:val="0"/>
              <w:jc w:val="center"/>
              <w:rPr>
                <w:b/>
                <w:bCs/>
                <w:snapToGrid w:val="0"/>
                <w:color w:val="auto"/>
                <w:szCs w:val="21"/>
                <w:highlight w:val="none"/>
              </w:rPr>
            </w:pPr>
            <w:r>
              <w:rPr>
                <w:b/>
                <w:bCs/>
                <w:snapToGrid w:val="0"/>
                <w:color w:val="auto"/>
                <w:szCs w:val="21"/>
                <w:highlight w:val="none"/>
              </w:rPr>
              <w:t>图2-1  运营期水平衡示意图   单位：m</w:t>
            </w:r>
            <w:r>
              <w:rPr>
                <w:b/>
                <w:bCs/>
                <w:snapToGrid w:val="0"/>
                <w:color w:val="auto"/>
                <w:szCs w:val="21"/>
                <w:highlight w:val="none"/>
                <w:vertAlign w:val="superscript"/>
              </w:rPr>
              <w:t>3</w:t>
            </w:r>
            <w:r>
              <w:rPr>
                <w:b/>
                <w:bCs/>
                <w:snapToGrid w:val="0"/>
                <w:color w:val="auto"/>
                <w:szCs w:val="21"/>
                <w:highlight w:val="none"/>
              </w:rPr>
              <w:t>/d</w:t>
            </w:r>
          </w:p>
          <w:p w14:paraId="4723AACB">
            <w:pPr>
              <w:adjustRightInd w:val="0"/>
              <w:snapToGrid w:val="0"/>
              <w:jc w:val="center"/>
              <w:rPr>
                <w:b/>
                <w:bCs/>
                <w:snapToGrid w:val="0"/>
                <w:color w:val="auto"/>
                <w:szCs w:val="21"/>
              </w:rPr>
            </w:pPr>
            <w:r>
              <w:rPr>
                <w:b/>
                <w:bCs/>
                <w:snapToGrid w:val="0"/>
                <w:color w:val="auto"/>
                <w:szCs w:val="21"/>
              </w:rPr>
              <w:pict>
                <v:shape id="_x0000_s1043" o:spid="_x0000_s1043" o:spt="75" type="#_x0000_t75" style="position:absolute;left:0pt;margin-left:-4.25pt;margin-top:7.3pt;height:264.5pt;width:421.25pt;mso-wrap-distance-bottom:0pt;mso-wrap-distance-left:9pt;mso-wrap-distance-right:9pt;mso-wrap-distance-top:0pt;z-index:251663360;mso-width-relative:page;mso-height-relative:page;" o:ole="t" filled="f" o:preferrelative="t" stroked="f" coordsize="21600,21600">
                  <v:path/>
                  <v:fill on="f" focussize="0,0"/>
                  <v:stroke on="f"/>
                  <v:imagedata r:id="rId13" o:title=""/>
                  <o:lock v:ext="edit" aspectratio="f"/>
                  <w10:wrap type="square"/>
                </v:shape>
                <o:OLEObject Type="Embed" ProgID="Visio.Drawing.15" ShapeID="_x0000_s1043" DrawAspect="Content" ObjectID="_1468075726" r:id="rId12">
                  <o:LockedField>false</o:LockedField>
                </o:OLEObject>
              </w:pict>
            </w:r>
            <w:r>
              <w:rPr>
                <w:b/>
                <w:bCs/>
                <w:snapToGrid w:val="0"/>
                <w:color w:val="auto"/>
                <w:szCs w:val="21"/>
                <w:highlight w:val="none"/>
              </w:rPr>
              <w:t>图2-</w:t>
            </w:r>
            <w:r>
              <w:rPr>
                <w:rFonts w:hint="eastAsia"/>
                <w:b/>
                <w:bCs/>
                <w:snapToGrid w:val="0"/>
                <w:color w:val="auto"/>
                <w:szCs w:val="21"/>
                <w:highlight w:val="none"/>
                <w:lang w:val="en-US" w:eastAsia="zh-CN"/>
              </w:rPr>
              <w:t>2</w:t>
            </w:r>
            <w:r>
              <w:rPr>
                <w:b/>
                <w:bCs/>
                <w:snapToGrid w:val="0"/>
                <w:color w:val="auto"/>
                <w:szCs w:val="21"/>
                <w:highlight w:val="none"/>
              </w:rPr>
              <w:t xml:space="preserve">  运营期水平衡示意图   单位：m</w:t>
            </w:r>
            <w:r>
              <w:rPr>
                <w:b/>
                <w:bCs/>
                <w:snapToGrid w:val="0"/>
                <w:color w:val="auto"/>
                <w:szCs w:val="21"/>
                <w:highlight w:val="none"/>
                <w:vertAlign w:val="superscript"/>
              </w:rPr>
              <w:t>3</w:t>
            </w:r>
            <w:r>
              <w:rPr>
                <w:b/>
                <w:bCs/>
                <w:snapToGrid w:val="0"/>
                <w:color w:val="auto"/>
                <w:szCs w:val="21"/>
                <w:highlight w:val="none"/>
              </w:rPr>
              <w:t>/</w:t>
            </w:r>
            <w:r>
              <w:rPr>
                <w:rFonts w:hint="eastAsia"/>
                <w:b/>
                <w:bCs/>
                <w:snapToGrid w:val="0"/>
                <w:color w:val="auto"/>
                <w:szCs w:val="21"/>
                <w:highlight w:val="none"/>
                <w:lang w:val="en-US" w:eastAsia="zh-CN"/>
              </w:rPr>
              <w:t>a</w:t>
            </w:r>
          </w:p>
        </w:tc>
      </w:tr>
      <w:tr w14:paraId="5E0B37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 w:type="pct"/>
            <w:vAlign w:val="center"/>
          </w:tcPr>
          <w:p w14:paraId="0410EBD3">
            <w:pPr>
              <w:pStyle w:val="27"/>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color w:val="auto"/>
                <w:szCs w:val="24"/>
              </w:rPr>
              <w:t>工艺流程和产排污环节</w:t>
            </w:r>
          </w:p>
        </w:tc>
        <w:tc>
          <w:tcPr>
            <w:tcW w:w="4773" w:type="pct"/>
          </w:tcPr>
          <w:p w14:paraId="4064C496">
            <w:pPr>
              <w:spacing w:line="360" w:lineRule="auto"/>
              <w:ind w:firstLine="482" w:firstLineChars="200"/>
              <w:rPr>
                <w:b/>
                <w:color w:val="auto"/>
                <w:sz w:val="24"/>
              </w:rPr>
            </w:pPr>
            <w:bookmarkStart w:id="17" w:name="_Toc16932"/>
            <w:r>
              <w:rPr>
                <w:b/>
                <w:color w:val="auto"/>
                <w:sz w:val="24"/>
              </w:rPr>
              <w:t>一、施工期工艺流程和产排污节点</w:t>
            </w:r>
          </w:p>
          <w:p w14:paraId="5BA913DC">
            <w:pPr>
              <w:spacing w:line="360" w:lineRule="auto"/>
              <w:ind w:firstLine="482" w:firstLineChars="200"/>
              <w:rPr>
                <w:b/>
                <w:bCs/>
                <w:color w:val="auto"/>
                <w:sz w:val="24"/>
                <w:lang w:val="zh-CN"/>
              </w:rPr>
            </w:pPr>
            <w:r>
              <w:rPr>
                <w:rFonts w:hint="eastAsia"/>
                <w:b/>
                <w:bCs/>
                <w:color w:val="auto"/>
                <w:sz w:val="24"/>
                <w:lang w:val="en-US" w:eastAsia="zh-CN"/>
              </w:rPr>
              <w:t>1、</w:t>
            </w:r>
            <w:r>
              <w:rPr>
                <w:b/>
                <w:bCs/>
                <w:color w:val="auto"/>
                <w:sz w:val="24"/>
                <w:lang w:val="zh-CN"/>
              </w:rPr>
              <w:t>施工主要工作内容</w:t>
            </w:r>
          </w:p>
          <w:p w14:paraId="7582AE30">
            <w:pPr>
              <w:shd w:val="clear"/>
              <w:spacing w:line="360" w:lineRule="auto"/>
              <w:ind w:firstLine="480" w:firstLineChars="200"/>
              <w:rPr>
                <w:rFonts w:hint="default" w:ascii="Times New Roman" w:hAnsi="Times New Roman" w:eastAsia="宋体" w:cs="Times New Roman"/>
                <w:b w:val="0"/>
                <w:bCs w:val="0"/>
                <w:iCs/>
                <w:color w:val="auto"/>
                <w:sz w:val="24"/>
                <w:highlight w:val="none"/>
                <w:lang w:val="en-US" w:eastAsia="zh-CN"/>
              </w:rPr>
            </w:pPr>
            <w:r>
              <w:rPr>
                <w:rFonts w:hint="default" w:ascii="Times New Roman" w:hAnsi="Times New Roman" w:eastAsia="宋体" w:cs="Times New Roman"/>
                <w:b w:val="0"/>
                <w:bCs w:val="0"/>
                <w:iCs/>
                <w:color w:val="auto"/>
                <w:sz w:val="24"/>
                <w:highlight w:val="none"/>
                <w:lang w:val="en-US" w:eastAsia="zh-CN"/>
              </w:rPr>
              <w:t>本项目施工期主要在已建成标准厂房内进行简单</w:t>
            </w:r>
            <w:r>
              <w:rPr>
                <w:rFonts w:hint="eastAsia" w:cs="Times New Roman"/>
                <w:b w:val="0"/>
                <w:bCs w:val="0"/>
                <w:iCs/>
                <w:color w:val="auto"/>
                <w:sz w:val="24"/>
                <w:highlight w:val="none"/>
                <w:lang w:val="en-US" w:eastAsia="zh-CN"/>
              </w:rPr>
              <w:t>装修改造、</w:t>
            </w:r>
            <w:r>
              <w:rPr>
                <w:rFonts w:hint="default" w:ascii="Times New Roman" w:hAnsi="Times New Roman" w:eastAsia="宋体" w:cs="Times New Roman"/>
                <w:b w:val="0"/>
                <w:bCs w:val="0"/>
                <w:iCs/>
                <w:color w:val="auto"/>
                <w:sz w:val="24"/>
                <w:highlight w:val="none"/>
                <w:lang w:val="en-US" w:eastAsia="zh-CN"/>
              </w:rPr>
              <w:t>设备安装</w:t>
            </w:r>
            <w:r>
              <w:rPr>
                <w:rFonts w:hint="eastAsia" w:cs="Times New Roman"/>
                <w:b w:val="0"/>
                <w:bCs w:val="0"/>
                <w:iCs/>
                <w:color w:val="auto"/>
                <w:sz w:val="24"/>
                <w:highlight w:val="none"/>
                <w:lang w:val="en-US" w:eastAsia="zh-CN"/>
              </w:rPr>
              <w:t>及</w:t>
            </w:r>
            <w:r>
              <w:rPr>
                <w:rFonts w:hint="default" w:ascii="Times New Roman" w:hAnsi="Times New Roman" w:eastAsia="宋体" w:cs="Times New Roman"/>
                <w:bCs/>
                <w:color w:val="auto"/>
                <w:sz w:val="24"/>
                <w:highlight w:val="none"/>
                <w:lang w:val="en-US" w:eastAsia="zh-CN"/>
              </w:rPr>
              <w:t>相关环保</w:t>
            </w:r>
            <w:r>
              <w:rPr>
                <w:rFonts w:hint="eastAsia" w:cs="Times New Roman"/>
                <w:bCs/>
                <w:color w:val="auto"/>
                <w:sz w:val="24"/>
                <w:highlight w:val="none"/>
                <w:lang w:val="en-US" w:eastAsia="zh-CN"/>
              </w:rPr>
              <w:t>设施建设等</w:t>
            </w:r>
            <w:r>
              <w:rPr>
                <w:rFonts w:hint="default" w:ascii="Times New Roman" w:hAnsi="Times New Roman" w:eastAsia="宋体" w:cs="Times New Roman"/>
                <w:b w:val="0"/>
                <w:bCs w:val="0"/>
                <w:iCs/>
                <w:color w:val="auto"/>
                <w:sz w:val="24"/>
                <w:highlight w:val="none"/>
                <w:lang w:val="en-US" w:eastAsia="zh-CN"/>
              </w:rPr>
              <w:t>。</w:t>
            </w:r>
          </w:p>
          <w:p w14:paraId="3FF0BD7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highlight w:val="none"/>
                <w:lang w:val="zh-CN"/>
              </w:rPr>
            </w:pPr>
            <w:r>
              <w:rPr>
                <w:rFonts w:hint="default"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zh-CN"/>
              </w:rPr>
              <w:t>、施工组织安排</w:t>
            </w:r>
          </w:p>
          <w:p w14:paraId="0E9120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b w:val="0"/>
                <w:bCs w:val="0"/>
                <w:iCs/>
                <w:color w:val="auto"/>
                <w:sz w:val="24"/>
                <w:highlight w:val="none"/>
                <w:lang w:val="en-US" w:eastAsia="zh-CN"/>
              </w:rPr>
              <w:t>项目施工周期为4个月，</w:t>
            </w:r>
            <w:r>
              <w:rPr>
                <w:rFonts w:hint="default" w:ascii="Times New Roman" w:hAnsi="Times New Roman" w:eastAsia="宋体" w:cs="Times New Roman"/>
                <w:color w:val="auto"/>
                <w:sz w:val="24"/>
                <w:szCs w:val="24"/>
                <w:highlight w:val="none"/>
                <w:lang w:val="zh-CN"/>
              </w:rPr>
              <w:t>施工高峰期施工人员总量约为</w:t>
            </w:r>
            <w:r>
              <w:rPr>
                <w:rFonts w:hint="eastAsia"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val="zh-CN"/>
              </w:rPr>
              <w:t>人，施工场地内不设置施工生活营地，施工人员的餐饮住宿均依托周边配套服务设施。</w:t>
            </w:r>
          </w:p>
          <w:p w14:paraId="415A71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highlight w:val="none"/>
                <w:lang w:val="zh-CN"/>
              </w:rPr>
            </w:pP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val="zh-CN"/>
              </w:rPr>
              <w:t>、施工产污环节分析</w:t>
            </w:r>
          </w:p>
          <w:p w14:paraId="7C8901A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zh-CN" w:eastAsia="zh-CN"/>
              </w:rPr>
            </w:pPr>
            <w:r>
              <w:rPr>
                <w:rFonts w:hint="default" w:ascii="Times New Roman" w:hAnsi="Times New Roman" w:eastAsia="宋体" w:cs="Times New Roman"/>
                <w:color w:val="auto"/>
                <w:sz w:val="24"/>
                <w:szCs w:val="24"/>
                <w:highlight w:val="none"/>
                <w:lang w:val="zh-CN" w:eastAsia="zh-CN"/>
              </w:rPr>
              <w:t>项目</w:t>
            </w:r>
            <w:r>
              <w:rPr>
                <w:rFonts w:hint="eastAsia" w:cs="Times New Roman"/>
                <w:color w:val="auto"/>
                <w:sz w:val="24"/>
                <w:szCs w:val="24"/>
                <w:highlight w:val="none"/>
                <w:lang w:val="zh-CN" w:eastAsia="zh-CN"/>
              </w:rPr>
              <w:t>生产</w:t>
            </w:r>
            <w:r>
              <w:rPr>
                <w:rFonts w:hint="eastAsia" w:cs="Times New Roman"/>
                <w:color w:val="auto"/>
                <w:sz w:val="24"/>
                <w:szCs w:val="24"/>
                <w:highlight w:val="none"/>
                <w:lang w:val="en-US" w:eastAsia="zh-CN"/>
              </w:rPr>
              <w:t>厂房</w:t>
            </w:r>
            <w:r>
              <w:rPr>
                <w:rFonts w:hint="default" w:ascii="Times New Roman" w:hAnsi="Times New Roman" w:eastAsia="宋体" w:cs="Times New Roman"/>
                <w:color w:val="auto"/>
                <w:sz w:val="24"/>
                <w:szCs w:val="24"/>
                <w:highlight w:val="none"/>
                <w:lang w:val="zh-CN" w:eastAsia="zh-CN"/>
              </w:rPr>
              <w:t>施工期主要污染工序及产污情况见图</w:t>
            </w:r>
            <w:r>
              <w:rPr>
                <w:rFonts w:hint="default" w:ascii="Times New Roman" w:hAnsi="Times New Roman" w:eastAsia="宋体" w:cs="Times New Roman"/>
                <w:color w:val="auto"/>
                <w:sz w:val="24"/>
                <w:szCs w:val="24"/>
                <w:highlight w:val="none"/>
                <w:lang w:val="en-US" w:eastAsia="zh-CN"/>
              </w:rPr>
              <w:t>2-</w:t>
            </w: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zh-CN" w:eastAsia="zh-CN"/>
              </w:rPr>
              <w:t>。</w:t>
            </w:r>
          </w:p>
          <w:p w14:paraId="617EFF58">
            <w:pPr>
              <w:shd w:val="clear"/>
              <w:ind w:firstLine="0" w:firstLineChars="0"/>
              <w:jc w:val="center"/>
              <w:rPr>
                <w:rFonts w:hint="default" w:ascii="Times New Roman" w:hAnsi="Times New Roman" w:eastAsia="宋体" w:cs="Times New Roman"/>
                <w:color w:val="auto"/>
                <w:szCs w:val="24"/>
                <w:highlight w:val="none"/>
              </w:rPr>
            </w:pPr>
          </w:p>
          <w:p w14:paraId="2E479629">
            <w:pPr>
              <w:keepNext w:val="0"/>
              <w:keepLines w:val="0"/>
              <w:pageBreakBefore w:val="0"/>
              <w:widowControl w:val="0"/>
              <w:shd w:val="clear"/>
              <w:kinsoku/>
              <w:wordWrap/>
              <w:overflowPunct/>
              <w:topLinePunct w:val="0"/>
              <w:autoSpaceDE/>
              <w:autoSpaceDN/>
              <w:bidi w:val="0"/>
              <w:spacing w:line="360" w:lineRule="auto"/>
              <w:jc w:val="center"/>
              <w:textAlignment w:val="auto"/>
              <w:rPr>
                <w:rFonts w:hint="default" w:ascii="Times New Roman" w:hAnsi="Times New Roman" w:eastAsia="宋体" w:cs="Times New Roman"/>
                <w:b/>
                <w:bCs/>
                <w:color w:val="auto"/>
                <w:szCs w:val="24"/>
                <w:highlight w:val="none"/>
              </w:rPr>
            </w:pPr>
            <w:r>
              <w:rPr>
                <w:color w:val="auto"/>
              </w:rPr>
              <w:object>
                <v:shape id="_x0000_i1025" o:spt="75" type="#_x0000_t75" style="height:114pt;width:411.7pt;" o:ole="t" filled="f" o:preferrelative="t" stroked="f" coordsize="21600,21600">
                  <v:path/>
                  <v:fill on="f" focussize="0,0"/>
                  <v:stroke on="f"/>
                  <v:imagedata r:id="rId15" o:title=""/>
                  <o:lock v:ext="edit" aspectratio="t"/>
                  <w10:wrap type="none"/>
                  <w10:anchorlock/>
                </v:shape>
                <o:OLEObject Type="Embed" ProgID="Visio.Drawing.11" ShapeID="_x0000_i1025" DrawAspect="Content" ObjectID="_1468075727" r:id="rId14">
                  <o:LockedField>false</o:LockedField>
                </o:OLEObject>
              </w:object>
            </w:r>
          </w:p>
          <w:p w14:paraId="6BFC4C58">
            <w:pPr>
              <w:keepNext w:val="0"/>
              <w:keepLines w:val="0"/>
              <w:pageBreakBefore w:val="0"/>
              <w:widowControl w:val="0"/>
              <w:shd w:val="clear"/>
              <w:kinsoku/>
              <w:wordWrap/>
              <w:overflowPunct/>
              <w:topLinePunct w:val="0"/>
              <w:autoSpaceDE/>
              <w:autoSpaceDN/>
              <w:bidi w:val="0"/>
              <w:spacing w:line="360" w:lineRule="auto"/>
              <w:jc w:val="center"/>
              <w:textAlignment w:val="auto"/>
              <w:rPr>
                <w:rFonts w:hint="default" w:ascii="Times New Roman" w:hAnsi="Times New Roman" w:eastAsia="宋体" w:cs="Times New Roman"/>
                <w:b/>
                <w:bCs/>
                <w:color w:val="auto"/>
                <w:szCs w:val="24"/>
                <w:highlight w:val="none"/>
              </w:rPr>
            </w:pPr>
            <w:r>
              <w:rPr>
                <w:rFonts w:hint="default" w:ascii="Times New Roman" w:hAnsi="Times New Roman" w:eastAsia="宋体" w:cs="Times New Roman"/>
                <w:b/>
                <w:bCs/>
                <w:color w:val="auto"/>
                <w:szCs w:val="24"/>
                <w:highlight w:val="none"/>
              </w:rPr>
              <w:t>图</w:t>
            </w:r>
            <w:r>
              <w:rPr>
                <w:rFonts w:hint="default" w:ascii="Times New Roman" w:hAnsi="Times New Roman" w:eastAsia="宋体" w:cs="Times New Roman"/>
                <w:b/>
                <w:bCs/>
                <w:color w:val="auto"/>
                <w:szCs w:val="24"/>
                <w:highlight w:val="none"/>
                <w:lang w:val="en-US" w:eastAsia="zh-CN"/>
              </w:rPr>
              <w:t>2-</w:t>
            </w:r>
            <w:r>
              <w:rPr>
                <w:rFonts w:hint="eastAsia" w:cs="Times New Roman"/>
                <w:b/>
                <w:bCs/>
                <w:color w:val="auto"/>
                <w:szCs w:val="24"/>
                <w:highlight w:val="none"/>
                <w:lang w:val="en-US" w:eastAsia="zh-CN"/>
              </w:rPr>
              <w:t>3</w:t>
            </w:r>
            <w:r>
              <w:rPr>
                <w:rFonts w:hint="default" w:ascii="Times New Roman" w:hAnsi="Times New Roman" w:eastAsia="宋体" w:cs="Times New Roman"/>
                <w:b/>
                <w:bCs/>
                <w:color w:val="auto"/>
                <w:szCs w:val="24"/>
                <w:highlight w:val="none"/>
              </w:rPr>
              <w:t xml:space="preserve">  项目施工期工艺流程及产污节点图</w:t>
            </w:r>
          </w:p>
          <w:p w14:paraId="6F78258D">
            <w:pPr>
              <w:adjustRightInd w:val="0"/>
              <w:snapToGrid w:val="0"/>
              <w:spacing w:line="360" w:lineRule="auto"/>
              <w:ind w:firstLine="480" w:firstLineChars="200"/>
              <w:rPr>
                <w:color w:val="auto"/>
                <w:sz w:val="24"/>
              </w:rPr>
            </w:pPr>
            <w:r>
              <w:rPr>
                <w:color w:val="auto"/>
                <w:sz w:val="24"/>
              </w:rPr>
              <w:t>项目</w:t>
            </w:r>
            <w:r>
              <w:rPr>
                <w:rFonts w:hint="eastAsia"/>
                <w:color w:val="auto"/>
                <w:sz w:val="24"/>
                <w:lang w:eastAsia="zh-CN"/>
              </w:rPr>
              <w:t>生产</w:t>
            </w:r>
            <w:r>
              <w:rPr>
                <w:rFonts w:hint="eastAsia"/>
                <w:color w:val="auto"/>
                <w:sz w:val="24"/>
                <w:lang w:val="en-US" w:eastAsia="zh-CN"/>
              </w:rPr>
              <w:t>厂房</w:t>
            </w:r>
            <w:r>
              <w:rPr>
                <w:color w:val="auto"/>
                <w:sz w:val="24"/>
              </w:rPr>
              <w:t>施工期主要在</w:t>
            </w:r>
            <w:r>
              <w:rPr>
                <w:rFonts w:hint="default" w:ascii="Times New Roman" w:hAnsi="Times New Roman" w:eastAsia="宋体" w:cs="Times New Roman"/>
                <w:b w:val="0"/>
                <w:bCs w:val="0"/>
                <w:iCs/>
                <w:color w:val="auto"/>
                <w:sz w:val="24"/>
                <w:highlight w:val="none"/>
                <w:lang w:val="en-US" w:eastAsia="zh-CN"/>
              </w:rPr>
              <w:t>已建成标准厂房</w:t>
            </w:r>
            <w:r>
              <w:rPr>
                <w:color w:val="auto"/>
                <w:sz w:val="24"/>
              </w:rPr>
              <w:t>内进行</w:t>
            </w:r>
            <w:r>
              <w:rPr>
                <w:rFonts w:hint="eastAsia"/>
                <w:color w:val="auto"/>
                <w:sz w:val="24"/>
              </w:rPr>
              <w:t>装修改造、</w:t>
            </w:r>
            <w:r>
              <w:rPr>
                <w:color w:val="auto"/>
                <w:sz w:val="24"/>
              </w:rPr>
              <w:t>设备的安装及环保工程建设，主要产生的污染物为施工废水、扬尘、固废、噪声等，其排放量随工序和施工强度不同而变化，伴随着施工的结束而结束。</w:t>
            </w:r>
          </w:p>
          <w:p w14:paraId="7CD89297">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b/>
                <w:color w:val="auto"/>
                <w:sz w:val="24"/>
              </w:rPr>
            </w:pPr>
            <w:r>
              <w:rPr>
                <w:b/>
                <w:color w:val="auto"/>
                <w:sz w:val="24"/>
              </w:rPr>
              <w:t>二、运营期工艺流程和产排污节点</w:t>
            </w:r>
          </w:p>
          <w:p w14:paraId="512148AE">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b/>
                <w:bCs/>
                <w:iCs/>
                <w:color w:val="auto"/>
                <w:sz w:val="24"/>
              </w:rPr>
            </w:pPr>
            <w:r>
              <w:rPr>
                <w:b/>
                <w:bCs/>
                <w:iCs/>
                <w:color w:val="auto"/>
                <w:sz w:val="24"/>
              </w:rPr>
              <w:t>（一）运营期</w:t>
            </w:r>
            <w:r>
              <w:rPr>
                <w:b/>
                <w:bCs/>
                <w:color w:val="auto"/>
                <w:sz w:val="24"/>
              </w:rPr>
              <w:t>工艺流程</w:t>
            </w:r>
          </w:p>
          <w:p w14:paraId="67E60ED5">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eastAsia="宋体"/>
                <w:b/>
                <w:bCs/>
                <w:color w:val="auto"/>
                <w:sz w:val="24"/>
                <w:lang w:eastAsia="zh-CN" w:bidi="ar"/>
              </w:rPr>
            </w:pPr>
            <w:r>
              <w:rPr>
                <w:b/>
                <w:bCs/>
                <w:color w:val="auto"/>
                <w:sz w:val="24"/>
              </w:rPr>
              <w:t>1、</w:t>
            </w:r>
            <w:r>
              <w:rPr>
                <w:b/>
                <w:bCs/>
                <w:color w:val="auto"/>
                <w:sz w:val="24"/>
                <w:lang w:bidi="ar"/>
              </w:rPr>
              <w:t>生产工艺流程</w:t>
            </w:r>
            <w:r>
              <w:rPr>
                <w:rFonts w:hint="eastAsia"/>
                <w:b/>
                <w:bCs/>
                <w:color w:val="auto"/>
                <w:sz w:val="24"/>
                <w:lang w:eastAsia="zh-CN"/>
              </w:rPr>
              <w:tab/>
            </w:r>
          </w:p>
          <w:p w14:paraId="34341704">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r>
              <w:rPr>
                <w:rFonts w:hint="eastAsia"/>
                <w:color w:val="auto"/>
                <w:sz w:val="24"/>
              </w:rPr>
              <w:t>项目</w:t>
            </w:r>
            <w:r>
              <w:rPr>
                <w:rFonts w:hint="eastAsia" w:ascii="Times New Roman" w:hAnsi="Times New Roman" w:eastAsia="宋体" w:cs="Times New Roman"/>
                <w:color w:val="auto"/>
                <w:sz w:val="24"/>
                <w:szCs w:val="24"/>
                <w:highlight w:val="none"/>
                <w:lang w:val="en-US" w:eastAsia="zh-CN"/>
              </w:rPr>
              <w:t>各类塑料包装箱及容器</w:t>
            </w:r>
            <w:r>
              <w:rPr>
                <w:color w:val="auto"/>
                <w:sz w:val="24"/>
              </w:rPr>
              <w:t>生产工艺流程详见图2-</w:t>
            </w:r>
            <w:r>
              <w:rPr>
                <w:rFonts w:hint="eastAsia"/>
                <w:color w:val="auto"/>
                <w:sz w:val="24"/>
                <w:lang w:val="en-US" w:eastAsia="zh-CN"/>
              </w:rPr>
              <w:t>4</w:t>
            </w:r>
            <w:r>
              <w:rPr>
                <w:color w:val="auto"/>
                <w:sz w:val="24"/>
              </w:rPr>
              <w:t>所示。</w:t>
            </w:r>
          </w:p>
          <w:p w14:paraId="4F19C5DF">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5176865B">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7108EAB6">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5FA30C49">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4792423A">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693E8B32">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1C5FADF1">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5398A856">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48597592">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460E380B">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674DDB82">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7C308526">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03E806A2">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4552CA7C">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6BBFF110">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0A1DDEBD">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5824F107">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6C48B113">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1E54449D">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3B25D1B8">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39589987">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7B687BAA">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1EFF8856">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54762DA9">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color w:val="auto"/>
                <w:sz w:val="24"/>
              </w:rPr>
            </w:pPr>
          </w:p>
          <w:p w14:paraId="7B30362C">
            <w:pPr>
              <w:spacing w:line="360" w:lineRule="auto"/>
              <w:jc w:val="center"/>
              <w:rPr>
                <w:color w:val="auto"/>
                <w:sz w:val="24"/>
              </w:rPr>
            </w:pPr>
            <w:r>
              <w:rPr>
                <w:rFonts w:hint="default" w:ascii="Times New Roman" w:hAnsi="Times New Roman" w:eastAsia="宋体" w:cs="Times New Roman"/>
                <w:color w:val="auto"/>
                <w:kern w:val="2"/>
                <w:sz w:val="24"/>
                <w:szCs w:val="24"/>
                <w:highlight w:val="none"/>
                <w:lang w:val="en-US" w:eastAsia="zh-CN" w:bidi="ar"/>
              </w:rPr>
              <w:pict>
                <v:shape id="_x0000_s1035" o:spid="_x0000_s1035" o:spt="75" type="#_x0000_t75" style="position:absolute;left:0pt;margin-left:-5.4pt;margin-top:-238.35pt;height:414.25pt;width:446.5pt;mso-wrap-distance-bottom:0pt;mso-wrap-distance-left:9pt;mso-wrap-distance-right:9pt;mso-wrap-distance-top:0pt;z-index:251660288;mso-width-relative:page;mso-height-relative:page;" o:ole="t" filled="f" o:preferrelative="t" stroked="f" coordsize="21600,21600">
                  <v:path/>
                  <v:fill on="f" focussize="0,0"/>
                  <v:stroke on="f"/>
                  <v:imagedata r:id="rId17" croptop="5269f" cropbottom="14263f" o:title=""/>
                  <o:lock v:ext="edit" aspectratio="f"/>
                  <w10:wrap type="square"/>
                </v:shape>
                <o:OLEObject Type="Embed" ProgID="Visio.Drawing.11" ShapeID="_x0000_s1035" DrawAspect="Content" ObjectID="_1468075728" r:id="rId16">
                  <o:LockedField>false</o:LockedField>
                </o:OLEObject>
              </w:pict>
            </w:r>
            <w:r>
              <w:rPr>
                <w:b/>
                <w:bCs/>
                <w:color w:val="auto"/>
                <w:szCs w:val="21"/>
              </w:rPr>
              <w:t>图2-</w:t>
            </w:r>
            <w:r>
              <w:rPr>
                <w:rFonts w:hint="eastAsia"/>
                <w:b/>
                <w:bCs/>
                <w:color w:val="auto"/>
                <w:szCs w:val="21"/>
                <w:lang w:val="en-US" w:eastAsia="zh-CN"/>
              </w:rPr>
              <w:t>4</w:t>
            </w:r>
            <w:r>
              <w:rPr>
                <w:b/>
                <w:bCs/>
                <w:color w:val="auto"/>
                <w:szCs w:val="21"/>
              </w:rPr>
              <w:t xml:space="preserve"> </w:t>
            </w:r>
            <w:r>
              <w:rPr>
                <w:b/>
                <w:color w:val="auto"/>
                <w:szCs w:val="21"/>
              </w:rPr>
              <w:t xml:space="preserve"> </w:t>
            </w:r>
            <w:r>
              <w:rPr>
                <w:rFonts w:hint="eastAsia"/>
                <w:b/>
                <w:color w:val="auto"/>
                <w:szCs w:val="21"/>
                <w:lang w:eastAsia="zh-CN"/>
              </w:rPr>
              <w:t>项</w:t>
            </w:r>
            <w:r>
              <w:rPr>
                <w:rFonts w:hint="eastAsia" w:ascii="Times New Roman" w:hAnsi="Times New Roman" w:eastAsia="宋体" w:cs="Times New Roman"/>
                <w:b/>
                <w:color w:val="auto"/>
                <w:szCs w:val="21"/>
                <w:lang w:eastAsia="zh-CN"/>
              </w:rPr>
              <w:t>目</w:t>
            </w:r>
            <w:r>
              <w:rPr>
                <w:rFonts w:hint="eastAsia" w:ascii="Times New Roman" w:hAnsi="Times New Roman" w:eastAsia="宋体" w:cs="Times New Roman"/>
                <w:b/>
                <w:color w:val="auto"/>
                <w:szCs w:val="21"/>
                <w:lang w:val="en-US" w:eastAsia="zh-CN"/>
              </w:rPr>
              <w:t>各类塑料包装箱及容器</w:t>
            </w:r>
            <w:r>
              <w:rPr>
                <w:rFonts w:ascii="Times New Roman" w:hAnsi="Times New Roman" w:eastAsia="宋体" w:cs="Times New Roman"/>
                <w:b/>
                <w:color w:val="auto"/>
                <w:szCs w:val="21"/>
              </w:rPr>
              <w:t>生产工艺流程及产污节点示意图</w:t>
            </w:r>
          </w:p>
          <w:p w14:paraId="4141D6E0">
            <w:pPr>
              <w:adjustRightInd w:val="0"/>
              <w:snapToGrid w:val="0"/>
              <w:spacing w:line="360" w:lineRule="auto"/>
              <w:ind w:firstLine="482" w:firstLineChars="200"/>
              <w:rPr>
                <w:b/>
                <w:color w:val="auto"/>
                <w:sz w:val="24"/>
              </w:rPr>
            </w:pPr>
            <w:r>
              <w:rPr>
                <w:b/>
                <w:color w:val="auto"/>
                <w:sz w:val="24"/>
              </w:rPr>
              <w:t>工艺流程简述：</w:t>
            </w:r>
          </w:p>
          <w:bookmarkEnd w:id="17"/>
          <w:p w14:paraId="32B5CC2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b/>
                <w:bCs/>
                <w:color w:val="auto"/>
                <w:sz w:val="24"/>
                <w:szCs w:val="24"/>
                <w:highlight w:val="none"/>
                <w:lang w:val="zh-CN" w:eastAsia="zh-CN"/>
              </w:rPr>
            </w:pPr>
            <w:r>
              <w:rPr>
                <w:rFonts w:hint="default" w:ascii="Times New Roman" w:hAnsi="Times New Roman" w:eastAsia="宋体" w:cs="Times New Roman"/>
                <w:color w:val="auto"/>
                <w:sz w:val="24"/>
              </w:rPr>
              <w:t>项目生产主体设备注塑成型机为一体化生产设备，是将热塑性塑料或热固性塑料利用塑料成型模具制成各种形状塑料制品的主要成型设备，注塑</w:t>
            </w:r>
            <w:r>
              <w:rPr>
                <w:rFonts w:hint="default" w:ascii="Times New Roman" w:hAnsi="Times New Roman" w:eastAsia="宋体" w:cs="Times New Roman"/>
                <w:color w:val="auto"/>
                <w:sz w:val="24"/>
                <w:lang w:val="zh-CN"/>
              </w:rPr>
              <w:t>过程采用电加热使塑料粒子呈熔融状态，然后借助螺杆的推力，将已塑化好的熔融状态（即粘流态）的</w:t>
            </w:r>
            <w:r>
              <w:rPr>
                <w:rFonts w:hint="default" w:ascii="Times New Roman" w:hAnsi="Times New Roman" w:eastAsia="宋体" w:cs="Times New Roman"/>
                <w:color w:val="auto"/>
                <w:sz w:val="24"/>
                <w:lang w:val="en-US" w:eastAsia="zh-CN"/>
              </w:rPr>
              <w:t>塑料</w:t>
            </w:r>
            <w:r>
              <w:rPr>
                <w:rFonts w:hint="default" w:ascii="Times New Roman" w:hAnsi="Times New Roman" w:eastAsia="宋体" w:cs="Times New Roman"/>
                <w:color w:val="auto"/>
                <w:sz w:val="24"/>
                <w:lang w:val="zh-CN"/>
              </w:rPr>
              <w:t>注射入闭合好的模腔内，</w:t>
            </w:r>
            <w:r>
              <w:rPr>
                <w:rFonts w:hint="default" w:ascii="Times New Roman" w:hAnsi="Times New Roman" w:eastAsia="宋体" w:cs="Times New Roman"/>
                <w:bCs/>
                <w:color w:val="auto"/>
                <w:sz w:val="24"/>
              </w:rPr>
              <w:t>注塑成型的产品经过冷却后脱模，然后进行修整及检验，即为成品</w:t>
            </w:r>
            <w:r>
              <w:rPr>
                <w:rFonts w:hint="eastAsia" w:cs="Times New Roman"/>
                <w:bCs/>
                <w:color w:val="auto"/>
                <w:sz w:val="24"/>
                <w:lang w:eastAsia="zh-CN"/>
              </w:rPr>
              <w:t>；</w:t>
            </w:r>
            <w:r>
              <w:rPr>
                <w:rFonts w:hint="eastAsia" w:cs="Times New Roman"/>
                <w:bCs/>
                <w:color w:val="auto"/>
                <w:sz w:val="24"/>
                <w:lang w:val="en-US" w:eastAsia="zh-CN"/>
              </w:rPr>
              <w:t>本项目不同产品类型通过更换模具实现生产，生产设施均相同</w:t>
            </w:r>
            <w:r>
              <w:rPr>
                <w:rFonts w:hint="default" w:ascii="Times New Roman" w:hAnsi="Times New Roman" w:eastAsia="宋体" w:cs="Times New Roman"/>
                <w:bCs/>
                <w:color w:val="auto"/>
                <w:sz w:val="24"/>
              </w:rPr>
              <w:t>。</w:t>
            </w:r>
          </w:p>
          <w:p w14:paraId="6EDA4C8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jc w:val="both"/>
              <w:textAlignment w:val="auto"/>
              <w:outlineLvl w:val="9"/>
              <w:rPr>
                <w:rFonts w:hint="default" w:ascii="Times New Roman" w:hAnsi="Times New Roman" w:eastAsia="宋体" w:cs="Times New Roman"/>
                <w:b/>
                <w:bCs/>
                <w:color w:val="auto"/>
                <w:sz w:val="24"/>
                <w:szCs w:val="24"/>
                <w:highlight w:val="none"/>
                <w:lang w:val="zh-CN" w:eastAsia="zh-CN"/>
              </w:rPr>
            </w:pPr>
            <w:r>
              <w:rPr>
                <w:rFonts w:hint="default" w:ascii="Times New Roman" w:hAnsi="Times New Roman" w:eastAsia="宋体" w:cs="Times New Roman"/>
                <w:b/>
                <w:bCs/>
                <w:color w:val="auto"/>
                <w:sz w:val="24"/>
                <w:szCs w:val="24"/>
                <w:highlight w:val="none"/>
                <w:lang w:val="en-US" w:eastAsia="zh-CN"/>
              </w:rPr>
              <w:t>①</w:t>
            </w:r>
            <w:r>
              <w:rPr>
                <w:rFonts w:hint="default" w:ascii="Times New Roman" w:hAnsi="Times New Roman" w:eastAsia="宋体" w:cs="Times New Roman"/>
                <w:b/>
                <w:bCs/>
                <w:color w:val="auto"/>
                <w:sz w:val="24"/>
                <w:szCs w:val="24"/>
                <w:highlight w:val="none"/>
                <w:lang w:val="zh-CN" w:eastAsia="zh-CN"/>
              </w:rPr>
              <w:t>原料贮存、开包、计量</w:t>
            </w:r>
          </w:p>
          <w:p w14:paraId="2D658AB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zh-CN" w:eastAsia="zh-CN"/>
              </w:rPr>
            </w:pPr>
            <w:r>
              <w:rPr>
                <w:rFonts w:hint="default" w:ascii="Times New Roman" w:hAnsi="Times New Roman" w:eastAsia="宋体" w:cs="Times New Roman"/>
                <w:color w:val="auto"/>
                <w:sz w:val="24"/>
                <w:szCs w:val="24"/>
                <w:highlight w:val="none"/>
                <w:lang w:val="zh-CN" w:eastAsia="zh-CN"/>
              </w:rPr>
              <w:t>进厂的原料为袋装的</w:t>
            </w:r>
            <w:r>
              <w:rPr>
                <w:rFonts w:hint="default" w:ascii="Times New Roman" w:hAnsi="Times New Roman" w:eastAsia="宋体" w:cs="Times New Roman"/>
                <w:color w:val="auto"/>
                <w:sz w:val="24"/>
                <w:szCs w:val="24"/>
                <w:highlight w:val="none"/>
                <w:lang w:val="en-US" w:eastAsia="zh-CN"/>
              </w:rPr>
              <w:t>成品</w:t>
            </w:r>
            <w:r>
              <w:rPr>
                <w:rFonts w:hint="default" w:ascii="Times New Roman" w:hAnsi="Times New Roman" w:eastAsia="宋体" w:cs="Times New Roman"/>
                <w:color w:val="auto"/>
                <w:sz w:val="24"/>
                <w:szCs w:val="24"/>
                <w:highlight w:val="none"/>
                <w:lang w:val="zh-CN" w:eastAsia="zh-CN"/>
              </w:rPr>
              <w:t>粒料（</w:t>
            </w:r>
            <w:r>
              <w:rPr>
                <w:rFonts w:hint="default" w:ascii="Times New Roman" w:hAnsi="Times New Roman" w:eastAsia="宋体" w:cs="Times New Roman"/>
                <w:color w:val="auto"/>
                <w:sz w:val="24"/>
                <w:szCs w:val="24"/>
                <w:highlight w:val="none"/>
                <w:lang w:val="en-US" w:eastAsia="zh-CN"/>
              </w:rPr>
              <w:t>25kg</w:t>
            </w:r>
            <w:r>
              <w:rPr>
                <w:rFonts w:hint="default" w:ascii="Times New Roman" w:hAnsi="Times New Roman" w:eastAsia="宋体" w:cs="Times New Roman"/>
                <w:color w:val="auto"/>
                <w:sz w:val="24"/>
                <w:szCs w:val="24"/>
                <w:highlight w:val="none"/>
                <w:lang w:val="zh-CN" w:eastAsia="zh-CN"/>
              </w:rPr>
              <w:t>/袋）。用叉车将原料仓库内的原料搬运到生产车间</w:t>
            </w:r>
            <w:r>
              <w:rPr>
                <w:rFonts w:hint="eastAsia" w:ascii="Times New Roman" w:hAnsi="Times New Roman" w:eastAsia="宋体" w:cs="Times New Roman"/>
                <w:color w:val="auto"/>
                <w:sz w:val="24"/>
                <w:szCs w:val="24"/>
                <w:highlight w:val="none"/>
                <w:lang w:val="zh-CN" w:eastAsia="zh-CN"/>
              </w:rPr>
              <w:t>原料存放区</w:t>
            </w:r>
            <w:r>
              <w:rPr>
                <w:rFonts w:hint="default" w:ascii="Times New Roman" w:hAnsi="Times New Roman" w:eastAsia="宋体" w:cs="Times New Roman"/>
                <w:color w:val="auto"/>
                <w:sz w:val="24"/>
                <w:szCs w:val="24"/>
                <w:highlight w:val="none"/>
                <w:lang w:val="zh-CN" w:eastAsia="zh-CN"/>
              </w:rPr>
              <w:t>，人工开包拆除原料的包装的封口线，合格的原辅材料聚</w:t>
            </w:r>
            <w:r>
              <w:rPr>
                <w:rFonts w:hint="default" w:ascii="Times New Roman" w:hAnsi="Times New Roman" w:eastAsia="宋体" w:cs="Times New Roman"/>
                <w:color w:val="auto"/>
                <w:sz w:val="24"/>
                <w:szCs w:val="24"/>
                <w:highlight w:val="none"/>
                <w:lang w:val="en-US" w:eastAsia="zh-CN"/>
              </w:rPr>
              <w:t>丙</w:t>
            </w:r>
            <w:r>
              <w:rPr>
                <w:rFonts w:hint="default" w:ascii="Times New Roman" w:hAnsi="Times New Roman" w:eastAsia="宋体" w:cs="Times New Roman"/>
                <w:color w:val="auto"/>
                <w:sz w:val="24"/>
                <w:szCs w:val="24"/>
                <w:highlight w:val="none"/>
                <w:lang w:val="zh-CN" w:eastAsia="zh-CN"/>
              </w:rPr>
              <w:t>烯</w:t>
            </w:r>
            <w:r>
              <w:rPr>
                <w:rFonts w:hint="default" w:ascii="Times New Roman" w:hAnsi="Times New Roman" w:eastAsia="宋体" w:cs="Times New Roman"/>
                <w:color w:val="auto"/>
                <w:sz w:val="24"/>
                <w:szCs w:val="24"/>
                <w:highlight w:val="none"/>
                <w:lang w:val="en-US" w:eastAsia="zh-CN"/>
              </w:rPr>
              <w:t>新料、</w:t>
            </w:r>
            <w:r>
              <w:rPr>
                <w:rFonts w:hint="eastAsia" w:ascii="Times New Roman" w:hAnsi="Times New Roman" w:eastAsia="宋体" w:cs="Times New Roman"/>
                <w:color w:val="auto"/>
                <w:sz w:val="24"/>
                <w:szCs w:val="24"/>
                <w:highlight w:val="none"/>
                <w:lang w:val="en-US" w:eastAsia="zh-CN"/>
              </w:rPr>
              <w:t>聚乙烯新</w:t>
            </w:r>
            <w:r>
              <w:rPr>
                <w:rFonts w:hint="default" w:ascii="Times New Roman" w:hAnsi="Times New Roman" w:eastAsia="宋体" w:cs="Times New Roman"/>
                <w:color w:val="auto"/>
                <w:sz w:val="24"/>
                <w:szCs w:val="24"/>
                <w:highlight w:val="none"/>
                <w:lang w:val="en-US" w:eastAsia="zh-CN"/>
              </w:rPr>
              <w:t>料、色母粒</w:t>
            </w:r>
            <w:r>
              <w:rPr>
                <w:rFonts w:hint="default" w:ascii="Times New Roman" w:hAnsi="Times New Roman" w:eastAsia="宋体" w:cs="Times New Roman"/>
                <w:color w:val="auto"/>
                <w:sz w:val="24"/>
                <w:szCs w:val="24"/>
                <w:highlight w:val="none"/>
                <w:lang w:val="zh-CN" w:eastAsia="zh-CN"/>
              </w:rPr>
              <w:t>按工艺要求</w:t>
            </w:r>
            <w:r>
              <w:rPr>
                <w:rFonts w:hint="eastAsia" w:cs="Times New Roman"/>
                <w:color w:val="auto"/>
                <w:sz w:val="24"/>
                <w:szCs w:val="24"/>
                <w:highlight w:val="none"/>
                <w:lang w:val="zh-CN" w:eastAsia="zh-CN"/>
              </w:rPr>
              <w:t>投入</w:t>
            </w:r>
            <w:r>
              <w:rPr>
                <w:rFonts w:hint="eastAsia" w:cs="Times New Roman"/>
                <w:color w:val="auto"/>
                <w:sz w:val="24"/>
                <w:szCs w:val="24"/>
                <w:highlight w:val="none"/>
                <w:lang w:val="en-US" w:eastAsia="zh-CN"/>
              </w:rPr>
              <w:t>注塑机</w:t>
            </w:r>
            <w:r>
              <w:rPr>
                <w:rFonts w:hint="default" w:ascii="Times New Roman" w:hAnsi="Times New Roman" w:eastAsia="宋体" w:cs="Times New Roman"/>
                <w:color w:val="auto"/>
                <w:sz w:val="24"/>
                <w:szCs w:val="24"/>
                <w:highlight w:val="none"/>
                <w:lang w:val="zh-CN" w:eastAsia="zh-CN"/>
              </w:rPr>
              <w:t>料仓内。</w:t>
            </w:r>
          </w:p>
          <w:p w14:paraId="4765559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zh-CN" w:eastAsia="zh-CN"/>
              </w:rPr>
            </w:pPr>
            <w:r>
              <w:rPr>
                <w:rFonts w:hint="default" w:ascii="Times New Roman" w:hAnsi="Times New Roman" w:eastAsia="宋体" w:cs="Times New Roman"/>
                <w:color w:val="auto"/>
                <w:sz w:val="24"/>
                <w:szCs w:val="24"/>
                <w:lang w:eastAsia="zh-CN"/>
              </w:rPr>
              <w:t>此过程拆除原料时会产生废包装材料</w:t>
            </w:r>
            <w:r>
              <w:rPr>
                <w:rFonts w:hint="default" w:ascii="Times New Roman" w:hAnsi="Times New Roman" w:eastAsia="宋体" w:cs="Times New Roman"/>
                <w:color w:val="auto"/>
                <w:sz w:val="24"/>
                <w:szCs w:val="24"/>
                <w:lang w:val="en-US" w:eastAsia="zh-CN"/>
              </w:rPr>
              <w:t>S</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w:t>
            </w:r>
          </w:p>
          <w:p w14:paraId="0A3F5B9F">
            <w:pPr>
              <w:pStyle w:val="88"/>
              <w:keepNext w:val="0"/>
              <w:keepLines w:val="0"/>
              <w:pageBreakBefore w:val="0"/>
              <w:widowControl w:val="0"/>
              <w:numPr>
                <w:ilvl w:val="0"/>
                <w:numId w:val="0"/>
              </w:numPr>
              <w:kinsoku/>
              <w:wordWrap/>
              <w:overflowPunct/>
              <w:topLinePunct w:val="0"/>
              <w:autoSpaceDE/>
              <w:autoSpaceDN/>
              <w:bidi w:val="0"/>
              <w:adjustRightInd w:val="0"/>
              <w:snapToGrid w:val="0"/>
              <w:ind w:leftChars="0" w:firstLine="482" w:firstLineChars="200"/>
              <w:textAlignment w:val="auto"/>
              <w:rPr>
                <w:rFonts w:hint="default" w:ascii="Times New Roman" w:hAnsi="Times New Roman" w:eastAsia="宋体" w:cs="Times New Roman"/>
                <w:b/>
                <w:color w:val="auto"/>
                <w:szCs w:val="24"/>
              </w:rPr>
            </w:pPr>
            <w:r>
              <w:rPr>
                <w:rFonts w:hint="default" w:ascii="Times New Roman" w:hAnsi="Times New Roman" w:eastAsia="宋体" w:cs="Times New Roman"/>
                <w:b/>
                <w:color w:val="auto"/>
                <w:szCs w:val="24"/>
                <w:lang w:val="en-US" w:eastAsia="zh-CN"/>
              </w:rPr>
              <w:t>②</w:t>
            </w:r>
            <w:r>
              <w:rPr>
                <w:rFonts w:hint="eastAsia" w:ascii="Times New Roman" w:hAnsi="Times New Roman" w:eastAsia="宋体" w:cs="Times New Roman"/>
                <w:b/>
                <w:color w:val="auto"/>
                <w:szCs w:val="24"/>
                <w:lang w:val="en-US" w:eastAsia="zh-CN"/>
              </w:rPr>
              <w:t>人工投料</w:t>
            </w:r>
          </w:p>
          <w:p w14:paraId="466D4433">
            <w:pPr>
              <w:pStyle w:val="88"/>
              <w:keepNext w:val="0"/>
              <w:keepLines w:val="0"/>
              <w:pageBreakBefore w:val="0"/>
              <w:widowControl w:val="0"/>
              <w:numPr>
                <w:ilvl w:val="0"/>
                <w:numId w:val="0"/>
              </w:numPr>
              <w:kinsoku/>
              <w:wordWrap/>
              <w:overflowPunct/>
              <w:topLinePunct w:val="0"/>
              <w:autoSpaceDE/>
              <w:autoSpaceDN/>
              <w:bidi w:val="0"/>
              <w:adjustRightInd w:val="0"/>
              <w:snapToGrid w:val="0"/>
              <w:ind w:leftChars="0" w:firstLine="480" w:firstLineChars="200"/>
              <w:textAlignment w:val="auto"/>
              <w:rPr>
                <w:rFonts w:hint="eastAsia" w:ascii="Times New Roman" w:hAnsi="Times New Roman" w:eastAsia="宋体" w:cs="Times New Roman"/>
                <w:color w:val="auto"/>
                <w:szCs w:val="24"/>
                <w:highlight w:val="none"/>
                <w:lang w:val="en-US" w:eastAsia="zh-CN"/>
              </w:rPr>
            </w:pPr>
            <w:r>
              <w:rPr>
                <w:rFonts w:hint="eastAsia" w:cs="Times New Roman"/>
                <w:bCs/>
                <w:color w:val="auto"/>
                <w:szCs w:val="24"/>
                <w:lang w:val="en-US" w:eastAsia="zh-CN"/>
              </w:rPr>
              <w:t>将</w:t>
            </w:r>
            <w:r>
              <w:rPr>
                <w:rFonts w:hint="eastAsia" w:ascii="Times New Roman" w:hAnsi="Times New Roman" w:eastAsia="宋体" w:cs="Times New Roman"/>
                <w:bCs/>
                <w:color w:val="auto"/>
                <w:szCs w:val="24"/>
                <w:lang w:eastAsia="zh-CN"/>
              </w:rPr>
              <w:t>按照一定比例</w:t>
            </w:r>
            <w:r>
              <w:rPr>
                <w:rFonts w:hint="default" w:ascii="Times New Roman" w:hAnsi="Times New Roman" w:eastAsia="宋体" w:cs="Times New Roman"/>
                <w:bCs/>
                <w:color w:val="auto"/>
                <w:szCs w:val="24"/>
              </w:rPr>
              <w:t>的原辅料由</w:t>
            </w:r>
            <w:r>
              <w:rPr>
                <w:rFonts w:hint="eastAsia" w:ascii="Times New Roman" w:hAnsi="Times New Roman" w:eastAsia="宋体" w:cs="Times New Roman"/>
                <w:color w:val="auto"/>
                <w:szCs w:val="24"/>
                <w:lang w:eastAsia="zh-CN"/>
              </w:rPr>
              <w:t>人工</w:t>
            </w:r>
            <w:r>
              <w:rPr>
                <w:rFonts w:hint="default" w:ascii="Times New Roman" w:hAnsi="Times New Roman" w:eastAsia="宋体" w:cs="Times New Roman"/>
                <w:color w:val="auto"/>
                <w:szCs w:val="24"/>
              </w:rPr>
              <w:t>向注塑成型机生产线料仓</w:t>
            </w:r>
            <w:r>
              <w:rPr>
                <w:rFonts w:hint="eastAsia" w:ascii="Times New Roman" w:hAnsi="Times New Roman" w:eastAsia="宋体" w:cs="Times New Roman"/>
                <w:color w:val="auto"/>
                <w:szCs w:val="24"/>
                <w:lang w:eastAsia="zh-CN"/>
              </w:rPr>
              <w:t>投料</w:t>
            </w:r>
            <w:r>
              <w:rPr>
                <w:rFonts w:hint="eastAsia" w:cs="Times New Roman"/>
                <w:color w:val="auto"/>
                <w:szCs w:val="24"/>
                <w:lang w:eastAsia="zh-CN"/>
              </w:rPr>
              <w:t>，</w:t>
            </w:r>
            <w:r>
              <w:rPr>
                <w:rFonts w:hint="eastAsia" w:cs="Times New Roman"/>
                <w:color w:val="auto"/>
                <w:szCs w:val="24"/>
                <w:lang w:val="en-US" w:eastAsia="zh-CN"/>
              </w:rPr>
              <w:t>项目</w:t>
            </w:r>
            <w:r>
              <w:rPr>
                <w:rFonts w:hint="default" w:ascii="Times New Roman" w:hAnsi="Times New Roman" w:eastAsia="宋体" w:cs="Times New Roman"/>
                <w:color w:val="auto"/>
                <w:szCs w:val="24"/>
                <w:highlight w:val="none"/>
                <w:lang w:val="en-US" w:eastAsia="zh-CN"/>
              </w:rPr>
              <w:t>PP</w:t>
            </w:r>
            <w:r>
              <w:rPr>
                <w:rFonts w:hint="eastAsia" w:ascii="Times New Roman" w:hAnsi="Times New Roman" w:eastAsia="宋体" w:cs="Times New Roman"/>
                <w:color w:val="auto"/>
                <w:szCs w:val="24"/>
                <w:highlight w:val="none"/>
                <w:lang w:val="en-US" w:eastAsia="zh-CN"/>
              </w:rPr>
              <w:t>新料塑料颗粒、PE新料塑料颗粒、色母料均</w:t>
            </w:r>
            <w:r>
              <w:rPr>
                <w:rFonts w:hint="default" w:ascii="Times New Roman" w:hAnsi="Times New Roman" w:eastAsia="宋体" w:cs="Times New Roman"/>
                <w:color w:val="auto"/>
                <w:szCs w:val="24"/>
                <w:highlight w:val="none"/>
              </w:rPr>
              <w:t>为颗粒状</w:t>
            </w:r>
            <w:r>
              <w:rPr>
                <w:rFonts w:hint="eastAsia" w:ascii="Times New Roman" w:hAnsi="Times New Roman" w:eastAsia="宋体" w:cs="Times New Roman"/>
                <w:color w:val="auto"/>
                <w:szCs w:val="24"/>
                <w:highlight w:val="none"/>
                <w:lang w:eastAsia="zh-CN"/>
              </w:rPr>
              <w:t>，</w:t>
            </w:r>
            <w:r>
              <w:rPr>
                <w:rFonts w:hint="default" w:ascii="Times New Roman" w:hAnsi="Times New Roman" w:eastAsia="宋体" w:cs="Times New Roman"/>
                <w:color w:val="auto"/>
                <w:szCs w:val="24"/>
                <w:highlight w:val="none"/>
              </w:rPr>
              <w:t>粒径约为</w:t>
            </w:r>
            <w:r>
              <w:rPr>
                <w:rFonts w:hint="eastAsia" w:ascii="Times New Roman" w:hAnsi="Times New Roman" w:eastAsia="宋体" w:cs="Times New Roman"/>
                <w:color w:val="auto"/>
                <w:szCs w:val="24"/>
                <w:highlight w:val="none"/>
                <w:lang w:val="en-US" w:eastAsia="zh-CN"/>
              </w:rPr>
              <w:t>2-5</w:t>
            </w:r>
            <w:r>
              <w:rPr>
                <w:rFonts w:hint="default" w:ascii="Times New Roman" w:hAnsi="Times New Roman" w:eastAsia="宋体" w:cs="Times New Roman"/>
                <w:color w:val="auto"/>
                <w:szCs w:val="24"/>
                <w:highlight w:val="none"/>
              </w:rPr>
              <w:t>mm</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lang w:val="en-US" w:eastAsia="zh-CN"/>
              </w:rPr>
              <w:t>因此</w:t>
            </w:r>
            <w:r>
              <w:rPr>
                <w:rFonts w:hint="eastAsia" w:cs="Times New Roman"/>
                <w:color w:val="auto"/>
                <w:szCs w:val="24"/>
                <w:highlight w:val="none"/>
                <w:lang w:val="en-US" w:eastAsia="zh-CN"/>
              </w:rPr>
              <w:t>仅</w:t>
            </w:r>
            <w:r>
              <w:rPr>
                <w:rFonts w:hint="eastAsia" w:ascii="Times New Roman" w:hAnsi="Times New Roman" w:eastAsia="宋体" w:cs="Times New Roman"/>
                <w:color w:val="auto"/>
                <w:szCs w:val="24"/>
                <w:highlight w:val="none"/>
                <w:lang w:val="en-US" w:eastAsia="zh-CN"/>
              </w:rPr>
              <w:t>考虑</w:t>
            </w:r>
            <w:r>
              <w:rPr>
                <w:rFonts w:hint="eastAsia" w:cs="Times New Roman"/>
                <w:color w:val="auto"/>
                <w:szCs w:val="24"/>
                <w:highlight w:val="none"/>
                <w:lang w:val="en-US" w:eastAsia="zh-CN"/>
              </w:rPr>
              <w:t>颗粒料表面浮尘产生的</w:t>
            </w:r>
            <w:r>
              <w:rPr>
                <w:rFonts w:hint="eastAsia" w:ascii="Times New Roman" w:hAnsi="Times New Roman" w:eastAsia="宋体" w:cs="Times New Roman"/>
                <w:color w:val="auto"/>
                <w:szCs w:val="24"/>
                <w:highlight w:val="none"/>
                <w:lang w:val="en-US" w:eastAsia="zh-CN"/>
              </w:rPr>
              <w:t>投料粉尘。</w:t>
            </w:r>
          </w:p>
          <w:p w14:paraId="1724CF0F">
            <w:pPr>
              <w:pStyle w:val="88"/>
              <w:keepNext w:val="0"/>
              <w:keepLines w:val="0"/>
              <w:pageBreakBefore w:val="0"/>
              <w:widowControl w:val="0"/>
              <w:numPr>
                <w:ilvl w:val="0"/>
                <w:numId w:val="0"/>
              </w:numPr>
              <w:kinsoku/>
              <w:wordWrap/>
              <w:overflowPunct/>
              <w:topLinePunct w:val="0"/>
              <w:autoSpaceDE/>
              <w:autoSpaceDN/>
              <w:bidi w:val="0"/>
              <w:adjustRightInd w:val="0"/>
              <w:snapToGrid w:val="0"/>
              <w:ind w:leftChars="0" w:firstLine="480" w:firstLineChars="200"/>
              <w:textAlignment w:val="auto"/>
              <w:rPr>
                <w:rFonts w:hint="default" w:ascii="Times New Roman" w:hAnsi="Times New Roman" w:eastAsia="宋体" w:cs="Times New Roman"/>
                <w:color w:val="auto"/>
                <w:szCs w:val="24"/>
                <w:highlight w:val="none"/>
                <w:lang w:val="en-US" w:eastAsia="zh-CN"/>
              </w:rPr>
            </w:pPr>
            <w:r>
              <w:rPr>
                <w:rFonts w:hint="default" w:ascii="Times New Roman" w:hAnsi="Times New Roman" w:eastAsia="宋体" w:cs="Times New Roman"/>
                <w:color w:val="auto"/>
                <w:sz w:val="24"/>
                <w:szCs w:val="24"/>
                <w:lang w:eastAsia="zh-CN"/>
              </w:rPr>
              <w:t>此过程会产生</w:t>
            </w:r>
            <w:r>
              <w:rPr>
                <w:rFonts w:hint="eastAsia" w:cs="Times New Roman"/>
                <w:color w:val="auto"/>
                <w:sz w:val="24"/>
                <w:szCs w:val="24"/>
                <w:lang w:eastAsia="zh-CN"/>
              </w:rPr>
              <w:t>投料废气</w:t>
            </w:r>
            <w:r>
              <w:rPr>
                <w:rFonts w:hint="eastAsia" w:cs="Times New Roman"/>
                <w:color w:val="auto"/>
                <w:sz w:val="24"/>
                <w:szCs w:val="24"/>
                <w:lang w:val="en-US" w:eastAsia="zh-CN"/>
              </w:rPr>
              <w:t>G1。</w:t>
            </w:r>
          </w:p>
          <w:p w14:paraId="357EFBA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jc w:val="both"/>
              <w:textAlignment w:val="auto"/>
              <w:outlineLvl w:val="9"/>
              <w:rPr>
                <w:rFonts w:hint="default" w:ascii="Times New Roman" w:hAnsi="Times New Roman" w:eastAsia="宋体" w:cs="Times New Roman"/>
                <w:b/>
                <w:bCs/>
                <w:color w:val="auto"/>
                <w:sz w:val="24"/>
                <w:szCs w:val="24"/>
                <w:highlight w:val="none"/>
                <w:lang w:val="zh-CN" w:eastAsia="zh-CN"/>
              </w:rPr>
            </w:pPr>
            <w:r>
              <w:rPr>
                <w:rFonts w:hint="eastAsia" w:ascii="Times New Roman" w:hAnsi="Times New Roman" w:eastAsia="宋体" w:cs="Times New Roman"/>
                <w:b/>
                <w:bCs/>
                <w:color w:val="auto"/>
                <w:sz w:val="24"/>
                <w:szCs w:val="24"/>
                <w:highlight w:val="none"/>
                <w:lang w:val="en-US" w:eastAsia="zh-CN"/>
              </w:rPr>
              <w:t>③</w:t>
            </w:r>
            <w:r>
              <w:rPr>
                <w:rFonts w:hint="default" w:ascii="Times New Roman" w:hAnsi="Times New Roman" w:eastAsia="宋体" w:cs="Times New Roman"/>
                <w:b/>
                <w:bCs/>
                <w:color w:val="auto"/>
                <w:sz w:val="24"/>
                <w:szCs w:val="24"/>
                <w:highlight w:val="none"/>
                <w:lang w:val="zh-CN" w:eastAsia="zh-CN"/>
              </w:rPr>
              <w:t>注塑生产工序</w:t>
            </w:r>
          </w:p>
          <w:p w14:paraId="461BFD9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zh-CN" w:eastAsia="zh-CN"/>
              </w:rPr>
            </w:pPr>
            <w:r>
              <w:rPr>
                <w:rFonts w:hint="default" w:ascii="Times New Roman" w:hAnsi="Times New Roman" w:eastAsia="宋体" w:cs="Times New Roman"/>
                <w:color w:val="auto"/>
                <w:sz w:val="24"/>
                <w:szCs w:val="24"/>
                <w:highlight w:val="none"/>
                <w:lang w:val="zh-CN" w:eastAsia="zh-CN"/>
              </w:rPr>
              <w:t>本项目采用自动注塑机，注塑机是一种专用的塑料成型机械，包括注射装置、合模装置、液压系统和电气控制系统等四部分。</w:t>
            </w:r>
          </w:p>
          <w:p w14:paraId="624023E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zh-CN" w:eastAsia="zh-CN"/>
              </w:rPr>
            </w:pPr>
            <w:r>
              <w:rPr>
                <w:rFonts w:hint="default" w:ascii="Times New Roman" w:hAnsi="Times New Roman" w:eastAsia="宋体" w:cs="Times New Roman"/>
                <w:color w:val="auto"/>
                <w:sz w:val="24"/>
                <w:szCs w:val="24"/>
                <w:highlight w:val="none"/>
                <w:lang w:val="zh-CN" w:eastAsia="zh-CN"/>
              </w:rPr>
              <w:t>注射装置：主要作用是</w:t>
            </w:r>
            <w:r>
              <w:rPr>
                <w:rFonts w:hint="default" w:ascii="Times New Roman" w:hAnsi="Times New Roman" w:eastAsia="宋体" w:cs="Times New Roman"/>
                <w:color w:val="auto"/>
                <w:sz w:val="24"/>
                <w:szCs w:val="24"/>
                <w:highlight w:val="none"/>
                <w:lang w:val="en-US" w:eastAsia="zh-CN"/>
              </w:rPr>
              <w:t>将</w:t>
            </w:r>
            <w:r>
              <w:rPr>
                <w:rFonts w:hint="default" w:ascii="Times New Roman" w:hAnsi="Times New Roman" w:eastAsia="宋体" w:cs="Times New Roman"/>
                <w:color w:val="auto"/>
                <w:sz w:val="24"/>
                <w:szCs w:val="24"/>
                <w:highlight w:val="none"/>
                <w:lang w:val="zh-CN" w:eastAsia="zh-CN"/>
              </w:rPr>
              <w:t>塑料均匀地塑化成熔融状态，并以足够的压力和速度将熔料注射入模具中。主要由塑化部件（机筒、螺杆、喷嘴等）料斗、计量装置、螺杆传动装置、注射缸、注射座移动缸等组成。</w:t>
            </w:r>
          </w:p>
          <w:p w14:paraId="08719D0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zh-CN" w:eastAsia="zh-CN"/>
              </w:rPr>
            </w:pPr>
            <w:r>
              <w:rPr>
                <w:rFonts w:hint="default" w:ascii="Times New Roman" w:hAnsi="Times New Roman" w:eastAsia="宋体" w:cs="Times New Roman"/>
                <w:color w:val="auto"/>
                <w:sz w:val="24"/>
                <w:szCs w:val="24"/>
                <w:highlight w:val="none"/>
                <w:lang w:val="zh-CN" w:eastAsia="zh-CN"/>
              </w:rPr>
              <w:t>合模装置：保证成型模具可靠的闭合和实现启闭模动作以及取出制品的部件。由于熔料以很高的压力注入模腔中，未来锁紧模具而不至使制品产生飞边或影响制品质量，就要对模具施加足够的锁紧力（即合模力）。合模装置主要包括固定模板、移动模板、后墙板、连接前后模板用的拉杆、合模油缸、顶出油缸、调模装置等组成。</w:t>
            </w:r>
          </w:p>
          <w:p w14:paraId="0C4710FD">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zh-CN" w:eastAsia="zh-CN"/>
              </w:rPr>
            </w:pPr>
            <w:r>
              <w:rPr>
                <w:rFonts w:hint="default" w:ascii="Times New Roman" w:hAnsi="Times New Roman" w:eastAsia="宋体" w:cs="Times New Roman"/>
                <w:color w:val="auto"/>
                <w:sz w:val="24"/>
                <w:szCs w:val="24"/>
                <w:highlight w:val="none"/>
                <w:lang w:val="zh-CN" w:eastAsia="zh-CN"/>
              </w:rPr>
              <w:t>液压系统和电气控制系统：保证注塑机按工艺过程预定的要求（如压力、速度、温度、时间等）和动作程序准确有效的进行工作而设置的动力和控制系统。</w:t>
            </w:r>
          </w:p>
          <w:p w14:paraId="0D7E1226">
            <w:pPr>
              <w:pStyle w:val="17"/>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zh-CN" w:eastAsia="zh-CN"/>
              </w:rPr>
              <w:t>原料经送料系统进入注塑机，在注塑机一端的模具内保压成型。注塑机料斗里的粒状塑料落进料筒加料口，加料口的料筒和旋转螺杆采用电加热，温度控制在</w:t>
            </w:r>
            <w:r>
              <w:rPr>
                <w:rFonts w:hint="default" w:ascii="Times New Roman" w:hAnsi="Times New Roman" w:eastAsia="宋体" w:cs="Times New Roman"/>
                <w:color w:val="auto"/>
                <w:sz w:val="24"/>
                <w:szCs w:val="24"/>
                <w:highlight w:val="none"/>
                <w:lang w:val="en-US" w:eastAsia="zh-CN"/>
              </w:rPr>
              <w:t>150-180</w:t>
            </w:r>
            <w:r>
              <w:rPr>
                <w:rFonts w:hint="default" w:ascii="Times New Roman" w:hAnsi="Times New Roman" w:eastAsia="宋体" w:cs="Times New Roman"/>
                <w:color w:val="auto"/>
                <w:sz w:val="24"/>
                <w:szCs w:val="24"/>
                <w:highlight w:val="none"/>
                <w:lang w:val="zh-CN" w:eastAsia="zh-CN"/>
              </w:rPr>
              <w:t>℃，使塑料粒子呈熔融状态</w:t>
            </w:r>
            <w:r>
              <w:rPr>
                <w:rFonts w:hint="eastAsia" w:cs="Times New Roman"/>
                <w:color w:val="auto"/>
                <w:sz w:val="24"/>
                <w:szCs w:val="24"/>
                <w:highlight w:val="none"/>
                <w:lang w:val="zh-CN" w:eastAsia="zh-CN"/>
              </w:rPr>
              <w:t>；聚丙</w:t>
            </w:r>
            <w:r>
              <w:rPr>
                <w:rFonts w:hint="eastAsia" w:ascii="Times New Roman" w:hAnsi="Times New Roman" w:eastAsia="宋体" w:cs="Times New Roman"/>
                <w:color w:val="auto"/>
                <w:sz w:val="24"/>
                <w:lang w:val="zh-CN" w:eastAsia="zh-CN"/>
              </w:rPr>
              <w:t>烯树脂（</w:t>
            </w:r>
            <w:r>
              <w:rPr>
                <w:rFonts w:hint="eastAsia" w:ascii="Times New Roman" w:hAnsi="Times New Roman" w:eastAsia="宋体" w:cs="Times New Roman"/>
                <w:color w:val="auto"/>
                <w:sz w:val="24"/>
                <w:lang w:val="en-US" w:eastAsia="zh-CN"/>
              </w:rPr>
              <w:t>PP</w:t>
            </w:r>
            <w:r>
              <w:rPr>
                <w:rFonts w:hint="eastAsia" w:ascii="Times New Roman" w:hAnsi="Times New Roman" w:eastAsia="宋体" w:cs="Times New Roman"/>
                <w:color w:val="auto"/>
                <w:sz w:val="24"/>
                <w:lang w:val="zh-CN" w:eastAsia="zh-CN"/>
              </w:rPr>
              <w:t>）</w:t>
            </w:r>
            <w:r>
              <w:rPr>
                <w:rFonts w:hint="eastAsia" w:ascii="Times New Roman" w:hAnsi="Times New Roman" w:eastAsia="宋体" w:cs="Times New Roman"/>
                <w:color w:val="auto"/>
                <w:sz w:val="24"/>
              </w:rPr>
              <w:t>其</w:t>
            </w:r>
            <w:r>
              <w:rPr>
                <w:rFonts w:hint="eastAsia" w:ascii="Times New Roman" w:hAnsi="Times New Roman" w:eastAsia="宋体" w:cs="Times New Roman"/>
                <w:color w:val="auto"/>
                <w:sz w:val="24"/>
                <w:lang w:eastAsia="zh-CN"/>
              </w:rPr>
              <w:t>熔融温度</w:t>
            </w:r>
            <w:r>
              <w:rPr>
                <w:rFonts w:hint="eastAsia" w:ascii="Times New Roman" w:hAnsi="Times New Roman" w:eastAsia="宋体" w:cs="Times New Roman"/>
                <w:color w:val="auto"/>
                <w:sz w:val="24"/>
              </w:rPr>
              <w:t>为170℃左右</w:t>
            </w:r>
            <w:r>
              <w:rPr>
                <w:rFonts w:hint="eastAsia" w:ascii="Times New Roman" w:hAnsi="Times New Roman" w:eastAsia="宋体" w:cs="Times New Roman"/>
                <w:color w:val="auto"/>
                <w:sz w:val="24"/>
                <w:lang w:eastAsia="zh-CN"/>
              </w:rPr>
              <w:t>，分解温度为</w:t>
            </w:r>
            <w:r>
              <w:rPr>
                <w:rFonts w:hint="eastAsia" w:ascii="Times New Roman" w:hAnsi="Times New Roman" w:eastAsia="宋体" w:cs="Times New Roman"/>
                <w:color w:val="auto"/>
                <w:sz w:val="24"/>
                <w:lang w:val="en-US" w:eastAsia="zh-CN"/>
              </w:rPr>
              <w:t>350</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val="zh-CN" w:eastAsia="zh-CN"/>
              </w:rPr>
              <w:t>，</w:t>
            </w:r>
            <w:r>
              <w:rPr>
                <w:rFonts w:hint="eastAsia" w:ascii="Times New Roman" w:hAnsi="Times New Roman" w:eastAsia="宋体" w:cs="Times New Roman"/>
                <w:color w:val="auto"/>
                <w:sz w:val="24"/>
                <w:lang w:val="en-US" w:eastAsia="zh-CN"/>
              </w:rPr>
              <w:t>聚乙烯树脂（PE）</w:t>
            </w:r>
            <w:r>
              <w:rPr>
                <w:rFonts w:hint="eastAsia" w:ascii="Times New Roman" w:hAnsi="Times New Roman" w:eastAsia="宋体" w:cs="Times New Roman"/>
                <w:color w:val="auto"/>
                <w:sz w:val="24"/>
              </w:rPr>
              <w:t>其</w:t>
            </w:r>
            <w:r>
              <w:rPr>
                <w:rFonts w:hint="eastAsia" w:ascii="Times New Roman" w:hAnsi="Times New Roman" w:eastAsia="宋体" w:cs="Times New Roman"/>
                <w:color w:val="auto"/>
                <w:sz w:val="24"/>
                <w:lang w:eastAsia="zh-CN"/>
              </w:rPr>
              <w:t>熔融温度</w:t>
            </w:r>
            <w:r>
              <w:rPr>
                <w:rFonts w:hint="eastAsia" w:ascii="Times New Roman" w:hAnsi="Times New Roman" w:eastAsia="宋体" w:cs="Times New Roman"/>
                <w:color w:val="auto"/>
                <w:sz w:val="24"/>
              </w:rPr>
              <w:t>为</w:t>
            </w:r>
            <w:r>
              <w:rPr>
                <w:rFonts w:hint="eastAsia" w:ascii="Times New Roman" w:hAnsi="Times New Roman" w:eastAsia="宋体" w:cs="Times New Roman"/>
                <w:color w:val="auto"/>
                <w:sz w:val="24"/>
                <w:lang w:val="en-US" w:eastAsia="zh-CN"/>
              </w:rPr>
              <w:t>13</w:t>
            </w:r>
            <w:r>
              <w:rPr>
                <w:rFonts w:hint="eastAsia" w:ascii="Times New Roman" w:hAnsi="Times New Roman" w:eastAsia="宋体" w:cs="Times New Roman"/>
                <w:color w:val="auto"/>
                <w:sz w:val="24"/>
              </w:rPr>
              <w:t>0℃左右</w:t>
            </w:r>
            <w:r>
              <w:rPr>
                <w:rFonts w:hint="eastAsia" w:ascii="Times New Roman" w:hAnsi="Times New Roman" w:eastAsia="宋体" w:cs="Times New Roman"/>
                <w:color w:val="auto"/>
                <w:sz w:val="24"/>
                <w:lang w:eastAsia="zh-CN"/>
              </w:rPr>
              <w:t>，分解温度为</w:t>
            </w:r>
            <w:r>
              <w:rPr>
                <w:rFonts w:hint="eastAsia" w:ascii="Times New Roman" w:hAnsi="Times New Roman" w:eastAsia="宋体" w:cs="Times New Roman"/>
                <w:color w:val="auto"/>
                <w:sz w:val="24"/>
                <w:lang w:val="en-US" w:eastAsia="zh-CN"/>
              </w:rPr>
              <w:t>300</w:t>
            </w:r>
            <w:r>
              <w:rPr>
                <w:rFonts w:hint="eastAsia" w:ascii="Times New Roman" w:hAnsi="Times New Roman" w:eastAsia="宋体" w:cs="Times New Roman"/>
                <w:color w:val="auto"/>
                <w:sz w:val="24"/>
              </w:rPr>
              <w:t>℃</w:t>
            </w:r>
            <w:r>
              <w:rPr>
                <w:rFonts w:hint="eastAsia" w:ascii="Times New Roman" w:hAnsi="Times New Roman" w:eastAsia="宋体" w:cs="Times New Roman"/>
                <w:color w:val="auto"/>
                <w:sz w:val="24"/>
                <w:lang w:eastAsia="zh-CN"/>
              </w:rPr>
              <w:t>；本项目注塑机温度达不到分解温度，因此废气仅有熔融过程中产生的非甲烷总烃。</w:t>
            </w:r>
            <w:r>
              <w:rPr>
                <w:rFonts w:hint="default" w:ascii="Times New Roman" w:hAnsi="Times New Roman" w:eastAsia="宋体" w:cs="Times New Roman"/>
                <w:color w:val="auto"/>
                <w:sz w:val="24"/>
                <w:szCs w:val="24"/>
                <w:highlight w:val="none"/>
                <w:lang w:val="zh-CN" w:eastAsia="zh-CN"/>
              </w:rPr>
              <w:t>注塑机内的旋转螺杆将熔融塑料推送到螺杆头前段，后经注射油缸推动，螺杆前移，止退环受注塑力的反作用将止退环后退封住螺杆螺槽，止阻熔融塑料逆向流动，从而将已塑化好的熔融状态（即粘流态）的熔融塑料推出喷嘴口注射入闭合好的模腔内，注塑时模腔内的平均压力一般在2MPa以内，注塑所用模具均为外委加工，本工序通过更换模型，形成不同的产品形态。将熔化后的塑料注射入闭合好的模腔内。</w:t>
            </w:r>
          </w:p>
          <w:p w14:paraId="75AA5BA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color w:val="auto"/>
                <w:sz w:val="24"/>
                <w:szCs w:val="24"/>
                <w:highlight w:val="none"/>
                <w:lang w:val="zh-CN" w:eastAsia="zh-CN"/>
              </w:rPr>
              <w:t>此过程空压机</w:t>
            </w:r>
            <w:r>
              <w:rPr>
                <w:rFonts w:hint="default" w:ascii="Times New Roman" w:hAnsi="Times New Roman" w:eastAsia="宋体" w:cs="Times New Roman"/>
                <w:color w:val="auto"/>
                <w:sz w:val="24"/>
                <w:szCs w:val="24"/>
                <w:lang w:val="en-US" w:eastAsia="zh-CN"/>
              </w:rPr>
              <w:t>及</w:t>
            </w:r>
            <w:r>
              <w:rPr>
                <w:rFonts w:hint="default" w:ascii="Times New Roman" w:hAnsi="Times New Roman" w:eastAsia="宋体" w:cs="Times New Roman"/>
                <w:color w:val="auto"/>
                <w:sz w:val="24"/>
                <w:szCs w:val="24"/>
                <w:lang w:eastAsia="zh-CN"/>
              </w:rPr>
              <w:t>注塑机</w:t>
            </w:r>
            <w:r>
              <w:rPr>
                <w:rFonts w:hint="default" w:ascii="Times New Roman" w:hAnsi="Times New Roman" w:eastAsia="宋体" w:cs="Times New Roman"/>
                <w:color w:val="auto"/>
                <w:sz w:val="24"/>
                <w:szCs w:val="24"/>
              </w:rPr>
              <w:t>运行时产生</w:t>
            </w:r>
            <w:r>
              <w:rPr>
                <w:rFonts w:hint="default" w:ascii="Times New Roman" w:hAnsi="Times New Roman" w:eastAsia="宋体" w:cs="Times New Roman"/>
                <w:color w:val="auto"/>
                <w:sz w:val="24"/>
                <w:szCs w:val="24"/>
                <w:lang w:eastAsia="zh-CN"/>
              </w:rPr>
              <w:t>设备</w:t>
            </w:r>
            <w:r>
              <w:rPr>
                <w:rFonts w:hint="default" w:ascii="Times New Roman" w:hAnsi="Times New Roman" w:eastAsia="宋体" w:cs="Times New Roman"/>
                <w:color w:val="auto"/>
                <w:sz w:val="24"/>
                <w:szCs w:val="24"/>
              </w:rPr>
              <w:t>噪声</w:t>
            </w:r>
            <w:r>
              <w:rPr>
                <w:rFonts w:hint="default" w:ascii="Times New Roman" w:hAnsi="Times New Roman" w:eastAsia="宋体" w:cs="Times New Roman"/>
                <w:color w:val="auto"/>
                <w:sz w:val="24"/>
                <w:szCs w:val="24"/>
                <w:lang w:val="en-US" w:eastAsia="zh-CN"/>
              </w:rPr>
              <w:t>N</w:t>
            </w:r>
            <w:r>
              <w:rPr>
                <w:rFonts w:hint="eastAsia" w:ascii="Times New Roman" w:hAnsi="Times New Roman" w:eastAsia="宋体" w:cs="Times New Roman"/>
                <w:color w:val="auto"/>
                <w:sz w:val="24"/>
                <w:szCs w:val="24"/>
                <w:lang w:val="en-US" w:eastAsia="zh-CN"/>
              </w:rPr>
              <w:t>1、废气处理风机设备噪声N4</w:t>
            </w:r>
            <w:r>
              <w:rPr>
                <w:rFonts w:hint="default" w:ascii="Times New Roman" w:hAnsi="Times New Roman" w:eastAsia="宋体" w:cs="Times New Roman"/>
                <w:color w:val="auto"/>
                <w:sz w:val="24"/>
                <w:szCs w:val="24"/>
                <w:highlight w:val="none"/>
                <w:lang w:val="zh-CN" w:eastAsia="zh-CN"/>
              </w:rPr>
              <w:t>，</w:t>
            </w:r>
            <w:r>
              <w:rPr>
                <w:rFonts w:hint="default" w:ascii="Times New Roman" w:hAnsi="Times New Roman" w:eastAsia="宋体" w:cs="Times New Roman"/>
                <w:color w:val="auto"/>
                <w:sz w:val="24"/>
                <w:szCs w:val="24"/>
                <w:lang w:val="en-US" w:eastAsia="zh-CN"/>
              </w:rPr>
              <w:t>PP</w:t>
            </w:r>
            <w:r>
              <w:rPr>
                <w:rFonts w:hint="eastAsia" w:ascii="Times New Roman" w:hAnsi="Times New Roman" w:eastAsia="宋体" w:cs="Times New Roman"/>
                <w:color w:val="auto"/>
                <w:sz w:val="24"/>
                <w:szCs w:val="24"/>
                <w:lang w:val="en-US" w:eastAsia="zh-CN"/>
              </w:rPr>
              <w:t>、PE</w:t>
            </w:r>
            <w:r>
              <w:rPr>
                <w:rFonts w:hint="default" w:ascii="Times New Roman" w:hAnsi="Times New Roman" w:eastAsia="宋体" w:cs="Times New Roman"/>
                <w:color w:val="auto"/>
                <w:sz w:val="24"/>
                <w:szCs w:val="24"/>
              </w:rPr>
              <w:t>受热会产生</w:t>
            </w:r>
            <w:r>
              <w:rPr>
                <w:rFonts w:hint="default" w:ascii="Times New Roman" w:hAnsi="Times New Roman" w:eastAsia="宋体" w:cs="Times New Roman"/>
                <w:color w:val="auto"/>
                <w:sz w:val="24"/>
                <w:szCs w:val="24"/>
                <w:lang w:val="en-US" w:eastAsia="zh-CN"/>
              </w:rPr>
              <w:t>异味及</w:t>
            </w:r>
            <w:r>
              <w:rPr>
                <w:rFonts w:hint="default" w:ascii="Times New Roman" w:hAnsi="Times New Roman" w:eastAsia="宋体" w:cs="Times New Roman"/>
                <w:color w:val="auto"/>
                <w:sz w:val="24"/>
                <w:szCs w:val="24"/>
                <w:lang w:eastAsia="zh-CN"/>
              </w:rPr>
              <w:t>注塑</w:t>
            </w:r>
            <w:r>
              <w:rPr>
                <w:rFonts w:hint="default" w:ascii="Times New Roman" w:hAnsi="Times New Roman" w:eastAsia="宋体" w:cs="Times New Roman"/>
                <w:color w:val="auto"/>
                <w:sz w:val="24"/>
                <w:szCs w:val="24"/>
              </w:rPr>
              <w:t>废气</w:t>
            </w:r>
            <w:r>
              <w:rPr>
                <w:rFonts w:hint="default" w:ascii="Times New Roman" w:hAnsi="Times New Roman" w:eastAsia="宋体" w:cs="Times New Roman"/>
                <w:color w:val="auto"/>
                <w:sz w:val="24"/>
                <w:szCs w:val="24"/>
                <w:lang w:val="en-US" w:eastAsia="zh-CN"/>
              </w:rPr>
              <w:t>G</w:t>
            </w:r>
            <w:r>
              <w:rPr>
                <w:rFonts w:hint="eastAsia"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，以非甲烷</w:t>
            </w:r>
            <w:r>
              <w:rPr>
                <w:rFonts w:hint="default" w:ascii="Times New Roman" w:hAnsi="Times New Roman" w:eastAsia="宋体" w:cs="Times New Roman"/>
                <w:color w:val="auto"/>
                <w:sz w:val="24"/>
                <w:szCs w:val="24"/>
                <w:highlight w:val="none"/>
                <w:lang w:eastAsia="zh-CN"/>
              </w:rPr>
              <w:t>总烃计，同时还会产生少量</w:t>
            </w:r>
            <w:r>
              <w:rPr>
                <w:rFonts w:hint="default" w:ascii="Times New Roman" w:hAnsi="Times New Roman" w:eastAsia="宋体" w:cs="Times New Roman"/>
                <w:color w:val="auto"/>
                <w:sz w:val="24"/>
                <w:szCs w:val="24"/>
                <w:lang w:eastAsia="zh-CN"/>
              </w:rPr>
              <w:t>未成型的</w:t>
            </w:r>
            <w:r>
              <w:rPr>
                <w:rFonts w:hint="default" w:ascii="Times New Roman" w:hAnsi="Times New Roman" w:eastAsia="宋体" w:cs="Times New Roman"/>
                <w:color w:val="auto"/>
                <w:sz w:val="24"/>
                <w:szCs w:val="24"/>
                <w:lang w:val="en-US" w:eastAsia="zh-CN"/>
              </w:rPr>
              <w:t>产品</w:t>
            </w:r>
            <w:r>
              <w:rPr>
                <w:rFonts w:hint="default" w:ascii="Times New Roman" w:hAnsi="Times New Roman" w:eastAsia="宋体" w:cs="Times New Roman"/>
                <w:b w:val="0"/>
                <w:bCs w:val="0"/>
                <w:color w:val="auto"/>
                <w:sz w:val="24"/>
                <w:szCs w:val="24"/>
                <w:highlight w:val="none"/>
                <w:lang w:val="en-US" w:eastAsia="zh-CN"/>
              </w:rPr>
              <w:t>S</w:t>
            </w:r>
            <w:r>
              <w:rPr>
                <w:rFonts w:hint="eastAsia" w:ascii="Times New Roman" w:hAnsi="Times New Roman" w:eastAsia="宋体" w:cs="Times New Roman"/>
                <w:b w:val="0"/>
                <w:bCs w:val="0"/>
                <w:color w:val="auto"/>
                <w:sz w:val="24"/>
                <w:szCs w:val="24"/>
                <w:highlight w:val="none"/>
                <w:lang w:val="en-US" w:eastAsia="zh-CN"/>
              </w:rPr>
              <w:t>2</w:t>
            </w:r>
            <w:r>
              <w:rPr>
                <w:rFonts w:hint="eastAsia" w:cs="Times New Roman"/>
                <w:b w:val="0"/>
                <w:bCs w:val="0"/>
                <w:color w:val="auto"/>
                <w:sz w:val="24"/>
                <w:szCs w:val="24"/>
                <w:highlight w:val="none"/>
                <w:lang w:val="en-US" w:eastAsia="zh-CN"/>
              </w:rPr>
              <w:t>、废活性炭S5。</w:t>
            </w:r>
          </w:p>
          <w:p w14:paraId="0E95AC4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jc w:val="both"/>
              <w:textAlignment w:val="auto"/>
              <w:outlineLvl w:val="9"/>
              <w:rPr>
                <w:rFonts w:hint="default" w:ascii="Times New Roman" w:hAnsi="Times New Roman" w:eastAsia="宋体" w:cs="Times New Roman"/>
                <w:b/>
                <w:bCs/>
                <w:color w:val="auto"/>
                <w:sz w:val="24"/>
                <w:szCs w:val="24"/>
                <w:highlight w:val="none"/>
                <w:lang w:val="zh-CN" w:eastAsia="zh-CN"/>
              </w:rPr>
            </w:pPr>
            <w:r>
              <w:rPr>
                <w:rFonts w:hint="eastAsia" w:ascii="Times New Roman" w:hAnsi="Times New Roman" w:eastAsia="宋体" w:cs="Times New Roman"/>
                <w:b/>
                <w:bCs/>
                <w:color w:val="auto"/>
                <w:sz w:val="24"/>
                <w:szCs w:val="24"/>
                <w:highlight w:val="none"/>
                <w:lang w:val="en-US" w:eastAsia="zh-CN"/>
              </w:rPr>
              <w:t>④</w:t>
            </w:r>
            <w:r>
              <w:rPr>
                <w:rFonts w:hint="default" w:ascii="Times New Roman" w:hAnsi="Times New Roman" w:eastAsia="宋体" w:cs="Times New Roman"/>
                <w:b/>
                <w:bCs/>
                <w:color w:val="auto"/>
                <w:sz w:val="24"/>
                <w:szCs w:val="24"/>
                <w:highlight w:val="none"/>
                <w:lang w:val="zh-CN" w:eastAsia="zh-CN"/>
              </w:rPr>
              <w:t>冷却成型</w:t>
            </w:r>
          </w:p>
          <w:p w14:paraId="1D232FE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zh-CN" w:eastAsia="zh-CN"/>
              </w:rPr>
              <w:t>产品在模具内基本成型后，通过外接水管将冷却水引入内置冷却水道采用间接水冷却，冷却时间18s左右。注塑设备冷却水使用后由模具箱底部出水口排出进入循环冷却水系统，经车间外循环水</w:t>
            </w:r>
            <w:r>
              <w:rPr>
                <w:rFonts w:hint="eastAsia" w:cs="Times New Roman"/>
                <w:color w:val="auto"/>
                <w:sz w:val="24"/>
                <w:szCs w:val="24"/>
                <w:highlight w:val="none"/>
                <w:lang w:val="en-US" w:eastAsia="zh-CN"/>
              </w:rPr>
              <w:t>箱</w:t>
            </w:r>
            <w:r>
              <w:rPr>
                <w:rFonts w:hint="default" w:ascii="Times New Roman" w:hAnsi="Times New Roman" w:eastAsia="宋体" w:cs="Times New Roman"/>
                <w:color w:val="auto"/>
                <w:sz w:val="24"/>
                <w:szCs w:val="24"/>
                <w:highlight w:val="none"/>
                <w:lang w:val="en-US" w:eastAsia="zh-CN"/>
              </w:rPr>
              <w:t>及冷却塔</w:t>
            </w:r>
            <w:r>
              <w:rPr>
                <w:rFonts w:hint="default" w:ascii="Times New Roman" w:hAnsi="Times New Roman" w:eastAsia="宋体" w:cs="Times New Roman"/>
                <w:color w:val="auto"/>
                <w:sz w:val="24"/>
                <w:szCs w:val="24"/>
                <w:highlight w:val="none"/>
                <w:lang w:val="zh-CN" w:eastAsia="zh-CN"/>
              </w:rPr>
              <w:t>冷却后循环使用不外排，由于蒸发损耗需定期补充新鲜水。</w:t>
            </w:r>
          </w:p>
          <w:p w14:paraId="7571CFC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b w:val="0"/>
                <w:bCs w:val="0"/>
                <w:color w:val="auto"/>
                <w:sz w:val="24"/>
                <w:szCs w:val="24"/>
                <w:highlight w:val="none"/>
                <w:lang w:val="zh-CN" w:eastAsia="zh-CN"/>
              </w:rPr>
            </w:pPr>
            <w:r>
              <w:rPr>
                <w:rFonts w:hint="default" w:ascii="Times New Roman" w:hAnsi="Times New Roman" w:eastAsia="宋体" w:cs="Times New Roman"/>
                <w:b w:val="0"/>
                <w:bCs w:val="0"/>
                <w:color w:val="auto"/>
                <w:kern w:val="2"/>
                <w:sz w:val="24"/>
                <w:szCs w:val="24"/>
                <w:highlight w:val="none"/>
                <w:lang w:val="en-US" w:eastAsia="zh-CN" w:bidi="ar"/>
              </w:rPr>
              <w:t>冷却过程产生冷却水W</w:t>
            </w:r>
            <w:r>
              <w:rPr>
                <w:rFonts w:hint="eastAsia" w:ascii="Times New Roman" w:hAnsi="Times New Roman" w:eastAsia="宋体" w:cs="Times New Roman"/>
                <w:b w:val="0"/>
                <w:bCs w:val="0"/>
                <w:color w:val="auto"/>
                <w:kern w:val="2"/>
                <w:sz w:val="24"/>
                <w:szCs w:val="24"/>
                <w:highlight w:val="none"/>
                <w:lang w:val="en-US" w:eastAsia="zh-CN" w:bidi="ar"/>
              </w:rPr>
              <w:t>1</w:t>
            </w:r>
            <w:r>
              <w:rPr>
                <w:rFonts w:hint="default" w:ascii="Times New Roman" w:hAnsi="Times New Roman" w:eastAsia="宋体" w:cs="Times New Roman"/>
                <w:color w:val="auto"/>
                <w:sz w:val="24"/>
                <w:szCs w:val="24"/>
              </w:rPr>
              <w:t>及设备噪声</w:t>
            </w:r>
            <w:r>
              <w:rPr>
                <w:rFonts w:hint="default" w:ascii="Times New Roman" w:hAnsi="Times New Roman" w:eastAsia="宋体" w:cs="Times New Roman"/>
                <w:color w:val="auto"/>
                <w:sz w:val="24"/>
                <w:szCs w:val="24"/>
                <w:lang w:val="en-US" w:eastAsia="zh-CN"/>
              </w:rPr>
              <w:t>N</w:t>
            </w: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b w:val="0"/>
                <w:bCs w:val="0"/>
                <w:color w:val="auto"/>
                <w:kern w:val="2"/>
                <w:sz w:val="24"/>
                <w:szCs w:val="24"/>
                <w:highlight w:val="none"/>
                <w:lang w:val="en-US" w:eastAsia="zh-CN" w:bidi="ar"/>
              </w:rPr>
              <w:t>。</w:t>
            </w:r>
          </w:p>
          <w:p w14:paraId="6C3A95F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jc w:val="both"/>
              <w:textAlignment w:val="auto"/>
              <w:outlineLvl w:val="9"/>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⑤</w:t>
            </w:r>
            <w:r>
              <w:rPr>
                <w:rFonts w:hint="default" w:ascii="Times New Roman" w:hAnsi="Times New Roman" w:eastAsia="宋体" w:cs="Times New Roman"/>
                <w:b/>
                <w:bCs/>
                <w:color w:val="auto"/>
                <w:sz w:val="24"/>
                <w:szCs w:val="24"/>
                <w:highlight w:val="none"/>
                <w:lang w:val="zh-CN" w:eastAsia="zh-CN"/>
              </w:rPr>
              <w:t>开模取件、检验修整</w:t>
            </w:r>
            <w:r>
              <w:rPr>
                <w:rFonts w:hint="eastAsia" w:ascii="Times New Roman" w:hAnsi="Times New Roman" w:eastAsia="宋体" w:cs="Times New Roman"/>
                <w:b/>
                <w:bCs/>
                <w:color w:val="auto"/>
                <w:sz w:val="24"/>
                <w:szCs w:val="24"/>
                <w:highlight w:val="none"/>
                <w:lang w:val="zh-CN" w:eastAsia="zh-CN"/>
              </w:rPr>
              <w:t>、成品入库</w:t>
            </w:r>
          </w:p>
          <w:p w14:paraId="72F67F1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zh-CN" w:eastAsia="zh-CN"/>
              </w:rPr>
            </w:pPr>
            <w:r>
              <w:rPr>
                <w:rFonts w:hint="default" w:ascii="Times New Roman" w:hAnsi="Times New Roman" w:eastAsia="宋体" w:cs="Times New Roman"/>
                <w:color w:val="auto"/>
                <w:sz w:val="24"/>
                <w:szCs w:val="24"/>
                <w:highlight w:val="none"/>
                <w:lang w:val="zh-CN" w:eastAsia="zh-CN"/>
              </w:rPr>
              <w:t>注塑后经冷却定型、开模取件。取件后在人工操作的条件下，采用键刀、压棒对</w:t>
            </w:r>
            <w:r>
              <w:rPr>
                <w:rFonts w:hint="eastAsia" w:ascii="Times New Roman" w:hAnsi="Times New Roman" w:eastAsia="宋体" w:cs="Times New Roman"/>
                <w:color w:val="auto"/>
                <w:sz w:val="24"/>
                <w:szCs w:val="24"/>
                <w:highlight w:val="none"/>
                <w:lang w:val="en-US" w:eastAsia="zh-CN"/>
              </w:rPr>
              <w:t>各类塑料包装箱及容器</w:t>
            </w:r>
            <w:r>
              <w:rPr>
                <w:rFonts w:hint="default" w:ascii="Times New Roman" w:hAnsi="Times New Roman" w:eastAsia="宋体" w:cs="Times New Roman"/>
                <w:color w:val="auto"/>
                <w:sz w:val="24"/>
                <w:szCs w:val="24"/>
                <w:highlight w:val="none"/>
                <w:lang w:val="zh-CN" w:eastAsia="zh-CN"/>
              </w:rPr>
              <w:t>边口进行剔除。</w:t>
            </w:r>
          </w:p>
          <w:p w14:paraId="5FAE8527">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修整完成的产品进入质量检测环节，</w:t>
            </w:r>
            <w:r>
              <w:rPr>
                <w:rFonts w:hint="eastAsia" w:cs="Times New Roman"/>
                <w:color w:val="auto"/>
                <w:sz w:val="24"/>
                <w:szCs w:val="24"/>
                <w:highlight w:val="none"/>
                <w:lang w:val="en-US" w:eastAsia="zh-CN"/>
              </w:rPr>
              <w:t>本项目质量</w:t>
            </w:r>
            <w:r>
              <w:rPr>
                <w:rFonts w:hint="eastAsia" w:ascii="Times New Roman" w:hAnsi="Times New Roman" w:eastAsia="宋体" w:cs="Times New Roman"/>
                <w:color w:val="auto"/>
                <w:sz w:val="24"/>
                <w:szCs w:val="24"/>
                <w:highlight w:val="none"/>
                <w:lang w:val="en-US" w:eastAsia="zh-CN"/>
              </w:rPr>
              <w:t>检测</w:t>
            </w:r>
            <w:r>
              <w:rPr>
                <w:rFonts w:hint="eastAsia" w:cs="Times New Roman"/>
                <w:color w:val="auto"/>
                <w:sz w:val="24"/>
                <w:szCs w:val="24"/>
                <w:highlight w:val="none"/>
                <w:lang w:val="en-US" w:eastAsia="zh-CN"/>
              </w:rPr>
              <w:t>主要进行外观检测，不使用机械设备，员工直接观察是否符合产品要求，有不合格产品直接作为固体废物处置</w:t>
            </w:r>
            <w:r>
              <w:rPr>
                <w:rFonts w:hint="eastAsia" w:ascii="Times New Roman" w:hAnsi="Times New Roman" w:eastAsia="宋体" w:cs="Times New Roman"/>
                <w:color w:val="auto"/>
                <w:sz w:val="24"/>
                <w:szCs w:val="24"/>
                <w:highlight w:val="none"/>
                <w:lang w:val="en-US" w:eastAsia="zh-CN"/>
              </w:rPr>
              <w:t>。上述检测合格的产品方可入库或直接交付客户。</w:t>
            </w:r>
          </w:p>
          <w:p w14:paraId="09A60FA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eastAsia" w:ascii="Times New Roman" w:hAnsi="Times New Roman" w:eastAsia="宋体" w:cs="Times New Roman"/>
                <w:color w:val="auto"/>
                <w:sz w:val="24"/>
                <w:szCs w:val="24"/>
                <w:highlight w:val="none"/>
                <w:lang w:val="zh-CN" w:eastAsia="zh-CN"/>
              </w:rPr>
            </w:pPr>
            <w:r>
              <w:rPr>
                <w:rFonts w:hint="default" w:ascii="Times New Roman" w:hAnsi="Times New Roman" w:eastAsia="宋体" w:cs="Times New Roman"/>
                <w:b w:val="0"/>
                <w:bCs w:val="0"/>
                <w:color w:val="auto"/>
                <w:sz w:val="24"/>
                <w:szCs w:val="24"/>
                <w:highlight w:val="none"/>
                <w:lang w:val="en-US" w:eastAsia="zh-CN"/>
              </w:rPr>
              <w:t>修整过程产生边角料S</w:t>
            </w:r>
            <w:r>
              <w:rPr>
                <w:rFonts w:hint="eastAsia" w:ascii="Times New Roman" w:hAnsi="Times New Roman" w:eastAsia="宋体"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lang w:val="en-US" w:eastAsia="zh-CN"/>
              </w:rPr>
              <w:t>，检验过程产生不合格产品S</w:t>
            </w:r>
            <w:r>
              <w:rPr>
                <w:rFonts w:hint="eastAsia" w:ascii="Times New Roman" w:hAnsi="Times New Roman" w:eastAsia="宋体" w:cs="Times New Roman"/>
                <w:b w:val="0"/>
                <w:bCs w:val="0"/>
                <w:color w:val="auto"/>
                <w:sz w:val="24"/>
                <w:szCs w:val="24"/>
                <w:highlight w:val="none"/>
                <w:lang w:val="en-US" w:eastAsia="zh-CN"/>
              </w:rPr>
              <w:t>4。</w:t>
            </w:r>
          </w:p>
          <w:p w14:paraId="353618B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jc w:val="both"/>
              <w:textAlignment w:val="auto"/>
              <w:outlineLvl w:val="9"/>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⑥</w:t>
            </w:r>
            <w:r>
              <w:rPr>
                <w:rFonts w:hint="default" w:ascii="Times New Roman" w:hAnsi="Times New Roman" w:eastAsia="宋体" w:cs="Times New Roman"/>
                <w:b/>
                <w:bCs/>
                <w:color w:val="auto"/>
                <w:sz w:val="24"/>
                <w:szCs w:val="24"/>
                <w:highlight w:val="none"/>
                <w:lang w:val="zh-CN" w:eastAsia="zh-CN"/>
              </w:rPr>
              <w:t>不合格产品及边角料</w:t>
            </w:r>
            <w:r>
              <w:rPr>
                <w:rFonts w:hint="eastAsia" w:ascii="Times New Roman" w:hAnsi="Times New Roman" w:eastAsia="宋体" w:cs="Times New Roman"/>
                <w:b/>
                <w:bCs/>
                <w:color w:val="auto"/>
                <w:sz w:val="24"/>
                <w:szCs w:val="24"/>
                <w:highlight w:val="none"/>
                <w:lang w:val="zh-CN" w:eastAsia="zh-CN"/>
              </w:rPr>
              <w:t>、</w:t>
            </w:r>
            <w:r>
              <w:rPr>
                <w:rFonts w:hint="eastAsia" w:ascii="Times New Roman" w:hAnsi="Times New Roman" w:eastAsia="宋体" w:cs="Times New Roman"/>
                <w:b/>
                <w:bCs/>
                <w:color w:val="auto"/>
                <w:sz w:val="24"/>
                <w:szCs w:val="24"/>
                <w:highlight w:val="none"/>
                <w:lang w:val="en-US" w:eastAsia="zh-CN"/>
              </w:rPr>
              <w:t>未成品产品破碎</w:t>
            </w:r>
          </w:p>
          <w:p w14:paraId="589B17EC">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zh-CN" w:eastAsia="zh-CN"/>
              </w:rPr>
            </w:pPr>
            <w:r>
              <w:rPr>
                <w:rFonts w:hint="default" w:ascii="Times New Roman" w:hAnsi="Times New Roman" w:eastAsia="宋体" w:cs="Times New Roman"/>
                <w:color w:val="auto"/>
                <w:sz w:val="24"/>
                <w:szCs w:val="24"/>
                <w:highlight w:val="none"/>
                <w:lang w:val="zh-CN" w:eastAsia="zh-CN"/>
              </w:rPr>
              <w:t>不合格产品及边角料</w:t>
            </w:r>
            <w:r>
              <w:rPr>
                <w:rFonts w:hint="eastAsia" w:cs="Times New Roman"/>
                <w:color w:val="auto"/>
                <w:sz w:val="24"/>
                <w:szCs w:val="24"/>
                <w:highlight w:val="none"/>
                <w:lang w:val="zh-CN" w:eastAsia="zh-CN"/>
              </w:rPr>
              <w:t>、</w:t>
            </w:r>
            <w:r>
              <w:rPr>
                <w:rFonts w:hint="eastAsia" w:cs="Times New Roman"/>
                <w:color w:val="auto"/>
                <w:sz w:val="24"/>
                <w:szCs w:val="24"/>
                <w:highlight w:val="none"/>
                <w:lang w:val="en-US" w:eastAsia="zh-CN"/>
              </w:rPr>
              <w:t>未成品产品</w:t>
            </w:r>
            <w:r>
              <w:rPr>
                <w:rFonts w:hint="default" w:ascii="Times New Roman" w:hAnsi="Times New Roman" w:eastAsia="宋体" w:cs="Times New Roman"/>
                <w:color w:val="auto"/>
                <w:sz w:val="24"/>
                <w:szCs w:val="24"/>
                <w:highlight w:val="none"/>
                <w:lang w:val="zh-CN" w:eastAsia="zh-CN"/>
              </w:rPr>
              <w:t>经统一收集后暂存于项目区一般</w:t>
            </w:r>
            <w:r>
              <w:rPr>
                <w:rFonts w:hint="eastAsia" w:ascii="Times New Roman" w:hAnsi="Times New Roman" w:eastAsia="宋体" w:cs="Times New Roman"/>
                <w:color w:val="auto"/>
                <w:sz w:val="24"/>
                <w:szCs w:val="24"/>
                <w:highlight w:val="none"/>
                <w:lang w:val="zh-CN" w:eastAsia="zh-CN"/>
              </w:rPr>
              <w:t>固废</w:t>
            </w:r>
            <w:r>
              <w:rPr>
                <w:rFonts w:hint="default" w:ascii="Times New Roman" w:hAnsi="Times New Roman" w:eastAsia="宋体" w:cs="Times New Roman"/>
                <w:color w:val="auto"/>
                <w:sz w:val="24"/>
                <w:szCs w:val="24"/>
                <w:highlight w:val="none"/>
                <w:lang w:val="zh-CN" w:eastAsia="zh-CN"/>
              </w:rPr>
              <w:t>暂存</w:t>
            </w:r>
            <w:r>
              <w:rPr>
                <w:rFonts w:hint="eastAsia" w:cs="Times New Roman"/>
                <w:color w:val="auto"/>
                <w:sz w:val="24"/>
                <w:szCs w:val="24"/>
                <w:highlight w:val="none"/>
                <w:lang w:val="en-US" w:eastAsia="zh-CN"/>
              </w:rPr>
              <w:t>间</w:t>
            </w:r>
            <w:r>
              <w:rPr>
                <w:rFonts w:hint="default" w:ascii="Times New Roman" w:hAnsi="Times New Roman" w:eastAsia="宋体" w:cs="Times New Roman"/>
                <w:color w:val="auto"/>
                <w:sz w:val="24"/>
                <w:szCs w:val="24"/>
                <w:highlight w:val="none"/>
                <w:lang w:val="zh-CN" w:eastAsia="zh-CN"/>
              </w:rPr>
              <w:t>，达到一定量后</w:t>
            </w:r>
            <w:r>
              <w:rPr>
                <w:rFonts w:hint="default" w:ascii="Times New Roman" w:hAnsi="Times New Roman" w:eastAsia="宋体" w:cs="Times New Roman"/>
                <w:color w:val="auto"/>
                <w:sz w:val="24"/>
                <w:szCs w:val="24"/>
                <w:highlight w:val="none"/>
                <w:lang w:val="en-US" w:eastAsia="zh-CN"/>
              </w:rPr>
              <w:t>破碎</w:t>
            </w:r>
            <w:r>
              <w:rPr>
                <w:rFonts w:hint="eastAsia" w:ascii="Times New Roman" w:hAnsi="Times New Roman" w:eastAsia="宋体" w:cs="Times New Roman"/>
                <w:color w:val="auto"/>
                <w:sz w:val="24"/>
                <w:szCs w:val="24"/>
                <w:highlight w:val="none"/>
                <w:lang w:val="en-US" w:eastAsia="zh-CN"/>
              </w:rPr>
              <w:t>外售</w:t>
            </w:r>
            <w:r>
              <w:rPr>
                <w:rFonts w:hint="default" w:ascii="Times New Roman" w:hAnsi="Times New Roman" w:eastAsia="宋体" w:cs="Times New Roman"/>
                <w:color w:val="auto"/>
                <w:sz w:val="24"/>
                <w:szCs w:val="24"/>
                <w:highlight w:val="none"/>
                <w:lang w:val="zh-CN" w:eastAsia="zh-CN"/>
              </w:rPr>
              <w:t>。</w:t>
            </w:r>
          </w:p>
          <w:p w14:paraId="17C80A6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outlineLvl w:val="9"/>
              <w:rPr>
                <w:rFonts w:hint="default" w:ascii="Times New Roman" w:hAnsi="Times New Roman" w:eastAsia="宋体" w:cs="Times New Roman"/>
                <w:b/>
                <w:bCs/>
                <w:color w:val="auto"/>
                <w:sz w:val="24"/>
                <w:szCs w:val="24"/>
                <w:highlight w:val="none"/>
                <w:lang w:val="zh-CN" w:eastAsia="zh-CN"/>
              </w:rPr>
            </w:pPr>
            <w:r>
              <w:rPr>
                <w:rFonts w:hint="eastAsia" w:ascii="Times New Roman" w:hAnsi="Times New Roman" w:eastAsia="宋体" w:cs="Times New Roman"/>
                <w:b w:val="0"/>
                <w:bCs w:val="0"/>
                <w:color w:val="auto"/>
                <w:sz w:val="24"/>
                <w:szCs w:val="24"/>
                <w:highlight w:val="none"/>
                <w:lang w:val="en-US" w:eastAsia="zh-CN"/>
              </w:rPr>
              <w:t>破碎过程中产生破碎废气G2以及破碎设备噪声N3</w:t>
            </w:r>
            <w:r>
              <w:rPr>
                <w:rFonts w:hint="eastAsia" w:cs="Times New Roman"/>
                <w:b w:val="0"/>
                <w:bCs w:val="0"/>
                <w:color w:val="auto"/>
                <w:sz w:val="24"/>
                <w:szCs w:val="24"/>
                <w:highlight w:val="none"/>
                <w:lang w:val="en-US" w:eastAsia="zh-CN"/>
              </w:rPr>
              <w:t>、布袋除尘器除尘灰S6</w:t>
            </w:r>
            <w:r>
              <w:rPr>
                <w:rFonts w:hint="default" w:ascii="Times New Roman" w:hAnsi="Times New Roman" w:eastAsia="宋体" w:cs="Times New Roman"/>
                <w:b w:val="0"/>
                <w:bCs w:val="0"/>
                <w:color w:val="auto"/>
                <w:sz w:val="24"/>
                <w:szCs w:val="24"/>
                <w:highlight w:val="none"/>
                <w:lang w:val="en-US" w:eastAsia="zh-CN"/>
              </w:rPr>
              <w:t>。</w:t>
            </w:r>
          </w:p>
          <w:p w14:paraId="0B73800C">
            <w:pPr>
              <w:pStyle w:val="28"/>
              <w:snapToGrid w:val="0"/>
              <w:spacing w:after="0" w:line="356" w:lineRule="auto"/>
              <w:ind w:firstLine="482" w:firstLineChars="200"/>
              <w:rPr>
                <w:b/>
                <w:bCs/>
                <w:color w:val="auto"/>
              </w:rPr>
            </w:pPr>
            <w:r>
              <w:rPr>
                <w:b/>
                <w:bCs/>
                <w:color w:val="auto"/>
              </w:rPr>
              <w:t>2、项目其他产污环节分析</w:t>
            </w:r>
          </w:p>
          <w:p w14:paraId="718BDFDB">
            <w:pPr>
              <w:spacing w:line="356" w:lineRule="auto"/>
              <w:ind w:firstLine="480" w:firstLineChars="200"/>
              <w:rPr>
                <w:bCs/>
                <w:color w:val="auto"/>
                <w:sz w:val="24"/>
                <w:szCs w:val="22"/>
              </w:rPr>
            </w:pPr>
            <w:r>
              <w:rPr>
                <w:color w:val="auto"/>
                <w:sz w:val="24"/>
              </w:rPr>
              <w:t>本项目设置办公生活区，为职工提供食宿，项目办公生活产污环节详见图2-</w:t>
            </w:r>
            <w:r>
              <w:rPr>
                <w:rFonts w:hint="eastAsia"/>
                <w:color w:val="auto"/>
                <w:sz w:val="24"/>
                <w:lang w:val="en-US" w:eastAsia="zh-CN"/>
              </w:rPr>
              <w:t>5</w:t>
            </w:r>
            <w:r>
              <w:rPr>
                <w:color w:val="auto"/>
                <w:sz w:val="24"/>
              </w:rPr>
              <w:t>所示。</w:t>
            </w:r>
          </w:p>
          <w:p w14:paraId="62085353">
            <w:pPr>
              <w:pStyle w:val="28"/>
              <w:ind w:firstLine="240"/>
              <w:jc w:val="center"/>
              <w:rPr>
                <w:color w:val="auto"/>
              </w:rPr>
            </w:pPr>
            <w:r>
              <w:rPr>
                <w:color w:val="auto"/>
              </w:rPr>
              <w:object>
                <v:shape id="_x0000_i1026" o:spt="75" type="#_x0000_t75" style="height:123.05pt;width:298.95pt;" o:ole="t" filled="f" o:preferrelative="t" stroked="f" coordsize="21600,21600">
                  <v:path/>
                  <v:fill on="f" focussize="0,0"/>
                  <v:stroke on="f" joinstyle="miter"/>
                  <v:imagedata r:id="rId19" o:title=""/>
                  <o:lock v:ext="edit" aspectratio="t"/>
                  <w10:wrap type="none"/>
                  <w10:anchorlock/>
                </v:shape>
                <o:OLEObject Type="Embed" ProgID="Visio.Drawing.11" ShapeID="_x0000_i1026" DrawAspect="Content" ObjectID="_1468075729" r:id="rId18">
                  <o:LockedField>false</o:LockedField>
                </o:OLEObject>
              </w:object>
            </w:r>
          </w:p>
          <w:p w14:paraId="64BF6BA3">
            <w:pPr>
              <w:pStyle w:val="28"/>
              <w:spacing w:after="0"/>
              <w:ind w:firstLine="211"/>
              <w:jc w:val="center"/>
              <w:rPr>
                <w:b/>
                <w:color w:val="auto"/>
              </w:rPr>
            </w:pPr>
            <w:r>
              <w:rPr>
                <w:b/>
                <w:color w:val="auto"/>
                <w:sz w:val="21"/>
                <w:szCs w:val="21"/>
              </w:rPr>
              <w:t>图2-</w:t>
            </w:r>
            <w:r>
              <w:rPr>
                <w:rFonts w:hint="eastAsia"/>
                <w:b/>
                <w:color w:val="auto"/>
                <w:sz w:val="21"/>
                <w:szCs w:val="21"/>
                <w:lang w:val="en-US" w:eastAsia="zh-CN"/>
              </w:rPr>
              <w:t>5</w:t>
            </w:r>
            <w:r>
              <w:rPr>
                <w:b/>
                <w:color w:val="auto"/>
                <w:sz w:val="21"/>
                <w:szCs w:val="21"/>
              </w:rPr>
              <w:t xml:space="preserve">   办公生活产物节点图</w:t>
            </w:r>
          </w:p>
          <w:p w14:paraId="6E0F1138">
            <w:pPr>
              <w:pStyle w:val="29"/>
              <w:spacing w:line="360" w:lineRule="auto"/>
              <w:ind w:firstLine="482"/>
              <w:rPr>
                <w:b/>
                <w:color w:val="auto"/>
                <w:sz w:val="24"/>
              </w:rPr>
            </w:pPr>
            <w:r>
              <w:rPr>
                <w:b/>
                <w:color w:val="auto"/>
                <w:sz w:val="24"/>
              </w:rPr>
              <w:t>（二）项目主要污染工序</w:t>
            </w:r>
          </w:p>
          <w:p w14:paraId="122F400D">
            <w:pPr>
              <w:pStyle w:val="28"/>
              <w:spacing w:after="0" w:line="360" w:lineRule="auto"/>
              <w:ind w:firstLine="480" w:firstLineChars="200"/>
              <w:rPr>
                <w:color w:val="auto"/>
              </w:rPr>
            </w:pPr>
            <w:r>
              <w:rPr>
                <w:color w:val="auto"/>
              </w:rPr>
              <w:t>本项目运营期主要污染工序详见表2-</w:t>
            </w:r>
            <w:r>
              <w:rPr>
                <w:rFonts w:hint="eastAsia"/>
                <w:color w:val="auto"/>
                <w:lang w:val="en-US" w:eastAsia="zh-CN"/>
              </w:rPr>
              <w:t>8</w:t>
            </w:r>
            <w:r>
              <w:rPr>
                <w:color w:val="auto"/>
              </w:rPr>
              <w:t>。</w:t>
            </w:r>
          </w:p>
          <w:p w14:paraId="5ACD9C70">
            <w:pPr>
              <w:pStyle w:val="28"/>
              <w:spacing w:after="0"/>
              <w:ind w:firstLine="0" w:firstLineChars="0"/>
              <w:jc w:val="center"/>
              <w:rPr>
                <w:b/>
                <w:bCs/>
                <w:color w:val="auto"/>
                <w:sz w:val="21"/>
                <w:szCs w:val="21"/>
              </w:rPr>
            </w:pPr>
            <w:r>
              <w:rPr>
                <w:b/>
                <w:bCs/>
                <w:color w:val="auto"/>
                <w:sz w:val="21"/>
                <w:szCs w:val="21"/>
              </w:rPr>
              <w:t>表2-</w:t>
            </w:r>
            <w:r>
              <w:rPr>
                <w:rFonts w:hint="eastAsia"/>
                <w:b/>
                <w:bCs/>
                <w:color w:val="auto"/>
                <w:sz w:val="21"/>
                <w:szCs w:val="21"/>
                <w:lang w:val="en-US" w:eastAsia="zh-CN"/>
              </w:rPr>
              <w:t>8</w:t>
            </w:r>
            <w:r>
              <w:rPr>
                <w:b/>
                <w:bCs/>
                <w:color w:val="auto"/>
                <w:sz w:val="21"/>
                <w:szCs w:val="21"/>
              </w:rPr>
              <w:t xml:space="preserve">  运营期主要污染工序一览表</w:t>
            </w:r>
          </w:p>
          <w:tbl>
            <w:tblPr>
              <w:tblStyle w:val="30"/>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
              <w:gridCol w:w="1624"/>
              <w:gridCol w:w="2094"/>
              <w:gridCol w:w="2774"/>
              <w:gridCol w:w="1262"/>
            </w:tblGrid>
            <w:tr w14:paraId="5CE8D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tcBorders>
                    <w:tl2br w:val="nil"/>
                    <w:tr2bl w:val="nil"/>
                  </w:tcBorders>
                  <w:vAlign w:val="center"/>
                </w:tcPr>
                <w:p w14:paraId="0668B647">
                  <w:pPr>
                    <w:jc w:val="center"/>
                    <w:rPr>
                      <w:b/>
                      <w:color w:val="auto"/>
                      <w:szCs w:val="21"/>
                    </w:rPr>
                  </w:pPr>
                  <w:r>
                    <w:rPr>
                      <w:b/>
                      <w:color w:val="auto"/>
                      <w:szCs w:val="21"/>
                    </w:rPr>
                    <w:t>污染类别</w:t>
                  </w:r>
                </w:p>
              </w:tc>
              <w:tc>
                <w:tcPr>
                  <w:tcW w:w="964" w:type="pct"/>
                  <w:tcBorders>
                    <w:tl2br w:val="nil"/>
                    <w:tr2bl w:val="nil"/>
                  </w:tcBorders>
                  <w:vAlign w:val="center"/>
                </w:tcPr>
                <w:p w14:paraId="40D97577">
                  <w:pPr>
                    <w:jc w:val="center"/>
                    <w:rPr>
                      <w:b/>
                      <w:color w:val="auto"/>
                      <w:szCs w:val="21"/>
                    </w:rPr>
                  </w:pPr>
                  <w:r>
                    <w:rPr>
                      <w:b/>
                      <w:color w:val="auto"/>
                      <w:szCs w:val="21"/>
                    </w:rPr>
                    <w:t>产污环节</w:t>
                  </w:r>
                </w:p>
              </w:tc>
              <w:tc>
                <w:tcPr>
                  <w:tcW w:w="1244" w:type="pct"/>
                  <w:tcBorders>
                    <w:tl2br w:val="nil"/>
                    <w:tr2bl w:val="nil"/>
                  </w:tcBorders>
                  <w:vAlign w:val="center"/>
                </w:tcPr>
                <w:p w14:paraId="77C85A9B">
                  <w:pPr>
                    <w:jc w:val="center"/>
                    <w:rPr>
                      <w:b/>
                      <w:color w:val="auto"/>
                      <w:szCs w:val="21"/>
                    </w:rPr>
                  </w:pPr>
                  <w:r>
                    <w:rPr>
                      <w:b/>
                      <w:color w:val="auto"/>
                      <w:szCs w:val="21"/>
                    </w:rPr>
                    <w:t>主要污染物</w:t>
                  </w:r>
                </w:p>
              </w:tc>
              <w:tc>
                <w:tcPr>
                  <w:tcW w:w="1648" w:type="pct"/>
                  <w:tcBorders>
                    <w:tl2br w:val="nil"/>
                    <w:tr2bl w:val="nil"/>
                  </w:tcBorders>
                  <w:vAlign w:val="center"/>
                </w:tcPr>
                <w:p w14:paraId="383EF7F0">
                  <w:pPr>
                    <w:jc w:val="center"/>
                    <w:rPr>
                      <w:b/>
                      <w:color w:val="auto"/>
                      <w:szCs w:val="21"/>
                    </w:rPr>
                  </w:pPr>
                  <w:r>
                    <w:rPr>
                      <w:b/>
                      <w:color w:val="auto"/>
                      <w:szCs w:val="21"/>
                    </w:rPr>
                    <w:t>治理措施</w:t>
                  </w:r>
                </w:p>
              </w:tc>
              <w:tc>
                <w:tcPr>
                  <w:tcW w:w="749" w:type="pct"/>
                  <w:tcBorders>
                    <w:tl2br w:val="nil"/>
                    <w:tr2bl w:val="nil"/>
                  </w:tcBorders>
                  <w:vAlign w:val="center"/>
                </w:tcPr>
                <w:p w14:paraId="0B6B06EA">
                  <w:pPr>
                    <w:jc w:val="center"/>
                    <w:rPr>
                      <w:b/>
                      <w:color w:val="auto"/>
                      <w:szCs w:val="21"/>
                    </w:rPr>
                  </w:pPr>
                  <w:r>
                    <w:rPr>
                      <w:b/>
                      <w:color w:val="auto"/>
                      <w:szCs w:val="21"/>
                    </w:rPr>
                    <w:t>排放方式</w:t>
                  </w:r>
                </w:p>
              </w:tc>
            </w:tr>
            <w:tr w14:paraId="6913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392" w:type="pct"/>
                  <w:vMerge w:val="restart"/>
                  <w:tcBorders>
                    <w:tl2br w:val="nil"/>
                    <w:tr2bl w:val="nil"/>
                  </w:tcBorders>
                  <w:vAlign w:val="center"/>
                </w:tcPr>
                <w:p w14:paraId="5383EE4C">
                  <w:pPr>
                    <w:jc w:val="center"/>
                    <w:rPr>
                      <w:color w:val="auto"/>
                      <w:szCs w:val="21"/>
                    </w:rPr>
                  </w:pPr>
                  <w:r>
                    <w:rPr>
                      <w:color w:val="auto"/>
                      <w:szCs w:val="21"/>
                    </w:rPr>
                    <w:t>废气</w:t>
                  </w:r>
                </w:p>
              </w:tc>
              <w:tc>
                <w:tcPr>
                  <w:tcW w:w="964" w:type="pct"/>
                  <w:tcBorders>
                    <w:tl2br w:val="nil"/>
                    <w:tr2bl w:val="nil"/>
                  </w:tcBorders>
                  <w:vAlign w:val="center"/>
                </w:tcPr>
                <w:p w14:paraId="1080218C">
                  <w:pPr>
                    <w:jc w:val="center"/>
                    <w:rPr>
                      <w:rFonts w:hint="eastAsia"/>
                      <w:color w:val="auto"/>
                      <w:szCs w:val="21"/>
                      <w:lang w:eastAsia="zh-CN"/>
                    </w:rPr>
                  </w:pPr>
                  <w:r>
                    <w:rPr>
                      <w:rFonts w:hint="eastAsia"/>
                      <w:color w:val="auto"/>
                      <w:szCs w:val="21"/>
                      <w:lang w:eastAsia="zh-CN"/>
                    </w:rPr>
                    <w:t>投料废气</w:t>
                  </w:r>
                </w:p>
              </w:tc>
              <w:tc>
                <w:tcPr>
                  <w:tcW w:w="1244" w:type="pct"/>
                  <w:tcBorders>
                    <w:tl2br w:val="nil"/>
                    <w:tr2bl w:val="nil"/>
                  </w:tcBorders>
                  <w:vAlign w:val="center"/>
                </w:tcPr>
                <w:p w14:paraId="737CA743">
                  <w:pPr>
                    <w:jc w:val="center"/>
                    <w:rPr>
                      <w:rFonts w:hint="eastAsia" w:eastAsia="宋体"/>
                      <w:color w:val="auto"/>
                      <w:szCs w:val="21"/>
                      <w:lang w:eastAsia="zh-CN"/>
                    </w:rPr>
                  </w:pPr>
                  <w:r>
                    <w:rPr>
                      <w:rFonts w:hint="eastAsia"/>
                      <w:color w:val="auto"/>
                      <w:szCs w:val="21"/>
                      <w:lang w:eastAsia="zh-CN"/>
                    </w:rPr>
                    <w:t>颗粒物</w:t>
                  </w:r>
                </w:p>
              </w:tc>
              <w:tc>
                <w:tcPr>
                  <w:tcW w:w="1648" w:type="pct"/>
                  <w:tcBorders>
                    <w:tl2br w:val="nil"/>
                    <w:tr2bl w:val="nil"/>
                  </w:tcBorders>
                  <w:vAlign w:val="center"/>
                </w:tcPr>
                <w:p w14:paraId="397D9D5B">
                  <w:pPr>
                    <w:jc w:val="center"/>
                    <w:rPr>
                      <w:color w:val="auto"/>
                      <w:szCs w:val="21"/>
                    </w:rPr>
                  </w:pPr>
                  <w:r>
                    <w:rPr>
                      <w:rFonts w:hint="eastAsia"/>
                      <w:color w:val="auto"/>
                      <w:szCs w:val="21"/>
                    </w:rPr>
                    <w:t>厂房阻隔、</w:t>
                  </w:r>
                  <w:r>
                    <w:rPr>
                      <w:rFonts w:hint="eastAsia"/>
                      <w:color w:val="auto"/>
                      <w:szCs w:val="21"/>
                      <w:lang w:val="en-US" w:eastAsia="zh-CN"/>
                    </w:rPr>
                    <w:t>自然</w:t>
                  </w:r>
                  <w:r>
                    <w:rPr>
                      <w:rFonts w:hint="eastAsia"/>
                      <w:color w:val="auto"/>
                      <w:szCs w:val="21"/>
                    </w:rPr>
                    <w:t>沉降</w:t>
                  </w:r>
                </w:p>
              </w:tc>
              <w:tc>
                <w:tcPr>
                  <w:tcW w:w="749" w:type="pct"/>
                  <w:tcBorders>
                    <w:tl2br w:val="nil"/>
                    <w:tr2bl w:val="nil"/>
                  </w:tcBorders>
                  <w:vAlign w:val="center"/>
                </w:tcPr>
                <w:p w14:paraId="07550E78">
                  <w:pPr>
                    <w:jc w:val="center"/>
                    <w:rPr>
                      <w:rFonts w:hint="eastAsia" w:eastAsia="宋体"/>
                      <w:color w:val="auto"/>
                      <w:szCs w:val="21"/>
                      <w:lang w:eastAsia="zh-CN"/>
                    </w:rPr>
                  </w:pPr>
                  <w:r>
                    <w:rPr>
                      <w:rFonts w:hint="eastAsia"/>
                      <w:color w:val="auto"/>
                      <w:szCs w:val="21"/>
                    </w:rPr>
                    <w:t>无组织</w:t>
                  </w:r>
                </w:p>
              </w:tc>
            </w:tr>
            <w:tr w14:paraId="4631D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392" w:type="pct"/>
                  <w:vMerge w:val="continue"/>
                  <w:tcBorders>
                    <w:tl2br w:val="nil"/>
                    <w:tr2bl w:val="nil"/>
                  </w:tcBorders>
                  <w:vAlign w:val="center"/>
                </w:tcPr>
                <w:p w14:paraId="6A235190">
                  <w:pPr>
                    <w:jc w:val="center"/>
                    <w:rPr>
                      <w:color w:val="auto"/>
                      <w:szCs w:val="21"/>
                    </w:rPr>
                  </w:pPr>
                </w:p>
              </w:tc>
              <w:tc>
                <w:tcPr>
                  <w:tcW w:w="964" w:type="pct"/>
                  <w:tcBorders>
                    <w:tl2br w:val="nil"/>
                    <w:tr2bl w:val="nil"/>
                  </w:tcBorders>
                  <w:vAlign w:val="center"/>
                </w:tcPr>
                <w:p w14:paraId="31C2A3E3">
                  <w:pPr>
                    <w:jc w:val="center"/>
                    <w:rPr>
                      <w:color w:val="auto"/>
                      <w:szCs w:val="21"/>
                    </w:rPr>
                  </w:pPr>
                  <w:r>
                    <w:rPr>
                      <w:rFonts w:hint="eastAsia"/>
                      <w:color w:val="auto"/>
                      <w:szCs w:val="21"/>
                      <w:lang w:eastAsia="zh-CN"/>
                    </w:rPr>
                    <w:t>注塑</w:t>
                  </w:r>
                  <w:r>
                    <w:rPr>
                      <w:rFonts w:hint="eastAsia"/>
                      <w:color w:val="auto"/>
                      <w:szCs w:val="21"/>
                    </w:rPr>
                    <w:t>废气</w:t>
                  </w:r>
                  <w:r>
                    <w:rPr>
                      <w:color w:val="auto"/>
                      <w:szCs w:val="21"/>
                    </w:rPr>
                    <w:t>（</w:t>
                  </w:r>
                  <w:r>
                    <w:rPr>
                      <w:color w:val="auto"/>
                      <w:szCs w:val="21"/>
                      <w:lang w:eastAsia="en-US"/>
                    </w:rPr>
                    <w:t>G</w:t>
                  </w:r>
                  <w:r>
                    <w:rPr>
                      <w:rFonts w:hint="eastAsia"/>
                      <w:color w:val="auto"/>
                      <w:szCs w:val="21"/>
                      <w:lang w:val="en-US" w:eastAsia="zh-CN"/>
                    </w:rPr>
                    <w:t>2</w:t>
                  </w:r>
                  <w:r>
                    <w:rPr>
                      <w:color w:val="auto"/>
                      <w:szCs w:val="21"/>
                    </w:rPr>
                    <w:t>）</w:t>
                  </w:r>
                </w:p>
              </w:tc>
              <w:tc>
                <w:tcPr>
                  <w:tcW w:w="1244" w:type="pct"/>
                  <w:tcBorders>
                    <w:tl2br w:val="nil"/>
                    <w:tr2bl w:val="nil"/>
                  </w:tcBorders>
                  <w:vAlign w:val="center"/>
                </w:tcPr>
                <w:p w14:paraId="78482DAC">
                  <w:pPr>
                    <w:jc w:val="center"/>
                    <w:rPr>
                      <w:rFonts w:hint="eastAsia" w:eastAsia="宋体"/>
                      <w:color w:val="auto"/>
                      <w:szCs w:val="21"/>
                      <w:lang w:eastAsia="zh-CN"/>
                    </w:rPr>
                  </w:pPr>
                  <w:r>
                    <w:rPr>
                      <w:color w:val="auto"/>
                      <w:szCs w:val="21"/>
                    </w:rPr>
                    <w:t>非甲烷总烃</w:t>
                  </w:r>
                  <w:r>
                    <w:rPr>
                      <w:rFonts w:hint="eastAsia"/>
                      <w:color w:val="auto"/>
                      <w:szCs w:val="21"/>
                      <w:lang w:eastAsia="zh-CN"/>
                    </w:rPr>
                    <w:t>、臭气浓度</w:t>
                  </w:r>
                </w:p>
              </w:tc>
              <w:tc>
                <w:tcPr>
                  <w:tcW w:w="1648" w:type="pct"/>
                  <w:tcBorders>
                    <w:tl2br w:val="nil"/>
                    <w:tr2bl w:val="nil"/>
                  </w:tcBorders>
                  <w:vAlign w:val="center"/>
                </w:tcPr>
                <w:p w14:paraId="68E02448">
                  <w:pPr>
                    <w:jc w:val="center"/>
                    <w:rPr>
                      <w:color w:val="auto"/>
                      <w:szCs w:val="21"/>
                    </w:rPr>
                  </w:pPr>
                  <w:r>
                    <w:rPr>
                      <w:color w:val="auto"/>
                      <w:szCs w:val="21"/>
                    </w:rPr>
                    <w:t>在</w:t>
                  </w:r>
                  <w:r>
                    <w:rPr>
                      <w:rFonts w:hint="eastAsia"/>
                      <w:color w:val="auto"/>
                      <w:szCs w:val="21"/>
                      <w:lang w:eastAsia="zh-CN"/>
                    </w:rPr>
                    <w:t>注塑</w:t>
                  </w:r>
                  <w:r>
                    <w:rPr>
                      <w:rFonts w:hint="eastAsia"/>
                      <w:color w:val="auto"/>
                      <w:szCs w:val="21"/>
                    </w:rPr>
                    <w:t>机</w:t>
                  </w:r>
                  <w:r>
                    <w:rPr>
                      <w:rFonts w:hint="eastAsia"/>
                      <w:color w:val="auto"/>
                      <w:szCs w:val="21"/>
                      <w:lang w:eastAsia="zh-CN"/>
                    </w:rPr>
                    <w:t>上方</w:t>
                  </w:r>
                  <w:r>
                    <w:rPr>
                      <w:color w:val="auto"/>
                      <w:szCs w:val="21"/>
                    </w:rPr>
                    <w:t>分别设置集气罩，共设置</w:t>
                  </w:r>
                  <w:r>
                    <w:rPr>
                      <w:rFonts w:hint="eastAsia"/>
                      <w:color w:val="auto"/>
                      <w:szCs w:val="21"/>
                    </w:rPr>
                    <w:t>“</w:t>
                  </w:r>
                  <w:r>
                    <w:rPr>
                      <w:rFonts w:hint="eastAsia"/>
                      <w:color w:val="auto"/>
                      <w:szCs w:val="21"/>
                      <w:lang w:val="en-US" w:eastAsia="zh-CN"/>
                    </w:rPr>
                    <w:t>20</w:t>
                  </w:r>
                  <w:r>
                    <w:rPr>
                      <w:color w:val="auto"/>
                      <w:szCs w:val="21"/>
                    </w:rPr>
                    <w:t>个集气罩将废气统一收集进入</w:t>
                  </w:r>
                  <w:r>
                    <w:rPr>
                      <w:rFonts w:hint="eastAsia"/>
                      <w:color w:val="auto"/>
                      <w:szCs w:val="21"/>
                    </w:rPr>
                    <w:t>1</w:t>
                  </w:r>
                  <w:r>
                    <w:rPr>
                      <w:color w:val="auto"/>
                      <w:szCs w:val="21"/>
                    </w:rPr>
                    <w:t>套“</w:t>
                  </w:r>
                  <w:r>
                    <w:rPr>
                      <w:rFonts w:hint="eastAsia"/>
                      <w:color w:val="auto"/>
                      <w:kern w:val="0"/>
                      <w:szCs w:val="21"/>
                      <w:lang w:val="zh-CN" w:bidi="ar"/>
                    </w:rPr>
                    <w:t>三级活性炭吸附装置</w:t>
                  </w:r>
                  <w:r>
                    <w:rPr>
                      <w:color w:val="auto"/>
                      <w:szCs w:val="21"/>
                    </w:rPr>
                    <w:t>”处理达标后由1根15m高排气筒（DA00</w:t>
                  </w:r>
                  <w:r>
                    <w:rPr>
                      <w:rFonts w:hint="eastAsia"/>
                      <w:color w:val="auto"/>
                      <w:szCs w:val="21"/>
                      <w:lang w:val="en-US" w:eastAsia="zh-CN"/>
                    </w:rPr>
                    <w:t>1</w:t>
                  </w:r>
                  <w:r>
                    <w:rPr>
                      <w:color w:val="auto"/>
                      <w:szCs w:val="21"/>
                    </w:rPr>
                    <w:t>）排放，配套</w:t>
                  </w:r>
                  <w:r>
                    <w:rPr>
                      <w:bCs/>
                      <w:color w:val="auto"/>
                      <w:szCs w:val="21"/>
                    </w:rPr>
                    <w:t>风量为</w:t>
                  </w:r>
                  <w:r>
                    <w:rPr>
                      <w:rFonts w:hint="eastAsia"/>
                      <w:color w:val="auto"/>
                      <w:kern w:val="0"/>
                      <w:szCs w:val="21"/>
                      <w:highlight w:val="none"/>
                      <w:lang w:val="en-US" w:eastAsia="zh-CN" w:bidi="ar"/>
                    </w:rPr>
                    <w:t>20000</w:t>
                  </w:r>
                  <w:r>
                    <w:rPr>
                      <w:color w:val="auto"/>
                      <w:kern w:val="0"/>
                      <w:szCs w:val="21"/>
                      <w:highlight w:val="none"/>
                      <w:lang w:bidi="ar"/>
                    </w:rPr>
                    <w:t>m</w:t>
                  </w:r>
                  <w:r>
                    <w:rPr>
                      <w:color w:val="auto"/>
                      <w:kern w:val="0"/>
                      <w:szCs w:val="21"/>
                      <w:highlight w:val="none"/>
                      <w:vertAlign w:val="superscript"/>
                      <w:lang w:bidi="ar"/>
                    </w:rPr>
                    <w:t>3</w:t>
                  </w:r>
                  <w:r>
                    <w:rPr>
                      <w:color w:val="auto"/>
                      <w:kern w:val="0"/>
                      <w:szCs w:val="21"/>
                      <w:highlight w:val="none"/>
                      <w:lang w:bidi="ar"/>
                    </w:rPr>
                    <w:t>/h</w:t>
                  </w:r>
                  <w:r>
                    <w:rPr>
                      <w:color w:val="auto"/>
                      <w:szCs w:val="21"/>
                      <w:highlight w:val="none"/>
                    </w:rPr>
                    <w:t>。</w:t>
                  </w:r>
                  <w:r>
                    <w:rPr>
                      <w:color w:val="auto"/>
                      <w:szCs w:val="21"/>
                    </w:rPr>
                    <w:t>废气收集效率为</w:t>
                  </w:r>
                  <w:r>
                    <w:rPr>
                      <w:rFonts w:hint="eastAsia"/>
                      <w:color w:val="auto"/>
                      <w:szCs w:val="21"/>
                    </w:rPr>
                    <w:t>8</w:t>
                  </w:r>
                  <w:r>
                    <w:rPr>
                      <w:color w:val="auto"/>
                      <w:szCs w:val="21"/>
                    </w:rPr>
                    <w:t>0%，</w:t>
                  </w:r>
                  <w:r>
                    <w:rPr>
                      <w:bCs/>
                      <w:color w:val="auto"/>
                      <w:szCs w:val="21"/>
                    </w:rPr>
                    <w:t>去除效率</w:t>
                  </w:r>
                  <w:r>
                    <w:rPr>
                      <w:rFonts w:hint="eastAsia"/>
                      <w:bCs/>
                      <w:color w:val="auto"/>
                      <w:szCs w:val="21"/>
                    </w:rPr>
                    <w:t>80</w:t>
                  </w:r>
                  <w:r>
                    <w:rPr>
                      <w:bCs/>
                      <w:color w:val="auto"/>
                      <w:szCs w:val="21"/>
                    </w:rPr>
                    <w:t>%，排气筒内径</w:t>
                  </w:r>
                  <w:r>
                    <w:rPr>
                      <w:rFonts w:hint="eastAsia"/>
                      <w:bCs/>
                      <w:color w:val="auto"/>
                      <w:szCs w:val="21"/>
                      <w:highlight w:val="none"/>
                    </w:rPr>
                    <w:t>0.</w:t>
                  </w:r>
                  <w:r>
                    <w:rPr>
                      <w:rFonts w:hint="eastAsia"/>
                      <w:bCs/>
                      <w:color w:val="auto"/>
                      <w:szCs w:val="21"/>
                      <w:highlight w:val="none"/>
                      <w:lang w:val="en-US" w:eastAsia="zh-CN"/>
                    </w:rPr>
                    <w:t>6</w:t>
                  </w:r>
                  <w:r>
                    <w:rPr>
                      <w:bCs/>
                      <w:color w:val="auto"/>
                      <w:szCs w:val="21"/>
                      <w:highlight w:val="none"/>
                    </w:rPr>
                    <w:t>m</w:t>
                  </w:r>
                  <w:r>
                    <w:rPr>
                      <w:color w:val="auto"/>
                      <w:szCs w:val="21"/>
                    </w:rPr>
                    <w:t>。</w:t>
                  </w:r>
                </w:p>
              </w:tc>
              <w:tc>
                <w:tcPr>
                  <w:tcW w:w="749" w:type="pct"/>
                  <w:tcBorders>
                    <w:tl2br w:val="nil"/>
                    <w:tr2bl w:val="nil"/>
                  </w:tcBorders>
                  <w:vAlign w:val="center"/>
                </w:tcPr>
                <w:p w14:paraId="1FFCEDFA">
                  <w:pPr>
                    <w:jc w:val="center"/>
                    <w:rPr>
                      <w:color w:val="auto"/>
                      <w:szCs w:val="21"/>
                    </w:rPr>
                  </w:pPr>
                  <w:r>
                    <w:rPr>
                      <w:color w:val="auto"/>
                      <w:szCs w:val="21"/>
                    </w:rPr>
                    <w:t>15m高排气筒（DA00</w:t>
                  </w:r>
                  <w:r>
                    <w:rPr>
                      <w:rFonts w:hint="eastAsia"/>
                      <w:color w:val="auto"/>
                      <w:szCs w:val="21"/>
                      <w:lang w:val="en-US" w:eastAsia="zh-CN"/>
                    </w:rPr>
                    <w:t>1</w:t>
                  </w:r>
                  <w:r>
                    <w:rPr>
                      <w:color w:val="auto"/>
                      <w:szCs w:val="21"/>
                    </w:rPr>
                    <w:t>）</w:t>
                  </w:r>
                </w:p>
              </w:tc>
            </w:tr>
            <w:tr w14:paraId="6A8CC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92" w:type="pct"/>
                  <w:vMerge w:val="continue"/>
                  <w:tcBorders>
                    <w:tl2br w:val="nil"/>
                    <w:tr2bl w:val="nil"/>
                  </w:tcBorders>
                  <w:vAlign w:val="center"/>
                </w:tcPr>
                <w:p w14:paraId="608CC6F6">
                  <w:pPr>
                    <w:jc w:val="center"/>
                    <w:rPr>
                      <w:color w:val="auto"/>
                    </w:rPr>
                  </w:pPr>
                </w:p>
              </w:tc>
              <w:tc>
                <w:tcPr>
                  <w:tcW w:w="964" w:type="pct"/>
                  <w:tcBorders>
                    <w:tl2br w:val="nil"/>
                    <w:tr2bl w:val="nil"/>
                  </w:tcBorders>
                  <w:vAlign w:val="center"/>
                </w:tcPr>
                <w:p w14:paraId="49EF12FD">
                  <w:pPr>
                    <w:jc w:val="center"/>
                    <w:rPr>
                      <w:color w:val="auto"/>
                      <w:szCs w:val="21"/>
                    </w:rPr>
                  </w:pPr>
                  <w:r>
                    <w:rPr>
                      <w:rFonts w:hint="eastAsia"/>
                      <w:color w:val="auto"/>
                      <w:szCs w:val="21"/>
                      <w:lang w:eastAsia="zh-CN"/>
                    </w:rPr>
                    <w:t>破碎废气</w:t>
                  </w:r>
                  <w:r>
                    <w:rPr>
                      <w:color w:val="auto"/>
                      <w:szCs w:val="21"/>
                    </w:rPr>
                    <w:t>（</w:t>
                  </w:r>
                  <w:r>
                    <w:rPr>
                      <w:color w:val="auto"/>
                      <w:szCs w:val="21"/>
                      <w:lang w:eastAsia="en-US"/>
                    </w:rPr>
                    <w:t>G</w:t>
                  </w:r>
                  <w:r>
                    <w:rPr>
                      <w:rFonts w:hint="eastAsia"/>
                      <w:color w:val="auto"/>
                      <w:szCs w:val="21"/>
                      <w:lang w:val="en-US" w:eastAsia="zh-CN"/>
                    </w:rPr>
                    <w:t>3</w:t>
                  </w:r>
                  <w:r>
                    <w:rPr>
                      <w:color w:val="auto"/>
                      <w:szCs w:val="21"/>
                    </w:rPr>
                    <w:t>）</w:t>
                  </w:r>
                </w:p>
              </w:tc>
              <w:tc>
                <w:tcPr>
                  <w:tcW w:w="1244" w:type="pct"/>
                  <w:tcBorders>
                    <w:tl2br w:val="nil"/>
                    <w:tr2bl w:val="nil"/>
                  </w:tcBorders>
                  <w:vAlign w:val="center"/>
                </w:tcPr>
                <w:p w14:paraId="49648D76">
                  <w:pPr>
                    <w:jc w:val="center"/>
                    <w:rPr>
                      <w:rFonts w:hint="eastAsia" w:eastAsia="宋体"/>
                      <w:color w:val="auto"/>
                      <w:szCs w:val="21"/>
                      <w:lang w:eastAsia="zh-CN"/>
                    </w:rPr>
                  </w:pPr>
                  <w:r>
                    <w:rPr>
                      <w:rFonts w:hint="eastAsia"/>
                      <w:color w:val="auto"/>
                      <w:szCs w:val="21"/>
                      <w:lang w:eastAsia="zh-CN"/>
                    </w:rPr>
                    <w:t>颗粒物</w:t>
                  </w:r>
                </w:p>
              </w:tc>
              <w:tc>
                <w:tcPr>
                  <w:tcW w:w="1648" w:type="pct"/>
                  <w:tcBorders>
                    <w:tl2br w:val="nil"/>
                    <w:tr2bl w:val="nil"/>
                  </w:tcBorders>
                  <w:vAlign w:val="center"/>
                </w:tcPr>
                <w:p w14:paraId="3AC6DCD7">
                  <w:pPr>
                    <w:jc w:val="center"/>
                    <w:rPr>
                      <w:color w:val="auto"/>
                      <w:szCs w:val="21"/>
                    </w:rPr>
                  </w:pPr>
                  <w:r>
                    <w:rPr>
                      <w:color w:val="auto"/>
                      <w:szCs w:val="21"/>
                    </w:rPr>
                    <w:t>本项目在</w:t>
                  </w:r>
                  <w:r>
                    <w:rPr>
                      <w:rFonts w:hint="eastAsia"/>
                      <w:color w:val="auto"/>
                      <w:szCs w:val="21"/>
                      <w:lang w:val="en-US" w:eastAsia="zh-CN"/>
                    </w:rPr>
                    <w:t>破碎</w:t>
                  </w:r>
                  <w:r>
                    <w:rPr>
                      <w:rFonts w:hint="eastAsia"/>
                      <w:color w:val="auto"/>
                      <w:szCs w:val="21"/>
                    </w:rPr>
                    <w:t>机</w:t>
                  </w:r>
                  <w:r>
                    <w:rPr>
                      <w:rFonts w:hint="eastAsia"/>
                      <w:color w:val="auto"/>
                      <w:szCs w:val="21"/>
                      <w:lang w:eastAsia="zh-CN"/>
                    </w:rPr>
                    <w:t>上方</w:t>
                  </w:r>
                  <w:r>
                    <w:rPr>
                      <w:color w:val="auto"/>
                      <w:szCs w:val="21"/>
                    </w:rPr>
                    <w:t>分别设置集气罩，共设置</w:t>
                  </w:r>
                  <w:r>
                    <w:rPr>
                      <w:rFonts w:hint="eastAsia"/>
                      <w:color w:val="auto"/>
                      <w:szCs w:val="21"/>
                    </w:rPr>
                    <w:t>“</w:t>
                  </w:r>
                  <w:r>
                    <w:rPr>
                      <w:rFonts w:hint="eastAsia"/>
                      <w:color w:val="auto"/>
                      <w:szCs w:val="21"/>
                      <w:lang w:val="en-US" w:eastAsia="zh-CN"/>
                    </w:rPr>
                    <w:t>2</w:t>
                  </w:r>
                  <w:r>
                    <w:rPr>
                      <w:color w:val="auto"/>
                      <w:szCs w:val="21"/>
                    </w:rPr>
                    <w:t>个集气罩将废气统一收集进入</w:t>
                  </w:r>
                  <w:r>
                    <w:rPr>
                      <w:rFonts w:hint="eastAsia"/>
                      <w:color w:val="auto"/>
                      <w:szCs w:val="21"/>
                    </w:rPr>
                    <w:t>1</w:t>
                  </w:r>
                  <w:r>
                    <w:rPr>
                      <w:color w:val="auto"/>
                      <w:szCs w:val="21"/>
                    </w:rPr>
                    <w:t>套“</w:t>
                  </w:r>
                  <w:r>
                    <w:rPr>
                      <w:rFonts w:hint="eastAsia"/>
                      <w:color w:val="auto"/>
                      <w:kern w:val="0"/>
                      <w:szCs w:val="21"/>
                      <w:lang w:val="en-US" w:eastAsia="zh-CN" w:bidi="ar"/>
                    </w:rPr>
                    <w:t>布袋除尘器</w:t>
                  </w:r>
                  <w:r>
                    <w:rPr>
                      <w:color w:val="auto"/>
                      <w:szCs w:val="21"/>
                    </w:rPr>
                    <w:t>”处理达标后由1根15m高排气筒（DA00</w:t>
                  </w:r>
                  <w:r>
                    <w:rPr>
                      <w:rFonts w:hint="eastAsia"/>
                      <w:color w:val="auto"/>
                      <w:szCs w:val="21"/>
                      <w:lang w:val="en-US" w:eastAsia="zh-CN"/>
                    </w:rPr>
                    <w:t>2</w:t>
                  </w:r>
                  <w:r>
                    <w:rPr>
                      <w:color w:val="auto"/>
                      <w:szCs w:val="21"/>
                    </w:rPr>
                    <w:t>）排放，配套</w:t>
                  </w:r>
                  <w:r>
                    <w:rPr>
                      <w:bCs/>
                      <w:color w:val="auto"/>
                      <w:szCs w:val="21"/>
                    </w:rPr>
                    <w:t>风量为</w:t>
                  </w:r>
                  <w:r>
                    <w:rPr>
                      <w:rFonts w:hint="eastAsia"/>
                      <w:bCs/>
                      <w:color w:val="auto"/>
                      <w:szCs w:val="21"/>
                      <w:lang w:val="en-US" w:eastAsia="zh-CN"/>
                    </w:rPr>
                    <w:t>1000</w:t>
                  </w:r>
                  <w:r>
                    <w:rPr>
                      <w:color w:val="auto"/>
                      <w:kern w:val="0"/>
                      <w:szCs w:val="21"/>
                      <w:highlight w:val="none"/>
                      <w:lang w:bidi="ar"/>
                    </w:rPr>
                    <w:t>m</w:t>
                  </w:r>
                  <w:r>
                    <w:rPr>
                      <w:color w:val="auto"/>
                      <w:kern w:val="0"/>
                      <w:szCs w:val="21"/>
                      <w:highlight w:val="none"/>
                      <w:vertAlign w:val="superscript"/>
                      <w:lang w:bidi="ar"/>
                    </w:rPr>
                    <w:t>3</w:t>
                  </w:r>
                  <w:r>
                    <w:rPr>
                      <w:color w:val="auto"/>
                      <w:kern w:val="0"/>
                      <w:szCs w:val="21"/>
                      <w:highlight w:val="none"/>
                      <w:lang w:bidi="ar"/>
                    </w:rPr>
                    <w:t>/h</w:t>
                  </w:r>
                  <w:r>
                    <w:rPr>
                      <w:color w:val="auto"/>
                      <w:szCs w:val="21"/>
                      <w:highlight w:val="none"/>
                    </w:rPr>
                    <w:t>。废气收集效率为</w:t>
                  </w:r>
                  <w:r>
                    <w:rPr>
                      <w:rFonts w:hint="eastAsia"/>
                      <w:color w:val="auto"/>
                      <w:szCs w:val="21"/>
                      <w:highlight w:val="none"/>
                    </w:rPr>
                    <w:t>8</w:t>
                  </w:r>
                  <w:r>
                    <w:rPr>
                      <w:color w:val="auto"/>
                      <w:szCs w:val="21"/>
                      <w:highlight w:val="none"/>
                    </w:rPr>
                    <w:t>0%，</w:t>
                  </w:r>
                  <w:r>
                    <w:rPr>
                      <w:bCs/>
                      <w:color w:val="auto"/>
                      <w:szCs w:val="21"/>
                      <w:highlight w:val="none"/>
                    </w:rPr>
                    <w:t>去除效率</w:t>
                  </w:r>
                  <w:r>
                    <w:rPr>
                      <w:rFonts w:hint="eastAsia"/>
                      <w:bCs/>
                      <w:color w:val="auto"/>
                      <w:szCs w:val="21"/>
                      <w:highlight w:val="none"/>
                      <w:lang w:val="en-US" w:eastAsia="zh-CN"/>
                    </w:rPr>
                    <w:t>99</w:t>
                  </w:r>
                  <w:r>
                    <w:rPr>
                      <w:bCs/>
                      <w:color w:val="auto"/>
                      <w:szCs w:val="21"/>
                      <w:highlight w:val="none"/>
                    </w:rPr>
                    <w:t>%，排气筒内径</w:t>
                  </w:r>
                  <w:r>
                    <w:rPr>
                      <w:rFonts w:hint="eastAsia"/>
                      <w:bCs/>
                      <w:color w:val="auto"/>
                      <w:szCs w:val="21"/>
                      <w:highlight w:val="none"/>
                    </w:rPr>
                    <w:t>0.</w:t>
                  </w:r>
                  <w:r>
                    <w:rPr>
                      <w:rFonts w:hint="eastAsia"/>
                      <w:bCs/>
                      <w:color w:val="auto"/>
                      <w:szCs w:val="21"/>
                      <w:highlight w:val="none"/>
                      <w:lang w:val="en-US" w:eastAsia="zh-CN"/>
                    </w:rPr>
                    <w:t>15</w:t>
                  </w:r>
                  <w:r>
                    <w:rPr>
                      <w:bCs/>
                      <w:color w:val="auto"/>
                      <w:szCs w:val="21"/>
                      <w:highlight w:val="none"/>
                    </w:rPr>
                    <w:t>m</w:t>
                  </w:r>
                  <w:r>
                    <w:rPr>
                      <w:color w:val="auto"/>
                      <w:szCs w:val="21"/>
                      <w:highlight w:val="none"/>
                    </w:rPr>
                    <w:t>。</w:t>
                  </w:r>
                </w:p>
              </w:tc>
              <w:tc>
                <w:tcPr>
                  <w:tcW w:w="749" w:type="pct"/>
                  <w:tcBorders>
                    <w:tl2br w:val="nil"/>
                    <w:tr2bl w:val="nil"/>
                  </w:tcBorders>
                  <w:vAlign w:val="center"/>
                </w:tcPr>
                <w:p w14:paraId="27062D74">
                  <w:pPr>
                    <w:jc w:val="both"/>
                    <w:rPr>
                      <w:rFonts w:hint="eastAsia" w:eastAsia="宋体"/>
                      <w:color w:val="auto"/>
                      <w:szCs w:val="21"/>
                      <w:lang w:eastAsia="zh-CN"/>
                    </w:rPr>
                  </w:pPr>
                  <w:r>
                    <w:rPr>
                      <w:color w:val="auto"/>
                      <w:szCs w:val="21"/>
                    </w:rPr>
                    <w:t>15m高排气筒（DA00</w:t>
                  </w:r>
                  <w:r>
                    <w:rPr>
                      <w:rFonts w:hint="eastAsia"/>
                      <w:color w:val="auto"/>
                      <w:szCs w:val="21"/>
                      <w:lang w:val="en-US" w:eastAsia="zh-CN"/>
                    </w:rPr>
                    <w:t>2</w:t>
                  </w:r>
                  <w:r>
                    <w:rPr>
                      <w:color w:val="auto"/>
                      <w:szCs w:val="21"/>
                    </w:rPr>
                    <w:t>）</w:t>
                  </w:r>
                </w:p>
              </w:tc>
            </w:tr>
            <w:tr w14:paraId="5DA4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392" w:type="pct"/>
                  <w:vMerge w:val="continue"/>
                  <w:tcBorders>
                    <w:tl2br w:val="nil"/>
                    <w:tr2bl w:val="nil"/>
                  </w:tcBorders>
                  <w:vAlign w:val="center"/>
                </w:tcPr>
                <w:p w14:paraId="344F45C2">
                  <w:pPr>
                    <w:jc w:val="center"/>
                    <w:rPr>
                      <w:color w:val="auto"/>
                    </w:rPr>
                  </w:pPr>
                </w:p>
              </w:tc>
              <w:tc>
                <w:tcPr>
                  <w:tcW w:w="964" w:type="pct"/>
                  <w:tcBorders>
                    <w:tl2br w:val="nil"/>
                    <w:tr2bl w:val="nil"/>
                  </w:tcBorders>
                  <w:vAlign w:val="center"/>
                </w:tcPr>
                <w:p w14:paraId="6B1C743B">
                  <w:pPr>
                    <w:pStyle w:val="28"/>
                    <w:spacing w:after="0"/>
                    <w:ind w:firstLine="0" w:firstLineChars="0"/>
                    <w:jc w:val="both"/>
                    <w:rPr>
                      <w:rFonts w:hint="eastAsia" w:eastAsia="宋体"/>
                      <w:color w:val="auto"/>
                      <w:szCs w:val="21"/>
                      <w:lang w:eastAsia="zh-CN"/>
                    </w:rPr>
                  </w:pPr>
                  <w:r>
                    <w:rPr>
                      <w:rFonts w:hint="default" w:ascii="Times New Roman" w:hAnsi="Times New Roman" w:eastAsia="宋体" w:cs="Times New Roman"/>
                      <w:color w:val="auto"/>
                      <w:sz w:val="21"/>
                      <w:szCs w:val="21"/>
                      <w:highlight w:val="none"/>
                      <w:lang w:eastAsia="zh-CN"/>
                    </w:rPr>
                    <w:t>卫生间、化粪池</w:t>
                  </w:r>
                </w:p>
              </w:tc>
              <w:tc>
                <w:tcPr>
                  <w:tcW w:w="1244" w:type="pct"/>
                  <w:tcBorders>
                    <w:tl2br w:val="nil"/>
                    <w:tr2bl w:val="nil"/>
                  </w:tcBorders>
                  <w:vAlign w:val="center"/>
                </w:tcPr>
                <w:p w14:paraId="650EDFB2">
                  <w:pPr>
                    <w:pStyle w:val="28"/>
                    <w:spacing w:after="0"/>
                    <w:ind w:firstLine="0" w:firstLineChars="0"/>
                    <w:jc w:val="center"/>
                    <w:rPr>
                      <w:rFonts w:hint="eastAsia"/>
                      <w:color w:val="auto"/>
                      <w:szCs w:val="21"/>
                    </w:rPr>
                  </w:pPr>
                  <w:r>
                    <w:rPr>
                      <w:rFonts w:hint="default" w:ascii="Times New Roman" w:hAnsi="Times New Roman" w:eastAsia="宋体" w:cs="Times New Roman"/>
                      <w:color w:val="auto"/>
                      <w:sz w:val="21"/>
                      <w:szCs w:val="21"/>
                      <w:highlight w:val="none"/>
                      <w:lang w:eastAsia="zh-CN"/>
                    </w:rPr>
                    <w:t>异味</w:t>
                  </w:r>
                </w:p>
              </w:tc>
              <w:tc>
                <w:tcPr>
                  <w:tcW w:w="1648" w:type="pct"/>
                  <w:tcBorders>
                    <w:tl2br w:val="nil"/>
                    <w:tr2bl w:val="nil"/>
                  </w:tcBorders>
                  <w:vAlign w:val="center"/>
                </w:tcPr>
                <w:p w14:paraId="7634D4F7">
                  <w:pPr>
                    <w:keepNext w:val="0"/>
                    <w:keepLines w:val="0"/>
                    <w:widowControl w:val="0"/>
                    <w:suppressLineNumbers w:val="0"/>
                    <w:spacing w:before="0" w:beforeAutospacing="0" w:after="0" w:afterAutospacing="0"/>
                    <w:ind w:left="0" w:leftChars="0" w:right="0" w:rightChars="0"/>
                    <w:jc w:val="center"/>
                    <w:rPr>
                      <w:rFonts w:hint="eastAsia"/>
                      <w:color w:val="auto"/>
                      <w:szCs w:val="21"/>
                    </w:rPr>
                  </w:pPr>
                  <w:r>
                    <w:rPr>
                      <w:rFonts w:hint="default" w:ascii="Times New Roman" w:hAnsi="Times New Roman" w:eastAsia="宋体" w:cs="Times New Roman"/>
                      <w:color w:val="auto"/>
                      <w:sz w:val="21"/>
                      <w:szCs w:val="21"/>
                      <w:highlight w:val="none"/>
                      <w:lang w:eastAsia="zh-CN"/>
                    </w:rPr>
                    <w:t>加强管理、日产日清</w:t>
                  </w:r>
                  <w:r>
                    <w:rPr>
                      <w:rFonts w:hint="eastAsia" w:ascii="Times New Roman" w:hAnsi="Times New Roman" w:eastAsia="宋体" w:cs="Times New Roman"/>
                      <w:color w:val="auto"/>
                      <w:sz w:val="21"/>
                      <w:szCs w:val="21"/>
                      <w:highlight w:val="none"/>
                      <w:lang w:eastAsia="zh-CN"/>
                    </w:rPr>
                    <w:t>，加盖设计</w:t>
                  </w:r>
                  <w:r>
                    <w:rPr>
                      <w:rFonts w:hint="default" w:ascii="Times New Roman" w:hAnsi="Times New Roman" w:eastAsia="宋体" w:cs="Times New Roman"/>
                      <w:color w:val="auto"/>
                      <w:sz w:val="21"/>
                      <w:szCs w:val="21"/>
                      <w:highlight w:val="none"/>
                      <w:lang w:eastAsia="zh-CN"/>
                    </w:rPr>
                    <w:t>。</w:t>
                  </w:r>
                </w:p>
              </w:tc>
              <w:tc>
                <w:tcPr>
                  <w:tcW w:w="749" w:type="pct"/>
                  <w:tcBorders>
                    <w:tl2br w:val="nil"/>
                    <w:tr2bl w:val="nil"/>
                  </w:tcBorders>
                  <w:vAlign w:val="center"/>
                </w:tcPr>
                <w:p w14:paraId="1C90F42C">
                  <w:pPr>
                    <w:keepNext w:val="0"/>
                    <w:keepLines w:val="0"/>
                    <w:widowControl w:val="0"/>
                    <w:suppressLineNumbers w:val="0"/>
                    <w:spacing w:before="0" w:beforeAutospacing="0" w:after="0" w:afterAutospacing="0"/>
                    <w:ind w:left="0" w:leftChars="0" w:right="0" w:rightChars="0"/>
                    <w:jc w:val="center"/>
                    <w:rPr>
                      <w:rFonts w:hint="eastAsia"/>
                      <w:color w:val="auto"/>
                      <w:szCs w:val="21"/>
                    </w:rPr>
                  </w:pPr>
                  <w:r>
                    <w:rPr>
                      <w:rFonts w:hint="default" w:ascii="Times New Roman" w:hAnsi="Times New Roman" w:eastAsia="宋体" w:cs="Times New Roman"/>
                      <w:color w:val="auto"/>
                      <w:sz w:val="21"/>
                      <w:szCs w:val="21"/>
                      <w:highlight w:val="none"/>
                    </w:rPr>
                    <w:t>无组织</w:t>
                  </w:r>
                </w:p>
              </w:tc>
            </w:tr>
            <w:tr w14:paraId="759DB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392" w:type="pct"/>
                  <w:vMerge w:val="continue"/>
                  <w:tcBorders>
                    <w:tl2br w:val="nil"/>
                    <w:tr2bl w:val="nil"/>
                  </w:tcBorders>
                  <w:vAlign w:val="center"/>
                </w:tcPr>
                <w:p w14:paraId="34B80DDD">
                  <w:pPr>
                    <w:jc w:val="center"/>
                    <w:rPr>
                      <w:color w:val="auto"/>
                    </w:rPr>
                  </w:pPr>
                </w:p>
              </w:tc>
              <w:tc>
                <w:tcPr>
                  <w:tcW w:w="964" w:type="pct"/>
                  <w:tcBorders>
                    <w:tl2br w:val="nil"/>
                    <w:tr2bl w:val="nil"/>
                  </w:tcBorders>
                  <w:vAlign w:val="center"/>
                </w:tcPr>
                <w:p w14:paraId="4A8C5EDC">
                  <w:pPr>
                    <w:pStyle w:val="28"/>
                    <w:spacing w:after="0"/>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食堂</w:t>
                  </w:r>
                </w:p>
              </w:tc>
              <w:tc>
                <w:tcPr>
                  <w:tcW w:w="1244" w:type="pct"/>
                  <w:tcBorders>
                    <w:tl2br w:val="nil"/>
                    <w:tr2bl w:val="nil"/>
                  </w:tcBorders>
                  <w:vAlign w:val="center"/>
                </w:tcPr>
                <w:p w14:paraId="20519343">
                  <w:pPr>
                    <w:pStyle w:val="28"/>
                    <w:spacing w:after="0"/>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食堂油烟</w:t>
                  </w:r>
                </w:p>
              </w:tc>
              <w:tc>
                <w:tcPr>
                  <w:tcW w:w="1648" w:type="pct"/>
                  <w:tcBorders>
                    <w:tl2br w:val="nil"/>
                    <w:tr2bl w:val="nil"/>
                  </w:tcBorders>
                  <w:vAlign w:val="center"/>
                </w:tcPr>
                <w:p w14:paraId="52E227CE">
                  <w:pPr>
                    <w:pStyle w:val="28"/>
                    <w:spacing w:after="0"/>
                    <w:ind w:firstLine="0" w:firstLineChars="0"/>
                    <w:jc w:val="center"/>
                    <w:rPr>
                      <w:rFonts w:hint="eastAsia"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食堂油烟配套“1台油烟净化设施+排气筒”，油烟净化器净化效率不低于60%。</w:t>
                  </w:r>
                </w:p>
              </w:tc>
              <w:tc>
                <w:tcPr>
                  <w:tcW w:w="749" w:type="pct"/>
                  <w:tcBorders>
                    <w:tl2br w:val="nil"/>
                    <w:tr2bl w:val="nil"/>
                  </w:tcBorders>
                  <w:vAlign w:val="center"/>
                </w:tcPr>
                <w:p w14:paraId="5B7B7C1B">
                  <w:pPr>
                    <w:pStyle w:val="28"/>
                    <w:spacing w:after="0"/>
                    <w:ind w:firstLine="0" w:firstLineChars="0"/>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有组织</w:t>
                  </w:r>
                </w:p>
              </w:tc>
            </w:tr>
            <w:tr w14:paraId="57215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restart"/>
                  <w:tcBorders>
                    <w:tl2br w:val="nil"/>
                    <w:tr2bl w:val="nil"/>
                  </w:tcBorders>
                  <w:vAlign w:val="center"/>
                </w:tcPr>
                <w:p w14:paraId="7DC23E3C">
                  <w:pPr>
                    <w:jc w:val="center"/>
                    <w:rPr>
                      <w:color w:val="auto"/>
                      <w:szCs w:val="21"/>
                    </w:rPr>
                  </w:pPr>
                  <w:r>
                    <w:rPr>
                      <w:color w:val="auto"/>
                      <w:szCs w:val="21"/>
                    </w:rPr>
                    <w:t>废水</w:t>
                  </w:r>
                </w:p>
              </w:tc>
              <w:tc>
                <w:tcPr>
                  <w:tcW w:w="964" w:type="pct"/>
                  <w:tcBorders>
                    <w:tl2br w:val="nil"/>
                    <w:tr2bl w:val="nil"/>
                  </w:tcBorders>
                  <w:vAlign w:val="center"/>
                </w:tcPr>
                <w:p w14:paraId="677653D6">
                  <w:pPr>
                    <w:jc w:val="center"/>
                    <w:rPr>
                      <w:color w:val="auto"/>
                      <w:szCs w:val="21"/>
                    </w:rPr>
                  </w:pPr>
                  <w:r>
                    <w:rPr>
                      <w:rFonts w:hint="eastAsia"/>
                      <w:color w:val="auto"/>
                      <w:szCs w:val="21"/>
                    </w:rPr>
                    <w:t>冷却水（W</w:t>
                  </w:r>
                  <w:r>
                    <w:rPr>
                      <w:rFonts w:hint="eastAsia"/>
                      <w:color w:val="auto"/>
                      <w:szCs w:val="21"/>
                      <w:lang w:val="en-US" w:eastAsia="zh-CN"/>
                    </w:rPr>
                    <w:t>1</w:t>
                  </w:r>
                  <w:r>
                    <w:rPr>
                      <w:rFonts w:hint="eastAsia"/>
                      <w:color w:val="auto"/>
                      <w:szCs w:val="21"/>
                    </w:rPr>
                    <w:t>）</w:t>
                  </w:r>
                </w:p>
              </w:tc>
              <w:tc>
                <w:tcPr>
                  <w:tcW w:w="1244" w:type="pct"/>
                  <w:tcBorders>
                    <w:tl2br w:val="nil"/>
                    <w:tr2bl w:val="nil"/>
                  </w:tcBorders>
                  <w:vAlign w:val="center"/>
                </w:tcPr>
                <w:p w14:paraId="2EB367F9">
                  <w:pPr>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rPr>
                    <w:t>SS</w:t>
                  </w:r>
                </w:p>
              </w:tc>
              <w:tc>
                <w:tcPr>
                  <w:tcW w:w="1648" w:type="pct"/>
                  <w:tcBorders>
                    <w:tl2br w:val="nil"/>
                    <w:tr2bl w:val="nil"/>
                  </w:tcBorders>
                  <w:vAlign w:val="center"/>
                </w:tcPr>
                <w:p w14:paraId="790AD439">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经冷却循环水</w:t>
                  </w:r>
                  <w:r>
                    <w:rPr>
                      <w:rFonts w:hint="eastAsia" w:cs="Times New Roman"/>
                      <w:color w:val="auto"/>
                      <w:szCs w:val="21"/>
                      <w:lang w:val="en-US" w:eastAsia="zh-CN"/>
                    </w:rPr>
                    <w:t>箱</w:t>
                  </w:r>
                  <w:r>
                    <w:rPr>
                      <w:rFonts w:ascii="Times New Roman" w:hAnsi="Times New Roman" w:eastAsia="宋体" w:cs="Times New Roman"/>
                      <w:color w:val="auto"/>
                      <w:szCs w:val="21"/>
                    </w:rPr>
                    <w:t>冷却后循环使用，不外排</w:t>
                  </w:r>
                  <w:r>
                    <w:rPr>
                      <w:rFonts w:hint="eastAsia" w:ascii="Times New Roman" w:hAnsi="Times New Roman" w:eastAsia="宋体" w:cs="Times New Roman"/>
                      <w:color w:val="auto"/>
                      <w:szCs w:val="21"/>
                    </w:rPr>
                    <w:t>。</w:t>
                  </w:r>
                </w:p>
              </w:tc>
              <w:tc>
                <w:tcPr>
                  <w:tcW w:w="749" w:type="pct"/>
                  <w:tcBorders>
                    <w:tl2br w:val="nil"/>
                    <w:tr2bl w:val="nil"/>
                  </w:tcBorders>
                  <w:vAlign w:val="center"/>
                </w:tcPr>
                <w:p w14:paraId="5CD33D86">
                  <w:pPr>
                    <w:jc w:val="center"/>
                    <w:rPr>
                      <w:color w:val="auto"/>
                      <w:szCs w:val="21"/>
                    </w:rPr>
                  </w:pPr>
                  <w:r>
                    <w:rPr>
                      <w:color w:val="auto"/>
                      <w:szCs w:val="21"/>
                    </w:rPr>
                    <w:t>循环使用，不外排</w:t>
                  </w:r>
                </w:p>
              </w:tc>
            </w:tr>
            <w:tr w14:paraId="1B487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392" w:type="pct"/>
                  <w:vMerge w:val="continue"/>
                  <w:tcBorders>
                    <w:tl2br w:val="nil"/>
                    <w:tr2bl w:val="nil"/>
                  </w:tcBorders>
                  <w:vAlign w:val="center"/>
                </w:tcPr>
                <w:p w14:paraId="32578FFD">
                  <w:pPr>
                    <w:jc w:val="center"/>
                    <w:rPr>
                      <w:color w:val="auto"/>
                      <w:szCs w:val="21"/>
                    </w:rPr>
                  </w:pPr>
                </w:p>
              </w:tc>
              <w:tc>
                <w:tcPr>
                  <w:tcW w:w="964" w:type="pct"/>
                  <w:tcBorders>
                    <w:tl2br w:val="nil"/>
                    <w:tr2bl w:val="nil"/>
                  </w:tcBorders>
                  <w:vAlign w:val="center"/>
                </w:tcPr>
                <w:p w14:paraId="59D3452E">
                  <w:pPr>
                    <w:jc w:val="center"/>
                    <w:rPr>
                      <w:color w:val="auto"/>
                      <w:szCs w:val="21"/>
                    </w:rPr>
                  </w:pPr>
                  <w:r>
                    <w:rPr>
                      <w:color w:val="auto"/>
                      <w:szCs w:val="21"/>
                    </w:rPr>
                    <w:t>职工生活</w:t>
                  </w:r>
                </w:p>
              </w:tc>
              <w:tc>
                <w:tcPr>
                  <w:tcW w:w="1244" w:type="pct"/>
                  <w:tcBorders>
                    <w:tl2br w:val="nil"/>
                    <w:tr2bl w:val="nil"/>
                  </w:tcBorders>
                  <w:vAlign w:val="center"/>
                </w:tcPr>
                <w:p w14:paraId="7B6A7947">
                  <w:pPr>
                    <w:jc w:val="center"/>
                    <w:rPr>
                      <w:color w:val="auto"/>
                      <w:szCs w:val="21"/>
                    </w:rPr>
                  </w:pPr>
                  <w:r>
                    <w:rPr>
                      <w:rFonts w:hint="eastAsia"/>
                      <w:color w:val="auto"/>
                      <w:szCs w:val="21"/>
                      <w:lang w:val="en-US" w:eastAsia="zh-CN"/>
                    </w:rPr>
                    <w:t>PH、</w:t>
                  </w:r>
                  <w:r>
                    <w:rPr>
                      <w:color w:val="auto"/>
                      <w:szCs w:val="21"/>
                    </w:rPr>
                    <w:t>COD、BOD</w:t>
                  </w:r>
                  <w:r>
                    <w:rPr>
                      <w:color w:val="auto"/>
                      <w:szCs w:val="21"/>
                      <w:vertAlign w:val="subscript"/>
                    </w:rPr>
                    <w:t>5</w:t>
                  </w:r>
                  <w:r>
                    <w:rPr>
                      <w:color w:val="auto"/>
                      <w:szCs w:val="21"/>
                    </w:rPr>
                    <w:t>、SS、NH</w:t>
                  </w:r>
                  <w:r>
                    <w:rPr>
                      <w:color w:val="auto"/>
                      <w:szCs w:val="21"/>
                      <w:vertAlign w:val="subscript"/>
                    </w:rPr>
                    <w:t>3</w:t>
                  </w:r>
                  <w:r>
                    <w:rPr>
                      <w:color w:val="auto"/>
                      <w:szCs w:val="21"/>
                    </w:rPr>
                    <w:t>-N</w:t>
                  </w:r>
                  <w:r>
                    <w:rPr>
                      <w:rFonts w:hint="eastAsia"/>
                      <w:color w:val="auto"/>
                      <w:szCs w:val="21"/>
                    </w:rPr>
                    <w:t>、TP、动植物油</w:t>
                  </w:r>
                </w:p>
              </w:tc>
              <w:tc>
                <w:tcPr>
                  <w:tcW w:w="1648" w:type="pct"/>
                  <w:tcBorders>
                    <w:tl2br w:val="nil"/>
                    <w:tr2bl w:val="nil"/>
                  </w:tcBorders>
                  <w:vAlign w:val="center"/>
                </w:tcPr>
                <w:p w14:paraId="1B339F19">
                  <w:pPr>
                    <w:pStyle w:val="83"/>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right="0" w:firstLine="420" w:firstLineChars="200"/>
                    <w:textAlignment w:val="auto"/>
                    <w:rPr>
                      <w:color w:val="auto"/>
                      <w:szCs w:val="21"/>
                    </w:rPr>
                  </w:pP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cs="Times New Roman"/>
                      <w:b w:val="0"/>
                      <w:bCs w:val="0"/>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后</w:t>
                  </w:r>
                  <w:r>
                    <w:rPr>
                      <w:rFonts w:hint="default" w:ascii="Times New Roman" w:hAnsi="Times New Roman" w:eastAsia="宋体" w:cs="Times New Roman"/>
                      <w:color w:val="auto"/>
                      <w:sz w:val="21"/>
                      <w:szCs w:val="21"/>
                      <w:highlight w:val="none"/>
                      <w:lang w:val="en-US" w:eastAsia="zh-CN"/>
                    </w:rPr>
                    <w:t>再进入到</w:t>
                  </w:r>
                  <w:r>
                    <w:rPr>
                      <w:rFonts w:hint="eastAsia" w:ascii="Times New Roman" w:hAnsi="Times New Roman" w:eastAsia="宋体" w:cs="Times New Roman"/>
                      <w:color w:val="auto"/>
                      <w:sz w:val="21"/>
                      <w:szCs w:val="21"/>
                      <w:highlight w:val="none"/>
                      <w:lang w:val="en-US" w:eastAsia="zh-CN"/>
                    </w:rPr>
                    <w:t>依托的一体化污水处理站</w:t>
                  </w:r>
                  <w:r>
                    <w:rPr>
                      <w:rFonts w:hint="default" w:ascii="Times New Roman" w:hAnsi="Times New Roman" w:eastAsia="宋体" w:cs="Times New Roman"/>
                      <w:color w:val="auto"/>
                      <w:sz w:val="21"/>
                      <w:szCs w:val="21"/>
                      <w:highlight w:val="none"/>
                      <w:lang w:val="en-US" w:eastAsia="zh-CN"/>
                    </w:rPr>
                    <w:t>处理</w:t>
                  </w:r>
                  <w:r>
                    <w:rPr>
                      <w:rFonts w:hint="eastAsia" w:ascii="Times New Roman" w:hAnsi="Times New Roman" w:eastAsia="宋体" w:cs="Times New Roman"/>
                      <w:color w:val="auto"/>
                      <w:sz w:val="21"/>
                      <w:szCs w:val="21"/>
                      <w:highlight w:val="none"/>
                      <w:lang w:val="en-US" w:eastAsia="zh-CN"/>
                    </w:rPr>
                    <w:t>达到</w:t>
                  </w:r>
                  <w:r>
                    <w:rPr>
                      <w:rFonts w:hint="default" w:ascii="Times New Roman" w:hAnsi="Times New Roman" w:eastAsia="宋体" w:cs="Times New Roman"/>
                      <w:b w:val="0"/>
                      <w:bCs w:val="0"/>
                      <w:color w:val="auto"/>
                      <w:sz w:val="21"/>
                      <w:szCs w:val="21"/>
                      <w:highlight w:val="none"/>
                      <w:lang w:val="en-US" w:eastAsia="zh-CN"/>
                    </w:rPr>
                    <w:t>《城市污水再生利用 城市杂用水水质》（GB/T18920-2020）中的城市绿化、道路清扫、消防、建筑施工标准后，用于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tc>
              <w:tc>
                <w:tcPr>
                  <w:tcW w:w="749" w:type="pct"/>
                  <w:tcBorders>
                    <w:tl2br w:val="nil"/>
                    <w:tr2bl w:val="nil"/>
                  </w:tcBorders>
                  <w:vAlign w:val="center"/>
                </w:tcPr>
                <w:p w14:paraId="07D0C5CB">
                  <w:pPr>
                    <w:jc w:val="center"/>
                    <w:rPr>
                      <w:color w:val="auto"/>
                      <w:szCs w:val="21"/>
                    </w:rPr>
                  </w:pPr>
                  <w:r>
                    <w:rPr>
                      <w:rFonts w:hint="eastAsia"/>
                      <w:color w:val="auto"/>
                      <w:szCs w:val="21"/>
                      <w:lang w:eastAsia="zh-CN"/>
                    </w:rPr>
                    <w:t>不外排</w:t>
                  </w:r>
                </w:p>
              </w:tc>
            </w:tr>
            <w:tr w14:paraId="518EC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392" w:type="pct"/>
                  <w:vMerge w:val="restart"/>
                  <w:tcBorders>
                    <w:tl2br w:val="nil"/>
                    <w:tr2bl w:val="nil"/>
                  </w:tcBorders>
                  <w:vAlign w:val="center"/>
                </w:tcPr>
                <w:p w14:paraId="0BA206B1">
                  <w:pPr>
                    <w:jc w:val="center"/>
                    <w:rPr>
                      <w:color w:val="auto"/>
                      <w:szCs w:val="21"/>
                    </w:rPr>
                  </w:pPr>
                  <w:r>
                    <w:rPr>
                      <w:color w:val="auto"/>
                      <w:szCs w:val="21"/>
                    </w:rPr>
                    <w:t>固废</w:t>
                  </w:r>
                </w:p>
              </w:tc>
              <w:tc>
                <w:tcPr>
                  <w:tcW w:w="964" w:type="pct"/>
                  <w:tcBorders>
                    <w:tl2br w:val="nil"/>
                    <w:tr2bl w:val="nil"/>
                  </w:tcBorders>
                  <w:vAlign w:val="center"/>
                </w:tcPr>
                <w:p w14:paraId="3387CEE2">
                  <w:pPr>
                    <w:jc w:val="center"/>
                    <w:rPr>
                      <w:rFonts w:hint="eastAsia" w:eastAsia="宋体"/>
                      <w:color w:val="auto"/>
                      <w:szCs w:val="21"/>
                      <w:lang w:eastAsia="zh-CN"/>
                    </w:rPr>
                  </w:pPr>
                  <w:r>
                    <w:rPr>
                      <w:color w:val="auto"/>
                      <w:szCs w:val="21"/>
                    </w:rPr>
                    <w:t>原辅料开包（S</w:t>
                  </w:r>
                  <w:r>
                    <w:rPr>
                      <w:rFonts w:hint="eastAsia"/>
                      <w:color w:val="auto"/>
                      <w:szCs w:val="21"/>
                      <w:lang w:val="en-US" w:eastAsia="zh-CN"/>
                    </w:rPr>
                    <w:t>1</w:t>
                  </w:r>
                  <w:r>
                    <w:rPr>
                      <w:color w:val="auto"/>
                      <w:szCs w:val="21"/>
                    </w:rPr>
                    <w:t>）</w:t>
                  </w:r>
                </w:p>
              </w:tc>
              <w:tc>
                <w:tcPr>
                  <w:tcW w:w="1244" w:type="pct"/>
                  <w:tcBorders>
                    <w:tl2br w:val="nil"/>
                    <w:tr2bl w:val="nil"/>
                  </w:tcBorders>
                  <w:vAlign w:val="center"/>
                </w:tcPr>
                <w:p w14:paraId="51661FD9">
                  <w:pPr>
                    <w:jc w:val="center"/>
                    <w:rPr>
                      <w:color w:val="auto"/>
                      <w:szCs w:val="21"/>
                    </w:rPr>
                  </w:pPr>
                  <w:r>
                    <w:rPr>
                      <w:color w:val="auto"/>
                      <w:szCs w:val="21"/>
                    </w:rPr>
                    <w:t>废包装材料</w:t>
                  </w:r>
                </w:p>
              </w:tc>
              <w:tc>
                <w:tcPr>
                  <w:tcW w:w="1648" w:type="pct"/>
                  <w:tcBorders>
                    <w:tl2br w:val="nil"/>
                    <w:tr2bl w:val="nil"/>
                  </w:tcBorders>
                  <w:vAlign w:val="center"/>
                </w:tcPr>
                <w:p w14:paraId="20F2986F">
                  <w:pPr>
                    <w:jc w:val="center"/>
                    <w:rPr>
                      <w:color w:val="auto"/>
                      <w:szCs w:val="21"/>
                    </w:rPr>
                  </w:pPr>
                  <w:r>
                    <w:rPr>
                      <w:color w:val="auto"/>
                      <w:szCs w:val="21"/>
                    </w:rPr>
                    <w:t>收集暂存于一般固废暂存</w:t>
                  </w:r>
                  <w:r>
                    <w:rPr>
                      <w:rFonts w:hint="eastAsia"/>
                      <w:color w:val="auto"/>
                      <w:szCs w:val="21"/>
                      <w:lang w:val="en-US" w:eastAsia="zh-CN"/>
                    </w:rPr>
                    <w:t>间</w:t>
                  </w:r>
                  <w:r>
                    <w:rPr>
                      <w:color w:val="auto"/>
                      <w:szCs w:val="21"/>
                    </w:rPr>
                    <w:t>后，定期外卖废品收购站。</w:t>
                  </w:r>
                </w:p>
              </w:tc>
              <w:tc>
                <w:tcPr>
                  <w:tcW w:w="749" w:type="pct"/>
                  <w:vMerge w:val="restart"/>
                  <w:tcBorders>
                    <w:tl2br w:val="nil"/>
                    <w:tr2bl w:val="nil"/>
                  </w:tcBorders>
                  <w:vAlign w:val="center"/>
                </w:tcPr>
                <w:p w14:paraId="1EDB18C3">
                  <w:pPr>
                    <w:jc w:val="center"/>
                    <w:rPr>
                      <w:color w:val="auto"/>
                      <w:szCs w:val="21"/>
                    </w:rPr>
                  </w:pPr>
                  <w:r>
                    <w:rPr>
                      <w:color w:val="auto"/>
                      <w:szCs w:val="21"/>
                    </w:rPr>
                    <w:t>合理处置，处置率100%</w:t>
                  </w:r>
                </w:p>
              </w:tc>
            </w:tr>
            <w:tr w14:paraId="49EB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92" w:type="pct"/>
                  <w:vMerge w:val="continue"/>
                  <w:tcBorders>
                    <w:tl2br w:val="nil"/>
                    <w:tr2bl w:val="nil"/>
                  </w:tcBorders>
                  <w:vAlign w:val="center"/>
                </w:tcPr>
                <w:p w14:paraId="4EC420F5">
                  <w:pPr>
                    <w:jc w:val="center"/>
                    <w:rPr>
                      <w:color w:val="auto"/>
                      <w:szCs w:val="21"/>
                    </w:rPr>
                  </w:pPr>
                </w:p>
              </w:tc>
              <w:tc>
                <w:tcPr>
                  <w:tcW w:w="964" w:type="pct"/>
                  <w:tcBorders>
                    <w:tl2br w:val="nil"/>
                    <w:tr2bl w:val="nil"/>
                  </w:tcBorders>
                  <w:vAlign w:val="center"/>
                </w:tcPr>
                <w:p w14:paraId="28E7F3AE">
                  <w:pPr>
                    <w:jc w:val="center"/>
                    <w:rPr>
                      <w:rFonts w:hint="eastAsia" w:eastAsia="宋体"/>
                      <w:color w:val="auto"/>
                      <w:szCs w:val="21"/>
                      <w:lang w:val="en-US" w:eastAsia="zh-CN"/>
                    </w:rPr>
                  </w:pPr>
                  <w:r>
                    <w:rPr>
                      <w:rFonts w:hint="eastAsia"/>
                      <w:color w:val="auto"/>
                      <w:szCs w:val="21"/>
                      <w:lang w:val="en-US" w:eastAsia="zh-CN"/>
                    </w:rPr>
                    <w:t>注塑（S2）</w:t>
                  </w:r>
                </w:p>
              </w:tc>
              <w:tc>
                <w:tcPr>
                  <w:tcW w:w="1244" w:type="pct"/>
                  <w:tcBorders>
                    <w:tl2br w:val="nil"/>
                    <w:tr2bl w:val="nil"/>
                  </w:tcBorders>
                  <w:vAlign w:val="center"/>
                </w:tcPr>
                <w:p w14:paraId="36A29910">
                  <w:pPr>
                    <w:jc w:val="center"/>
                    <w:rPr>
                      <w:color w:val="auto"/>
                      <w:szCs w:val="21"/>
                    </w:rPr>
                  </w:pPr>
                  <w:r>
                    <w:rPr>
                      <w:rFonts w:hint="default"/>
                      <w:color w:val="auto"/>
                      <w:szCs w:val="21"/>
                      <w:lang w:eastAsia="zh-CN"/>
                    </w:rPr>
                    <w:t>未成型的</w:t>
                  </w:r>
                  <w:r>
                    <w:rPr>
                      <w:rFonts w:hint="default"/>
                      <w:color w:val="auto"/>
                      <w:szCs w:val="21"/>
                      <w:lang w:val="en-US" w:eastAsia="zh-CN"/>
                    </w:rPr>
                    <w:t>产品</w:t>
                  </w:r>
                </w:p>
              </w:tc>
              <w:tc>
                <w:tcPr>
                  <w:tcW w:w="1648" w:type="pct"/>
                  <w:vMerge w:val="restart"/>
                  <w:tcBorders>
                    <w:tl2br w:val="nil"/>
                    <w:tr2bl w:val="nil"/>
                  </w:tcBorders>
                  <w:vAlign w:val="center"/>
                </w:tcPr>
                <w:p w14:paraId="3F801640">
                  <w:pPr>
                    <w:jc w:val="center"/>
                    <w:rPr>
                      <w:color w:val="auto"/>
                      <w:szCs w:val="21"/>
                    </w:rPr>
                  </w:pPr>
                  <w:r>
                    <w:rPr>
                      <w:color w:val="auto"/>
                      <w:szCs w:val="21"/>
                    </w:rPr>
                    <w:t>收集</w:t>
                  </w:r>
                  <w:r>
                    <w:rPr>
                      <w:rFonts w:hint="eastAsia"/>
                      <w:color w:val="auto"/>
                      <w:szCs w:val="21"/>
                    </w:rPr>
                    <w:t>破碎后</w:t>
                  </w:r>
                  <w:r>
                    <w:rPr>
                      <w:color w:val="auto"/>
                      <w:szCs w:val="21"/>
                    </w:rPr>
                    <w:t>暂存于一般固废暂存</w:t>
                  </w:r>
                  <w:r>
                    <w:rPr>
                      <w:rFonts w:hint="eastAsia"/>
                      <w:color w:val="auto"/>
                      <w:szCs w:val="21"/>
                      <w:lang w:val="en-US" w:eastAsia="zh-CN"/>
                    </w:rPr>
                    <w:t>间</w:t>
                  </w:r>
                  <w:r>
                    <w:rPr>
                      <w:color w:val="auto"/>
                      <w:szCs w:val="21"/>
                    </w:rPr>
                    <w:t>后，定期</w:t>
                  </w:r>
                  <w:r>
                    <w:rPr>
                      <w:rFonts w:hint="eastAsia"/>
                      <w:color w:val="auto"/>
                      <w:szCs w:val="21"/>
                    </w:rPr>
                    <w:t>外售</w:t>
                  </w:r>
                  <w:r>
                    <w:rPr>
                      <w:color w:val="auto"/>
                      <w:szCs w:val="21"/>
                    </w:rPr>
                    <w:t>。</w:t>
                  </w:r>
                </w:p>
                <w:p w14:paraId="5CFA4DD2">
                  <w:pPr>
                    <w:jc w:val="center"/>
                    <w:rPr>
                      <w:rFonts w:hint="eastAsia" w:eastAsia="宋体"/>
                      <w:color w:val="auto"/>
                      <w:szCs w:val="21"/>
                      <w:lang w:eastAsia="zh-CN"/>
                    </w:rPr>
                  </w:pPr>
                </w:p>
              </w:tc>
              <w:tc>
                <w:tcPr>
                  <w:tcW w:w="749" w:type="pct"/>
                  <w:vMerge w:val="continue"/>
                  <w:tcBorders>
                    <w:tl2br w:val="nil"/>
                    <w:tr2bl w:val="nil"/>
                  </w:tcBorders>
                  <w:vAlign w:val="center"/>
                </w:tcPr>
                <w:p w14:paraId="0A9D72BC">
                  <w:pPr>
                    <w:jc w:val="center"/>
                    <w:rPr>
                      <w:color w:val="auto"/>
                      <w:szCs w:val="21"/>
                    </w:rPr>
                  </w:pPr>
                </w:p>
              </w:tc>
            </w:tr>
            <w:tr w14:paraId="4A839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92" w:type="pct"/>
                  <w:vMerge w:val="continue"/>
                  <w:tcBorders>
                    <w:tl2br w:val="nil"/>
                    <w:tr2bl w:val="nil"/>
                  </w:tcBorders>
                  <w:vAlign w:val="center"/>
                </w:tcPr>
                <w:p w14:paraId="3B2E45F8">
                  <w:pPr>
                    <w:jc w:val="center"/>
                    <w:rPr>
                      <w:color w:val="auto"/>
                      <w:szCs w:val="21"/>
                    </w:rPr>
                  </w:pPr>
                </w:p>
              </w:tc>
              <w:tc>
                <w:tcPr>
                  <w:tcW w:w="964" w:type="pct"/>
                  <w:tcBorders>
                    <w:tl2br w:val="nil"/>
                    <w:tr2bl w:val="nil"/>
                  </w:tcBorders>
                  <w:vAlign w:val="center"/>
                </w:tcPr>
                <w:p w14:paraId="2D1562FE">
                  <w:pPr>
                    <w:jc w:val="center"/>
                    <w:rPr>
                      <w:color w:val="auto"/>
                      <w:szCs w:val="21"/>
                    </w:rPr>
                  </w:pPr>
                  <w:r>
                    <w:rPr>
                      <w:rFonts w:hint="eastAsia"/>
                      <w:color w:val="auto"/>
                      <w:szCs w:val="21"/>
                    </w:rPr>
                    <w:t>切割</w:t>
                  </w:r>
                  <w:r>
                    <w:rPr>
                      <w:color w:val="auto"/>
                      <w:szCs w:val="21"/>
                    </w:rPr>
                    <w:t>（</w:t>
                  </w:r>
                  <w:r>
                    <w:rPr>
                      <w:color w:val="auto"/>
                      <w:szCs w:val="21"/>
                      <w:lang w:eastAsia="en-US"/>
                    </w:rPr>
                    <w:t>S</w:t>
                  </w:r>
                  <w:r>
                    <w:rPr>
                      <w:rFonts w:hint="eastAsia"/>
                      <w:color w:val="auto"/>
                      <w:szCs w:val="21"/>
                      <w:lang w:val="en-US" w:eastAsia="zh-CN"/>
                    </w:rPr>
                    <w:t>3</w:t>
                  </w:r>
                  <w:r>
                    <w:rPr>
                      <w:color w:val="auto"/>
                      <w:szCs w:val="21"/>
                    </w:rPr>
                    <w:t>）</w:t>
                  </w:r>
                </w:p>
              </w:tc>
              <w:tc>
                <w:tcPr>
                  <w:tcW w:w="1244" w:type="pct"/>
                  <w:tcBorders>
                    <w:tl2br w:val="nil"/>
                    <w:tr2bl w:val="nil"/>
                  </w:tcBorders>
                  <w:vAlign w:val="center"/>
                </w:tcPr>
                <w:p w14:paraId="080A07FA">
                  <w:pPr>
                    <w:jc w:val="center"/>
                    <w:rPr>
                      <w:color w:val="auto"/>
                      <w:szCs w:val="21"/>
                    </w:rPr>
                  </w:pPr>
                  <w:r>
                    <w:rPr>
                      <w:color w:val="auto"/>
                      <w:szCs w:val="21"/>
                    </w:rPr>
                    <w:t>边角料</w:t>
                  </w:r>
                </w:p>
              </w:tc>
              <w:tc>
                <w:tcPr>
                  <w:tcW w:w="1648" w:type="pct"/>
                  <w:vMerge w:val="continue"/>
                  <w:tcBorders>
                    <w:tl2br w:val="nil"/>
                    <w:tr2bl w:val="nil"/>
                  </w:tcBorders>
                  <w:vAlign w:val="center"/>
                </w:tcPr>
                <w:p w14:paraId="38F7333C">
                  <w:pPr>
                    <w:jc w:val="center"/>
                    <w:rPr>
                      <w:rFonts w:hint="eastAsia" w:eastAsia="宋体"/>
                      <w:color w:val="auto"/>
                      <w:szCs w:val="21"/>
                      <w:lang w:eastAsia="zh-CN"/>
                    </w:rPr>
                  </w:pPr>
                </w:p>
              </w:tc>
              <w:tc>
                <w:tcPr>
                  <w:tcW w:w="749" w:type="pct"/>
                  <w:vMerge w:val="continue"/>
                  <w:tcBorders>
                    <w:tl2br w:val="nil"/>
                    <w:tr2bl w:val="nil"/>
                  </w:tcBorders>
                  <w:vAlign w:val="center"/>
                </w:tcPr>
                <w:p w14:paraId="2A2405C6">
                  <w:pPr>
                    <w:jc w:val="center"/>
                    <w:rPr>
                      <w:color w:val="auto"/>
                      <w:szCs w:val="21"/>
                    </w:rPr>
                  </w:pPr>
                </w:p>
              </w:tc>
            </w:tr>
            <w:tr w14:paraId="5FEDF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tl2br w:val="nil"/>
                    <w:tr2bl w:val="nil"/>
                  </w:tcBorders>
                  <w:vAlign w:val="center"/>
                </w:tcPr>
                <w:p w14:paraId="424D8736">
                  <w:pPr>
                    <w:jc w:val="center"/>
                    <w:rPr>
                      <w:color w:val="auto"/>
                      <w:szCs w:val="21"/>
                    </w:rPr>
                  </w:pPr>
                </w:p>
              </w:tc>
              <w:tc>
                <w:tcPr>
                  <w:tcW w:w="964" w:type="pct"/>
                  <w:tcBorders>
                    <w:tl2br w:val="nil"/>
                    <w:tr2bl w:val="nil"/>
                  </w:tcBorders>
                  <w:vAlign w:val="center"/>
                </w:tcPr>
                <w:p w14:paraId="7BAB4514">
                  <w:pPr>
                    <w:jc w:val="center"/>
                    <w:rPr>
                      <w:color w:val="auto"/>
                      <w:szCs w:val="21"/>
                    </w:rPr>
                  </w:pPr>
                  <w:r>
                    <w:rPr>
                      <w:rFonts w:hint="eastAsia"/>
                      <w:color w:val="auto"/>
                      <w:szCs w:val="21"/>
                    </w:rPr>
                    <w:t>检验</w:t>
                  </w:r>
                  <w:r>
                    <w:rPr>
                      <w:color w:val="auto"/>
                      <w:szCs w:val="21"/>
                    </w:rPr>
                    <w:t>（</w:t>
                  </w:r>
                  <w:r>
                    <w:rPr>
                      <w:color w:val="auto"/>
                      <w:szCs w:val="21"/>
                      <w:lang w:eastAsia="en-US"/>
                    </w:rPr>
                    <w:t>S</w:t>
                  </w:r>
                  <w:r>
                    <w:rPr>
                      <w:rFonts w:hint="eastAsia"/>
                      <w:color w:val="auto"/>
                      <w:szCs w:val="21"/>
                      <w:lang w:val="en-US" w:eastAsia="zh-CN"/>
                    </w:rPr>
                    <w:t>4</w:t>
                  </w:r>
                  <w:r>
                    <w:rPr>
                      <w:color w:val="auto"/>
                      <w:szCs w:val="21"/>
                    </w:rPr>
                    <w:t>）</w:t>
                  </w:r>
                </w:p>
              </w:tc>
              <w:tc>
                <w:tcPr>
                  <w:tcW w:w="1244" w:type="pct"/>
                  <w:tcBorders>
                    <w:tl2br w:val="nil"/>
                    <w:tr2bl w:val="nil"/>
                  </w:tcBorders>
                  <w:vAlign w:val="center"/>
                </w:tcPr>
                <w:p w14:paraId="610F579A">
                  <w:pPr>
                    <w:jc w:val="center"/>
                    <w:rPr>
                      <w:color w:val="auto"/>
                      <w:szCs w:val="21"/>
                    </w:rPr>
                  </w:pPr>
                  <w:r>
                    <w:rPr>
                      <w:rFonts w:hint="eastAsia"/>
                      <w:color w:val="auto"/>
                      <w:szCs w:val="21"/>
                    </w:rPr>
                    <w:t>不合格产品</w:t>
                  </w:r>
                </w:p>
              </w:tc>
              <w:tc>
                <w:tcPr>
                  <w:tcW w:w="1648" w:type="pct"/>
                  <w:vMerge w:val="continue"/>
                  <w:tcBorders>
                    <w:tl2br w:val="nil"/>
                    <w:tr2bl w:val="nil"/>
                  </w:tcBorders>
                  <w:vAlign w:val="center"/>
                </w:tcPr>
                <w:p w14:paraId="24642BA7">
                  <w:pPr>
                    <w:jc w:val="center"/>
                    <w:rPr>
                      <w:rFonts w:hint="eastAsia" w:eastAsia="宋体"/>
                      <w:color w:val="auto"/>
                      <w:szCs w:val="21"/>
                      <w:lang w:eastAsia="zh-CN"/>
                    </w:rPr>
                  </w:pPr>
                </w:p>
              </w:tc>
              <w:tc>
                <w:tcPr>
                  <w:tcW w:w="749" w:type="pct"/>
                  <w:vMerge w:val="continue"/>
                  <w:tcBorders>
                    <w:tl2br w:val="nil"/>
                    <w:tr2bl w:val="nil"/>
                  </w:tcBorders>
                  <w:vAlign w:val="center"/>
                </w:tcPr>
                <w:p w14:paraId="6180B6B2">
                  <w:pPr>
                    <w:jc w:val="center"/>
                    <w:rPr>
                      <w:color w:val="auto"/>
                      <w:szCs w:val="21"/>
                    </w:rPr>
                  </w:pPr>
                </w:p>
              </w:tc>
            </w:tr>
            <w:tr w14:paraId="313C3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tl2br w:val="nil"/>
                    <w:tr2bl w:val="nil"/>
                  </w:tcBorders>
                  <w:vAlign w:val="center"/>
                </w:tcPr>
                <w:p w14:paraId="5051D9D4">
                  <w:pPr>
                    <w:jc w:val="center"/>
                    <w:rPr>
                      <w:color w:val="auto"/>
                      <w:szCs w:val="21"/>
                    </w:rPr>
                  </w:pPr>
                </w:p>
              </w:tc>
              <w:tc>
                <w:tcPr>
                  <w:tcW w:w="964" w:type="pct"/>
                  <w:tcBorders>
                    <w:tl2br w:val="nil"/>
                    <w:tr2bl w:val="nil"/>
                  </w:tcBorders>
                  <w:vAlign w:val="center"/>
                </w:tcPr>
                <w:p w14:paraId="34CC5C33">
                  <w:pPr>
                    <w:jc w:val="center"/>
                    <w:rPr>
                      <w:color w:val="auto"/>
                      <w:szCs w:val="21"/>
                    </w:rPr>
                  </w:pPr>
                  <w:r>
                    <w:rPr>
                      <w:color w:val="auto"/>
                      <w:szCs w:val="21"/>
                    </w:rPr>
                    <w:t>废气处理（</w:t>
                  </w:r>
                  <w:r>
                    <w:rPr>
                      <w:color w:val="auto"/>
                      <w:szCs w:val="21"/>
                      <w:lang w:eastAsia="en-US"/>
                    </w:rPr>
                    <w:t>S</w:t>
                  </w:r>
                  <w:r>
                    <w:rPr>
                      <w:rFonts w:hint="eastAsia"/>
                      <w:color w:val="auto"/>
                      <w:szCs w:val="21"/>
                      <w:lang w:val="en-US" w:eastAsia="zh-CN"/>
                    </w:rPr>
                    <w:t>5</w:t>
                  </w:r>
                  <w:r>
                    <w:rPr>
                      <w:color w:val="auto"/>
                      <w:szCs w:val="21"/>
                    </w:rPr>
                    <w:t>）</w:t>
                  </w:r>
                </w:p>
              </w:tc>
              <w:tc>
                <w:tcPr>
                  <w:tcW w:w="1244" w:type="pct"/>
                  <w:tcBorders>
                    <w:tl2br w:val="nil"/>
                    <w:tr2bl w:val="nil"/>
                  </w:tcBorders>
                  <w:vAlign w:val="center"/>
                </w:tcPr>
                <w:p w14:paraId="338512E6">
                  <w:pPr>
                    <w:jc w:val="center"/>
                    <w:rPr>
                      <w:color w:val="auto"/>
                      <w:szCs w:val="21"/>
                    </w:rPr>
                  </w:pPr>
                  <w:r>
                    <w:rPr>
                      <w:color w:val="auto"/>
                      <w:szCs w:val="21"/>
                    </w:rPr>
                    <w:t>废活性炭</w:t>
                  </w:r>
                </w:p>
              </w:tc>
              <w:tc>
                <w:tcPr>
                  <w:tcW w:w="1648" w:type="pct"/>
                  <w:tcBorders>
                    <w:tl2br w:val="nil"/>
                    <w:tr2bl w:val="nil"/>
                  </w:tcBorders>
                  <w:vAlign w:val="center"/>
                </w:tcPr>
                <w:p w14:paraId="5DB90F68">
                  <w:pPr>
                    <w:jc w:val="center"/>
                    <w:rPr>
                      <w:color w:val="auto"/>
                      <w:szCs w:val="21"/>
                      <w:lang w:val="zh-CN"/>
                    </w:rPr>
                  </w:pPr>
                  <w:r>
                    <w:rPr>
                      <w:color w:val="auto"/>
                      <w:szCs w:val="21"/>
                    </w:rPr>
                    <w:t>统一收集后暂存于</w:t>
                  </w:r>
                  <w:r>
                    <w:rPr>
                      <w:rFonts w:hint="eastAsia"/>
                      <w:color w:val="auto"/>
                      <w:szCs w:val="21"/>
                      <w:lang w:val="en-US" w:eastAsia="zh-CN"/>
                    </w:rPr>
                    <w:t>危险废物贮存库</w:t>
                  </w:r>
                  <w:r>
                    <w:rPr>
                      <w:color w:val="auto"/>
                      <w:szCs w:val="21"/>
                    </w:rPr>
                    <w:t>，委托有资质的单位定期清运处置。</w:t>
                  </w:r>
                </w:p>
              </w:tc>
              <w:tc>
                <w:tcPr>
                  <w:tcW w:w="749" w:type="pct"/>
                  <w:vMerge w:val="continue"/>
                  <w:tcBorders>
                    <w:tl2br w:val="nil"/>
                    <w:tr2bl w:val="nil"/>
                  </w:tcBorders>
                  <w:vAlign w:val="center"/>
                </w:tcPr>
                <w:p w14:paraId="481E1E79">
                  <w:pPr>
                    <w:jc w:val="center"/>
                    <w:rPr>
                      <w:color w:val="auto"/>
                      <w:szCs w:val="21"/>
                    </w:rPr>
                  </w:pPr>
                </w:p>
              </w:tc>
            </w:tr>
            <w:tr w14:paraId="50696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tl2br w:val="nil"/>
                    <w:tr2bl w:val="nil"/>
                  </w:tcBorders>
                  <w:vAlign w:val="center"/>
                </w:tcPr>
                <w:p w14:paraId="22E44B76">
                  <w:pPr>
                    <w:jc w:val="center"/>
                    <w:rPr>
                      <w:color w:val="auto"/>
                      <w:szCs w:val="21"/>
                    </w:rPr>
                  </w:pPr>
                </w:p>
              </w:tc>
              <w:tc>
                <w:tcPr>
                  <w:tcW w:w="964" w:type="pct"/>
                  <w:tcBorders>
                    <w:tl2br w:val="nil"/>
                    <w:tr2bl w:val="nil"/>
                  </w:tcBorders>
                  <w:vAlign w:val="center"/>
                </w:tcPr>
                <w:p w14:paraId="25F8C5DC">
                  <w:pPr>
                    <w:jc w:val="center"/>
                    <w:rPr>
                      <w:rFonts w:hint="eastAsia" w:eastAsia="宋体"/>
                      <w:color w:val="auto"/>
                      <w:sz w:val="21"/>
                      <w:szCs w:val="21"/>
                      <w:lang w:val="en-US" w:eastAsia="zh-CN"/>
                    </w:rPr>
                  </w:pPr>
                  <w:r>
                    <w:rPr>
                      <w:rFonts w:hint="eastAsia"/>
                      <w:color w:val="auto"/>
                      <w:sz w:val="21"/>
                      <w:szCs w:val="21"/>
                      <w:lang w:val="en-US" w:eastAsia="zh-CN"/>
                    </w:rPr>
                    <w:t>废气处理（S6）</w:t>
                  </w:r>
                </w:p>
              </w:tc>
              <w:tc>
                <w:tcPr>
                  <w:tcW w:w="1244" w:type="pct"/>
                  <w:tcBorders>
                    <w:tl2br w:val="nil"/>
                    <w:tr2bl w:val="nil"/>
                  </w:tcBorders>
                  <w:vAlign w:val="center"/>
                </w:tcPr>
                <w:p w14:paraId="2D1E1654">
                  <w:pPr>
                    <w:jc w:val="center"/>
                    <w:rPr>
                      <w:rFonts w:hint="default" w:eastAsia="宋体"/>
                      <w:color w:val="auto"/>
                      <w:sz w:val="21"/>
                      <w:szCs w:val="21"/>
                      <w:lang w:val="en-US" w:eastAsia="zh-CN"/>
                    </w:rPr>
                  </w:pPr>
                  <w:r>
                    <w:rPr>
                      <w:rFonts w:hint="eastAsia"/>
                      <w:color w:val="auto"/>
                      <w:sz w:val="21"/>
                      <w:szCs w:val="21"/>
                      <w:lang w:val="en-US" w:eastAsia="zh-CN"/>
                    </w:rPr>
                    <w:t>布袋除尘器除尘灰</w:t>
                  </w:r>
                </w:p>
              </w:tc>
              <w:tc>
                <w:tcPr>
                  <w:tcW w:w="1648" w:type="pct"/>
                  <w:tcBorders>
                    <w:tl2br w:val="nil"/>
                    <w:tr2bl w:val="nil"/>
                  </w:tcBorders>
                  <w:vAlign w:val="center"/>
                </w:tcPr>
                <w:p w14:paraId="707B9AF1">
                  <w:pPr>
                    <w:jc w:val="center"/>
                    <w:rPr>
                      <w:rFonts w:hint="default" w:eastAsia="宋体"/>
                      <w:color w:val="auto"/>
                      <w:sz w:val="21"/>
                      <w:szCs w:val="21"/>
                      <w:lang w:val="en-US" w:eastAsia="zh-CN"/>
                    </w:rPr>
                  </w:pPr>
                  <w:r>
                    <w:rPr>
                      <w:rFonts w:hint="eastAsia"/>
                      <w:color w:val="auto"/>
                      <w:sz w:val="21"/>
                      <w:szCs w:val="21"/>
                      <w:lang w:val="en-US" w:eastAsia="zh-CN"/>
                    </w:rPr>
                    <w:t>统一收集后同破碎后的</w:t>
                  </w:r>
                  <w:r>
                    <w:rPr>
                      <w:rFonts w:hint="default" w:ascii="Times New Roman" w:hAnsi="Times New Roman" w:eastAsia="宋体" w:cs="Times New Roman"/>
                      <w:color w:val="auto"/>
                      <w:sz w:val="21"/>
                      <w:szCs w:val="21"/>
                      <w:highlight w:val="none"/>
                      <w:lang w:val="zh-CN" w:eastAsia="zh-CN"/>
                    </w:rPr>
                    <w:t>不合格产品及边角料</w:t>
                  </w:r>
                  <w:r>
                    <w:rPr>
                      <w:rFonts w:hint="eastAsia" w:cs="Times New Roman"/>
                      <w:color w:val="auto"/>
                      <w:sz w:val="21"/>
                      <w:szCs w:val="21"/>
                      <w:highlight w:val="none"/>
                      <w:lang w:val="zh-CN" w:eastAsia="zh-CN"/>
                    </w:rPr>
                    <w:t>、</w:t>
                  </w:r>
                  <w:r>
                    <w:rPr>
                      <w:rFonts w:hint="eastAsia" w:cs="Times New Roman"/>
                      <w:color w:val="auto"/>
                      <w:sz w:val="21"/>
                      <w:szCs w:val="21"/>
                      <w:highlight w:val="none"/>
                      <w:lang w:val="en-US" w:eastAsia="zh-CN"/>
                    </w:rPr>
                    <w:t>未成品产品一并外售。</w:t>
                  </w:r>
                </w:p>
              </w:tc>
              <w:tc>
                <w:tcPr>
                  <w:tcW w:w="749" w:type="pct"/>
                  <w:vMerge w:val="continue"/>
                  <w:tcBorders>
                    <w:tl2br w:val="nil"/>
                    <w:tr2bl w:val="nil"/>
                  </w:tcBorders>
                  <w:vAlign w:val="center"/>
                </w:tcPr>
                <w:p w14:paraId="4FF0CD7A">
                  <w:pPr>
                    <w:jc w:val="center"/>
                    <w:rPr>
                      <w:color w:val="auto"/>
                      <w:szCs w:val="21"/>
                    </w:rPr>
                  </w:pPr>
                </w:p>
              </w:tc>
            </w:tr>
            <w:tr w14:paraId="7A11D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tl2br w:val="nil"/>
                    <w:tr2bl w:val="nil"/>
                  </w:tcBorders>
                  <w:vAlign w:val="center"/>
                </w:tcPr>
                <w:p w14:paraId="05ECE9CD">
                  <w:pPr>
                    <w:jc w:val="center"/>
                    <w:rPr>
                      <w:color w:val="auto"/>
                      <w:szCs w:val="21"/>
                    </w:rPr>
                  </w:pPr>
                </w:p>
              </w:tc>
              <w:tc>
                <w:tcPr>
                  <w:tcW w:w="964" w:type="pct"/>
                  <w:tcBorders>
                    <w:tl2br w:val="nil"/>
                    <w:tr2bl w:val="nil"/>
                  </w:tcBorders>
                  <w:vAlign w:val="center"/>
                </w:tcPr>
                <w:p w14:paraId="5F2DC4B1">
                  <w:pPr>
                    <w:jc w:val="center"/>
                    <w:rPr>
                      <w:rFonts w:hint="eastAsia"/>
                      <w:color w:val="auto"/>
                      <w:sz w:val="21"/>
                      <w:szCs w:val="21"/>
                      <w:lang w:val="en-US" w:eastAsia="zh-CN"/>
                    </w:rPr>
                  </w:pPr>
                  <w:r>
                    <w:rPr>
                      <w:rFonts w:hint="eastAsia"/>
                      <w:color w:val="auto"/>
                      <w:sz w:val="21"/>
                      <w:szCs w:val="21"/>
                      <w:lang w:val="en-US" w:eastAsia="zh-CN"/>
                    </w:rPr>
                    <w:t>注塑</w:t>
                  </w:r>
                </w:p>
              </w:tc>
              <w:tc>
                <w:tcPr>
                  <w:tcW w:w="1244" w:type="pct"/>
                  <w:tcBorders>
                    <w:tl2br w:val="nil"/>
                    <w:tr2bl w:val="nil"/>
                  </w:tcBorders>
                  <w:vAlign w:val="center"/>
                </w:tcPr>
                <w:p w14:paraId="275186A0">
                  <w:pPr>
                    <w:jc w:val="center"/>
                    <w:rPr>
                      <w:rFonts w:hint="eastAsia"/>
                      <w:color w:val="auto"/>
                      <w:sz w:val="21"/>
                      <w:szCs w:val="21"/>
                      <w:lang w:val="en-US" w:eastAsia="zh-CN"/>
                    </w:rPr>
                  </w:pPr>
                  <w:r>
                    <w:rPr>
                      <w:rFonts w:hint="eastAsia"/>
                      <w:color w:val="auto"/>
                      <w:sz w:val="21"/>
                      <w:szCs w:val="21"/>
                      <w:lang w:val="en-US" w:eastAsia="zh-CN"/>
                    </w:rPr>
                    <w:t>需保养模具</w:t>
                  </w:r>
                </w:p>
              </w:tc>
              <w:tc>
                <w:tcPr>
                  <w:tcW w:w="1648" w:type="pct"/>
                  <w:tcBorders>
                    <w:tl2br w:val="nil"/>
                    <w:tr2bl w:val="nil"/>
                  </w:tcBorders>
                  <w:vAlign w:val="center"/>
                </w:tcPr>
                <w:p w14:paraId="4AE2DEE9">
                  <w:pPr>
                    <w:jc w:val="center"/>
                    <w:rPr>
                      <w:rFonts w:hint="eastAsia"/>
                      <w:color w:val="auto"/>
                      <w:sz w:val="21"/>
                      <w:szCs w:val="21"/>
                      <w:lang w:val="en-US" w:eastAsia="zh-CN"/>
                    </w:rPr>
                  </w:pPr>
                  <w:r>
                    <w:rPr>
                      <w:rFonts w:hint="eastAsia"/>
                      <w:color w:val="auto"/>
                      <w:sz w:val="21"/>
                      <w:szCs w:val="21"/>
                      <w:lang w:val="en-US" w:eastAsia="zh-CN"/>
                    </w:rPr>
                    <w:t>返回厂家保养后继续使用。</w:t>
                  </w:r>
                </w:p>
              </w:tc>
              <w:tc>
                <w:tcPr>
                  <w:tcW w:w="749" w:type="pct"/>
                  <w:vMerge w:val="continue"/>
                  <w:tcBorders>
                    <w:tl2br w:val="nil"/>
                    <w:tr2bl w:val="nil"/>
                  </w:tcBorders>
                  <w:vAlign w:val="center"/>
                </w:tcPr>
                <w:p w14:paraId="5B7A05C9">
                  <w:pPr>
                    <w:jc w:val="center"/>
                    <w:rPr>
                      <w:color w:val="auto"/>
                      <w:szCs w:val="21"/>
                    </w:rPr>
                  </w:pPr>
                </w:p>
              </w:tc>
            </w:tr>
            <w:tr w14:paraId="380C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392" w:type="pct"/>
                  <w:vMerge w:val="continue"/>
                  <w:tcBorders>
                    <w:tl2br w:val="nil"/>
                    <w:tr2bl w:val="nil"/>
                  </w:tcBorders>
                  <w:vAlign w:val="center"/>
                </w:tcPr>
                <w:p w14:paraId="2FE2092D">
                  <w:pPr>
                    <w:jc w:val="center"/>
                    <w:rPr>
                      <w:color w:val="auto"/>
                    </w:rPr>
                  </w:pPr>
                </w:p>
              </w:tc>
              <w:tc>
                <w:tcPr>
                  <w:tcW w:w="964" w:type="pct"/>
                  <w:tcBorders>
                    <w:tl2br w:val="nil"/>
                    <w:tr2bl w:val="nil"/>
                  </w:tcBorders>
                  <w:vAlign w:val="center"/>
                </w:tcPr>
                <w:p w14:paraId="1E427BDB">
                  <w:pPr>
                    <w:jc w:val="center"/>
                    <w:rPr>
                      <w:rFonts w:hint="default" w:eastAsia="宋体"/>
                      <w:color w:val="auto"/>
                      <w:sz w:val="21"/>
                      <w:szCs w:val="21"/>
                      <w:lang w:val="en-US" w:eastAsia="zh-CN"/>
                    </w:rPr>
                  </w:pPr>
                  <w:r>
                    <w:rPr>
                      <w:rFonts w:hint="eastAsia"/>
                      <w:color w:val="auto"/>
                      <w:sz w:val="21"/>
                      <w:szCs w:val="21"/>
                      <w:lang w:val="en-US" w:eastAsia="zh-CN"/>
                    </w:rPr>
                    <w:t>废水处理</w:t>
                  </w:r>
                </w:p>
              </w:tc>
              <w:tc>
                <w:tcPr>
                  <w:tcW w:w="1244" w:type="pct"/>
                  <w:tcBorders>
                    <w:tl2br w:val="nil"/>
                    <w:tr2bl w:val="nil"/>
                  </w:tcBorders>
                  <w:vAlign w:val="center"/>
                </w:tcPr>
                <w:p w14:paraId="29F177B4">
                  <w:pPr>
                    <w:jc w:val="center"/>
                    <w:rPr>
                      <w:rFonts w:hint="eastAsia" w:eastAsia="宋体"/>
                      <w:color w:val="auto"/>
                      <w:sz w:val="21"/>
                      <w:szCs w:val="21"/>
                      <w:lang w:val="en-US" w:eastAsia="zh-CN"/>
                    </w:rPr>
                  </w:pPr>
                  <w:r>
                    <w:rPr>
                      <w:rFonts w:hint="eastAsia"/>
                      <w:color w:val="auto"/>
                      <w:sz w:val="21"/>
                      <w:szCs w:val="21"/>
                      <w:lang w:val="en-US" w:eastAsia="zh-CN"/>
                    </w:rPr>
                    <w:t>化粪池污泥</w:t>
                  </w:r>
                </w:p>
              </w:tc>
              <w:tc>
                <w:tcPr>
                  <w:tcW w:w="1648" w:type="pct"/>
                  <w:vMerge w:val="restart"/>
                  <w:tcBorders>
                    <w:tl2br w:val="nil"/>
                    <w:tr2bl w:val="nil"/>
                  </w:tcBorders>
                  <w:vAlign w:val="center"/>
                </w:tcPr>
                <w:p w14:paraId="6B5F0763">
                  <w:pPr>
                    <w:jc w:val="center"/>
                    <w:rPr>
                      <w:rFonts w:hint="eastAsia"/>
                      <w:color w:val="auto"/>
                      <w:sz w:val="21"/>
                      <w:szCs w:val="21"/>
                    </w:rPr>
                  </w:pPr>
                  <w:r>
                    <w:rPr>
                      <w:color w:val="auto"/>
                      <w:sz w:val="21"/>
                      <w:szCs w:val="21"/>
                    </w:rPr>
                    <w:t>委托环卫部门清运、处置。</w:t>
                  </w:r>
                </w:p>
              </w:tc>
              <w:tc>
                <w:tcPr>
                  <w:tcW w:w="749" w:type="pct"/>
                  <w:vMerge w:val="continue"/>
                  <w:tcBorders>
                    <w:tl2br w:val="nil"/>
                    <w:tr2bl w:val="nil"/>
                  </w:tcBorders>
                  <w:vAlign w:val="center"/>
                </w:tcPr>
                <w:p w14:paraId="1F067DAA">
                  <w:pPr>
                    <w:jc w:val="center"/>
                    <w:rPr>
                      <w:rFonts w:hint="eastAsia"/>
                      <w:color w:val="auto"/>
                      <w:sz w:val="21"/>
                      <w:szCs w:val="21"/>
                    </w:rPr>
                  </w:pPr>
                </w:p>
              </w:tc>
            </w:tr>
            <w:tr w14:paraId="72667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392" w:type="pct"/>
                  <w:vMerge w:val="continue"/>
                  <w:tcBorders>
                    <w:tl2br w:val="nil"/>
                    <w:tr2bl w:val="nil"/>
                  </w:tcBorders>
                  <w:vAlign w:val="center"/>
                </w:tcPr>
                <w:p w14:paraId="6D7A4EA0">
                  <w:pPr>
                    <w:jc w:val="center"/>
                    <w:rPr>
                      <w:color w:val="auto"/>
                    </w:rPr>
                  </w:pPr>
                </w:p>
              </w:tc>
              <w:tc>
                <w:tcPr>
                  <w:tcW w:w="964" w:type="pct"/>
                  <w:tcBorders>
                    <w:tl2br w:val="nil"/>
                    <w:tr2bl w:val="nil"/>
                  </w:tcBorders>
                  <w:vAlign w:val="center"/>
                </w:tcPr>
                <w:p w14:paraId="718E4880">
                  <w:pPr>
                    <w:jc w:val="center"/>
                    <w:rPr>
                      <w:rFonts w:hint="default"/>
                      <w:color w:val="auto"/>
                      <w:sz w:val="21"/>
                      <w:szCs w:val="21"/>
                      <w:lang w:val="en-US" w:eastAsia="zh-CN"/>
                    </w:rPr>
                  </w:pPr>
                  <w:r>
                    <w:rPr>
                      <w:rFonts w:hint="eastAsia"/>
                      <w:color w:val="auto"/>
                      <w:sz w:val="21"/>
                      <w:szCs w:val="21"/>
                      <w:lang w:val="en-US" w:eastAsia="zh-CN"/>
                    </w:rPr>
                    <w:t>废气处理</w:t>
                  </w:r>
                </w:p>
              </w:tc>
              <w:tc>
                <w:tcPr>
                  <w:tcW w:w="1244" w:type="pct"/>
                  <w:tcBorders>
                    <w:tl2br w:val="nil"/>
                    <w:tr2bl w:val="nil"/>
                  </w:tcBorders>
                  <w:vAlign w:val="center"/>
                </w:tcPr>
                <w:p w14:paraId="4178D0B3">
                  <w:pPr>
                    <w:jc w:val="center"/>
                    <w:rPr>
                      <w:rFonts w:hint="eastAsia"/>
                      <w:color w:val="auto"/>
                      <w:sz w:val="21"/>
                      <w:szCs w:val="21"/>
                      <w:lang w:val="en-US" w:eastAsia="zh-CN"/>
                    </w:rPr>
                  </w:pPr>
                  <w:r>
                    <w:rPr>
                      <w:rFonts w:hint="eastAsia"/>
                      <w:color w:val="auto"/>
                      <w:sz w:val="21"/>
                      <w:szCs w:val="21"/>
                      <w:lang w:val="en-US" w:eastAsia="zh-CN"/>
                    </w:rPr>
                    <w:t>废活性炭</w:t>
                  </w:r>
                </w:p>
              </w:tc>
              <w:tc>
                <w:tcPr>
                  <w:tcW w:w="1648" w:type="pct"/>
                  <w:vMerge w:val="restart"/>
                  <w:tcBorders>
                    <w:tl2br w:val="nil"/>
                    <w:tr2bl w:val="nil"/>
                  </w:tcBorders>
                  <w:vAlign w:val="center"/>
                </w:tcPr>
                <w:p w14:paraId="7FB6836A">
                  <w:pPr>
                    <w:jc w:val="center"/>
                    <w:rPr>
                      <w:color w:val="auto"/>
                      <w:szCs w:val="21"/>
                    </w:rPr>
                  </w:pPr>
                  <w:r>
                    <w:rPr>
                      <w:color w:val="auto"/>
                      <w:szCs w:val="21"/>
                    </w:rPr>
                    <w:t>统一收集后暂存于</w:t>
                  </w:r>
                  <w:r>
                    <w:rPr>
                      <w:rFonts w:hint="eastAsia"/>
                      <w:color w:val="auto"/>
                      <w:szCs w:val="21"/>
                      <w:lang w:val="en-US" w:eastAsia="zh-CN"/>
                    </w:rPr>
                    <w:t>危险废物贮存库</w:t>
                  </w:r>
                  <w:r>
                    <w:rPr>
                      <w:color w:val="auto"/>
                      <w:szCs w:val="21"/>
                    </w:rPr>
                    <w:t>，委托有资质的单位定期清运处置。</w:t>
                  </w:r>
                </w:p>
              </w:tc>
              <w:tc>
                <w:tcPr>
                  <w:tcW w:w="749" w:type="pct"/>
                  <w:vMerge w:val="continue"/>
                  <w:tcBorders>
                    <w:tl2br w:val="nil"/>
                    <w:tr2bl w:val="nil"/>
                  </w:tcBorders>
                  <w:vAlign w:val="center"/>
                </w:tcPr>
                <w:p w14:paraId="3D82D182">
                  <w:pPr>
                    <w:jc w:val="center"/>
                    <w:rPr>
                      <w:color w:val="auto"/>
                      <w:szCs w:val="21"/>
                    </w:rPr>
                  </w:pPr>
                </w:p>
              </w:tc>
            </w:tr>
            <w:tr w14:paraId="134A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Merge w:val="continue"/>
                  <w:tcBorders>
                    <w:tl2br w:val="nil"/>
                    <w:tr2bl w:val="nil"/>
                  </w:tcBorders>
                  <w:vAlign w:val="center"/>
                </w:tcPr>
                <w:p w14:paraId="1B5DB88E">
                  <w:pPr>
                    <w:jc w:val="center"/>
                    <w:rPr>
                      <w:color w:val="auto"/>
                      <w:szCs w:val="21"/>
                    </w:rPr>
                  </w:pPr>
                </w:p>
              </w:tc>
              <w:tc>
                <w:tcPr>
                  <w:tcW w:w="964" w:type="pct"/>
                  <w:tcBorders>
                    <w:tl2br w:val="nil"/>
                    <w:tr2bl w:val="nil"/>
                  </w:tcBorders>
                  <w:vAlign w:val="center"/>
                </w:tcPr>
                <w:p w14:paraId="281C31AC">
                  <w:pPr>
                    <w:jc w:val="center"/>
                    <w:rPr>
                      <w:color w:val="auto"/>
                      <w:szCs w:val="21"/>
                    </w:rPr>
                  </w:pPr>
                  <w:r>
                    <w:rPr>
                      <w:color w:val="auto"/>
                      <w:szCs w:val="21"/>
                    </w:rPr>
                    <w:t>机械</w:t>
                  </w:r>
                  <w:r>
                    <w:rPr>
                      <w:rFonts w:hint="eastAsia"/>
                      <w:color w:val="auto"/>
                      <w:szCs w:val="21"/>
                      <w:lang w:val="en-US" w:eastAsia="zh-CN"/>
                    </w:rPr>
                    <w:t>维护保养</w:t>
                  </w:r>
                </w:p>
              </w:tc>
              <w:tc>
                <w:tcPr>
                  <w:tcW w:w="1244" w:type="pct"/>
                  <w:tcBorders>
                    <w:tl2br w:val="nil"/>
                    <w:tr2bl w:val="nil"/>
                  </w:tcBorders>
                  <w:vAlign w:val="center"/>
                </w:tcPr>
                <w:p w14:paraId="06914853">
                  <w:pPr>
                    <w:jc w:val="center"/>
                    <w:rPr>
                      <w:color w:val="auto"/>
                      <w:szCs w:val="21"/>
                    </w:rPr>
                  </w:pPr>
                  <w:r>
                    <w:rPr>
                      <w:color w:val="auto"/>
                      <w:szCs w:val="21"/>
                    </w:rPr>
                    <w:t>废机油、废弃的含油抹布、劳保用品</w:t>
                  </w:r>
                </w:p>
              </w:tc>
              <w:tc>
                <w:tcPr>
                  <w:tcW w:w="1648" w:type="pct"/>
                  <w:vMerge w:val="continue"/>
                  <w:tcBorders>
                    <w:tl2br w:val="nil"/>
                    <w:tr2bl w:val="nil"/>
                  </w:tcBorders>
                  <w:vAlign w:val="center"/>
                </w:tcPr>
                <w:p w14:paraId="76D9897B">
                  <w:pPr>
                    <w:jc w:val="center"/>
                    <w:rPr>
                      <w:color w:val="auto"/>
                      <w:szCs w:val="21"/>
                    </w:rPr>
                  </w:pPr>
                </w:p>
              </w:tc>
              <w:tc>
                <w:tcPr>
                  <w:tcW w:w="749" w:type="pct"/>
                  <w:vMerge w:val="continue"/>
                  <w:tcBorders>
                    <w:tl2br w:val="nil"/>
                    <w:tr2bl w:val="nil"/>
                  </w:tcBorders>
                  <w:vAlign w:val="center"/>
                </w:tcPr>
                <w:p w14:paraId="687A30F0">
                  <w:pPr>
                    <w:jc w:val="center"/>
                    <w:rPr>
                      <w:color w:val="auto"/>
                      <w:szCs w:val="21"/>
                    </w:rPr>
                  </w:pPr>
                </w:p>
              </w:tc>
            </w:tr>
            <w:tr w14:paraId="430E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392" w:type="pct"/>
                  <w:vMerge w:val="continue"/>
                  <w:tcBorders>
                    <w:tl2br w:val="nil"/>
                    <w:tr2bl w:val="nil"/>
                  </w:tcBorders>
                  <w:vAlign w:val="center"/>
                </w:tcPr>
                <w:p w14:paraId="23FE01CB">
                  <w:pPr>
                    <w:jc w:val="center"/>
                    <w:rPr>
                      <w:color w:val="auto"/>
                      <w:szCs w:val="21"/>
                    </w:rPr>
                  </w:pPr>
                </w:p>
              </w:tc>
              <w:tc>
                <w:tcPr>
                  <w:tcW w:w="964" w:type="pct"/>
                  <w:tcBorders>
                    <w:tl2br w:val="nil"/>
                    <w:tr2bl w:val="nil"/>
                  </w:tcBorders>
                  <w:vAlign w:val="center"/>
                </w:tcPr>
                <w:p w14:paraId="310F6B22">
                  <w:pPr>
                    <w:jc w:val="center"/>
                    <w:rPr>
                      <w:color w:val="auto"/>
                      <w:szCs w:val="21"/>
                    </w:rPr>
                  </w:pPr>
                  <w:r>
                    <w:rPr>
                      <w:color w:val="auto"/>
                      <w:szCs w:val="21"/>
                    </w:rPr>
                    <w:t>职工生活</w:t>
                  </w:r>
                </w:p>
              </w:tc>
              <w:tc>
                <w:tcPr>
                  <w:tcW w:w="1244" w:type="pct"/>
                  <w:tcBorders>
                    <w:tl2br w:val="nil"/>
                    <w:tr2bl w:val="nil"/>
                  </w:tcBorders>
                  <w:vAlign w:val="center"/>
                </w:tcPr>
                <w:p w14:paraId="1554DFD3">
                  <w:pPr>
                    <w:jc w:val="center"/>
                    <w:rPr>
                      <w:color w:val="auto"/>
                      <w:szCs w:val="21"/>
                    </w:rPr>
                  </w:pPr>
                  <w:r>
                    <w:rPr>
                      <w:color w:val="auto"/>
                      <w:szCs w:val="21"/>
                    </w:rPr>
                    <w:t>生活垃圾</w:t>
                  </w:r>
                </w:p>
              </w:tc>
              <w:tc>
                <w:tcPr>
                  <w:tcW w:w="1648" w:type="pct"/>
                  <w:tcBorders>
                    <w:tl2br w:val="nil"/>
                    <w:tr2bl w:val="nil"/>
                  </w:tcBorders>
                  <w:vAlign w:val="center"/>
                </w:tcPr>
                <w:p w14:paraId="3D86294B">
                  <w:pPr>
                    <w:jc w:val="center"/>
                    <w:rPr>
                      <w:color w:val="auto"/>
                      <w:szCs w:val="21"/>
                    </w:rPr>
                  </w:pPr>
                  <w:r>
                    <w:rPr>
                      <w:color w:val="auto"/>
                      <w:szCs w:val="21"/>
                    </w:rPr>
                    <w:t>收集后委托环卫部门清运、处置。</w:t>
                  </w:r>
                </w:p>
              </w:tc>
              <w:tc>
                <w:tcPr>
                  <w:tcW w:w="749" w:type="pct"/>
                  <w:vMerge w:val="continue"/>
                  <w:tcBorders>
                    <w:tl2br w:val="nil"/>
                    <w:tr2bl w:val="nil"/>
                  </w:tcBorders>
                  <w:vAlign w:val="center"/>
                </w:tcPr>
                <w:p w14:paraId="04FEFB1E">
                  <w:pPr>
                    <w:jc w:val="center"/>
                    <w:rPr>
                      <w:color w:val="auto"/>
                      <w:szCs w:val="21"/>
                    </w:rPr>
                  </w:pPr>
                </w:p>
              </w:tc>
            </w:tr>
            <w:tr w14:paraId="1A79A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392" w:type="pct"/>
                  <w:vMerge w:val="continue"/>
                  <w:tcBorders>
                    <w:tl2br w:val="nil"/>
                    <w:tr2bl w:val="nil"/>
                  </w:tcBorders>
                  <w:vAlign w:val="center"/>
                </w:tcPr>
                <w:p w14:paraId="23E0B35E">
                  <w:pPr>
                    <w:jc w:val="center"/>
                    <w:rPr>
                      <w:color w:val="auto"/>
                    </w:rPr>
                  </w:pPr>
                </w:p>
              </w:tc>
              <w:tc>
                <w:tcPr>
                  <w:tcW w:w="964" w:type="pct"/>
                  <w:tcBorders>
                    <w:tl2br w:val="nil"/>
                    <w:tr2bl w:val="nil"/>
                  </w:tcBorders>
                  <w:vAlign w:val="center"/>
                </w:tcPr>
                <w:p w14:paraId="5315302C">
                  <w:pPr>
                    <w:jc w:val="center"/>
                    <w:rPr>
                      <w:color w:val="auto"/>
                      <w:szCs w:val="21"/>
                    </w:rPr>
                  </w:pPr>
                  <w:r>
                    <w:rPr>
                      <w:color w:val="auto"/>
                      <w:szCs w:val="21"/>
                    </w:rPr>
                    <w:t>食堂</w:t>
                  </w:r>
                </w:p>
              </w:tc>
              <w:tc>
                <w:tcPr>
                  <w:tcW w:w="1244" w:type="pct"/>
                  <w:tcBorders>
                    <w:tl2br w:val="nil"/>
                    <w:tr2bl w:val="nil"/>
                  </w:tcBorders>
                  <w:vAlign w:val="center"/>
                </w:tcPr>
                <w:p w14:paraId="15096D98">
                  <w:pPr>
                    <w:jc w:val="center"/>
                    <w:rPr>
                      <w:rFonts w:hint="eastAsia" w:eastAsia="宋体"/>
                      <w:color w:val="auto"/>
                      <w:szCs w:val="21"/>
                      <w:lang w:val="en-US" w:eastAsia="zh-CN"/>
                    </w:rPr>
                  </w:pPr>
                  <w:r>
                    <w:rPr>
                      <w:color w:val="auto"/>
                      <w:szCs w:val="21"/>
                      <w:lang w:bidi="ar"/>
                    </w:rPr>
                    <w:t>餐厨垃圾、隔油池</w:t>
                  </w:r>
                  <w:r>
                    <w:rPr>
                      <w:rFonts w:hint="eastAsia"/>
                      <w:color w:val="auto"/>
                      <w:szCs w:val="21"/>
                      <w:lang w:eastAsia="zh-CN" w:bidi="ar"/>
                    </w:rPr>
                    <w:t>油污</w:t>
                  </w:r>
                </w:p>
              </w:tc>
              <w:tc>
                <w:tcPr>
                  <w:tcW w:w="1648" w:type="pct"/>
                  <w:tcBorders>
                    <w:tl2br w:val="nil"/>
                    <w:tr2bl w:val="nil"/>
                  </w:tcBorders>
                  <w:vAlign w:val="center"/>
                </w:tcPr>
                <w:p w14:paraId="15604731">
                  <w:pPr>
                    <w:jc w:val="center"/>
                    <w:rPr>
                      <w:color w:val="auto"/>
                      <w:szCs w:val="21"/>
                    </w:rPr>
                  </w:pPr>
                  <w:r>
                    <w:rPr>
                      <w:color w:val="auto"/>
                      <w:szCs w:val="21"/>
                    </w:rPr>
                    <w:t>统一收集后委托有资质的单位定期清运、处置。</w:t>
                  </w:r>
                </w:p>
              </w:tc>
              <w:tc>
                <w:tcPr>
                  <w:tcW w:w="749" w:type="pct"/>
                  <w:vMerge w:val="continue"/>
                  <w:tcBorders>
                    <w:tl2br w:val="nil"/>
                    <w:tr2bl w:val="nil"/>
                  </w:tcBorders>
                  <w:vAlign w:val="center"/>
                </w:tcPr>
                <w:p w14:paraId="773A706B">
                  <w:pPr>
                    <w:jc w:val="center"/>
                    <w:rPr>
                      <w:color w:val="auto"/>
                      <w:szCs w:val="21"/>
                    </w:rPr>
                  </w:pPr>
                </w:p>
              </w:tc>
            </w:tr>
            <w:tr w14:paraId="13738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tcBorders>
                    <w:tl2br w:val="nil"/>
                    <w:tr2bl w:val="nil"/>
                  </w:tcBorders>
                  <w:vAlign w:val="center"/>
                </w:tcPr>
                <w:p w14:paraId="77E1E87D">
                  <w:pPr>
                    <w:jc w:val="center"/>
                    <w:rPr>
                      <w:color w:val="auto"/>
                      <w:szCs w:val="21"/>
                    </w:rPr>
                  </w:pPr>
                  <w:r>
                    <w:rPr>
                      <w:color w:val="auto"/>
                      <w:szCs w:val="21"/>
                    </w:rPr>
                    <w:t>噪声</w:t>
                  </w:r>
                </w:p>
              </w:tc>
              <w:tc>
                <w:tcPr>
                  <w:tcW w:w="964" w:type="pct"/>
                  <w:tcBorders>
                    <w:tl2br w:val="nil"/>
                    <w:tr2bl w:val="nil"/>
                  </w:tcBorders>
                  <w:vAlign w:val="center"/>
                </w:tcPr>
                <w:p w14:paraId="71CD71EE">
                  <w:pPr>
                    <w:jc w:val="center"/>
                    <w:rPr>
                      <w:color w:val="auto"/>
                      <w:szCs w:val="21"/>
                    </w:rPr>
                  </w:pPr>
                  <w:r>
                    <w:rPr>
                      <w:color w:val="auto"/>
                      <w:szCs w:val="21"/>
                    </w:rPr>
                    <w:t>生产工序</w:t>
                  </w:r>
                </w:p>
              </w:tc>
              <w:tc>
                <w:tcPr>
                  <w:tcW w:w="1244" w:type="pct"/>
                  <w:tcBorders>
                    <w:tl2br w:val="nil"/>
                    <w:tr2bl w:val="nil"/>
                  </w:tcBorders>
                  <w:vAlign w:val="center"/>
                </w:tcPr>
                <w:p w14:paraId="78847BC0">
                  <w:pPr>
                    <w:jc w:val="center"/>
                    <w:rPr>
                      <w:color w:val="auto"/>
                      <w:szCs w:val="21"/>
                    </w:rPr>
                  </w:pPr>
                  <w:r>
                    <w:rPr>
                      <w:color w:val="auto"/>
                      <w:szCs w:val="21"/>
                    </w:rPr>
                    <w:t>设备噪声</w:t>
                  </w:r>
                </w:p>
              </w:tc>
              <w:tc>
                <w:tcPr>
                  <w:tcW w:w="1648" w:type="pct"/>
                  <w:tcBorders>
                    <w:tl2br w:val="nil"/>
                    <w:tr2bl w:val="nil"/>
                  </w:tcBorders>
                  <w:vAlign w:val="center"/>
                </w:tcPr>
                <w:p w14:paraId="3A2960AA">
                  <w:pPr>
                    <w:jc w:val="center"/>
                    <w:rPr>
                      <w:color w:val="auto"/>
                      <w:szCs w:val="21"/>
                    </w:rPr>
                  </w:pPr>
                  <w:r>
                    <w:rPr>
                      <w:color w:val="auto"/>
                      <w:szCs w:val="21"/>
                    </w:rPr>
                    <w:t>室内布置、基础减震、距离衰减。</w:t>
                  </w:r>
                </w:p>
              </w:tc>
              <w:tc>
                <w:tcPr>
                  <w:tcW w:w="749" w:type="pct"/>
                  <w:tcBorders>
                    <w:tl2br w:val="nil"/>
                    <w:tr2bl w:val="nil"/>
                  </w:tcBorders>
                  <w:vAlign w:val="center"/>
                </w:tcPr>
                <w:p w14:paraId="5B4023A2">
                  <w:pPr>
                    <w:jc w:val="center"/>
                    <w:rPr>
                      <w:color w:val="auto"/>
                      <w:szCs w:val="21"/>
                    </w:rPr>
                  </w:pPr>
                  <w:r>
                    <w:rPr>
                      <w:color w:val="auto"/>
                      <w:szCs w:val="21"/>
                    </w:rPr>
                    <w:t>连续</w:t>
                  </w:r>
                </w:p>
              </w:tc>
            </w:tr>
          </w:tbl>
          <w:p w14:paraId="4FA9DEBC">
            <w:pPr>
              <w:pStyle w:val="80"/>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right="0" w:firstLine="482" w:firstLineChars="200"/>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eastAsia="zh-CN"/>
              </w:rPr>
              <w:t>（</w:t>
            </w:r>
            <w:r>
              <w:rPr>
                <w:rFonts w:hint="default" w:ascii="Times New Roman" w:hAnsi="Times New Roman" w:eastAsia="宋体" w:cs="Times New Roman"/>
                <w:b/>
                <w:bCs/>
                <w:color w:val="auto"/>
                <w:highlight w:val="none"/>
                <w:lang w:val="en-US" w:eastAsia="zh-CN"/>
              </w:rPr>
              <w:t>三</w:t>
            </w:r>
            <w:r>
              <w:rPr>
                <w:rFonts w:hint="default" w:ascii="Times New Roman" w:hAnsi="Times New Roman" w:eastAsia="宋体" w:cs="Times New Roman"/>
                <w:b/>
                <w:bCs/>
                <w:color w:val="auto"/>
                <w:highlight w:val="none"/>
                <w:lang w:eastAsia="zh-CN"/>
              </w:rPr>
              <w:t>）</w:t>
            </w:r>
            <w:r>
              <w:rPr>
                <w:rFonts w:hint="default" w:ascii="Times New Roman" w:hAnsi="Times New Roman" w:eastAsia="宋体" w:cs="Times New Roman"/>
                <w:b/>
                <w:bCs/>
                <w:color w:val="auto"/>
                <w:highlight w:val="none"/>
                <w:lang w:val="en-US" w:eastAsia="zh-CN"/>
              </w:rPr>
              <w:t>物料平衡</w:t>
            </w:r>
          </w:p>
          <w:p w14:paraId="3C7D0DF0">
            <w:pPr>
              <w:widowControl w:val="0"/>
              <w:shd w:val="clear"/>
              <w:spacing w:line="360" w:lineRule="auto"/>
              <w:ind w:firstLine="480" w:firstLineChars="200"/>
              <w:rPr>
                <w:rFonts w:hint="default" w:ascii="Times New Roman" w:hAnsi="Times New Roman" w:eastAsia="宋体" w:cs="Times New Roman"/>
                <w:b/>
                <w:color w:val="auto"/>
                <w:kern w:val="2"/>
                <w:sz w:val="21"/>
                <w:szCs w:val="21"/>
                <w:highlight w:val="none"/>
                <w:lang w:eastAsia="zh-CN" w:bidi="ar"/>
              </w:rPr>
            </w:pPr>
            <w:r>
              <w:rPr>
                <w:rFonts w:hint="default" w:ascii="Times New Roman" w:hAnsi="Times New Roman" w:eastAsia="宋体" w:cs="Times New Roman"/>
                <w:color w:val="auto"/>
                <w:kern w:val="0"/>
                <w:sz w:val="24"/>
                <w:highlight w:val="none"/>
                <w:lang w:eastAsia="zh-CN"/>
              </w:rPr>
              <w:t>项目</w:t>
            </w:r>
            <w:r>
              <w:rPr>
                <w:rFonts w:hint="default" w:ascii="Times New Roman" w:hAnsi="Times New Roman" w:eastAsia="宋体" w:cs="Times New Roman"/>
                <w:color w:val="auto"/>
                <w:kern w:val="0"/>
                <w:sz w:val="24"/>
                <w:highlight w:val="none"/>
              </w:rPr>
              <w:t>物料平衡</w:t>
            </w:r>
            <w:r>
              <w:rPr>
                <w:rFonts w:hint="eastAsia" w:cs="Times New Roman"/>
                <w:color w:val="auto"/>
                <w:kern w:val="0"/>
                <w:sz w:val="24"/>
                <w:highlight w:val="none"/>
                <w:lang w:val="en-US" w:eastAsia="zh-CN"/>
              </w:rPr>
              <w:t>详见下表</w:t>
            </w:r>
            <w:r>
              <w:rPr>
                <w:rFonts w:hint="default" w:ascii="Times New Roman" w:hAnsi="Times New Roman" w:eastAsia="宋体" w:cs="Times New Roman"/>
                <w:color w:val="auto"/>
                <w:kern w:val="0"/>
                <w:sz w:val="24"/>
                <w:highlight w:val="none"/>
              </w:rPr>
              <w:t>。</w:t>
            </w:r>
          </w:p>
          <w:p w14:paraId="4A4D7C5C">
            <w:pPr>
              <w:spacing w:line="336" w:lineRule="auto"/>
              <w:ind w:firstLine="480" w:firstLineChars="200"/>
              <w:rPr>
                <w:color w:val="auto"/>
                <w:kern w:val="0"/>
                <w:sz w:val="24"/>
              </w:rPr>
            </w:pPr>
            <w:r>
              <w:rPr>
                <w:color w:val="auto"/>
                <w:sz w:val="24"/>
              </w:rPr>
              <w:t>项目生产过程中物料平衡</w:t>
            </w:r>
            <w:r>
              <w:rPr>
                <w:rFonts w:hint="eastAsia"/>
                <w:color w:val="auto"/>
                <w:sz w:val="24"/>
                <w:lang w:eastAsia="zh-CN"/>
              </w:rPr>
              <w:t>表</w:t>
            </w:r>
            <w:r>
              <w:rPr>
                <w:color w:val="auto"/>
                <w:sz w:val="24"/>
              </w:rPr>
              <w:t>见</w:t>
            </w:r>
            <w:r>
              <w:rPr>
                <w:color w:val="auto"/>
                <w:kern w:val="0"/>
                <w:sz w:val="24"/>
              </w:rPr>
              <w:t>表2-</w:t>
            </w:r>
            <w:r>
              <w:rPr>
                <w:rFonts w:hint="eastAsia"/>
                <w:color w:val="auto"/>
                <w:kern w:val="0"/>
                <w:sz w:val="24"/>
                <w:lang w:val="en-US" w:eastAsia="zh-CN"/>
              </w:rPr>
              <w:t>9</w:t>
            </w:r>
            <w:r>
              <w:rPr>
                <w:color w:val="auto"/>
                <w:kern w:val="0"/>
                <w:sz w:val="24"/>
              </w:rPr>
              <w:t>所示。</w:t>
            </w:r>
          </w:p>
          <w:p w14:paraId="5C456EE9">
            <w:pPr>
              <w:jc w:val="center"/>
              <w:rPr>
                <w:b/>
                <w:color w:val="auto"/>
                <w:szCs w:val="21"/>
                <w:lang w:bidi="ar"/>
              </w:rPr>
            </w:pPr>
            <w:r>
              <w:rPr>
                <w:b/>
                <w:color w:val="auto"/>
                <w:szCs w:val="21"/>
                <w:lang w:bidi="ar"/>
              </w:rPr>
              <w:t>表2-</w:t>
            </w:r>
            <w:r>
              <w:rPr>
                <w:rFonts w:hint="eastAsia"/>
                <w:b/>
                <w:color w:val="auto"/>
                <w:szCs w:val="21"/>
                <w:lang w:val="en-US" w:eastAsia="zh-CN" w:bidi="ar"/>
              </w:rPr>
              <w:t>9</w:t>
            </w:r>
            <w:r>
              <w:rPr>
                <w:b/>
                <w:color w:val="auto"/>
                <w:szCs w:val="21"/>
                <w:lang w:bidi="ar"/>
              </w:rPr>
              <w:t xml:space="preserve">  项目物料平衡一览表</w:t>
            </w:r>
          </w:p>
          <w:tbl>
            <w:tblPr>
              <w:tblStyle w:val="30"/>
              <w:tblW w:w="8522" w:type="dxa"/>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2727"/>
              <w:gridCol w:w="1463"/>
              <w:gridCol w:w="742"/>
              <w:gridCol w:w="992"/>
              <w:gridCol w:w="993"/>
              <w:gridCol w:w="1605"/>
            </w:tblGrid>
            <w:tr w14:paraId="3596FDA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4190" w:type="dxa"/>
                  <w:gridSpan w:val="2"/>
                  <w:tcBorders>
                    <w:tl2br w:val="nil"/>
                    <w:tr2bl w:val="nil"/>
                  </w:tcBorders>
                  <w:vAlign w:val="center"/>
                </w:tcPr>
                <w:p w14:paraId="3FF75457">
                  <w:pPr>
                    <w:jc w:val="center"/>
                    <w:rPr>
                      <w:b/>
                      <w:bCs/>
                      <w:color w:val="auto"/>
                      <w:szCs w:val="21"/>
                    </w:rPr>
                  </w:pPr>
                  <w:r>
                    <w:rPr>
                      <w:b/>
                      <w:bCs/>
                      <w:color w:val="auto"/>
                      <w:szCs w:val="21"/>
                    </w:rPr>
                    <w:t>投入</w:t>
                  </w:r>
                </w:p>
              </w:tc>
              <w:tc>
                <w:tcPr>
                  <w:tcW w:w="4332" w:type="dxa"/>
                  <w:gridSpan w:val="4"/>
                  <w:tcBorders>
                    <w:tl2br w:val="nil"/>
                    <w:tr2bl w:val="nil"/>
                  </w:tcBorders>
                  <w:vAlign w:val="center"/>
                </w:tcPr>
                <w:p w14:paraId="0116DCE9">
                  <w:pPr>
                    <w:jc w:val="center"/>
                    <w:rPr>
                      <w:b/>
                      <w:bCs/>
                      <w:color w:val="auto"/>
                      <w:szCs w:val="21"/>
                    </w:rPr>
                  </w:pPr>
                  <w:r>
                    <w:rPr>
                      <w:b/>
                      <w:bCs/>
                      <w:color w:val="auto"/>
                      <w:szCs w:val="21"/>
                    </w:rPr>
                    <w:t>产出</w:t>
                  </w:r>
                </w:p>
              </w:tc>
            </w:tr>
            <w:tr w14:paraId="3A958C2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2727" w:type="dxa"/>
                  <w:tcBorders>
                    <w:tl2br w:val="nil"/>
                    <w:tr2bl w:val="nil"/>
                  </w:tcBorders>
                  <w:vAlign w:val="center"/>
                </w:tcPr>
                <w:p w14:paraId="2E1C5350">
                  <w:pPr>
                    <w:jc w:val="center"/>
                    <w:rPr>
                      <w:b/>
                      <w:bCs/>
                      <w:color w:val="auto"/>
                      <w:szCs w:val="21"/>
                    </w:rPr>
                  </w:pPr>
                  <w:r>
                    <w:rPr>
                      <w:b/>
                      <w:bCs/>
                      <w:color w:val="auto"/>
                      <w:szCs w:val="21"/>
                    </w:rPr>
                    <w:t>名称</w:t>
                  </w:r>
                </w:p>
              </w:tc>
              <w:tc>
                <w:tcPr>
                  <w:tcW w:w="1463" w:type="dxa"/>
                  <w:tcBorders>
                    <w:tl2br w:val="nil"/>
                    <w:tr2bl w:val="nil"/>
                  </w:tcBorders>
                  <w:vAlign w:val="center"/>
                </w:tcPr>
                <w:p w14:paraId="00AC05C8">
                  <w:pPr>
                    <w:jc w:val="center"/>
                    <w:rPr>
                      <w:b/>
                      <w:bCs/>
                      <w:color w:val="auto"/>
                      <w:szCs w:val="21"/>
                    </w:rPr>
                  </w:pPr>
                  <w:r>
                    <w:rPr>
                      <w:b/>
                      <w:bCs/>
                      <w:color w:val="auto"/>
                      <w:szCs w:val="21"/>
                    </w:rPr>
                    <w:t>年用量（t）</w:t>
                  </w:r>
                </w:p>
              </w:tc>
              <w:tc>
                <w:tcPr>
                  <w:tcW w:w="2727" w:type="dxa"/>
                  <w:gridSpan w:val="3"/>
                  <w:tcBorders>
                    <w:tl2br w:val="nil"/>
                    <w:tr2bl w:val="nil"/>
                  </w:tcBorders>
                  <w:vAlign w:val="center"/>
                </w:tcPr>
                <w:p w14:paraId="0C19B3E7">
                  <w:pPr>
                    <w:jc w:val="center"/>
                    <w:rPr>
                      <w:b/>
                      <w:bCs/>
                      <w:color w:val="auto"/>
                      <w:szCs w:val="21"/>
                    </w:rPr>
                  </w:pPr>
                  <w:r>
                    <w:rPr>
                      <w:b/>
                      <w:bCs/>
                      <w:color w:val="auto"/>
                      <w:szCs w:val="21"/>
                    </w:rPr>
                    <w:t>名称</w:t>
                  </w:r>
                </w:p>
              </w:tc>
              <w:tc>
                <w:tcPr>
                  <w:tcW w:w="1605" w:type="dxa"/>
                  <w:tcBorders>
                    <w:tl2br w:val="nil"/>
                    <w:tr2bl w:val="nil"/>
                  </w:tcBorders>
                  <w:vAlign w:val="center"/>
                </w:tcPr>
                <w:p w14:paraId="5F39000D">
                  <w:pPr>
                    <w:jc w:val="center"/>
                    <w:rPr>
                      <w:b/>
                      <w:bCs/>
                      <w:color w:val="auto"/>
                      <w:szCs w:val="21"/>
                    </w:rPr>
                  </w:pPr>
                  <w:r>
                    <w:rPr>
                      <w:b/>
                      <w:bCs/>
                      <w:color w:val="auto"/>
                      <w:szCs w:val="21"/>
                    </w:rPr>
                    <w:t>年产生量（t）</w:t>
                  </w:r>
                </w:p>
              </w:tc>
            </w:tr>
            <w:tr w14:paraId="59E38C3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2727" w:type="dxa"/>
                  <w:vMerge w:val="restart"/>
                  <w:tcBorders>
                    <w:tl2br w:val="nil"/>
                    <w:tr2bl w:val="nil"/>
                  </w:tcBorders>
                  <w:vAlign w:val="center"/>
                </w:tcPr>
                <w:p w14:paraId="18026944">
                  <w:pPr>
                    <w:jc w:val="center"/>
                    <w:rPr>
                      <w:color w:val="auto"/>
                      <w:szCs w:val="21"/>
                    </w:rPr>
                  </w:pPr>
                  <w:r>
                    <w:rPr>
                      <w:rFonts w:hint="eastAsia"/>
                      <w:color w:val="auto"/>
                      <w:szCs w:val="21"/>
                      <w:lang w:val="en-US" w:eastAsia="zh-CN"/>
                    </w:rPr>
                    <w:t>聚丙烯树脂（PP）</w:t>
                  </w:r>
                </w:p>
              </w:tc>
              <w:tc>
                <w:tcPr>
                  <w:tcW w:w="1463" w:type="dxa"/>
                  <w:vMerge w:val="restart"/>
                  <w:tcBorders>
                    <w:tl2br w:val="nil"/>
                    <w:tr2bl w:val="nil"/>
                  </w:tcBorders>
                  <w:vAlign w:val="center"/>
                </w:tcPr>
                <w:p w14:paraId="701A919A">
                  <w:pPr>
                    <w:jc w:val="center"/>
                    <w:rPr>
                      <w:color w:val="auto"/>
                      <w:szCs w:val="21"/>
                    </w:rPr>
                  </w:pPr>
                  <w:r>
                    <w:rPr>
                      <w:rFonts w:hint="eastAsia"/>
                      <w:color w:val="auto"/>
                      <w:szCs w:val="21"/>
                      <w:lang w:val="en-US" w:eastAsia="zh-CN"/>
                    </w:rPr>
                    <w:t>8256.45</w:t>
                  </w:r>
                </w:p>
              </w:tc>
              <w:tc>
                <w:tcPr>
                  <w:tcW w:w="742" w:type="dxa"/>
                  <w:vMerge w:val="restart"/>
                  <w:tcBorders>
                    <w:tl2br w:val="nil"/>
                    <w:tr2bl w:val="nil"/>
                  </w:tcBorders>
                  <w:vAlign w:val="center"/>
                </w:tcPr>
                <w:p w14:paraId="67EA5B6B">
                  <w:pPr>
                    <w:jc w:val="center"/>
                    <w:rPr>
                      <w:color w:val="auto"/>
                      <w:szCs w:val="21"/>
                    </w:rPr>
                  </w:pPr>
                  <w:r>
                    <w:rPr>
                      <w:color w:val="auto"/>
                      <w:szCs w:val="21"/>
                    </w:rPr>
                    <w:t>废气</w:t>
                  </w:r>
                </w:p>
              </w:tc>
              <w:tc>
                <w:tcPr>
                  <w:tcW w:w="992" w:type="dxa"/>
                  <w:vMerge w:val="restart"/>
                  <w:tcBorders>
                    <w:tl2br w:val="nil"/>
                    <w:tr2bl w:val="nil"/>
                  </w:tcBorders>
                  <w:vAlign w:val="center"/>
                </w:tcPr>
                <w:p w14:paraId="323394A6">
                  <w:pPr>
                    <w:jc w:val="center"/>
                    <w:rPr>
                      <w:color w:val="auto"/>
                      <w:szCs w:val="21"/>
                      <w:highlight w:val="none"/>
                    </w:rPr>
                  </w:pPr>
                  <w:r>
                    <w:rPr>
                      <w:rFonts w:hint="eastAsia"/>
                      <w:color w:val="auto"/>
                      <w:szCs w:val="21"/>
                      <w:highlight w:val="none"/>
                    </w:rPr>
                    <w:t>非甲烷总烃</w:t>
                  </w:r>
                </w:p>
              </w:tc>
              <w:tc>
                <w:tcPr>
                  <w:tcW w:w="993" w:type="dxa"/>
                  <w:tcBorders>
                    <w:tl2br w:val="nil"/>
                    <w:tr2bl w:val="nil"/>
                  </w:tcBorders>
                  <w:vAlign w:val="center"/>
                </w:tcPr>
                <w:p w14:paraId="29BF8A17">
                  <w:pPr>
                    <w:keepNext w:val="0"/>
                    <w:keepLines w:val="0"/>
                    <w:widowControl w:val="0"/>
                    <w:suppressLineNumbers w:val="0"/>
                    <w:spacing w:before="0" w:beforeAutospacing="0" w:after="0" w:afterAutospacing="0"/>
                    <w:ind w:left="0" w:leftChars="0" w:right="0" w:rightChars="0"/>
                    <w:jc w:val="center"/>
                    <w:rPr>
                      <w:rFonts w:hint="eastAsia"/>
                      <w:color w:val="auto"/>
                      <w:szCs w:val="21"/>
                      <w:highlight w:val="none"/>
                    </w:rPr>
                  </w:pPr>
                  <w:r>
                    <w:rPr>
                      <w:rFonts w:hint="default" w:ascii="Times New Roman" w:hAnsi="Times New Roman" w:eastAsia="宋体" w:cs="Times New Roman"/>
                      <w:color w:val="auto"/>
                      <w:sz w:val="21"/>
                      <w:szCs w:val="21"/>
                      <w:highlight w:val="none"/>
                    </w:rPr>
                    <w:t>有组织</w:t>
                  </w:r>
                </w:p>
              </w:tc>
              <w:tc>
                <w:tcPr>
                  <w:tcW w:w="1605" w:type="dxa"/>
                  <w:tcBorders>
                    <w:tl2br w:val="nil"/>
                    <w:tr2bl w:val="nil"/>
                  </w:tcBorders>
                  <w:vAlign w:val="center"/>
                </w:tcPr>
                <w:p w14:paraId="5B2D5F47">
                  <w:pPr>
                    <w:jc w:val="center"/>
                    <w:rPr>
                      <w:rFonts w:hint="default" w:eastAsia="宋体"/>
                      <w:color w:val="auto"/>
                      <w:szCs w:val="21"/>
                      <w:highlight w:val="none"/>
                      <w:lang w:val="en-US" w:eastAsia="zh-CN"/>
                    </w:rPr>
                  </w:pPr>
                  <w:r>
                    <w:rPr>
                      <w:rFonts w:hint="eastAsia"/>
                      <w:color w:val="auto"/>
                      <w:szCs w:val="21"/>
                      <w:highlight w:val="none"/>
                      <w:lang w:val="en-US" w:eastAsia="zh-CN"/>
                    </w:rPr>
                    <w:t>18.7726</w:t>
                  </w:r>
                </w:p>
              </w:tc>
            </w:tr>
            <w:tr w14:paraId="0F8C153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2727" w:type="dxa"/>
                  <w:vMerge w:val="continue"/>
                  <w:tcBorders>
                    <w:tl2br w:val="nil"/>
                    <w:tr2bl w:val="nil"/>
                  </w:tcBorders>
                  <w:vAlign w:val="center"/>
                </w:tcPr>
                <w:p w14:paraId="7479F1FC">
                  <w:pPr>
                    <w:jc w:val="center"/>
                    <w:rPr>
                      <w:color w:val="auto"/>
                    </w:rPr>
                  </w:pPr>
                </w:p>
              </w:tc>
              <w:tc>
                <w:tcPr>
                  <w:tcW w:w="1463" w:type="dxa"/>
                  <w:vMerge w:val="continue"/>
                  <w:tcBorders>
                    <w:tl2br w:val="nil"/>
                    <w:tr2bl w:val="nil"/>
                  </w:tcBorders>
                  <w:vAlign w:val="center"/>
                </w:tcPr>
                <w:p w14:paraId="31D98F27">
                  <w:pPr>
                    <w:jc w:val="center"/>
                    <w:rPr>
                      <w:color w:val="auto"/>
                    </w:rPr>
                  </w:pPr>
                </w:p>
              </w:tc>
              <w:tc>
                <w:tcPr>
                  <w:tcW w:w="742" w:type="dxa"/>
                  <w:vMerge w:val="continue"/>
                  <w:tcBorders>
                    <w:tl2br w:val="nil"/>
                    <w:tr2bl w:val="nil"/>
                  </w:tcBorders>
                  <w:vAlign w:val="center"/>
                </w:tcPr>
                <w:p w14:paraId="7AF0B612">
                  <w:pPr>
                    <w:jc w:val="center"/>
                    <w:rPr>
                      <w:color w:val="auto"/>
                    </w:rPr>
                  </w:pPr>
                </w:p>
              </w:tc>
              <w:tc>
                <w:tcPr>
                  <w:tcW w:w="992" w:type="dxa"/>
                  <w:vMerge w:val="continue"/>
                  <w:tcBorders>
                    <w:tl2br w:val="nil"/>
                    <w:tr2bl w:val="nil"/>
                  </w:tcBorders>
                  <w:vAlign w:val="center"/>
                </w:tcPr>
                <w:p w14:paraId="61C92A65">
                  <w:pPr>
                    <w:jc w:val="center"/>
                    <w:rPr>
                      <w:rFonts w:hint="eastAsia"/>
                      <w:color w:val="auto"/>
                      <w:szCs w:val="21"/>
                      <w:highlight w:val="none"/>
                    </w:rPr>
                  </w:pPr>
                </w:p>
              </w:tc>
              <w:tc>
                <w:tcPr>
                  <w:tcW w:w="993" w:type="dxa"/>
                  <w:tcBorders>
                    <w:tl2br w:val="nil"/>
                    <w:tr2bl w:val="nil"/>
                  </w:tcBorders>
                  <w:vAlign w:val="center"/>
                </w:tcPr>
                <w:p w14:paraId="47E29953">
                  <w:pPr>
                    <w:keepNext w:val="0"/>
                    <w:keepLines w:val="0"/>
                    <w:widowControl w:val="0"/>
                    <w:suppressLineNumbers w:val="0"/>
                    <w:spacing w:before="0" w:beforeAutospacing="0" w:after="0" w:afterAutospacing="0"/>
                    <w:ind w:left="0" w:leftChars="0" w:right="0" w:rightChars="0"/>
                    <w:jc w:val="center"/>
                    <w:rPr>
                      <w:rFonts w:hint="eastAsia"/>
                      <w:color w:val="auto"/>
                      <w:szCs w:val="21"/>
                      <w:highlight w:val="none"/>
                    </w:rPr>
                  </w:pPr>
                  <w:r>
                    <w:rPr>
                      <w:rFonts w:hint="default" w:ascii="Times New Roman" w:hAnsi="Times New Roman" w:eastAsia="宋体" w:cs="Times New Roman"/>
                      <w:color w:val="auto"/>
                      <w:sz w:val="21"/>
                      <w:szCs w:val="21"/>
                      <w:highlight w:val="none"/>
                    </w:rPr>
                    <w:t>无组织</w:t>
                  </w:r>
                </w:p>
              </w:tc>
              <w:tc>
                <w:tcPr>
                  <w:tcW w:w="1605" w:type="dxa"/>
                  <w:tcBorders>
                    <w:tl2br w:val="nil"/>
                    <w:tr2bl w:val="nil"/>
                  </w:tcBorders>
                  <w:vAlign w:val="center"/>
                </w:tcPr>
                <w:p w14:paraId="20CEB08D">
                  <w:pPr>
                    <w:jc w:val="center"/>
                    <w:rPr>
                      <w:rFonts w:hint="default" w:eastAsia="宋体"/>
                      <w:color w:val="auto"/>
                      <w:szCs w:val="21"/>
                      <w:highlight w:val="none"/>
                      <w:lang w:val="en-US" w:eastAsia="zh-CN"/>
                    </w:rPr>
                  </w:pPr>
                  <w:r>
                    <w:rPr>
                      <w:rFonts w:hint="eastAsia"/>
                      <w:color w:val="auto"/>
                      <w:szCs w:val="21"/>
                      <w:highlight w:val="none"/>
                      <w:lang w:val="en-US" w:eastAsia="zh-CN"/>
                    </w:rPr>
                    <w:t>4.6931</w:t>
                  </w:r>
                </w:p>
              </w:tc>
            </w:tr>
            <w:tr w14:paraId="2DA25E5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727" w:type="dxa"/>
                  <w:tcBorders>
                    <w:tl2br w:val="nil"/>
                    <w:tr2bl w:val="nil"/>
                  </w:tcBorders>
                  <w:vAlign w:val="center"/>
                </w:tcPr>
                <w:p w14:paraId="5CD972AC">
                  <w:pPr>
                    <w:jc w:val="center"/>
                    <w:rPr>
                      <w:color w:val="auto"/>
                      <w:szCs w:val="21"/>
                    </w:rPr>
                  </w:pPr>
                  <w:r>
                    <w:rPr>
                      <w:rFonts w:hint="eastAsia"/>
                      <w:color w:val="auto"/>
                      <w:szCs w:val="21"/>
                      <w:lang w:val="en-US" w:eastAsia="zh-CN"/>
                    </w:rPr>
                    <w:t>聚乙烯树脂（PE）</w:t>
                  </w:r>
                </w:p>
              </w:tc>
              <w:tc>
                <w:tcPr>
                  <w:tcW w:w="1463" w:type="dxa"/>
                  <w:tcBorders>
                    <w:tl2br w:val="nil"/>
                    <w:tr2bl w:val="nil"/>
                  </w:tcBorders>
                  <w:vAlign w:val="center"/>
                </w:tcPr>
                <w:p w14:paraId="6686DCFD">
                  <w:pPr>
                    <w:jc w:val="center"/>
                    <w:rPr>
                      <w:color w:val="auto"/>
                      <w:szCs w:val="21"/>
                    </w:rPr>
                  </w:pPr>
                  <w:r>
                    <w:rPr>
                      <w:rFonts w:hint="eastAsia"/>
                      <w:color w:val="auto"/>
                      <w:szCs w:val="21"/>
                      <w:lang w:val="en-US" w:eastAsia="zh-CN"/>
                    </w:rPr>
                    <w:t>434.55</w:t>
                  </w:r>
                </w:p>
              </w:tc>
              <w:tc>
                <w:tcPr>
                  <w:tcW w:w="742" w:type="dxa"/>
                  <w:tcBorders>
                    <w:tl2br w:val="nil"/>
                    <w:tr2bl w:val="nil"/>
                  </w:tcBorders>
                  <w:vAlign w:val="center"/>
                </w:tcPr>
                <w:p w14:paraId="528C8CE3">
                  <w:pPr>
                    <w:jc w:val="center"/>
                    <w:rPr>
                      <w:color w:val="auto"/>
                      <w:szCs w:val="21"/>
                    </w:rPr>
                  </w:pPr>
                  <w:r>
                    <w:rPr>
                      <w:color w:val="auto"/>
                      <w:szCs w:val="21"/>
                    </w:rPr>
                    <w:t>固废</w:t>
                  </w:r>
                </w:p>
              </w:tc>
              <w:tc>
                <w:tcPr>
                  <w:tcW w:w="1985" w:type="dxa"/>
                  <w:gridSpan w:val="2"/>
                  <w:tcBorders>
                    <w:tl2br w:val="nil"/>
                    <w:tr2bl w:val="nil"/>
                  </w:tcBorders>
                  <w:vAlign w:val="center"/>
                </w:tcPr>
                <w:p w14:paraId="23CF753D">
                  <w:pPr>
                    <w:jc w:val="center"/>
                    <w:rPr>
                      <w:rFonts w:hint="eastAsia" w:eastAsia="宋体"/>
                      <w:color w:val="auto"/>
                      <w:szCs w:val="21"/>
                      <w:lang w:val="en-US" w:eastAsia="zh-CN"/>
                    </w:rPr>
                  </w:pPr>
                  <w:r>
                    <w:rPr>
                      <w:color w:val="auto"/>
                      <w:szCs w:val="21"/>
                    </w:rPr>
                    <w:t>边角料、不合格</w:t>
                  </w:r>
                  <w:r>
                    <w:rPr>
                      <w:rFonts w:hint="eastAsia"/>
                      <w:color w:val="auto"/>
                      <w:szCs w:val="21"/>
                      <w:lang w:val="en-US" w:eastAsia="zh-CN"/>
                    </w:rPr>
                    <w:t>产</w:t>
                  </w:r>
                  <w:r>
                    <w:rPr>
                      <w:color w:val="auto"/>
                      <w:szCs w:val="21"/>
                    </w:rPr>
                    <w:t>品</w:t>
                  </w:r>
                  <w:r>
                    <w:rPr>
                      <w:rFonts w:hint="eastAsia"/>
                      <w:color w:val="auto"/>
                      <w:szCs w:val="21"/>
                      <w:lang w:eastAsia="zh-CN"/>
                    </w:rPr>
                    <w:t>、</w:t>
                  </w:r>
                  <w:r>
                    <w:rPr>
                      <w:rFonts w:hint="eastAsia"/>
                      <w:color w:val="auto"/>
                      <w:szCs w:val="21"/>
                      <w:lang w:val="en-US" w:eastAsia="zh-CN"/>
                    </w:rPr>
                    <w:t>未成形产品</w:t>
                  </w:r>
                </w:p>
              </w:tc>
              <w:tc>
                <w:tcPr>
                  <w:tcW w:w="1605" w:type="dxa"/>
                  <w:tcBorders>
                    <w:tl2br w:val="nil"/>
                    <w:tr2bl w:val="nil"/>
                  </w:tcBorders>
                  <w:vAlign w:val="center"/>
                </w:tcPr>
                <w:p w14:paraId="011B27E3">
                  <w:pPr>
                    <w:widowControl/>
                    <w:jc w:val="center"/>
                    <w:textAlignment w:val="center"/>
                    <w:rPr>
                      <w:color w:val="auto"/>
                      <w:szCs w:val="21"/>
                    </w:rPr>
                  </w:pPr>
                  <w:r>
                    <w:rPr>
                      <w:rFonts w:hint="eastAsia" w:ascii="Times New Roman" w:hAnsi="Times New Roman" w:eastAsia="宋体" w:cs="Times New Roman"/>
                      <w:color w:val="auto"/>
                      <w:szCs w:val="21"/>
                      <w:lang w:val="en-US" w:eastAsia="zh-CN"/>
                    </w:rPr>
                    <w:t>21.7275</w:t>
                  </w:r>
                </w:p>
              </w:tc>
            </w:tr>
            <w:tr w14:paraId="4C64604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2727" w:type="dxa"/>
                  <w:tcBorders>
                    <w:tl2br w:val="nil"/>
                    <w:tr2bl w:val="nil"/>
                  </w:tcBorders>
                  <w:vAlign w:val="center"/>
                </w:tcPr>
                <w:p w14:paraId="667229E8">
                  <w:pPr>
                    <w:jc w:val="center"/>
                    <w:rPr>
                      <w:color w:val="auto"/>
                      <w:szCs w:val="21"/>
                      <w:highlight w:val="none"/>
                    </w:rPr>
                  </w:pPr>
                  <w:r>
                    <w:rPr>
                      <w:rFonts w:hint="eastAsia"/>
                      <w:color w:val="auto"/>
                      <w:szCs w:val="21"/>
                      <w:highlight w:val="none"/>
                      <w:lang w:val="en-US" w:eastAsia="zh-CN"/>
                    </w:rPr>
                    <w:t>色母</w:t>
                  </w:r>
                </w:p>
              </w:tc>
              <w:tc>
                <w:tcPr>
                  <w:tcW w:w="1463" w:type="dxa"/>
                  <w:tcBorders>
                    <w:tl2br w:val="nil"/>
                    <w:tr2bl w:val="nil"/>
                  </w:tcBorders>
                  <w:vAlign w:val="center"/>
                </w:tcPr>
                <w:p w14:paraId="37AF552A">
                  <w:pPr>
                    <w:jc w:val="center"/>
                    <w:rPr>
                      <w:rFonts w:hint="default"/>
                      <w:color w:val="auto"/>
                      <w:szCs w:val="21"/>
                      <w:highlight w:val="none"/>
                      <w:lang w:val="en-US"/>
                    </w:rPr>
                  </w:pPr>
                  <w:r>
                    <w:rPr>
                      <w:rFonts w:hint="eastAsia"/>
                      <w:color w:val="auto"/>
                      <w:szCs w:val="21"/>
                      <w:highlight w:val="none"/>
                      <w:lang w:val="en-US" w:eastAsia="zh-CN"/>
                    </w:rPr>
                    <w:t>45.1932</w:t>
                  </w:r>
                </w:p>
              </w:tc>
              <w:tc>
                <w:tcPr>
                  <w:tcW w:w="742" w:type="dxa"/>
                  <w:tcBorders>
                    <w:tl2br w:val="nil"/>
                    <w:tr2bl w:val="nil"/>
                  </w:tcBorders>
                  <w:vAlign w:val="center"/>
                </w:tcPr>
                <w:p w14:paraId="327FB98D">
                  <w:pPr>
                    <w:jc w:val="center"/>
                    <w:rPr>
                      <w:color w:val="auto"/>
                      <w:szCs w:val="21"/>
                    </w:rPr>
                  </w:pPr>
                  <w:r>
                    <w:rPr>
                      <w:rFonts w:hint="eastAsia" w:ascii="Times New Roman" w:hAnsi="Times New Roman" w:eastAsia="宋体" w:cs="Times New Roman"/>
                      <w:color w:val="auto"/>
                      <w:szCs w:val="21"/>
                      <w:lang w:val="en-US" w:eastAsia="zh-CN"/>
                    </w:rPr>
                    <w:t>产品</w:t>
                  </w:r>
                </w:p>
              </w:tc>
              <w:tc>
                <w:tcPr>
                  <w:tcW w:w="1985" w:type="dxa"/>
                  <w:gridSpan w:val="2"/>
                  <w:tcBorders>
                    <w:tl2br w:val="nil"/>
                    <w:tr2bl w:val="nil"/>
                  </w:tcBorders>
                  <w:vAlign w:val="center"/>
                </w:tcPr>
                <w:p w14:paraId="617FFCF3">
                  <w:pPr>
                    <w:jc w:val="center"/>
                    <w:rPr>
                      <w:rFonts w:hint="default" w:eastAsia="宋体"/>
                      <w:color w:val="auto"/>
                      <w:szCs w:val="21"/>
                      <w:lang w:val="en-US" w:eastAsia="zh-CN"/>
                    </w:rPr>
                  </w:pPr>
                  <w:r>
                    <w:rPr>
                      <w:rFonts w:hint="eastAsia" w:ascii="Times New Roman" w:hAnsi="Times New Roman" w:eastAsia="宋体" w:cs="Times New Roman"/>
                      <w:color w:val="auto"/>
                      <w:szCs w:val="21"/>
                      <w:lang w:val="en-US" w:eastAsia="zh-CN"/>
                    </w:rPr>
                    <w:t>各类塑料包装箱及容器</w:t>
                  </w:r>
                </w:p>
              </w:tc>
              <w:tc>
                <w:tcPr>
                  <w:tcW w:w="1605" w:type="dxa"/>
                  <w:tcBorders>
                    <w:tl2br w:val="nil"/>
                    <w:tr2bl w:val="nil"/>
                  </w:tcBorders>
                  <w:vAlign w:val="center"/>
                </w:tcPr>
                <w:p w14:paraId="11A60414">
                  <w:pPr>
                    <w:widowControl/>
                    <w:jc w:val="center"/>
                    <w:textAlignment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8691</w:t>
                  </w:r>
                </w:p>
              </w:tc>
            </w:tr>
            <w:tr w14:paraId="66664EC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2727" w:type="dxa"/>
                  <w:tcBorders>
                    <w:tl2br w:val="nil"/>
                    <w:tr2bl w:val="nil"/>
                  </w:tcBorders>
                  <w:vAlign w:val="center"/>
                </w:tcPr>
                <w:p w14:paraId="78E4BA6F">
                  <w:pPr>
                    <w:jc w:val="center"/>
                    <w:rPr>
                      <w:color w:val="auto"/>
                      <w:szCs w:val="21"/>
                      <w:highlight w:val="none"/>
                    </w:rPr>
                  </w:pPr>
                  <w:r>
                    <w:rPr>
                      <w:color w:val="auto"/>
                      <w:szCs w:val="21"/>
                      <w:highlight w:val="none"/>
                    </w:rPr>
                    <w:t>合计</w:t>
                  </w:r>
                </w:p>
              </w:tc>
              <w:tc>
                <w:tcPr>
                  <w:tcW w:w="1463" w:type="dxa"/>
                  <w:tcBorders>
                    <w:tl2br w:val="nil"/>
                    <w:tr2bl w:val="nil"/>
                  </w:tcBorders>
                  <w:vAlign w:val="center"/>
                </w:tcPr>
                <w:p w14:paraId="3B71171C">
                  <w:pPr>
                    <w:jc w:val="center"/>
                    <w:rPr>
                      <w:rFonts w:hint="default" w:eastAsia="宋体"/>
                      <w:color w:val="auto"/>
                      <w:szCs w:val="21"/>
                      <w:highlight w:val="none"/>
                      <w:lang w:val="en-US" w:eastAsia="zh-CN"/>
                    </w:rPr>
                  </w:pPr>
                  <w:r>
                    <w:rPr>
                      <w:rFonts w:hint="eastAsia"/>
                      <w:color w:val="auto"/>
                      <w:szCs w:val="21"/>
                      <w:highlight w:val="none"/>
                      <w:lang w:val="en-US" w:eastAsia="zh-CN"/>
                    </w:rPr>
                    <w:t>8736.1932</w:t>
                  </w:r>
                </w:p>
              </w:tc>
              <w:tc>
                <w:tcPr>
                  <w:tcW w:w="2727" w:type="dxa"/>
                  <w:gridSpan w:val="3"/>
                  <w:tcBorders>
                    <w:tl2br w:val="nil"/>
                    <w:tr2bl w:val="nil"/>
                  </w:tcBorders>
                  <w:vAlign w:val="center"/>
                </w:tcPr>
                <w:p w14:paraId="535C4735">
                  <w:pPr>
                    <w:jc w:val="center"/>
                    <w:rPr>
                      <w:color w:val="auto"/>
                      <w:szCs w:val="21"/>
                    </w:rPr>
                  </w:pPr>
                  <w:r>
                    <w:rPr>
                      <w:color w:val="auto"/>
                      <w:szCs w:val="21"/>
                    </w:rPr>
                    <w:t>合计</w:t>
                  </w:r>
                </w:p>
              </w:tc>
              <w:tc>
                <w:tcPr>
                  <w:tcW w:w="1605" w:type="dxa"/>
                  <w:tcBorders>
                    <w:tl2br w:val="nil"/>
                    <w:tr2bl w:val="nil"/>
                  </w:tcBorders>
                  <w:vAlign w:val="center"/>
                </w:tcPr>
                <w:p w14:paraId="28701556">
                  <w:pPr>
                    <w:jc w:val="center"/>
                    <w:rPr>
                      <w:rFonts w:hint="default" w:eastAsia="宋体"/>
                      <w:color w:val="auto"/>
                      <w:kern w:val="0"/>
                      <w:szCs w:val="21"/>
                      <w:lang w:val="en-US" w:eastAsia="zh-CN" w:bidi="ar"/>
                    </w:rPr>
                  </w:pPr>
                  <w:r>
                    <w:rPr>
                      <w:rFonts w:hint="eastAsia"/>
                      <w:color w:val="auto"/>
                      <w:szCs w:val="21"/>
                      <w:lang w:val="en-US" w:eastAsia="zh-CN"/>
                    </w:rPr>
                    <w:t>8736.1932</w:t>
                  </w:r>
                </w:p>
              </w:tc>
            </w:tr>
          </w:tbl>
          <w:p w14:paraId="679DB472">
            <w:pPr>
              <w:jc w:val="center"/>
              <w:rPr>
                <w:b/>
                <w:bCs/>
                <w:color w:val="auto"/>
                <w:szCs w:val="21"/>
              </w:rPr>
            </w:pPr>
          </w:p>
        </w:tc>
      </w:tr>
      <w:tr w14:paraId="03B50C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26" w:type="pct"/>
            <w:vAlign w:val="center"/>
          </w:tcPr>
          <w:p w14:paraId="792CE7ED">
            <w:pPr>
              <w:pStyle w:val="27"/>
              <w:adjustRightInd w:val="0"/>
              <w:snapToGrid w:val="0"/>
              <w:spacing w:before="0" w:beforeAutospacing="0" w:after="0" w:afterAutospacing="0"/>
              <w:jc w:val="center"/>
              <w:rPr>
                <w:rFonts w:ascii="Times New Roman" w:hAnsi="Times New Roman"/>
                <w:color w:val="auto"/>
                <w:sz w:val="21"/>
                <w:szCs w:val="21"/>
              </w:rPr>
            </w:pPr>
            <w:r>
              <w:rPr>
                <w:rFonts w:ascii="Times New Roman" w:hAnsi="Times New Roman"/>
                <w:bCs/>
                <w:color w:val="auto"/>
                <w:kern w:val="2"/>
                <w:szCs w:val="24"/>
              </w:rPr>
              <w:t>与项目有关的原有环境污染问题</w:t>
            </w:r>
          </w:p>
        </w:tc>
        <w:tc>
          <w:tcPr>
            <w:tcW w:w="4773" w:type="pct"/>
          </w:tcPr>
          <w:p w14:paraId="7F199387">
            <w:pPr>
              <w:spacing w:line="360" w:lineRule="auto"/>
              <w:ind w:firstLine="480" w:firstLineChars="200"/>
              <w:rPr>
                <w:rFonts w:hint="eastAsia"/>
                <w:bCs/>
                <w:color w:val="auto"/>
                <w:sz w:val="24"/>
              </w:rPr>
            </w:pPr>
            <w:r>
              <w:rPr>
                <w:rFonts w:hint="eastAsia"/>
                <w:bCs/>
                <w:color w:val="auto"/>
                <w:sz w:val="24"/>
              </w:rPr>
              <w:t>本项目为租用</w:t>
            </w:r>
            <w:r>
              <w:rPr>
                <w:rFonts w:hint="eastAsia"/>
                <w:bCs/>
                <w:color w:val="auto"/>
                <w:sz w:val="24"/>
                <w:lang w:eastAsia="zh-CN"/>
              </w:rPr>
              <w:t>云</w:t>
            </w:r>
            <w:r>
              <w:rPr>
                <w:rFonts w:hint="eastAsia"/>
                <w:color w:val="auto"/>
                <w:sz w:val="24"/>
                <w:lang w:val="en-US" w:eastAsia="zh-CN"/>
              </w:rPr>
              <w:t>南宝泰轻化机械</w:t>
            </w:r>
            <w:r>
              <w:rPr>
                <w:rFonts w:hint="eastAsia"/>
                <w:color w:val="auto"/>
                <w:sz w:val="24"/>
                <w:lang w:eastAsia="zh-CN"/>
              </w:rPr>
              <w:t>有限公司的已建标准厂房</w:t>
            </w:r>
            <w:r>
              <w:rPr>
                <w:rFonts w:hint="eastAsia"/>
                <w:bCs/>
                <w:color w:val="auto"/>
                <w:sz w:val="24"/>
              </w:rPr>
              <w:t>及办公楼改造后进行项目生产，为新建项目，</w:t>
            </w:r>
            <w:r>
              <w:rPr>
                <w:rFonts w:hint="eastAsia"/>
                <w:bCs/>
                <w:color w:val="auto"/>
                <w:sz w:val="24"/>
                <w:lang w:eastAsia="zh-CN"/>
              </w:rPr>
              <w:t>云南澄江宝泰轻工机械厂委托云南靖尚达环境咨询有限公司</w:t>
            </w:r>
            <w:r>
              <w:rPr>
                <w:rFonts w:hint="eastAsia"/>
                <w:bCs/>
                <w:color w:val="auto"/>
                <w:sz w:val="24"/>
              </w:rPr>
              <w:t>编制了《</w:t>
            </w:r>
            <w:r>
              <w:rPr>
                <w:rFonts w:hint="eastAsia"/>
                <w:bCs/>
                <w:color w:val="auto"/>
                <w:sz w:val="24"/>
                <w:lang w:eastAsia="zh-CN"/>
              </w:rPr>
              <w:t>云南澄江宝泰轻工机械厂</w:t>
            </w:r>
            <w:r>
              <w:rPr>
                <w:rFonts w:hint="eastAsia"/>
                <w:bCs/>
                <w:color w:val="auto"/>
                <w:sz w:val="24"/>
              </w:rPr>
              <w:t>环境影响报告</w:t>
            </w:r>
            <w:r>
              <w:rPr>
                <w:rFonts w:hint="eastAsia"/>
                <w:bCs/>
                <w:color w:val="auto"/>
                <w:sz w:val="24"/>
                <w:lang w:eastAsia="zh-CN"/>
              </w:rPr>
              <w:t>表</w:t>
            </w:r>
            <w:r>
              <w:rPr>
                <w:rFonts w:hint="eastAsia"/>
                <w:bCs/>
                <w:color w:val="auto"/>
                <w:sz w:val="24"/>
              </w:rPr>
              <w:t>》</w:t>
            </w:r>
            <w:r>
              <w:rPr>
                <w:rFonts w:hint="eastAsia"/>
                <w:bCs/>
                <w:color w:val="auto"/>
                <w:sz w:val="24"/>
                <w:lang w:eastAsia="zh-CN"/>
              </w:rPr>
              <w:t>，</w:t>
            </w:r>
            <w:r>
              <w:rPr>
                <w:rFonts w:hint="eastAsia"/>
                <w:bCs/>
                <w:color w:val="auto"/>
                <w:sz w:val="24"/>
              </w:rPr>
              <w:t>并于20</w:t>
            </w:r>
            <w:r>
              <w:rPr>
                <w:rFonts w:hint="eastAsia"/>
                <w:bCs/>
                <w:color w:val="auto"/>
                <w:sz w:val="24"/>
                <w:lang w:val="en-US" w:eastAsia="zh-CN"/>
              </w:rPr>
              <w:t>08</w:t>
            </w:r>
            <w:r>
              <w:rPr>
                <w:rFonts w:hint="eastAsia"/>
                <w:bCs/>
                <w:color w:val="auto"/>
                <w:sz w:val="24"/>
              </w:rPr>
              <w:t>年1</w:t>
            </w:r>
            <w:r>
              <w:rPr>
                <w:rFonts w:hint="eastAsia"/>
                <w:bCs/>
                <w:color w:val="auto"/>
                <w:sz w:val="24"/>
                <w:lang w:val="en-US" w:eastAsia="zh-CN"/>
              </w:rPr>
              <w:t>0</w:t>
            </w:r>
            <w:r>
              <w:rPr>
                <w:rFonts w:hint="eastAsia"/>
                <w:bCs/>
                <w:color w:val="auto"/>
                <w:sz w:val="24"/>
              </w:rPr>
              <w:t>月</w:t>
            </w:r>
            <w:r>
              <w:rPr>
                <w:rFonts w:hint="eastAsia"/>
                <w:bCs/>
                <w:color w:val="auto"/>
                <w:sz w:val="24"/>
                <w:lang w:val="en-US" w:eastAsia="zh-CN"/>
              </w:rPr>
              <w:t>10</w:t>
            </w:r>
            <w:r>
              <w:rPr>
                <w:rFonts w:hint="eastAsia"/>
                <w:bCs/>
                <w:color w:val="auto"/>
                <w:sz w:val="24"/>
              </w:rPr>
              <w:t>日取得了</w:t>
            </w:r>
            <w:r>
              <w:rPr>
                <w:rFonts w:hint="eastAsia"/>
                <w:bCs/>
                <w:color w:val="auto"/>
                <w:sz w:val="24"/>
                <w:lang w:eastAsia="zh-CN"/>
              </w:rPr>
              <w:t>玉溪市环境保护局（现玉溪</w:t>
            </w:r>
            <w:r>
              <w:rPr>
                <w:rFonts w:hint="eastAsia"/>
                <w:bCs/>
                <w:color w:val="auto"/>
                <w:sz w:val="24"/>
              </w:rPr>
              <w:t>市生态环境局</w:t>
            </w:r>
            <w:r>
              <w:rPr>
                <w:rFonts w:hint="eastAsia"/>
                <w:bCs/>
                <w:color w:val="auto"/>
                <w:sz w:val="24"/>
                <w:lang w:eastAsia="zh-CN"/>
              </w:rPr>
              <w:t>）</w:t>
            </w:r>
            <w:r>
              <w:rPr>
                <w:rFonts w:hint="eastAsia"/>
                <w:bCs/>
                <w:color w:val="auto"/>
                <w:sz w:val="24"/>
              </w:rPr>
              <w:t>关于对</w:t>
            </w:r>
            <w:r>
              <w:rPr>
                <w:rFonts w:hint="eastAsia"/>
                <w:bCs/>
                <w:color w:val="auto"/>
                <w:sz w:val="24"/>
                <w:lang w:eastAsia="zh-CN"/>
              </w:rPr>
              <w:t>该项目</w:t>
            </w:r>
            <w:r>
              <w:rPr>
                <w:rFonts w:hint="eastAsia"/>
                <w:bCs/>
                <w:color w:val="auto"/>
                <w:sz w:val="24"/>
              </w:rPr>
              <w:t>的批复（</w:t>
            </w:r>
            <w:r>
              <w:rPr>
                <w:rFonts w:hint="eastAsia"/>
                <w:bCs/>
                <w:color w:val="auto"/>
                <w:sz w:val="24"/>
                <w:lang w:eastAsia="zh-CN"/>
              </w:rPr>
              <w:t>玉环许准</w:t>
            </w:r>
            <w:r>
              <w:rPr>
                <w:rFonts w:hint="eastAsia"/>
                <w:bCs/>
                <w:color w:val="auto"/>
                <w:sz w:val="24"/>
              </w:rPr>
              <w:t>【20</w:t>
            </w:r>
            <w:r>
              <w:rPr>
                <w:rFonts w:hint="eastAsia"/>
                <w:bCs/>
                <w:color w:val="auto"/>
                <w:sz w:val="24"/>
                <w:lang w:val="en-US" w:eastAsia="zh-CN"/>
              </w:rPr>
              <w:t>08</w:t>
            </w:r>
            <w:r>
              <w:rPr>
                <w:rFonts w:hint="eastAsia"/>
                <w:bCs/>
                <w:color w:val="auto"/>
                <w:sz w:val="24"/>
              </w:rPr>
              <w:t>】9</w:t>
            </w:r>
            <w:r>
              <w:rPr>
                <w:rFonts w:hint="eastAsia"/>
                <w:bCs/>
                <w:color w:val="auto"/>
                <w:sz w:val="24"/>
                <w:lang w:val="en-US" w:eastAsia="zh-CN"/>
              </w:rPr>
              <w:t>9</w:t>
            </w:r>
            <w:r>
              <w:rPr>
                <w:rFonts w:hint="eastAsia"/>
                <w:bCs/>
                <w:color w:val="auto"/>
                <w:sz w:val="24"/>
              </w:rPr>
              <w:t>号），</w:t>
            </w:r>
            <w:r>
              <w:rPr>
                <w:rFonts w:hint="eastAsia"/>
                <w:bCs/>
                <w:color w:val="auto"/>
                <w:sz w:val="24"/>
                <w:lang w:val="en-US" w:eastAsia="zh-CN"/>
              </w:rPr>
              <w:t>2012年3月8日，玉溪市澄江县工商行政管理局证明项目单位由“</w:t>
            </w:r>
            <w:r>
              <w:rPr>
                <w:rFonts w:hint="eastAsia"/>
                <w:bCs/>
                <w:color w:val="auto"/>
                <w:sz w:val="24"/>
                <w:lang w:eastAsia="zh-CN"/>
              </w:rPr>
              <w:t>云南澄江宝泰轻工机械厂</w:t>
            </w:r>
            <w:r>
              <w:rPr>
                <w:rFonts w:hint="eastAsia"/>
                <w:bCs/>
                <w:color w:val="auto"/>
                <w:sz w:val="24"/>
                <w:lang w:val="en-US" w:eastAsia="zh-CN"/>
              </w:rPr>
              <w:t>”变更为</w:t>
            </w:r>
            <w:r>
              <w:rPr>
                <w:rFonts w:hint="eastAsia"/>
                <w:color w:val="auto"/>
                <w:sz w:val="24"/>
                <w:lang w:val="en-US" w:eastAsia="zh-CN"/>
              </w:rPr>
              <w:t>“</w:t>
            </w:r>
            <w:r>
              <w:rPr>
                <w:rFonts w:hint="eastAsia"/>
                <w:bCs/>
                <w:color w:val="auto"/>
                <w:sz w:val="24"/>
                <w:lang w:eastAsia="zh-CN"/>
              </w:rPr>
              <w:t>云</w:t>
            </w:r>
            <w:r>
              <w:rPr>
                <w:rFonts w:hint="eastAsia"/>
                <w:color w:val="auto"/>
                <w:sz w:val="24"/>
                <w:lang w:val="en-US" w:eastAsia="zh-CN"/>
              </w:rPr>
              <w:t>南宝泰轻化机械</w:t>
            </w:r>
            <w:r>
              <w:rPr>
                <w:rFonts w:hint="eastAsia"/>
                <w:color w:val="auto"/>
                <w:sz w:val="24"/>
                <w:lang w:eastAsia="zh-CN"/>
              </w:rPr>
              <w:t>有限公司</w:t>
            </w:r>
            <w:r>
              <w:rPr>
                <w:rFonts w:hint="eastAsia"/>
                <w:color w:val="auto"/>
                <w:sz w:val="24"/>
                <w:lang w:val="en-US" w:eastAsia="zh-CN"/>
              </w:rPr>
              <w:t>”。玉溪市</w:t>
            </w:r>
            <w:r>
              <w:rPr>
                <w:rFonts w:hint="eastAsia"/>
                <w:bCs/>
                <w:color w:val="auto"/>
                <w:sz w:val="24"/>
                <w:lang w:eastAsia="zh-CN"/>
              </w:rPr>
              <w:t>环境保护局（现玉溪</w:t>
            </w:r>
            <w:r>
              <w:rPr>
                <w:rFonts w:hint="eastAsia"/>
                <w:bCs/>
                <w:color w:val="auto"/>
                <w:sz w:val="24"/>
              </w:rPr>
              <w:t>市生态环境局</w:t>
            </w:r>
            <w:r>
              <w:rPr>
                <w:rFonts w:hint="eastAsia"/>
                <w:bCs/>
                <w:color w:val="auto"/>
                <w:sz w:val="24"/>
                <w:lang w:eastAsia="zh-CN"/>
              </w:rPr>
              <w:t>）</w:t>
            </w:r>
            <w:r>
              <w:rPr>
                <w:rFonts w:hint="eastAsia"/>
                <w:bCs/>
                <w:color w:val="auto"/>
                <w:sz w:val="24"/>
              </w:rPr>
              <w:t>于20</w:t>
            </w:r>
            <w:r>
              <w:rPr>
                <w:rFonts w:hint="eastAsia"/>
                <w:bCs/>
                <w:color w:val="auto"/>
                <w:sz w:val="24"/>
                <w:lang w:val="en-US" w:eastAsia="zh-CN"/>
              </w:rPr>
              <w:t>12</w:t>
            </w:r>
            <w:r>
              <w:rPr>
                <w:rFonts w:hint="eastAsia"/>
                <w:bCs/>
                <w:color w:val="auto"/>
                <w:sz w:val="24"/>
              </w:rPr>
              <w:t>年</w:t>
            </w:r>
            <w:r>
              <w:rPr>
                <w:rFonts w:hint="eastAsia"/>
                <w:bCs/>
                <w:color w:val="auto"/>
                <w:sz w:val="24"/>
                <w:lang w:val="en-US" w:eastAsia="zh-CN"/>
              </w:rPr>
              <w:t>3</w:t>
            </w:r>
            <w:r>
              <w:rPr>
                <w:rFonts w:hint="eastAsia"/>
                <w:bCs/>
                <w:color w:val="auto"/>
                <w:sz w:val="24"/>
              </w:rPr>
              <w:t>月</w:t>
            </w:r>
            <w:r>
              <w:rPr>
                <w:rFonts w:hint="eastAsia"/>
                <w:bCs/>
                <w:color w:val="auto"/>
                <w:sz w:val="24"/>
                <w:lang w:val="en-US" w:eastAsia="zh-CN"/>
              </w:rPr>
              <w:t>26日出具了关于同意</w:t>
            </w:r>
            <w:r>
              <w:rPr>
                <w:rFonts w:hint="eastAsia"/>
                <w:bCs/>
                <w:color w:val="auto"/>
                <w:sz w:val="24"/>
                <w:lang w:eastAsia="zh-CN"/>
              </w:rPr>
              <w:t>云</w:t>
            </w:r>
            <w:r>
              <w:rPr>
                <w:rFonts w:hint="eastAsia"/>
                <w:color w:val="auto"/>
                <w:sz w:val="24"/>
                <w:lang w:val="en-US" w:eastAsia="zh-CN"/>
              </w:rPr>
              <w:t>南宝泰轻化机械</w:t>
            </w:r>
            <w:r>
              <w:rPr>
                <w:rFonts w:hint="eastAsia"/>
                <w:color w:val="auto"/>
                <w:sz w:val="24"/>
                <w:lang w:eastAsia="zh-CN"/>
              </w:rPr>
              <w:t>有限公司沿用</w:t>
            </w:r>
            <w:r>
              <w:rPr>
                <w:rFonts w:hint="eastAsia"/>
                <w:bCs/>
                <w:color w:val="auto"/>
                <w:sz w:val="24"/>
                <w:lang w:eastAsia="zh-CN"/>
              </w:rPr>
              <w:t>云南澄江宝泰轻工机械厂建设项目环评手续的批复（玉市环</w:t>
            </w:r>
            <w:r>
              <w:rPr>
                <w:rFonts w:hint="eastAsia"/>
                <w:bCs/>
                <w:color w:val="auto"/>
                <w:sz w:val="24"/>
              </w:rPr>
              <w:t>【20</w:t>
            </w:r>
            <w:r>
              <w:rPr>
                <w:rFonts w:hint="eastAsia"/>
                <w:bCs/>
                <w:color w:val="auto"/>
                <w:sz w:val="24"/>
                <w:lang w:val="en-US" w:eastAsia="zh-CN"/>
              </w:rPr>
              <w:t>12</w:t>
            </w:r>
            <w:r>
              <w:rPr>
                <w:rFonts w:hint="eastAsia"/>
                <w:bCs/>
                <w:color w:val="auto"/>
                <w:sz w:val="24"/>
              </w:rPr>
              <w:t>】</w:t>
            </w:r>
            <w:r>
              <w:rPr>
                <w:rFonts w:hint="eastAsia"/>
                <w:bCs/>
                <w:color w:val="auto"/>
                <w:sz w:val="24"/>
                <w:lang w:val="en-US" w:eastAsia="zh-CN"/>
              </w:rPr>
              <w:t>51</w:t>
            </w:r>
            <w:r>
              <w:rPr>
                <w:rFonts w:hint="eastAsia"/>
                <w:bCs/>
                <w:color w:val="auto"/>
                <w:sz w:val="24"/>
              </w:rPr>
              <w:t>号</w:t>
            </w:r>
            <w:r>
              <w:rPr>
                <w:rFonts w:hint="eastAsia"/>
                <w:bCs/>
                <w:color w:val="auto"/>
                <w:sz w:val="24"/>
                <w:lang w:eastAsia="zh-CN"/>
              </w:rPr>
              <w:t>）；</w:t>
            </w:r>
            <w:r>
              <w:rPr>
                <w:rFonts w:hint="eastAsia"/>
                <w:bCs/>
                <w:color w:val="auto"/>
                <w:sz w:val="24"/>
                <w:lang w:val="en-US" w:eastAsia="zh-CN"/>
              </w:rPr>
              <w:t>关于</w:t>
            </w:r>
            <w:r>
              <w:rPr>
                <w:rFonts w:hint="eastAsia"/>
                <w:bCs/>
                <w:color w:val="auto"/>
                <w:sz w:val="24"/>
              </w:rPr>
              <w:t>编制了《云南得奥海绵制造有限公司海绵生产建设项目环境影响报告书》并于2019年11月7日取得了昆明市生态部环境局寻甸分局关于对《云南得奥海绵制造有限公司海绵生产建设项目环境影响报告书》的批复（昆生环寻复【2019】97号），项目</w:t>
            </w:r>
            <w:r>
              <w:rPr>
                <w:rFonts w:hint="eastAsia" w:ascii="Times New Roman" w:hAnsi="Times New Roman" w:eastAsia="宋体" w:cs="Times New Roman"/>
                <w:bCs/>
                <w:color w:val="auto"/>
                <w:sz w:val="24"/>
              </w:rPr>
              <w:t>主要为</w:t>
            </w:r>
            <w:r>
              <w:rPr>
                <w:rFonts w:hint="eastAsia" w:ascii="Times New Roman" w:hAnsi="Times New Roman" w:eastAsia="宋体" w:cs="Times New Roman"/>
                <w:bCs/>
                <w:color w:val="auto"/>
                <w:sz w:val="24"/>
                <w:lang w:eastAsia="zh-CN"/>
              </w:rPr>
              <w:t>压力容器</w:t>
            </w:r>
            <w:r>
              <w:rPr>
                <w:rFonts w:hint="eastAsia" w:ascii="Times New Roman" w:hAnsi="Times New Roman" w:eastAsia="宋体" w:cs="Times New Roman"/>
                <w:bCs/>
                <w:color w:val="auto"/>
                <w:sz w:val="24"/>
              </w:rPr>
              <w:t>的</w:t>
            </w:r>
            <w:r>
              <w:rPr>
                <w:rFonts w:hint="eastAsia"/>
                <w:bCs/>
                <w:color w:val="auto"/>
                <w:sz w:val="24"/>
              </w:rPr>
              <w:t>生产，20</w:t>
            </w:r>
            <w:r>
              <w:rPr>
                <w:rFonts w:hint="eastAsia"/>
                <w:bCs/>
                <w:color w:val="auto"/>
                <w:sz w:val="24"/>
                <w:lang w:val="en-US" w:eastAsia="zh-CN"/>
              </w:rPr>
              <w:t>12</w:t>
            </w:r>
            <w:r>
              <w:rPr>
                <w:rFonts w:hint="eastAsia"/>
                <w:bCs/>
                <w:color w:val="auto"/>
                <w:sz w:val="24"/>
              </w:rPr>
              <w:t>年4月</w:t>
            </w:r>
            <w:r>
              <w:rPr>
                <w:rFonts w:hint="eastAsia"/>
                <w:bCs/>
                <w:color w:val="auto"/>
                <w:sz w:val="24"/>
                <w:lang w:val="en-US" w:eastAsia="zh-CN"/>
              </w:rPr>
              <w:t>9日</w:t>
            </w:r>
            <w:r>
              <w:rPr>
                <w:rFonts w:hint="eastAsia"/>
                <w:bCs/>
                <w:color w:val="auto"/>
                <w:sz w:val="24"/>
                <w:lang w:eastAsia="zh-CN"/>
              </w:rPr>
              <w:t>云</w:t>
            </w:r>
            <w:r>
              <w:rPr>
                <w:rFonts w:hint="eastAsia"/>
                <w:color w:val="auto"/>
                <w:sz w:val="24"/>
                <w:lang w:val="en-US" w:eastAsia="zh-CN"/>
              </w:rPr>
              <w:t>南宝泰轻化机械</w:t>
            </w:r>
            <w:r>
              <w:rPr>
                <w:rFonts w:hint="eastAsia"/>
                <w:color w:val="auto"/>
                <w:sz w:val="24"/>
                <w:lang w:eastAsia="zh-CN"/>
              </w:rPr>
              <w:t>有限公司通过</w:t>
            </w:r>
            <w:r>
              <w:rPr>
                <w:rFonts w:hint="eastAsia"/>
                <w:bCs/>
                <w:color w:val="auto"/>
                <w:sz w:val="24"/>
                <w:lang w:eastAsia="zh-CN"/>
              </w:rPr>
              <w:t>了</w:t>
            </w:r>
            <w:r>
              <w:rPr>
                <w:rFonts w:hint="eastAsia"/>
                <w:color w:val="auto"/>
                <w:sz w:val="24"/>
                <w:lang w:val="en-US" w:eastAsia="zh-CN"/>
              </w:rPr>
              <w:t>玉溪市</w:t>
            </w:r>
            <w:r>
              <w:rPr>
                <w:rFonts w:hint="eastAsia"/>
                <w:bCs/>
                <w:color w:val="auto"/>
                <w:sz w:val="24"/>
                <w:lang w:eastAsia="zh-CN"/>
              </w:rPr>
              <w:t>环境保护局（现玉溪</w:t>
            </w:r>
            <w:r>
              <w:rPr>
                <w:rFonts w:hint="eastAsia"/>
                <w:bCs/>
                <w:color w:val="auto"/>
                <w:sz w:val="24"/>
              </w:rPr>
              <w:t>市生态环境局</w:t>
            </w:r>
            <w:r>
              <w:rPr>
                <w:rFonts w:hint="eastAsia"/>
                <w:bCs/>
                <w:color w:val="auto"/>
                <w:sz w:val="24"/>
                <w:lang w:eastAsia="zh-CN"/>
              </w:rPr>
              <w:t>）组织的</w:t>
            </w:r>
            <w:r>
              <w:rPr>
                <w:rFonts w:hint="eastAsia"/>
                <w:bCs/>
                <w:color w:val="auto"/>
                <w:sz w:val="24"/>
              </w:rPr>
              <w:t>竣工环境保护验收工作</w:t>
            </w:r>
            <w:r>
              <w:rPr>
                <w:rFonts w:hint="eastAsia"/>
                <w:bCs/>
                <w:color w:val="auto"/>
                <w:sz w:val="24"/>
                <w:lang w:eastAsia="zh-CN"/>
              </w:rPr>
              <w:t>（玉环验</w:t>
            </w:r>
            <w:r>
              <w:rPr>
                <w:rFonts w:hint="eastAsia"/>
                <w:bCs/>
                <w:color w:val="auto"/>
                <w:sz w:val="24"/>
              </w:rPr>
              <w:t>【20</w:t>
            </w:r>
            <w:r>
              <w:rPr>
                <w:rFonts w:hint="eastAsia"/>
                <w:bCs/>
                <w:color w:val="auto"/>
                <w:sz w:val="24"/>
                <w:lang w:val="en-US" w:eastAsia="zh-CN"/>
              </w:rPr>
              <w:t>12</w:t>
            </w:r>
            <w:r>
              <w:rPr>
                <w:rFonts w:hint="eastAsia"/>
                <w:bCs/>
                <w:color w:val="auto"/>
                <w:sz w:val="24"/>
              </w:rPr>
              <w:t>】</w:t>
            </w:r>
            <w:r>
              <w:rPr>
                <w:rFonts w:hint="eastAsia"/>
                <w:bCs/>
                <w:color w:val="auto"/>
                <w:sz w:val="24"/>
                <w:lang w:val="en-US" w:eastAsia="zh-CN"/>
              </w:rPr>
              <w:t>17</w:t>
            </w:r>
            <w:r>
              <w:rPr>
                <w:rFonts w:hint="eastAsia"/>
                <w:bCs/>
                <w:color w:val="auto"/>
                <w:sz w:val="24"/>
              </w:rPr>
              <w:t>号</w:t>
            </w:r>
            <w:r>
              <w:rPr>
                <w:rFonts w:hint="eastAsia"/>
                <w:bCs/>
                <w:color w:val="auto"/>
                <w:sz w:val="24"/>
                <w:lang w:eastAsia="zh-CN"/>
              </w:rPr>
              <w:t>）</w:t>
            </w:r>
            <w:r>
              <w:rPr>
                <w:rFonts w:hint="eastAsia"/>
                <w:bCs/>
                <w:color w:val="auto"/>
                <w:sz w:val="24"/>
              </w:rPr>
              <w:t>。</w:t>
            </w:r>
          </w:p>
          <w:p w14:paraId="7FD59C56">
            <w:pPr>
              <w:spacing w:line="360" w:lineRule="auto"/>
              <w:ind w:firstLine="480" w:firstLineChars="200"/>
              <w:rPr>
                <w:rFonts w:hint="eastAsia"/>
                <w:bCs/>
                <w:color w:val="auto"/>
                <w:sz w:val="24"/>
              </w:rPr>
            </w:pPr>
            <w:r>
              <w:rPr>
                <w:rFonts w:hint="eastAsia"/>
                <w:bCs/>
                <w:color w:val="auto"/>
                <w:sz w:val="24"/>
              </w:rPr>
              <w:t>根据现场踏勘，项目租用厂房为</w:t>
            </w:r>
            <w:r>
              <w:rPr>
                <w:rFonts w:hint="eastAsia"/>
                <w:bCs/>
                <w:color w:val="auto"/>
                <w:sz w:val="24"/>
                <w:lang w:eastAsia="zh-CN"/>
              </w:rPr>
              <w:t>云</w:t>
            </w:r>
            <w:r>
              <w:rPr>
                <w:rFonts w:hint="eastAsia"/>
                <w:color w:val="auto"/>
                <w:sz w:val="24"/>
                <w:lang w:val="en-US" w:eastAsia="zh-CN"/>
              </w:rPr>
              <w:t>南宝泰轻化机械</w:t>
            </w:r>
            <w:r>
              <w:rPr>
                <w:rFonts w:hint="eastAsia"/>
                <w:color w:val="auto"/>
                <w:sz w:val="24"/>
                <w:lang w:eastAsia="zh-CN"/>
              </w:rPr>
              <w:t>有限公司</w:t>
            </w:r>
            <w:r>
              <w:rPr>
                <w:rFonts w:hint="eastAsia"/>
                <w:bCs/>
                <w:color w:val="auto"/>
                <w:sz w:val="24"/>
              </w:rPr>
              <w:t>空置厂房。项目入驻前，</w:t>
            </w:r>
            <w:r>
              <w:rPr>
                <w:rFonts w:hint="eastAsia"/>
                <w:bCs/>
                <w:color w:val="auto"/>
                <w:sz w:val="24"/>
                <w:lang w:eastAsia="zh-CN"/>
              </w:rPr>
              <w:t>原先为不锈钢桶生产企业，现已退出该厂房，现场已清理干净，目前为空置厂房，</w:t>
            </w:r>
            <w:r>
              <w:rPr>
                <w:rFonts w:hint="eastAsia"/>
                <w:bCs/>
                <w:color w:val="auto"/>
                <w:sz w:val="24"/>
              </w:rPr>
              <w:t>无任何生产设备，现场不存在原有污染情况及主要环境问题。</w:t>
            </w:r>
          </w:p>
          <w:p w14:paraId="1A496C28">
            <w:pPr>
              <w:spacing w:line="360" w:lineRule="auto"/>
              <w:ind w:firstLine="480" w:firstLineChars="200"/>
              <w:rPr>
                <w:rFonts w:hint="default" w:eastAsia="宋体"/>
                <w:bCs/>
                <w:color w:val="auto"/>
                <w:sz w:val="24"/>
                <w:highlight w:val="yellow"/>
                <w:lang w:val="en-US" w:eastAsia="zh-CN"/>
              </w:rPr>
            </w:pPr>
            <w:r>
              <w:rPr>
                <w:rFonts w:hint="eastAsia"/>
                <w:bCs/>
                <w:color w:val="auto"/>
                <w:sz w:val="24"/>
              </w:rPr>
              <w:t>本项目入驻后，依托</w:t>
            </w:r>
            <w:r>
              <w:rPr>
                <w:rFonts w:hint="eastAsia"/>
                <w:bCs/>
                <w:color w:val="auto"/>
                <w:sz w:val="24"/>
                <w:lang w:eastAsia="zh-CN"/>
              </w:rPr>
              <w:t>使用云</w:t>
            </w:r>
            <w:r>
              <w:rPr>
                <w:rFonts w:hint="eastAsia"/>
                <w:color w:val="auto"/>
                <w:sz w:val="24"/>
                <w:lang w:val="en-US" w:eastAsia="zh-CN"/>
              </w:rPr>
              <w:t>南宝泰轻化机械</w:t>
            </w:r>
            <w:r>
              <w:rPr>
                <w:rFonts w:hint="eastAsia"/>
                <w:color w:val="auto"/>
                <w:sz w:val="24"/>
                <w:lang w:eastAsia="zh-CN"/>
              </w:rPr>
              <w:t>有限公司</w:t>
            </w:r>
            <w:r>
              <w:rPr>
                <w:rFonts w:hint="eastAsia"/>
                <w:bCs/>
                <w:color w:val="auto"/>
                <w:sz w:val="24"/>
              </w:rPr>
              <w:t>已建成的</w:t>
            </w:r>
            <w:r>
              <w:rPr>
                <w:rFonts w:hint="eastAsia"/>
                <w:bCs/>
                <w:color w:val="auto"/>
                <w:sz w:val="24"/>
                <w:lang w:val="en-US" w:eastAsia="zh-CN"/>
              </w:rPr>
              <w:t>6</w:t>
            </w:r>
            <w:r>
              <w:rPr>
                <w:rFonts w:hint="eastAsia"/>
                <w:bCs/>
                <w:color w:val="auto"/>
                <w:sz w:val="24"/>
              </w:rPr>
              <w:t>m</w:t>
            </w:r>
            <w:r>
              <w:rPr>
                <w:rFonts w:hint="eastAsia"/>
                <w:bCs/>
                <w:color w:val="auto"/>
                <w:sz w:val="24"/>
                <w:vertAlign w:val="superscript"/>
              </w:rPr>
              <w:t>3</w:t>
            </w:r>
            <w:r>
              <w:rPr>
                <w:rFonts w:hint="eastAsia"/>
                <w:bCs/>
                <w:color w:val="auto"/>
                <w:sz w:val="24"/>
              </w:rPr>
              <w:t>化粪池、处理规模</w:t>
            </w:r>
            <w:r>
              <w:rPr>
                <w:rFonts w:hint="eastAsia"/>
                <w:bCs/>
                <w:color w:val="auto"/>
                <w:sz w:val="24"/>
                <w:highlight w:val="none"/>
              </w:rPr>
              <w:t>为</w:t>
            </w:r>
            <w:r>
              <w:rPr>
                <w:rFonts w:hint="eastAsia"/>
                <w:bCs/>
                <w:color w:val="auto"/>
                <w:sz w:val="24"/>
                <w:highlight w:val="none"/>
                <w:lang w:val="en-US" w:eastAsia="zh-CN"/>
              </w:rPr>
              <w:t>15</w:t>
            </w:r>
            <w:r>
              <w:rPr>
                <w:rFonts w:hint="eastAsia"/>
                <w:bCs/>
                <w:color w:val="auto"/>
                <w:sz w:val="24"/>
                <w:highlight w:val="none"/>
              </w:rPr>
              <w:t>m</w:t>
            </w:r>
            <w:r>
              <w:rPr>
                <w:rFonts w:hint="eastAsia"/>
                <w:bCs/>
                <w:color w:val="auto"/>
                <w:sz w:val="24"/>
                <w:highlight w:val="none"/>
                <w:vertAlign w:val="superscript"/>
              </w:rPr>
              <w:t>3</w:t>
            </w:r>
            <w:r>
              <w:rPr>
                <w:rFonts w:hint="eastAsia"/>
                <w:bCs/>
                <w:color w:val="auto"/>
                <w:sz w:val="24"/>
                <w:highlight w:val="none"/>
              </w:rPr>
              <w:t>/d一体化生活污水处理设备及</w:t>
            </w:r>
            <w:r>
              <w:rPr>
                <w:rFonts w:hint="eastAsia"/>
                <w:bCs/>
                <w:color w:val="auto"/>
                <w:sz w:val="24"/>
                <w:highlight w:val="none"/>
                <w:lang w:val="en-US" w:eastAsia="zh-CN"/>
              </w:rPr>
              <w:t>15</w:t>
            </w:r>
            <w:r>
              <w:rPr>
                <w:rFonts w:hint="eastAsia"/>
                <w:bCs/>
                <w:color w:val="auto"/>
                <w:sz w:val="24"/>
                <w:highlight w:val="none"/>
              </w:rPr>
              <w:t>m</w:t>
            </w:r>
            <w:r>
              <w:rPr>
                <w:rFonts w:hint="eastAsia"/>
                <w:bCs/>
                <w:color w:val="auto"/>
                <w:sz w:val="24"/>
                <w:highlight w:val="none"/>
                <w:vertAlign w:val="superscript"/>
              </w:rPr>
              <w:t>3</w:t>
            </w:r>
            <w:r>
              <w:rPr>
                <w:rFonts w:hint="eastAsia"/>
                <w:bCs/>
                <w:color w:val="auto"/>
                <w:sz w:val="24"/>
                <w:highlight w:val="none"/>
              </w:rPr>
              <w:t>的</w:t>
            </w:r>
            <w:r>
              <w:rPr>
                <w:rFonts w:hint="eastAsia"/>
                <w:bCs/>
                <w:color w:val="auto"/>
                <w:sz w:val="24"/>
                <w:highlight w:val="none"/>
                <w:lang w:eastAsia="zh-CN"/>
              </w:rPr>
              <w:t>蓄水池</w:t>
            </w:r>
            <w:r>
              <w:rPr>
                <w:rFonts w:hint="eastAsia"/>
                <w:bCs/>
                <w:color w:val="auto"/>
                <w:sz w:val="24"/>
                <w:highlight w:val="none"/>
              </w:rPr>
              <w:t>等</w:t>
            </w:r>
            <w:r>
              <w:rPr>
                <w:rFonts w:hint="eastAsia"/>
                <w:bCs/>
                <w:color w:val="auto"/>
                <w:sz w:val="24"/>
                <w:highlight w:val="none"/>
                <w:lang w:val="en-US" w:eastAsia="zh-CN"/>
              </w:rPr>
              <w:t>。</w:t>
            </w:r>
          </w:p>
          <w:p w14:paraId="76A87224">
            <w:pPr>
              <w:pStyle w:val="29"/>
              <w:keepNext w:val="0"/>
              <w:keepLines w:val="0"/>
              <w:pageBreakBefore w:val="0"/>
              <w:widowControl w:val="0"/>
              <w:numPr>
                <w:ilvl w:val="0"/>
                <w:numId w:val="0"/>
              </w:numPr>
              <w:kinsoku/>
              <w:wordWrap/>
              <w:overflowPunct/>
              <w:topLinePunct w:val="0"/>
              <w:autoSpaceDE/>
              <w:autoSpaceDN/>
              <w:bidi w:val="0"/>
              <w:spacing w:after="0" w:line="360" w:lineRule="auto"/>
              <w:ind w:left="0" w:leftChars="0" w:firstLine="480" w:firstLineChars="200"/>
              <w:textAlignment w:val="auto"/>
              <w:rPr>
                <w:rFonts w:hint="default" w:ascii="Times New Roman" w:hAnsi="Times New Roman" w:eastAsia="宋体" w:cs="Times New Roman"/>
                <w:b w:val="0"/>
                <w:bCs w:val="0"/>
                <w:iCs/>
                <w:color w:val="auto"/>
                <w:sz w:val="24"/>
                <w:highlight w:val="none"/>
                <w:lang w:val="en-US" w:eastAsia="zh-CN"/>
              </w:rPr>
            </w:pPr>
          </w:p>
          <w:p w14:paraId="015D508A">
            <w:pPr>
              <w:pStyle w:val="17"/>
              <w:rPr>
                <w:rFonts w:ascii="Times New Roman" w:hAnsi="Times New Roman"/>
                <w:bCs/>
                <w:color w:val="auto"/>
                <w:szCs w:val="21"/>
              </w:rPr>
            </w:pPr>
          </w:p>
          <w:p w14:paraId="61F7E8D2">
            <w:pPr>
              <w:pStyle w:val="13"/>
              <w:rPr>
                <w:rFonts w:ascii="Times New Roman" w:hAnsi="Times New Roman"/>
                <w:bCs/>
                <w:color w:val="auto"/>
                <w:szCs w:val="21"/>
              </w:rPr>
            </w:pPr>
          </w:p>
          <w:p w14:paraId="5DEEDD44">
            <w:pPr>
              <w:rPr>
                <w:rFonts w:ascii="Times New Roman" w:hAnsi="Times New Roman"/>
                <w:bCs/>
                <w:color w:val="auto"/>
                <w:szCs w:val="21"/>
              </w:rPr>
            </w:pPr>
          </w:p>
          <w:p w14:paraId="6DAED7D2">
            <w:pPr>
              <w:rPr>
                <w:rFonts w:ascii="Times New Roman" w:hAnsi="Times New Roman"/>
                <w:bCs/>
                <w:color w:val="auto"/>
                <w:szCs w:val="21"/>
              </w:rPr>
            </w:pPr>
          </w:p>
          <w:p w14:paraId="2C9B6D2D">
            <w:pPr>
              <w:rPr>
                <w:rFonts w:ascii="Times New Roman" w:hAnsi="Times New Roman"/>
                <w:bCs/>
                <w:color w:val="auto"/>
                <w:szCs w:val="21"/>
              </w:rPr>
            </w:pPr>
          </w:p>
          <w:p w14:paraId="17B03D6E">
            <w:pPr>
              <w:rPr>
                <w:rFonts w:ascii="Times New Roman" w:hAnsi="Times New Roman"/>
                <w:bCs/>
                <w:color w:val="auto"/>
                <w:szCs w:val="21"/>
              </w:rPr>
            </w:pPr>
          </w:p>
          <w:p w14:paraId="3B2A137B">
            <w:pPr>
              <w:rPr>
                <w:rFonts w:ascii="Times New Roman" w:hAnsi="Times New Roman"/>
                <w:bCs/>
                <w:color w:val="auto"/>
                <w:szCs w:val="21"/>
              </w:rPr>
            </w:pPr>
          </w:p>
          <w:p w14:paraId="78E140E9">
            <w:pPr>
              <w:rPr>
                <w:rFonts w:ascii="Times New Roman" w:hAnsi="Times New Roman"/>
                <w:bCs/>
                <w:color w:val="auto"/>
                <w:szCs w:val="21"/>
              </w:rPr>
            </w:pPr>
          </w:p>
          <w:p w14:paraId="27268147">
            <w:pPr>
              <w:rPr>
                <w:rFonts w:ascii="Times New Roman" w:hAnsi="Times New Roman"/>
                <w:bCs/>
                <w:color w:val="auto"/>
                <w:szCs w:val="21"/>
              </w:rPr>
            </w:pPr>
          </w:p>
          <w:p w14:paraId="240F9BD9">
            <w:pPr>
              <w:rPr>
                <w:rFonts w:ascii="Times New Roman" w:hAnsi="Times New Roman"/>
                <w:bCs/>
                <w:color w:val="auto"/>
                <w:szCs w:val="21"/>
              </w:rPr>
            </w:pPr>
          </w:p>
          <w:p w14:paraId="325F4AD2">
            <w:pPr>
              <w:rPr>
                <w:rFonts w:ascii="Times New Roman" w:hAnsi="Times New Roman"/>
                <w:bCs/>
                <w:color w:val="auto"/>
                <w:szCs w:val="21"/>
              </w:rPr>
            </w:pPr>
          </w:p>
          <w:p w14:paraId="343BA79B">
            <w:pPr>
              <w:rPr>
                <w:rFonts w:ascii="Times New Roman" w:hAnsi="Times New Roman"/>
                <w:bCs/>
                <w:color w:val="auto"/>
                <w:szCs w:val="21"/>
              </w:rPr>
            </w:pPr>
          </w:p>
          <w:p w14:paraId="46A1AC68">
            <w:pPr>
              <w:rPr>
                <w:rFonts w:ascii="Times New Roman" w:hAnsi="Times New Roman"/>
                <w:bCs/>
                <w:color w:val="auto"/>
                <w:szCs w:val="21"/>
              </w:rPr>
            </w:pPr>
          </w:p>
          <w:p w14:paraId="0062205C">
            <w:pPr>
              <w:rPr>
                <w:rFonts w:ascii="Times New Roman" w:hAnsi="Times New Roman"/>
                <w:bCs/>
                <w:color w:val="auto"/>
                <w:szCs w:val="21"/>
              </w:rPr>
            </w:pPr>
          </w:p>
          <w:p w14:paraId="06A5B072">
            <w:pPr>
              <w:rPr>
                <w:rFonts w:ascii="Times New Roman" w:hAnsi="Times New Roman"/>
                <w:bCs/>
                <w:color w:val="auto"/>
                <w:szCs w:val="21"/>
              </w:rPr>
            </w:pPr>
          </w:p>
          <w:p w14:paraId="2C9BC808">
            <w:pPr>
              <w:rPr>
                <w:rFonts w:ascii="Times New Roman" w:hAnsi="Times New Roman"/>
                <w:bCs/>
                <w:color w:val="auto"/>
                <w:szCs w:val="21"/>
              </w:rPr>
            </w:pPr>
          </w:p>
        </w:tc>
      </w:tr>
    </w:tbl>
    <w:p w14:paraId="62593940">
      <w:pPr>
        <w:pStyle w:val="27"/>
        <w:jc w:val="center"/>
        <w:rPr>
          <w:rFonts w:ascii="Times New Roman" w:hAnsi="Times New Roman"/>
          <w:snapToGrid w:val="0"/>
          <w:color w:val="auto"/>
          <w:sz w:val="36"/>
          <w:szCs w:val="36"/>
        </w:rPr>
        <w:sectPr>
          <w:pgSz w:w="11906" w:h="16838"/>
          <w:pgMar w:top="1701" w:right="1531" w:bottom="1701" w:left="1531" w:header="851" w:footer="851" w:gutter="0"/>
          <w:pgNumType w:fmt="decimal"/>
          <w:cols w:space="720" w:num="1"/>
          <w:docGrid w:linePitch="312" w:charSpace="0"/>
        </w:sectPr>
      </w:pPr>
    </w:p>
    <w:p w14:paraId="16192F1D">
      <w:pPr>
        <w:pStyle w:val="27"/>
        <w:adjustRightInd w:val="0"/>
        <w:snapToGrid w:val="0"/>
        <w:spacing w:before="0" w:beforeAutospacing="0" w:after="0" w:afterAutospacing="0" w:line="14" w:lineRule="auto"/>
        <w:jc w:val="center"/>
        <w:rPr>
          <w:rFonts w:ascii="Times New Roman" w:hAnsi="Times New Roman"/>
          <w:snapToGrid w:val="0"/>
          <w:color w:val="auto"/>
          <w:sz w:val="30"/>
          <w:szCs w:val="30"/>
        </w:rPr>
      </w:pPr>
    </w:p>
    <w:p w14:paraId="10F5C08D">
      <w:pPr>
        <w:pStyle w:val="27"/>
        <w:adjustRightInd w:val="0"/>
        <w:snapToGrid w:val="0"/>
        <w:spacing w:before="0" w:beforeAutospacing="0" w:after="0" w:afterAutospacing="0"/>
        <w:jc w:val="center"/>
        <w:outlineLvl w:val="0"/>
        <w:rPr>
          <w:rFonts w:ascii="Times New Roman" w:hAnsi="Times New Roman"/>
          <w:b/>
          <w:bCs/>
          <w:snapToGrid w:val="0"/>
          <w:color w:val="auto"/>
          <w:sz w:val="30"/>
          <w:szCs w:val="30"/>
        </w:rPr>
      </w:pPr>
      <w:bookmarkStart w:id="18" w:name="_Toc7404"/>
      <w:bookmarkStart w:id="19" w:name="_Toc30051"/>
      <w:r>
        <w:rPr>
          <w:rFonts w:ascii="Times New Roman" w:hAnsi="Times New Roman"/>
          <w:b/>
          <w:bCs/>
          <w:snapToGrid w:val="0"/>
          <w:color w:val="auto"/>
          <w:sz w:val="30"/>
          <w:szCs w:val="30"/>
        </w:rPr>
        <w:t>三、区域环境质量现状、环境保护目标及评价标准</w:t>
      </w:r>
      <w:bookmarkEnd w:id="18"/>
      <w:bookmarkEnd w:id="19"/>
    </w:p>
    <w:tbl>
      <w:tblPr>
        <w:tblStyle w:val="30"/>
        <w:tblW w:w="906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75"/>
        <w:gridCol w:w="8686"/>
      </w:tblGrid>
      <w:tr w14:paraId="6EE17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75" w:type="dxa"/>
            <w:vAlign w:val="center"/>
          </w:tcPr>
          <w:p w14:paraId="405B8A07">
            <w:pPr>
              <w:adjustRightInd w:val="0"/>
              <w:snapToGrid w:val="0"/>
              <w:jc w:val="center"/>
              <w:rPr>
                <w:color w:val="auto"/>
                <w:kern w:val="0"/>
                <w:sz w:val="24"/>
              </w:rPr>
            </w:pPr>
            <w:r>
              <w:rPr>
                <w:color w:val="auto"/>
                <w:kern w:val="0"/>
                <w:sz w:val="24"/>
              </w:rPr>
              <w:t>区域</w:t>
            </w:r>
          </w:p>
          <w:p w14:paraId="50D4E62C">
            <w:pPr>
              <w:adjustRightInd w:val="0"/>
              <w:snapToGrid w:val="0"/>
              <w:jc w:val="center"/>
              <w:rPr>
                <w:color w:val="auto"/>
                <w:kern w:val="0"/>
                <w:sz w:val="24"/>
              </w:rPr>
            </w:pPr>
            <w:r>
              <w:rPr>
                <w:color w:val="auto"/>
                <w:kern w:val="0"/>
                <w:sz w:val="24"/>
              </w:rPr>
              <w:t>环境</w:t>
            </w:r>
          </w:p>
          <w:p w14:paraId="710E223B">
            <w:pPr>
              <w:adjustRightInd w:val="0"/>
              <w:snapToGrid w:val="0"/>
              <w:jc w:val="center"/>
              <w:rPr>
                <w:color w:val="auto"/>
                <w:kern w:val="0"/>
                <w:sz w:val="24"/>
              </w:rPr>
            </w:pPr>
            <w:r>
              <w:rPr>
                <w:color w:val="auto"/>
                <w:kern w:val="0"/>
                <w:sz w:val="24"/>
              </w:rPr>
              <w:t>质量</w:t>
            </w:r>
          </w:p>
          <w:p w14:paraId="0AD4202F">
            <w:pPr>
              <w:adjustRightInd w:val="0"/>
              <w:snapToGrid w:val="0"/>
              <w:jc w:val="center"/>
              <w:rPr>
                <w:color w:val="auto"/>
                <w:kern w:val="0"/>
                <w:szCs w:val="21"/>
              </w:rPr>
            </w:pPr>
            <w:r>
              <w:rPr>
                <w:color w:val="auto"/>
                <w:kern w:val="0"/>
                <w:sz w:val="24"/>
              </w:rPr>
              <w:t>现状</w:t>
            </w:r>
          </w:p>
        </w:tc>
        <w:tc>
          <w:tcPr>
            <w:tcW w:w="8686" w:type="dxa"/>
            <w:vAlign w:val="center"/>
          </w:tcPr>
          <w:p w14:paraId="1581897A">
            <w:pPr>
              <w:pStyle w:val="17"/>
              <w:adjustRightInd w:val="0"/>
              <w:snapToGrid w:val="0"/>
              <w:spacing w:line="356" w:lineRule="auto"/>
              <w:ind w:firstLine="482" w:firstLineChars="200"/>
              <w:rPr>
                <w:rFonts w:ascii="Times New Roman" w:hAnsi="Times New Roman"/>
                <w:b/>
                <w:bCs/>
                <w:color w:val="auto"/>
                <w:sz w:val="24"/>
              </w:rPr>
            </w:pPr>
            <w:r>
              <w:rPr>
                <w:rFonts w:ascii="Times New Roman" w:hAnsi="Times New Roman"/>
                <w:b/>
                <w:bCs/>
                <w:color w:val="auto"/>
                <w:sz w:val="24"/>
              </w:rPr>
              <w:t>1、环境空气质量现状</w:t>
            </w:r>
          </w:p>
          <w:p w14:paraId="55FD5CA0">
            <w:pPr>
              <w:widowControl/>
              <w:adjustRightInd w:val="0"/>
              <w:snapToGrid w:val="0"/>
              <w:spacing w:line="356" w:lineRule="auto"/>
              <w:ind w:firstLine="480" w:firstLineChars="200"/>
              <w:rPr>
                <w:color w:val="auto"/>
                <w:kern w:val="0"/>
                <w:sz w:val="24"/>
                <w:lang w:val="zh-CN" w:bidi="ar"/>
              </w:rPr>
            </w:pPr>
            <w:r>
              <w:rPr>
                <w:color w:val="auto"/>
                <w:kern w:val="0"/>
                <w:sz w:val="24"/>
                <w:lang w:bidi="ar"/>
              </w:rPr>
              <w:t>本项目位于</w:t>
            </w:r>
            <w:r>
              <w:rPr>
                <w:rFonts w:hint="eastAsia" w:ascii="Times New Roman" w:hAnsi="Times New Roman" w:eastAsia="宋体" w:cs="Times New Roman"/>
                <w:color w:val="auto"/>
                <w:sz w:val="24"/>
                <w:szCs w:val="24"/>
                <w:highlight w:val="none"/>
                <w:lang w:val="en-US" w:eastAsia="zh-CN"/>
              </w:rPr>
              <w:t>云南省</w:t>
            </w:r>
            <w:r>
              <w:rPr>
                <w:rFonts w:hint="eastAsia" w:cs="Times New Roman"/>
                <w:color w:val="auto"/>
                <w:sz w:val="24"/>
                <w:szCs w:val="24"/>
                <w:highlight w:val="none"/>
                <w:lang w:val="en-US" w:eastAsia="zh-CN"/>
              </w:rPr>
              <w:t>玉溪市澄江市产业园区提古片区</w:t>
            </w:r>
            <w:r>
              <w:rPr>
                <w:color w:val="auto"/>
                <w:sz w:val="24"/>
              </w:rPr>
              <w:t>，</w:t>
            </w:r>
            <w:r>
              <w:rPr>
                <w:color w:val="auto"/>
                <w:kern w:val="0"/>
                <w:sz w:val="24"/>
                <w:lang w:val="zh-CN" w:bidi="ar"/>
              </w:rPr>
              <w:t>该区域环境空气质量功能区划为二类区，执行</w:t>
            </w:r>
            <w:r>
              <w:rPr>
                <w:color w:val="auto"/>
                <w:sz w:val="24"/>
              </w:rPr>
              <w:t>《环境空气质量标</w:t>
            </w:r>
            <w:r>
              <w:rPr>
                <w:rFonts w:hint="eastAsia"/>
                <w:color w:val="auto"/>
                <w:sz w:val="24"/>
                <w:lang w:eastAsia="zh-CN"/>
              </w:rPr>
              <w:t>准</w:t>
            </w:r>
            <w:r>
              <w:rPr>
                <w:color w:val="auto"/>
                <w:sz w:val="24"/>
              </w:rPr>
              <w:t>》</w:t>
            </w:r>
            <w:r>
              <w:rPr>
                <w:color w:val="auto"/>
                <w:kern w:val="0"/>
                <w:sz w:val="24"/>
                <w:lang w:val="zh-CN" w:bidi="ar"/>
              </w:rPr>
              <w:t>（</w:t>
            </w:r>
            <w:r>
              <w:rPr>
                <w:rFonts w:hint="default" w:ascii="Times New Roman" w:hAnsi="Times New Roman" w:eastAsia="宋体" w:cs="Times New Roman"/>
                <w:color w:val="auto"/>
                <w:sz w:val="24"/>
                <w:szCs w:val="24"/>
                <w:highlight w:val="none"/>
                <w:lang w:val="en-US" w:eastAsia="zh-CN"/>
              </w:rPr>
              <w:t>GB3095-20</w:t>
            </w:r>
            <w:r>
              <w:rPr>
                <w:rFonts w:hint="eastAsia" w:cs="Times New Roman"/>
                <w:color w:val="auto"/>
                <w:sz w:val="24"/>
                <w:szCs w:val="24"/>
                <w:highlight w:val="none"/>
                <w:lang w:val="en-US" w:eastAsia="zh-CN"/>
              </w:rPr>
              <w:t>26</w:t>
            </w:r>
            <w:r>
              <w:rPr>
                <w:color w:val="auto"/>
                <w:kern w:val="0"/>
                <w:sz w:val="24"/>
                <w:lang w:val="zh-CN" w:bidi="ar"/>
              </w:rPr>
              <w:t>）</w:t>
            </w:r>
            <w:r>
              <w:rPr>
                <w:rFonts w:hint="eastAsia" w:ascii="Times New Roman" w:hAnsi="Times New Roman" w:eastAsia="宋体" w:cs="Times New Roman"/>
                <w:b w:val="0"/>
                <w:bCs w:val="0"/>
                <w:color w:val="auto"/>
                <w:sz w:val="24"/>
                <w:szCs w:val="24"/>
                <w:lang w:val="en-US" w:eastAsia="zh-CN"/>
              </w:rPr>
              <w:t>表</w:t>
            </w:r>
            <w:r>
              <w:rPr>
                <w:rFonts w:hint="eastAsia"/>
                <w:color w:val="auto"/>
                <w:kern w:val="0"/>
                <w:sz w:val="24"/>
                <w:lang w:val="en-US" w:eastAsia="zh-CN" w:bidi="ar"/>
              </w:rPr>
              <w:t>1</w:t>
            </w:r>
            <w:r>
              <w:rPr>
                <w:rFonts w:hint="eastAsia"/>
                <w:color w:val="auto"/>
                <w:kern w:val="0"/>
                <w:sz w:val="24"/>
                <w:lang w:val="zh-CN" w:bidi="ar"/>
              </w:rPr>
              <w:t>中过渡阶段浓度限值</w:t>
            </w:r>
            <w:r>
              <w:rPr>
                <w:color w:val="auto"/>
                <w:kern w:val="0"/>
                <w:sz w:val="24"/>
                <w:lang w:val="zh-CN" w:bidi="ar"/>
              </w:rPr>
              <w:t>二</w:t>
            </w:r>
            <w:r>
              <w:rPr>
                <w:color w:val="auto"/>
                <w:sz w:val="24"/>
                <w:lang w:val="zh-CN"/>
              </w:rPr>
              <w:t>级标准</w:t>
            </w:r>
            <w:r>
              <w:rPr>
                <w:color w:val="auto"/>
                <w:kern w:val="0"/>
                <w:sz w:val="24"/>
                <w:lang w:val="zh-CN" w:bidi="ar"/>
              </w:rPr>
              <w:t>。</w:t>
            </w:r>
          </w:p>
          <w:p w14:paraId="5E1ED087">
            <w:pPr>
              <w:adjustRightInd w:val="0"/>
              <w:snapToGrid w:val="0"/>
              <w:spacing w:line="356" w:lineRule="auto"/>
              <w:ind w:firstLine="482" w:firstLineChars="200"/>
              <w:rPr>
                <w:b/>
                <w:bCs/>
                <w:color w:val="auto"/>
                <w:kern w:val="0"/>
                <w:sz w:val="24"/>
                <w:lang w:bidi="ar"/>
              </w:rPr>
            </w:pPr>
            <w:r>
              <w:rPr>
                <w:b/>
                <w:bCs/>
                <w:color w:val="auto"/>
                <w:kern w:val="0"/>
                <w:sz w:val="24"/>
                <w:lang w:val="zh-CN" w:bidi="ar"/>
              </w:rPr>
              <w:t>（</w:t>
            </w:r>
            <w:r>
              <w:rPr>
                <w:b/>
                <w:bCs/>
                <w:color w:val="auto"/>
                <w:kern w:val="0"/>
                <w:sz w:val="24"/>
                <w:lang w:bidi="ar"/>
              </w:rPr>
              <w:t>1</w:t>
            </w:r>
            <w:r>
              <w:rPr>
                <w:b/>
                <w:bCs/>
                <w:color w:val="auto"/>
                <w:kern w:val="0"/>
                <w:sz w:val="24"/>
                <w:lang w:val="zh-CN" w:bidi="ar"/>
              </w:rPr>
              <w:t>）</w:t>
            </w:r>
            <w:r>
              <w:rPr>
                <w:b/>
                <w:bCs/>
                <w:color w:val="auto"/>
                <w:sz w:val="24"/>
              </w:rPr>
              <w:t>区域基本污染物环境质量现状</w:t>
            </w:r>
          </w:p>
          <w:p w14:paraId="04E86755">
            <w:pPr>
              <w:spacing w:line="360" w:lineRule="auto"/>
              <w:ind w:firstLine="480" w:firstLineChars="200"/>
              <w:rPr>
                <w:rFonts w:ascii="Times New Roman" w:hAnsi="Times New Roman" w:eastAsia="宋体" w:cs="Times New Roman"/>
                <w:color w:val="auto"/>
                <w:sz w:val="24"/>
              </w:rPr>
            </w:pPr>
            <w:r>
              <w:rPr>
                <w:rFonts w:hint="eastAsia" w:ascii="Times New Roman" w:hAnsi="Times New Roman" w:eastAsia="宋体" w:cs="Times New Roman"/>
                <w:b w:val="0"/>
                <w:bCs w:val="0"/>
                <w:color w:val="auto"/>
                <w:sz w:val="24"/>
                <w:szCs w:val="24"/>
                <w:lang w:val="en-US" w:eastAsia="zh-CN"/>
              </w:rPr>
              <w:t>环境空气质量现状引用</w:t>
            </w:r>
            <w:r>
              <w:rPr>
                <w:rFonts w:hint="default" w:ascii="Times New Roman" w:hAnsi="Times New Roman" w:eastAsia="宋体" w:cs="Times New Roman"/>
                <w:b w:val="0"/>
                <w:bCs w:val="0"/>
                <w:color w:val="auto"/>
                <w:sz w:val="24"/>
                <w:szCs w:val="24"/>
                <w:lang w:eastAsia="zh-CN"/>
              </w:rPr>
              <w:t>澄江市环境空气质量自动监测站</w:t>
            </w:r>
            <w:r>
              <w:rPr>
                <w:rFonts w:hint="eastAsia" w:ascii="Times New Roman" w:hAnsi="Times New Roman" w:eastAsia="宋体" w:cs="Times New Roman"/>
                <w:b w:val="0"/>
                <w:bCs w:val="0"/>
                <w:color w:val="auto"/>
                <w:sz w:val="24"/>
                <w:szCs w:val="24"/>
                <w:lang w:val="en-US" w:eastAsia="zh-CN"/>
              </w:rPr>
              <w:t>监测数据。</w:t>
            </w:r>
            <w:r>
              <w:rPr>
                <w:rFonts w:hint="default" w:ascii="Times New Roman" w:hAnsi="Times New Roman" w:eastAsia="宋体" w:cs="Times New Roman"/>
                <w:b w:val="0"/>
                <w:bCs w:val="0"/>
                <w:color w:val="auto"/>
                <w:sz w:val="24"/>
                <w:szCs w:val="24"/>
                <w:lang w:eastAsia="zh-CN"/>
              </w:rPr>
              <w:t>澄江市环境空气质量自动监测站对区域环境空气质量开展连续监测，自动监测站设置于玉溪市生态环境局澄江分局办公楼楼顶，位于本项目区西南面</w:t>
            </w:r>
            <w:r>
              <w:rPr>
                <w:rFonts w:hint="eastAsia" w:ascii="Times New Roman" w:hAnsi="Times New Roman" w:eastAsia="宋体" w:cs="Times New Roman"/>
                <w:b w:val="0"/>
                <w:bCs w:val="0"/>
                <w:color w:val="auto"/>
                <w:sz w:val="24"/>
                <w:szCs w:val="24"/>
                <w:lang w:val="en-US" w:eastAsia="zh-CN"/>
              </w:rPr>
              <w:t>8.86</w:t>
            </w:r>
            <w:r>
              <w:rPr>
                <w:rFonts w:hint="default" w:ascii="Times New Roman" w:hAnsi="Times New Roman" w:eastAsia="宋体" w:cs="Times New Roman"/>
                <w:b w:val="0"/>
                <w:bCs w:val="0"/>
                <w:color w:val="auto"/>
                <w:sz w:val="24"/>
                <w:szCs w:val="24"/>
                <w:lang w:eastAsia="zh-CN"/>
              </w:rPr>
              <w:t>km。</w:t>
            </w:r>
          </w:p>
          <w:p w14:paraId="74D63184">
            <w:pPr>
              <w:spacing w:line="360" w:lineRule="auto"/>
              <w:ind w:firstLine="480" w:firstLineChars="200"/>
              <w:rPr>
                <w:color w:val="auto"/>
                <w:sz w:val="24"/>
              </w:rPr>
            </w:pPr>
            <w:r>
              <w:rPr>
                <w:rFonts w:ascii="Times New Roman" w:hAnsi="Times New Roman" w:eastAsia="宋体" w:cs="Times New Roman"/>
                <w:color w:val="auto"/>
                <w:sz w:val="24"/>
              </w:rPr>
              <w:t>根据</w:t>
            </w:r>
            <w:r>
              <w:rPr>
                <w:rFonts w:hint="default" w:ascii="Times New Roman" w:hAnsi="Times New Roman" w:eastAsia="宋体" w:cs="Times New Roman"/>
                <w:b w:val="0"/>
                <w:bCs w:val="0"/>
                <w:color w:val="auto"/>
                <w:sz w:val="24"/>
                <w:szCs w:val="24"/>
                <w:lang w:eastAsia="zh-CN"/>
              </w:rPr>
              <w:t>玉溪市生态环境局澄江分局发布的202</w:t>
            </w:r>
            <w:r>
              <w:rPr>
                <w:rFonts w:hint="eastAsia" w:ascii="Times New Roman" w:hAnsi="Times New Roman" w:eastAsia="宋体" w:cs="Times New Roman"/>
                <w:b w:val="0"/>
                <w:bCs w:val="0"/>
                <w:color w:val="auto"/>
                <w:sz w:val="24"/>
                <w:szCs w:val="24"/>
                <w:lang w:val="en-US" w:eastAsia="zh-CN"/>
              </w:rPr>
              <w:t>5</w:t>
            </w:r>
            <w:r>
              <w:rPr>
                <w:rFonts w:hint="default" w:ascii="Times New Roman" w:hAnsi="Times New Roman" w:eastAsia="宋体" w:cs="Times New Roman"/>
                <w:b w:val="0"/>
                <w:bCs w:val="0"/>
                <w:color w:val="auto"/>
                <w:sz w:val="24"/>
                <w:szCs w:val="24"/>
                <w:lang w:eastAsia="zh-CN"/>
              </w:rPr>
              <w:t>年1月-12月环境空气质量状况</w:t>
            </w:r>
            <w:r>
              <w:rPr>
                <w:rFonts w:hint="eastAsia" w:ascii="Times New Roman" w:hAnsi="Times New Roman" w:eastAsia="宋体" w:cs="Times New Roman"/>
                <w:b w:val="0"/>
                <w:bCs w:val="0"/>
                <w:color w:val="auto"/>
                <w:sz w:val="24"/>
                <w:szCs w:val="24"/>
                <w:lang w:eastAsia="zh-CN"/>
              </w:rPr>
              <w:t>，</w:t>
            </w:r>
          </w:p>
          <w:p w14:paraId="672E80BC">
            <w:pPr>
              <w:spacing w:line="360" w:lineRule="auto"/>
              <w:rPr>
                <w:color w:val="auto"/>
                <w:sz w:val="24"/>
              </w:rPr>
            </w:pPr>
            <w:r>
              <w:rPr>
                <w:color w:val="auto"/>
                <w:sz w:val="24"/>
              </w:rPr>
              <w:t>项目所在区域</w:t>
            </w:r>
            <w:r>
              <w:rPr>
                <w:rFonts w:hint="eastAsia"/>
                <w:color w:val="auto"/>
                <w:sz w:val="24"/>
                <w:lang w:val="en-US" w:eastAsia="zh-CN"/>
              </w:rPr>
              <w:t>2025年</w:t>
            </w:r>
            <w:r>
              <w:rPr>
                <w:color w:val="auto"/>
                <w:sz w:val="24"/>
              </w:rPr>
              <w:t>6项基本污染物质量现状详见下表。</w:t>
            </w:r>
          </w:p>
          <w:p w14:paraId="2DB4439E">
            <w:pPr>
              <w:pStyle w:val="125"/>
              <w:spacing w:line="221" w:lineRule="auto"/>
              <w:ind w:left="1411"/>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表3-1</w:t>
            </w:r>
            <w:r>
              <w:rPr>
                <w:rFonts w:hint="eastAsia" w:ascii="Times New Roman" w:hAnsi="Times New Roman" w:eastAsia="宋体" w:cs="Times New Roman"/>
                <w:b/>
                <w:bCs/>
                <w:color w:val="auto"/>
                <w:kern w:val="0"/>
                <w:sz w:val="21"/>
                <w:szCs w:val="21"/>
                <w:lang w:val="en-US" w:eastAsia="zh-CN" w:bidi="ar-SA"/>
              </w:rPr>
              <w:t xml:space="preserve">  </w:t>
            </w:r>
            <w:r>
              <w:rPr>
                <w:rFonts w:hint="default" w:ascii="Times New Roman" w:hAnsi="Times New Roman" w:eastAsia="宋体" w:cs="Times New Roman"/>
                <w:b/>
                <w:bCs/>
                <w:color w:val="auto"/>
                <w:kern w:val="0"/>
                <w:sz w:val="21"/>
                <w:szCs w:val="21"/>
                <w:lang w:val="en-US" w:eastAsia="zh-CN" w:bidi="ar-SA"/>
              </w:rPr>
              <w:t>区域环境空气质量现状评价表（二级）单位：ug/m</w:t>
            </w:r>
            <w:r>
              <w:rPr>
                <w:rFonts w:hint="default" w:ascii="Times New Roman" w:hAnsi="Times New Roman" w:eastAsia="宋体" w:cs="Times New Roman"/>
                <w:b/>
                <w:bCs/>
                <w:color w:val="auto"/>
                <w:kern w:val="0"/>
                <w:sz w:val="21"/>
                <w:szCs w:val="21"/>
                <w:vertAlign w:val="superscript"/>
                <w:lang w:val="en-US" w:eastAsia="zh-CN" w:bidi="ar-SA"/>
              </w:rPr>
              <w:t>3</w:t>
            </w:r>
          </w:p>
          <w:p w14:paraId="798D41C0">
            <w:pPr>
              <w:spacing w:line="15" w:lineRule="auto"/>
              <w:rPr>
                <w:rFonts w:hint="default" w:ascii="Times New Roman" w:hAnsi="Times New Roman" w:cs="Times New Roman"/>
                <w:color w:val="auto"/>
                <w:sz w:val="21"/>
                <w:szCs w:val="21"/>
              </w:rPr>
            </w:pPr>
          </w:p>
          <w:tbl>
            <w:tblPr>
              <w:tblStyle w:val="117"/>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3"/>
              <w:gridCol w:w="1022"/>
              <w:gridCol w:w="1023"/>
              <w:gridCol w:w="1023"/>
              <w:gridCol w:w="1827"/>
              <w:gridCol w:w="989"/>
              <w:gridCol w:w="1006"/>
            </w:tblGrid>
            <w:tr w14:paraId="72827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930" w:type="pct"/>
                  <w:vMerge w:val="restart"/>
                  <w:tcBorders>
                    <w:bottom w:val="nil"/>
                  </w:tcBorders>
                  <w:noWrap w:val="0"/>
                  <w:vAlign w:val="center"/>
                </w:tcPr>
                <w:p w14:paraId="7975E11D">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监测时间</w:t>
                  </w:r>
                </w:p>
              </w:tc>
              <w:tc>
                <w:tcPr>
                  <w:tcW w:w="4069" w:type="pct"/>
                  <w:gridSpan w:val="6"/>
                  <w:noWrap w:val="0"/>
                  <w:vAlign w:val="center"/>
                </w:tcPr>
                <w:p w14:paraId="7C0F29BA">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监测浓度</w:t>
                  </w:r>
                </w:p>
              </w:tc>
            </w:tr>
            <w:tr w14:paraId="6C8AF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930" w:type="pct"/>
                  <w:vMerge w:val="continue"/>
                  <w:tcBorders>
                    <w:top w:val="nil"/>
                  </w:tcBorders>
                  <w:noWrap w:val="0"/>
                  <w:vAlign w:val="center"/>
                </w:tcPr>
                <w:p w14:paraId="4C114BCB">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p>
              </w:tc>
              <w:tc>
                <w:tcPr>
                  <w:tcW w:w="604" w:type="pct"/>
                  <w:noWrap w:val="0"/>
                  <w:vAlign w:val="center"/>
                </w:tcPr>
                <w:p w14:paraId="3B084A0E">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SO</w:t>
                  </w:r>
                  <w:r>
                    <w:rPr>
                      <w:rFonts w:hint="default" w:ascii="Times New Roman" w:hAnsi="Times New Roman" w:eastAsia="宋体" w:cs="Times New Roman"/>
                      <w:b/>
                      <w:bCs/>
                      <w:color w:val="auto"/>
                      <w:szCs w:val="21"/>
                      <w:vertAlign w:val="subscript"/>
                    </w:rPr>
                    <w:t>2</w:t>
                  </w:r>
                </w:p>
              </w:tc>
              <w:tc>
                <w:tcPr>
                  <w:tcW w:w="604" w:type="pct"/>
                  <w:noWrap w:val="0"/>
                  <w:vAlign w:val="center"/>
                </w:tcPr>
                <w:p w14:paraId="50A0111F">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NO</w:t>
                  </w:r>
                  <w:r>
                    <w:rPr>
                      <w:rFonts w:hint="default" w:ascii="Times New Roman" w:hAnsi="Times New Roman" w:eastAsia="宋体" w:cs="Times New Roman"/>
                      <w:b/>
                      <w:bCs/>
                      <w:color w:val="auto"/>
                      <w:szCs w:val="21"/>
                      <w:vertAlign w:val="subscript"/>
                    </w:rPr>
                    <w:t>2</w:t>
                  </w:r>
                </w:p>
              </w:tc>
              <w:tc>
                <w:tcPr>
                  <w:tcW w:w="604" w:type="pct"/>
                  <w:noWrap w:val="0"/>
                  <w:vAlign w:val="center"/>
                </w:tcPr>
                <w:p w14:paraId="35432C16">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PM</w:t>
                  </w:r>
                  <w:r>
                    <w:rPr>
                      <w:rFonts w:hint="default" w:ascii="Times New Roman" w:hAnsi="Times New Roman" w:eastAsia="宋体" w:cs="Times New Roman"/>
                      <w:b/>
                      <w:bCs/>
                      <w:color w:val="auto"/>
                      <w:szCs w:val="21"/>
                      <w:vertAlign w:val="subscript"/>
                    </w:rPr>
                    <w:t>10</w:t>
                  </w:r>
                </w:p>
              </w:tc>
              <w:tc>
                <w:tcPr>
                  <w:tcW w:w="1079" w:type="pct"/>
                  <w:noWrap w:val="0"/>
                  <w:vAlign w:val="center"/>
                </w:tcPr>
                <w:p w14:paraId="2CA5ED02">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CO（mg/m</w:t>
                  </w:r>
                  <w:r>
                    <w:rPr>
                      <w:rFonts w:hint="default" w:ascii="Times New Roman" w:hAnsi="Times New Roman" w:eastAsia="宋体" w:cs="Times New Roman"/>
                      <w:b/>
                      <w:bCs/>
                      <w:color w:val="auto"/>
                      <w:szCs w:val="21"/>
                      <w:vertAlign w:val="superscript"/>
                    </w:rPr>
                    <w:t>3</w:t>
                  </w:r>
                  <w:r>
                    <w:rPr>
                      <w:rFonts w:hint="default" w:ascii="Times New Roman" w:hAnsi="Times New Roman" w:eastAsia="宋体" w:cs="Times New Roman"/>
                      <w:b/>
                      <w:bCs/>
                      <w:color w:val="auto"/>
                      <w:szCs w:val="21"/>
                    </w:rPr>
                    <w:t>）</w:t>
                  </w:r>
                </w:p>
              </w:tc>
              <w:tc>
                <w:tcPr>
                  <w:tcW w:w="584" w:type="pct"/>
                  <w:noWrap w:val="0"/>
                  <w:vAlign w:val="center"/>
                </w:tcPr>
                <w:p w14:paraId="4E1C4BFB">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b/>
                      <w:bCs/>
                      <w:color w:val="auto"/>
                      <w:szCs w:val="21"/>
                      <w:lang w:val="en-US" w:eastAsia="zh-CN"/>
                    </w:rPr>
                  </w:pPr>
                  <w:r>
                    <w:rPr>
                      <w:rFonts w:hint="default" w:ascii="Times New Roman" w:hAnsi="Times New Roman" w:eastAsia="宋体" w:cs="Times New Roman"/>
                      <w:b/>
                      <w:bCs/>
                      <w:color w:val="auto"/>
                      <w:szCs w:val="21"/>
                    </w:rPr>
                    <w:t>O</w:t>
                  </w:r>
                  <w:r>
                    <w:rPr>
                      <w:rFonts w:hint="eastAsia" w:ascii="Times New Roman" w:hAnsi="Times New Roman" w:eastAsia="宋体" w:cs="Times New Roman"/>
                      <w:b/>
                      <w:bCs/>
                      <w:color w:val="auto"/>
                      <w:szCs w:val="21"/>
                      <w:vertAlign w:val="subscript"/>
                      <w:lang w:val="en-US" w:eastAsia="zh-CN"/>
                    </w:rPr>
                    <w:t>3</w:t>
                  </w:r>
                </w:p>
              </w:tc>
              <w:tc>
                <w:tcPr>
                  <w:tcW w:w="592" w:type="pct"/>
                  <w:noWrap w:val="0"/>
                  <w:vAlign w:val="center"/>
                </w:tcPr>
                <w:p w14:paraId="3BDAA745">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PM</w:t>
                  </w:r>
                  <w:r>
                    <w:rPr>
                      <w:rFonts w:hint="default" w:ascii="Times New Roman" w:hAnsi="Times New Roman" w:eastAsia="宋体" w:cs="Times New Roman"/>
                      <w:b/>
                      <w:bCs/>
                      <w:color w:val="auto"/>
                      <w:szCs w:val="21"/>
                      <w:vertAlign w:val="subscript"/>
                    </w:rPr>
                    <w:t>2.5</w:t>
                  </w:r>
                </w:p>
              </w:tc>
            </w:tr>
            <w:tr w14:paraId="4660E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30" w:type="pct"/>
                  <w:noWrap w:val="0"/>
                  <w:vAlign w:val="center"/>
                </w:tcPr>
                <w:p w14:paraId="0517AA52">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1月</w:t>
                  </w:r>
                </w:p>
              </w:tc>
              <w:tc>
                <w:tcPr>
                  <w:tcW w:w="604" w:type="pct"/>
                  <w:noWrap w:val="0"/>
                  <w:vAlign w:val="center"/>
                </w:tcPr>
                <w:p w14:paraId="0FE518CB">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w:t>
                  </w:r>
                </w:p>
              </w:tc>
              <w:tc>
                <w:tcPr>
                  <w:tcW w:w="604" w:type="pct"/>
                  <w:noWrap w:val="0"/>
                  <w:vAlign w:val="center"/>
                </w:tcPr>
                <w:p w14:paraId="2CAAB3B7">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w:t>
                  </w:r>
                </w:p>
              </w:tc>
              <w:tc>
                <w:tcPr>
                  <w:tcW w:w="604" w:type="pct"/>
                  <w:noWrap w:val="0"/>
                  <w:vAlign w:val="center"/>
                </w:tcPr>
                <w:p w14:paraId="31E05B2D">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32</w:t>
                  </w:r>
                </w:p>
              </w:tc>
              <w:tc>
                <w:tcPr>
                  <w:tcW w:w="1079" w:type="pct"/>
                  <w:noWrap w:val="0"/>
                  <w:vAlign w:val="center"/>
                </w:tcPr>
                <w:p w14:paraId="415A6AF4">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0.7</w:t>
                  </w:r>
                </w:p>
              </w:tc>
              <w:tc>
                <w:tcPr>
                  <w:tcW w:w="584" w:type="pct"/>
                  <w:noWrap w:val="0"/>
                  <w:vAlign w:val="center"/>
                </w:tcPr>
                <w:p w14:paraId="2A1F08B8">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72</w:t>
                  </w:r>
                </w:p>
              </w:tc>
              <w:tc>
                <w:tcPr>
                  <w:tcW w:w="592" w:type="pct"/>
                  <w:noWrap w:val="0"/>
                  <w:vAlign w:val="center"/>
                </w:tcPr>
                <w:p w14:paraId="660872B1">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22</w:t>
                  </w:r>
                </w:p>
              </w:tc>
            </w:tr>
            <w:tr w14:paraId="2951E7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30" w:type="pct"/>
                  <w:noWrap w:val="0"/>
                  <w:vAlign w:val="center"/>
                </w:tcPr>
                <w:p w14:paraId="17C3A752">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2月</w:t>
                  </w:r>
                </w:p>
              </w:tc>
              <w:tc>
                <w:tcPr>
                  <w:tcW w:w="604" w:type="pct"/>
                  <w:noWrap w:val="0"/>
                  <w:vAlign w:val="center"/>
                </w:tcPr>
                <w:p w14:paraId="79BFB9DD">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w:t>
                  </w:r>
                </w:p>
              </w:tc>
              <w:tc>
                <w:tcPr>
                  <w:tcW w:w="604" w:type="pct"/>
                  <w:noWrap w:val="0"/>
                  <w:vAlign w:val="center"/>
                </w:tcPr>
                <w:p w14:paraId="7F95588D">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11</w:t>
                  </w:r>
                </w:p>
              </w:tc>
              <w:tc>
                <w:tcPr>
                  <w:tcW w:w="604" w:type="pct"/>
                  <w:noWrap w:val="0"/>
                  <w:vAlign w:val="center"/>
                </w:tcPr>
                <w:p w14:paraId="7D4D2CD6">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33</w:t>
                  </w:r>
                </w:p>
              </w:tc>
              <w:tc>
                <w:tcPr>
                  <w:tcW w:w="1079" w:type="pct"/>
                  <w:noWrap w:val="0"/>
                  <w:vAlign w:val="center"/>
                </w:tcPr>
                <w:p w14:paraId="00ACFB48">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0.8</w:t>
                  </w:r>
                </w:p>
              </w:tc>
              <w:tc>
                <w:tcPr>
                  <w:tcW w:w="584" w:type="pct"/>
                  <w:noWrap w:val="0"/>
                  <w:vAlign w:val="center"/>
                </w:tcPr>
                <w:p w14:paraId="06C3B526">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84</w:t>
                  </w:r>
                </w:p>
              </w:tc>
              <w:tc>
                <w:tcPr>
                  <w:tcW w:w="592" w:type="pct"/>
                  <w:noWrap w:val="0"/>
                  <w:vAlign w:val="center"/>
                </w:tcPr>
                <w:p w14:paraId="06397BF2">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25</w:t>
                  </w:r>
                </w:p>
              </w:tc>
            </w:tr>
            <w:tr w14:paraId="53128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930" w:type="pct"/>
                  <w:noWrap w:val="0"/>
                  <w:vAlign w:val="center"/>
                </w:tcPr>
                <w:p w14:paraId="6C2E26AE">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3月</w:t>
                  </w:r>
                </w:p>
              </w:tc>
              <w:tc>
                <w:tcPr>
                  <w:tcW w:w="604" w:type="pct"/>
                  <w:noWrap w:val="0"/>
                  <w:vAlign w:val="center"/>
                </w:tcPr>
                <w:p w14:paraId="2F6EBA85">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w:t>
                  </w:r>
                </w:p>
              </w:tc>
              <w:tc>
                <w:tcPr>
                  <w:tcW w:w="604" w:type="pct"/>
                  <w:noWrap w:val="0"/>
                  <w:vAlign w:val="center"/>
                </w:tcPr>
                <w:p w14:paraId="3B74F246">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13</w:t>
                  </w:r>
                </w:p>
              </w:tc>
              <w:tc>
                <w:tcPr>
                  <w:tcW w:w="604" w:type="pct"/>
                  <w:noWrap w:val="0"/>
                  <w:vAlign w:val="center"/>
                </w:tcPr>
                <w:p w14:paraId="1D69BD2B">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40</w:t>
                  </w:r>
                </w:p>
              </w:tc>
              <w:tc>
                <w:tcPr>
                  <w:tcW w:w="1079" w:type="pct"/>
                  <w:noWrap w:val="0"/>
                  <w:vAlign w:val="center"/>
                </w:tcPr>
                <w:p w14:paraId="371592A2">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0.9</w:t>
                  </w:r>
                </w:p>
              </w:tc>
              <w:tc>
                <w:tcPr>
                  <w:tcW w:w="584" w:type="pct"/>
                  <w:noWrap w:val="0"/>
                  <w:vAlign w:val="center"/>
                </w:tcPr>
                <w:p w14:paraId="246665A6">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100</w:t>
                  </w:r>
                </w:p>
              </w:tc>
              <w:tc>
                <w:tcPr>
                  <w:tcW w:w="592" w:type="pct"/>
                  <w:noWrap w:val="0"/>
                  <w:vAlign w:val="center"/>
                </w:tcPr>
                <w:p w14:paraId="0CBB8552">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30</w:t>
                  </w:r>
                </w:p>
              </w:tc>
            </w:tr>
            <w:tr w14:paraId="20B6F7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30" w:type="pct"/>
                  <w:noWrap w:val="0"/>
                  <w:vAlign w:val="center"/>
                </w:tcPr>
                <w:p w14:paraId="0159C5B3">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4月</w:t>
                  </w:r>
                </w:p>
              </w:tc>
              <w:tc>
                <w:tcPr>
                  <w:tcW w:w="604" w:type="pct"/>
                  <w:noWrap w:val="0"/>
                  <w:vAlign w:val="center"/>
                </w:tcPr>
                <w:p w14:paraId="187636BA">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w:t>
                  </w:r>
                </w:p>
              </w:tc>
              <w:tc>
                <w:tcPr>
                  <w:tcW w:w="604" w:type="pct"/>
                  <w:noWrap w:val="0"/>
                  <w:vAlign w:val="center"/>
                </w:tcPr>
                <w:p w14:paraId="2BDC9E0A">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13</w:t>
                  </w:r>
                </w:p>
              </w:tc>
              <w:tc>
                <w:tcPr>
                  <w:tcW w:w="604" w:type="pct"/>
                  <w:noWrap w:val="0"/>
                  <w:vAlign w:val="center"/>
                </w:tcPr>
                <w:p w14:paraId="1F67198F">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45</w:t>
                  </w:r>
                </w:p>
              </w:tc>
              <w:tc>
                <w:tcPr>
                  <w:tcW w:w="1079" w:type="pct"/>
                  <w:noWrap w:val="0"/>
                  <w:vAlign w:val="center"/>
                </w:tcPr>
                <w:p w14:paraId="4541AC21">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0.8</w:t>
                  </w:r>
                </w:p>
              </w:tc>
              <w:tc>
                <w:tcPr>
                  <w:tcW w:w="584" w:type="pct"/>
                  <w:noWrap w:val="0"/>
                  <w:vAlign w:val="center"/>
                </w:tcPr>
                <w:p w14:paraId="716A6DE2">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110</w:t>
                  </w:r>
                </w:p>
              </w:tc>
              <w:tc>
                <w:tcPr>
                  <w:tcW w:w="592" w:type="pct"/>
                  <w:noWrap w:val="0"/>
                  <w:vAlign w:val="center"/>
                </w:tcPr>
                <w:p w14:paraId="192A4EF7">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28</w:t>
                  </w:r>
                </w:p>
              </w:tc>
            </w:tr>
            <w:tr w14:paraId="4338A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930" w:type="pct"/>
                  <w:noWrap w:val="0"/>
                  <w:vAlign w:val="center"/>
                </w:tcPr>
                <w:p w14:paraId="49CAE04D">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5月</w:t>
                  </w:r>
                </w:p>
              </w:tc>
              <w:tc>
                <w:tcPr>
                  <w:tcW w:w="604" w:type="pct"/>
                  <w:noWrap w:val="0"/>
                  <w:vAlign w:val="center"/>
                </w:tcPr>
                <w:p w14:paraId="324FB565">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w:t>
                  </w:r>
                </w:p>
              </w:tc>
              <w:tc>
                <w:tcPr>
                  <w:tcW w:w="604" w:type="pct"/>
                  <w:noWrap w:val="0"/>
                  <w:vAlign w:val="center"/>
                </w:tcPr>
                <w:p w14:paraId="2AABE756">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11</w:t>
                  </w:r>
                </w:p>
              </w:tc>
              <w:tc>
                <w:tcPr>
                  <w:tcW w:w="604" w:type="pct"/>
                  <w:noWrap w:val="0"/>
                  <w:vAlign w:val="center"/>
                </w:tcPr>
                <w:p w14:paraId="56EE0B2C">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19</w:t>
                  </w:r>
                </w:p>
              </w:tc>
              <w:tc>
                <w:tcPr>
                  <w:tcW w:w="1079" w:type="pct"/>
                  <w:noWrap w:val="0"/>
                  <w:vAlign w:val="center"/>
                </w:tcPr>
                <w:p w14:paraId="3E3D6E9C">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0.6</w:t>
                  </w:r>
                </w:p>
              </w:tc>
              <w:tc>
                <w:tcPr>
                  <w:tcW w:w="584" w:type="pct"/>
                  <w:noWrap w:val="0"/>
                  <w:vAlign w:val="center"/>
                </w:tcPr>
                <w:p w14:paraId="6BDC240E">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91</w:t>
                  </w:r>
                </w:p>
              </w:tc>
              <w:tc>
                <w:tcPr>
                  <w:tcW w:w="592" w:type="pct"/>
                  <w:noWrap w:val="0"/>
                  <w:vAlign w:val="center"/>
                </w:tcPr>
                <w:p w14:paraId="440BBF27">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13</w:t>
                  </w:r>
                </w:p>
              </w:tc>
            </w:tr>
            <w:tr w14:paraId="2741A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930" w:type="pct"/>
                  <w:noWrap w:val="0"/>
                  <w:vAlign w:val="center"/>
                </w:tcPr>
                <w:p w14:paraId="2E0001F5">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6月</w:t>
                  </w:r>
                </w:p>
              </w:tc>
              <w:tc>
                <w:tcPr>
                  <w:tcW w:w="604" w:type="pct"/>
                  <w:noWrap w:val="0"/>
                  <w:vAlign w:val="center"/>
                </w:tcPr>
                <w:p w14:paraId="3CA37964">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w:t>
                  </w:r>
                </w:p>
              </w:tc>
              <w:tc>
                <w:tcPr>
                  <w:tcW w:w="604" w:type="pct"/>
                  <w:noWrap w:val="0"/>
                  <w:vAlign w:val="center"/>
                </w:tcPr>
                <w:p w14:paraId="3DE96CD7">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w:t>
                  </w:r>
                </w:p>
              </w:tc>
              <w:tc>
                <w:tcPr>
                  <w:tcW w:w="604" w:type="pct"/>
                  <w:noWrap w:val="0"/>
                  <w:vAlign w:val="center"/>
                </w:tcPr>
                <w:p w14:paraId="7D0FB08F">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15</w:t>
                  </w:r>
                </w:p>
              </w:tc>
              <w:tc>
                <w:tcPr>
                  <w:tcW w:w="1079" w:type="pct"/>
                  <w:noWrap w:val="0"/>
                  <w:vAlign w:val="center"/>
                </w:tcPr>
                <w:p w14:paraId="4ED5871C">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0.6</w:t>
                  </w:r>
                </w:p>
              </w:tc>
              <w:tc>
                <w:tcPr>
                  <w:tcW w:w="584" w:type="pct"/>
                  <w:noWrap w:val="0"/>
                  <w:vAlign w:val="center"/>
                </w:tcPr>
                <w:p w14:paraId="36BCBFD4">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72</w:t>
                  </w:r>
                </w:p>
              </w:tc>
              <w:tc>
                <w:tcPr>
                  <w:tcW w:w="592" w:type="pct"/>
                  <w:noWrap w:val="0"/>
                  <w:vAlign w:val="center"/>
                </w:tcPr>
                <w:p w14:paraId="4B25AF0E">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12</w:t>
                  </w:r>
                </w:p>
              </w:tc>
            </w:tr>
            <w:tr w14:paraId="524CF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930" w:type="pct"/>
                  <w:noWrap w:val="0"/>
                  <w:vAlign w:val="center"/>
                </w:tcPr>
                <w:p w14:paraId="0112380E">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7月</w:t>
                  </w:r>
                </w:p>
              </w:tc>
              <w:tc>
                <w:tcPr>
                  <w:tcW w:w="604" w:type="pct"/>
                  <w:noWrap w:val="0"/>
                  <w:vAlign w:val="center"/>
                </w:tcPr>
                <w:p w14:paraId="258E7B03">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w:t>
                  </w:r>
                </w:p>
              </w:tc>
              <w:tc>
                <w:tcPr>
                  <w:tcW w:w="604" w:type="pct"/>
                  <w:noWrap w:val="0"/>
                  <w:vAlign w:val="center"/>
                </w:tcPr>
                <w:p w14:paraId="6E81E786">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w:t>
                  </w:r>
                </w:p>
              </w:tc>
              <w:tc>
                <w:tcPr>
                  <w:tcW w:w="604" w:type="pct"/>
                  <w:noWrap w:val="0"/>
                  <w:vAlign w:val="center"/>
                </w:tcPr>
                <w:p w14:paraId="67DFC3F0">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13</w:t>
                  </w:r>
                </w:p>
              </w:tc>
              <w:tc>
                <w:tcPr>
                  <w:tcW w:w="1079" w:type="pct"/>
                  <w:noWrap w:val="0"/>
                  <w:vAlign w:val="center"/>
                </w:tcPr>
                <w:p w14:paraId="457008D6">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0.6</w:t>
                  </w:r>
                </w:p>
              </w:tc>
              <w:tc>
                <w:tcPr>
                  <w:tcW w:w="584" w:type="pct"/>
                  <w:noWrap w:val="0"/>
                  <w:vAlign w:val="center"/>
                </w:tcPr>
                <w:p w14:paraId="395C9943">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73</w:t>
                  </w:r>
                </w:p>
              </w:tc>
              <w:tc>
                <w:tcPr>
                  <w:tcW w:w="592" w:type="pct"/>
                  <w:noWrap w:val="0"/>
                  <w:vAlign w:val="center"/>
                </w:tcPr>
                <w:p w14:paraId="761A3A93">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11</w:t>
                  </w:r>
                </w:p>
              </w:tc>
            </w:tr>
            <w:tr w14:paraId="226A3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30" w:type="pct"/>
                  <w:noWrap w:val="0"/>
                  <w:vAlign w:val="center"/>
                </w:tcPr>
                <w:p w14:paraId="1ECE7AEA">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8月</w:t>
                  </w:r>
                </w:p>
              </w:tc>
              <w:tc>
                <w:tcPr>
                  <w:tcW w:w="604" w:type="pct"/>
                  <w:noWrap w:val="0"/>
                  <w:vAlign w:val="center"/>
                </w:tcPr>
                <w:p w14:paraId="469829B9">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w:t>
                  </w:r>
                </w:p>
              </w:tc>
              <w:tc>
                <w:tcPr>
                  <w:tcW w:w="604" w:type="pct"/>
                  <w:noWrap w:val="0"/>
                  <w:vAlign w:val="center"/>
                </w:tcPr>
                <w:p w14:paraId="6AC761C7">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w:t>
                  </w:r>
                </w:p>
              </w:tc>
              <w:tc>
                <w:tcPr>
                  <w:tcW w:w="604" w:type="pct"/>
                  <w:noWrap w:val="0"/>
                  <w:vAlign w:val="center"/>
                </w:tcPr>
                <w:p w14:paraId="61237E10">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12</w:t>
                  </w:r>
                </w:p>
              </w:tc>
              <w:tc>
                <w:tcPr>
                  <w:tcW w:w="1079" w:type="pct"/>
                  <w:noWrap w:val="0"/>
                  <w:vAlign w:val="center"/>
                </w:tcPr>
                <w:p w14:paraId="61834E33">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0.6</w:t>
                  </w:r>
                </w:p>
              </w:tc>
              <w:tc>
                <w:tcPr>
                  <w:tcW w:w="584" w:type="pct"/>
                  <w:noWrap w:val="0"/>
                  <w:vAlign w:val="center"/>
                </w:tcPr>
                <w:p w14:paraId="51688C09">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66</w:t>
                  </w:r>
                </w:p>
              </w:tc>
              <w:tc>
                <w:tcPr>
                  <w:tcW w:w="592" w:type="pct"/>
                  <w:noWrap w:val="0"/>
                  <w:vAlign w:val="center"/>
                </w:tcPr>
                <w:p w14:paraId="511E49E7">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10</w:t>
                  </w:r>
                </w:p>
              </w:tc>
            </w:tr>
            <w:tr w14:paraId="54AC06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30" w:type="pct"/>
                  <w:noWrap w:val="0"/>
                  <w:vAlign w:val="center"/>
                </w:tcPr>
                <w:p w14:paraId="4D4F7B84">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9月</w:t>
                  </w:r>
                </w:p>
              </w:tc>
              <w:tc>
                <w:tcPr>
                  <w:tcW w:w="604" w:type="pct"/>
                  <w:noWrap w:val="0"/>
                  <w:vAlign w:val="center"/>
                </w:tcPr>
                <w:p w14:paraId="7A39C042">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w:t>
                  </w:r>
                </w:p>
              </w:tc>
              <w:tc>
                <w:tcPr>
                  <w:tcW w:w="604" w:type="pct"/>
                  <w:noWrap w:val="0"/>
                  <w:vAlign w:val="center"/>
                </w:tcPr>
                <w:p w14:paraId="03DA277C">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604" w:type="pct"/>
                  <w:noWrap w:val="0"/>
                  <w:vAlign w:val="center"/>
                </w:tcPr>
                <w:p w14:paraId="0E2E892A">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1079" w:type="pct"/>
                  <w:noWrap w:val="0"/>
                  <w:vAlign w:val="center"/>
                </w:tcPr>
                <w:p w14:paraId="59E3F8D8">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584" w:type="pct"/>
                  <w:noWrap w:val="0"/>
                  <w:vAlign w:val="center"/>
                </w:tcPr>
                <w:p w14:paraId="194F5E93">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592" w:type="pct"/>
                  <w:noWrap w:val="0"/>
                  <w:vAlign w:val="center"/>
                </w:tcPr>
                <w:p w14:paraId="7D4FB829">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r>
            <w:tr w14:paraId="35F7F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30" w:type="pct"/>
                  <w:noWrap w:val="0"/>
                  <w:vAlign w:val="center"/>
                </w:tcPr>
                <w:p w14:paraId="26510FB1">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10月</w:t>
                  </w:r>
                </w:p>
              </w:tc>
              <w:tc>
                <w:tcPr>
                  <w:tcW w:w="604" w:type="pct"/>
                  <w:noWrap w:val="0"/>
                  <w:vAlign w:val="center"/>
                </w:tcPr>
                <w:p w14:paraId="44D38AE3">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604" w:type="pct"/>
                  <w:noWrap w:val="0"/>
                  <w:vAlign w:val="center"/>
                </w:tcPr>
                <w:p w14:paraId="367757D7">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604" w:type="pct"/>
                  <w:noWrap w:val="0"/>
                  <w:vAlign w:val="center"/>
                </w:tcPr>
                <w:p w14:paraId="3D97A278">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1079" w:type="pct"/>
                  <w:noWrap w:val="0"/>
                  <w:vAlign w:val="center"/>
                </w:tcPr>
                <w:p w14:paraId="582EA3EA">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584" w:type="pct"/>
                  <w:noWrap w:val="0"/>
                  <w:vAlign w:val="center"/>
                </w:tcPr>
                <w:p w14:paraId="6ECC499A">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592" w:type="pct"/>
                  <w:noWrap w:val="0"/>
                  <w:vAlign w:val="center"/>
                </w:tcPr>
                <w:p w14:paraId="3AA037CD">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r>
            <w:tr w14:paraId="68A80F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930" w:type="pct"/>
                  <w:noWrap w:val="0"/>
                  <w:vAlign w:val="center"/>
                </w:tcPr>
                <w:p w14:paraId="64A01BD0">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11月</w:t>
                  </w:r>
                </w:p>
              </w:tc>
              <w:tc>
                <w:tcPr>
                  <w:tcW w:w="604" w:type="pct"/>
                  <w:noWrap w:val="0"/>
                  <w:vAlign w:val="center"/>
                </w:tcPr>
                <w:p w14:paraId="73207067">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604" w:type="pct"/>
                  <w:noWrap w:val="0"/>
                  <w:vAlign w:val="center"/>
                </w:tcPr>
                <w:p w14:paraId="4BF2D3F5">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604" w:type="pct"/>
                  <w:noWrap w:val="0"/>
                  <w:vAlign w:val="center"/>
                </w:tcPr>
                <w:p w14:paraId="3687D09C">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1079" w:type="pct"/>
                  <w:noWrap w:val="0"/>
                  <w:vAlign w:val="center"/>
                </w:tcPr>
                <w:p w14:paraId="134C96A3">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584" w:type="pct"/>
                  <w:noWrap w:val="0"/>
                  <w:vAlign w:val="center"/>
                </w:tcPr>
                <w:p w14:paraId="0084FCC3">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c>
                <w:tcPr>
                  <w:tcW w:w="592" w:type="pct"/>
                  <w:noWrap w:val="0"/>
                  <w:vAlign w:val="center"/>
                </w:tcPr>
                <w:p w14:paraId="1551699D">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w:t>
                  </w:r>
                </w:p>
              </w:tc>
            </w:tr>
            <w:tr w14:paraId="0A91B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930" w:type="pct"/>
                  <w:noWrap w:val="0"/>
                  <w:vAlign w:val="center"/>
                </w:tcPr>
                <w:p w14:paraId="5A943EB6">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12月</w:t>
                  </w:r>
                </w:p>
              </w:tc>
              <w:tc>
                <w:tcPr>
                  <w:tcW w:w="604" w:type="pct"/>
                  <w:noWrap w:val="0"/>
                  <w:vAlign w:val="center"/>
                </w:tcPr>
                <w:p w14:paraId="37D782C0">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7</w:t>
                  </w:r>
                </w:p>
              </w:tc>
              <w:tc>
                <w:tcPr>
                  <w:tcW w:w="604" w:type="pct"/>
                  <w:noWrap w:val="0"/>
                  <w:vAlign w:val="center"/>
                </w:tcPr>
                <w:p w14:paraId="74DDD901">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14</w:t>
                  </w:r>
                </w:p>
              </w:tc>
              <w:tc>
                <w:tcPr>
                  <w:tcW w:w="604" w:type="pct"/>
                  <w:noWrap w:val="0"/>
                  <w:vAlign w:val="center"/>
                </w:tcPr>
                <w:p w14:paraId="0F62A711">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21</w:t>
                  </w:r>
                </w:p>
              </w:tc>
              <w:tc>
                <w:tcPr>
                  <w:tcW w:w="1079" w:type="pct"/>
                  <w:noWrap w:val="0"/>
                  <w:vAlign w:val="center"/>
                </w:tcPr>
                <w:p w14:paraId="39D12FF6">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0.8</w:t>
                  </w:r>
                </w:p>
              </w:tc>
              <w:tc>
                <w:tcPr>
                  <w:tcW w:w="584" w:type="pct"/>
                  <w:noWrap w:val="0"/>
                  <w:vAlign w:val="center"/>
                </w:tcPr>
                <w:p w14:paraId="72AB29C5">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69</w:t>
                  </w:r>
                </w:p>
              </w:tc>
              <w:tc>
                <w:tcPr>
                  <w:tcW w:w="592" w:type="pct"/>
                  <w:noWrap w:val="0"/>
                  <w:vAlign w:val="center"/>
                </w:tcPr>
                <w:p w14:paraId="4F23BA2A">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16</w:t>
                  </w:r>
                </w:p>
              </w:tc>
            </w:tr>
            <w:tr w14:paraId="2305D5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30" w:type="pct"/>
                  <w:noWrap w:val="0"/>
                  <w:vAlign w:val="center"/>
                </w:tcPr>
                <w:p w14:paraId="56568B53">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平均值</w:t>
                  </w:r>
                </w:p>
              </w:tc>
              <w:tc>
                <w:tcPr>
                  <w:tcW w:w="604" w:type="pct"/>
                  <w:noWrap w:val="0"/>
                  <w:vAlign w:val="center"/>
                </w:tcPr>
                <w:p w14:paraId="42E0C900">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6.11</w:t>
                  </w:r>
                </w:p>
              </w:tc>
              <w:tc>
                <w:tcPr>
                  <w:tcW w:w="604" w:type="pct"/>
                  <w:noWrap w:val="0"/>
                  <w:vAlign w:val="center"/>
                </w:tcPr>
                <w:p w14:paraId="1BD03DB8">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11.33</w:t>
                  </w:r>
                </w:p>
              </w:tc>
              <w:tc>
                <w:tcPr>
                  <w:tcW w:w="604" w:type="pct"/>
                  <w:noWrap w:val="0"/>
                  <w:vAlign w:val="center"/>
                </w:tcPr>
                <w:p w14:paraId="08533D6B">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23.22</w:t>
                  </w:r>
                </w:p>
              </w:tc>
              <w:tc>
                <w:tcPr>
                  <w:tcW w:w="1079" w:type="pct"/>
                  <w:noWrap w:val="0"/>
                  <w:vAlign w:val="center"/>
                </w:tcPr>
                <w:p w14:paraId="55EB6DA9">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0.62</w:t>
                  </w:r>
                </w:p>
              </w:tc>
              <w:tc>
                <w:tcPr>
                  <w:tcW w:w="584" w:type="pct"/>
                  <w:noWrap w:val="0"/>
                  <w:vAlign w:val="center"/>
                </w:tcPr>
                <w:p w14:paraId="2DEE3C75">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81.88</w:t>
                  </w:r>
                </w:p>
              </w:tc>
              <w:tc>
                <w:tcPr>
                  <w:tcW w:w="592" w:type="pct"/>
                  <w:noWrap w:val="0"/>
                  <w:vAlign w:val="center"/>
                </w:tcPr>
                <w:p w14:paraId="684FE3C8">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18.55</w:t>
                  </w:r>
                </w:p>
              </w:tc>
            </w:tr>
            <w:tr w14:paraId="038F2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930" w:type="pct"/>
                  <w:noWrap w:val="0"/>
                  <w:vAlign w:val="center"/>
                </w:tcPr>
                <w:p w14:paraId="243B6BDD">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标准（ug/m</w:t>
                  </w:r>
                  <w:r>
                    <w:rPr>
                      <w:rFonts w:hint="default" w:ascii="Times New Roman" w:hAnsi="Times New Roman" w:eastAsia="宋体" w:cs="Times New Roman"/>
                      <w:b/>
                      <w:bCs/>
                      <w:color w:val="auto"/>
                      <w:szCs w:val="21"/>
                      <w:vertAlign w:val="superscript"/>
                    </w:rPr>
                    <w:t>3</w:t>
                  </w:r>
                  <w:r>
                    <w:rPr>
                      <w:rFonts w:hint="default" w:ascii="Times New Roman" w:hAnsi="Times New Roman" w:eastAsia="宋体" w:cs="Times New Roman"/>
                      <w:b/>
                      <w:bCs/>
                      <w:color w:val="auto"/>
                      <w:szCs w:val="21"/>
                    </w:rPr>
                    <w:t>）</w:t>
                  </w:r>
                </w:p>
              </w:tc>
              <w:tc>
                <w:tcPr>
                  <w:tcW w:w="604" w:type="pct"/>
                  <w:noWrap w:val="0"/>
                  <w:vAlign w:val="center"/>
                </w:tcPr>
                <w:p w14:paraId="423782F7">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60</w:t>
                  </w:r>
                </w:p>
              </w:tc>
              <w:tc>
                <w:tcPr>
                  <w:tcW w:w="604" w:type="pct"/>
                  <w:noWrap w:val="0"/>
                  <w:vAlign w:val="center"/>
                </w:tcPr>
                <w:p w14:paraId="1244C80B">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40</w:t>
                  </w:r>
                </w:p>
              </w:tc>
              <w:tc>
                <w:tcPr>
                  <w:tcW w:w="604" w:type="pct"/>
                  <w:noWrap w:val="0"/>
                  <w:vAlign w:val="center"/>
                </w:tcPr>
                <w:p w14:paraId="668B075D">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70</w:t>
                  </w:r>
                </w:p>
              </w:tc>
              <w:tc>
                <w:tcPr>
                  <w:tcW w:w="1079" w:type="pct"/>
                  <w:noWrap w:val="0"/>
                  <w:vAlign w:val="center"/>
                </w:tcPr>
                <w:p w14:paraId="6D2100E0">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w:t>
                  </w:r>
                </w:p>
              </w:tc>
              <w:tc>
                <w:tcPr>
                  <w:tcW w:w="584" w:type="pct"/>
                  <w:noWrap w:val="0"/>
                  <w:vAlign w:val="center"/>
                </w:tcPr>
                <w:p w14:paraId="64110A53">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160</w:t>
                  </w:r>
                </w:p>
              </w:tc>
              <w:tc>
                <w:tcPr>
                  <w:tcW w:w="592" w:type="pct"/>
                  <w:noWrap w:val="0"/>
                  <w:vAlign w:val="center"/>
                </w:tcPr>
                <w:p w14:paraId="76FC98CE">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eastAsia"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3</w:t>
                  </w:r>
                  <w:r>
                    <w:rPr>
                      <w:rFonts w:hint="eastAsia" w:ascii="Times New Roman" w:hAnsi="Times New Roman" w:eastAsia="宋体" w:cs="Times New Roman"/>
                      <w:color w:val="auto"/>
                      <w:szCs w:val="21"/>
                      <w:lang w:val="en-US" w:eastAsia="zh-CN"/>
                    </w:rPr>
                    <w:t>0</w:t>
                  </w:r>
                </w:p>
              </w:tc>
            </w:tr>
            <w:tr w14:paraId="48982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930" w:type="pct"/>
                  <w:noWrap w:val="0"/>
                  <w:vAlign w:val="center"/>
                </w:tcPr>
                <w:p w14:paraId="6EF8E1A7">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达标情况</w:t>
                  </w:r>
                </w:p>
              </w:tc>
              <w:tc>
                <w:tcPr>
                  <w:tcW w:w="604" w:type="pct"/>
                  <w:noWrap w:val="0"/>
                  <w:vAlign w:val="center"/>
                </w:tcPr>
                <w:p w14:paraId="79B6A492">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c>
                <w:tcPr>
                  <w:tcW w:w="604" w:type="pct"/>
                  <w:noWrap w:val="0"/>
                  <w:vAlign w:val="center"/>
                </w:tcPr>
                <w:p w14:paraId="0EC8A938">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c>
                <w:tcPr>
                  <w:tcW w:w="604" w:type="pct"/>
                  <w:noWrap w:val="0"/>
                  <w:vAlign w:val="center"/>
                </w:tcPr>
                <w:p w14:paraId="3E0195F5">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c>
                <w:tcPr>
                  <w:tcW w:w="1079" w:type="pct"/>
                  <w:noWrap w:val="0"/>
                  <w:vAlign w:val="center"/>
                </w:tcPr>
                <w:p w14:paraId="2EB382EB">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c>
                <w:tcPr>
                  <w:tcW w:w="584" w:type="pct"/>
                  <w:noWrap w:val="0"/>
                  <w:vAlign w:val="center"/>
                </w:tcPr>
                <w:p w14:paraId="4C68C9C5">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c>
                <w:tcPr>
                  <w:tcW w:w="592" w:type="pct"/>
                  <w:noWrap w:val="0"/>
                  <w:vAlign w:val="center"/>
                </w:tcPr>
                <w:p w14:paraId="34AD3B83">
                  <w:pPr>
                    <w:pStyle w:val="14"/>
                    <w:keepNext w:val="0"/>
                    <w:keepLines w:val="0"/>
                    <w:pageBreakBefore w:val="0"/>
                    <w:widowControl w:val="0"/>
                    <w:kinsoku/>
                    <w:wordWrap/>
                    <w:overflowPunct/>
                    <w:topLinePunct w:val="0"/>
                    <w:autoSpaceDE/>
                    <w:autoSpaceDN/>
                    <w:bidi w:val="0"/>
                    <w:adjustRightInd w:val="0"/>
                    <w:snapToGrid w:val="0"/>
                    <w:spacing w:after="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达标</w:t>
                  </w:r>
                </w:p>
              </w:tc>
            </w:tr>
          </w:tbl>
          <w:p w14:paraId="262F408B">
            <w:pPr>
              <w:widowControl/>
              <w:adjustRightInd w:val="0"/>
              <w:snapToGrid w:val="0"/>
              <w:spacing w:line="356" w:lineRule="auto"/>
              <w:ind w:firstLine="480" w:firstLineChars="200"/>
              <w:rPr>
                <w:color w:val="auto"/>
                <w:sz w:val="24"/>
                <w:shd w:val="clear" w:color="auto" w:fill="FFFFFF"/>
              </w:rPr>
            </w:pPr>
            <w:r>
              <w:rPr>
                <w:rFonts w:hint="default" w:ascii="Times New Roman" w:hAnsi="Times New Roman" w:eastAsia="宋体" w:cs="Times New Roman"/>
                <w:b w:val="0"/>
                <w:bCs w:val="0"/>
                <w:color w:val="auto"/>
                <w:sz w:val="24"/>
                <w:szCs w:val="24"/>
                <w:lang w:eastAsia="zh-CN"/>
              </w:rPr>
              <w:t>根据202</w:t>
            </w:r>
            <w:r>
              <w:rPr>
                <w:rFonts w:hint="eastAsia" w:ascii="Times New Roman" w:hAnsi="Times New Roman" w:eastAsia="宋体" w:cs="Times New Roman"/>
                <w:b w:val="0"/>
                <w:bCs w:val="0"/>
                <w:color w:val="auto"/>
                <w:sz w:val="24"/>
                <w:szCs w:val="24"/>
                <w:lang w:val="en-US" w:eastAsia="zh-CN"/>
              </w:rPr>
              <w:t>5</w:t>
            </w:r>
            <w:r>
              <w:rPr>
                <w:rFonts w:hint="default" w:ascii="Times New Roman" w:hAnsi="Times New Roman" w:eastAsia="宋体" w:cs="Times New Roman"/>
                <w:b w:val="0"/>
                <w:bCs w:val="0"/>
                <w:color w:val="auto"/>
                <w:sz w:val="24"/>
                <w:szCs w:val="24"/>
                <w:lang w:eastAsia="zh-CN"/>
              </w:rPr>
              <w:t>年澄江市环境质量监测公告统计分析结果可知</w:t>
            </w:r>
            <w:r>
              <w:rPr>
                <w:rFonts w:hint="eastAsia" w:ascii="Times New Roman" w:hAnsi="Times New Roman" w:eastAsia="宋体" w:cs="Times New Roman"/>
                <w:b w:val="0"/>
                <w:bCs w:val="0"/>
                <w:color w:val="auto"/>
                <w:sz w:val="24"/>
                <w:szCs w:val="24"/>
                <w:lang w:eastAsia="zh-CN"/>
              </w:rPr>
              <w:t>，</w:t>
            </w:r>
            <w:r>
              <w:rPr>
                <w:color w:val="auto"/>
                <w:sz w:val="24"/>
              </w:rPr>
              <w:t>项目所在区域环境空气质量满足《环境空气质量标准》</w:t>
            </w:r>
            <w:r>
              <w:rPr>
                <w:color w:val="auto"/>
                <w:kern w:val="0"/>
                <w:sz w:val="24"/>
                <w:lang w:val="zh-CN" w:bidi="ar"/>
              </w:rPr>
              <w:t>（</w:t>
            </w:r>
            <w:r>
              <w:rPr>
                <w:rFonts w:hint="default" w:ascii="Times New Roman" w:hAnsi="Times New Roman" w:eastAsia="宋体" w:cs="Times New Roman"/>
                <w:color w:val="auto"/>
                <w:sz w:val="24"/>
                <w:szCs w:val="24"/>
                <w:highlight w:val="none"/>
                <w:lang w:val="en-US" w:eastAsia="zh-CN"/>
              </w:rPr>
              <w:t>GB3095-20</w:t>
            </w:r>
            <w:r>
              <w:rPr>
                <w:rFonts w:hint="eastAsia" w:cs="Times New Roman"/>
                <w:color w:val="auto"/>
                <w:sz w:val="24"/>
                <w:szCs w:val="24"/>
                <w:highlight w:val="none"/>
                <w:lang w:val="en-US" w:eastAsia="zh-CN"/>
              </w:rPr>
              <w:t>26</w:t>
            </w:r>
            <w:r>
              <w:rPr>
                <w:color w:val="auto"/>
                <w:kern w:val="0"/>
                <w:sz w:val="24"/>
                <w:lang w:val="zh-CN" w:bidi="ar"/>
              </w:rPr>
              <w:t>）</w:t>
            </w:r>
            <w:r>
              <w:rPr>
                <w:rFonts w:hint="eastAsia"/>
                <w:color w:val="auto"/>
                <w:kern w:val="0"/>
                <w:sz w:val="24"/>
                <w:lang w:val="zh-CN" w:bidi="ar"/>
              </w:rPr>
              <w:t>表</w:t>
            </w:r>
            <w:r>
              <w:rPr>
                <w:rFonts w:hint="eastAsia"/>
                <w:color w:val="auto"/>
                <w:kern w:val="0"/>
                <w:sz w:val="24"/>
                <w:lang w:val="en-US" w:eastAsia="zh-CN" w:bidi="ar"/>
              </w:rPr>
              <w:t>1</w:t>
            </w:r>
            <w:r>
              <w:rPr>
                <w:rFonts w:hint="eastAsia"/>
                <w:color w:val="auto"/>
                <w:kern w:val="0"/>
                <w:sz w:val="24"/>
                <w:lang w:val="zh-CN" w:bidi="ar"/>
              </w:rPr>
              <w:t>中过渡阶段浓度限值</w:t>
            </w:r>
            <w:r>
              <w:rPr>
                <w:color w:val="auto"/>
                <w:kern w:val="0"/>
                <w:sz w:val="24"/>
                <w:lang w:val="zh-CN" w:bidi="ar"/>
              </w:rPr>
              <w:t>二</w:t>
            </w:r>
            <w:r>
              <w:rPr>
                <w:color w:val="auto"/>
                <w:sz w:val="24"/>
                <w:lang w:val="zh-CN"/>
              </w:rPr>
              <w:t>级标准</w:t>
            </w:r>
            <w:r>
              <w:rPr>
                <w:color w:val="auto"/>
                <w:sz w:val="24"/>
              </w:rPr>
              <w:t>的要求，属于环境空气质量达标区。</w:t>
            </w:r>
          </w:p>
          <w:p w14:paraId="4AFD6234">
            <w:pPr>
              <w:adjustRightInd w:val="0"/>
              <w:snapToGrid w:val="0"/>
              <w:spacing w:line="356" w:lineRule="auto"/>
              <w:ind w:firstLine="482" w:firstLineChars="200"/>
              <w:rPr>
                <w:b/>
                <w:bCs/>
                <w:color w:val="auto"/>
                <w:sz w:val="24"/>
              </w:rPr>
            </w:pPr>
            <w:r>
              <w:rPr>
                <w:b/>
                <w:bCs/>
                <w:color w:val="auto"/>
                <w:sz w:val="24"/>
              </w:rPr>
              <w:t>（2）特征因子环境质量现状</w:t>
            </w:r>
          </w:p>
          <w:p w14:paraId="0217D933">
            <w:pPr>
              <w:adjustRightInd w:val="0"/>
              <w:snapToGrid w:val="0"/>
              <w:spacing w:line="356" w:lineRule="auto"/>
              <w:ind w:firstLine="480" w:firstLineChars="200"/>
              <w:rPr>
                <w:color w:val="auto"/>
                <w:sz w:val="24"/>
              </w:rPr>
            </w:pPr>
            <w:r>
              <w:rPr>
                <w:color w:val="auto"/>
                <w:sz w:val="24"/>
              </w:rPr>
              <w:t>本项目涉及的特征因子为TSP、非甲烷总烃</w:t>
            </w:r>
            <w:r>
              <w:rPr>
                <w:rFonts w:hint="eastAsia"/>
                <w:color w:val="auto"/>
                <w:sz w:val="24"/>
                <w:lang w:eastAsia="zh-CN"/>
              </w:rPr>
              <w:t>、臭气浓度</w:t>
            </w:r>
            <w:r>
              <w:rPr>
                <w:color w:val="auto"/>
                <w:sz w:val="24"/>
              </w:rPr>
              <w:t>，TSP执行</w:t>
            </w:r>
            <w:r>
              <w:rPr>
                <w:color w:val="auto"/>
                <w:kern w:val="0"/>
                <w:sz w:val="24"/>
                <w:lang w:val="zh-CN" w:bidi="ar"/>
              </w:rPr>
              <w:t>《环境空气质量标准》（</w:t>
            </w:r>
            <w:r>
              <w:rPr>
                <w:rFonts w:hint="default" w:ascii="Times New Roman" w:hAnsi="Times New Roman" w:eastAsia="宋体" w:cs="Times New Roman"/>
                <w:color w:val="auto"/>
                <w:sz w:val="24"/>
                <w:szCs w:val="24"/>
                <w:highlight w:val="none"/>
                <w:lang w:val="en-US" w:eastAsia="zh-CN"/>
              </w:rPr>
              <w:t>GB3095-20</w:t>
            </w:r>
            <w:r>
              <w:rPr>
                <w:rFonts w:hint="eastAsia" w:cs="Times New Roman"/>
                <w:color w:val="auto"/>
                <w:sz w:val="24"/>
                <w:szCs w:val="24"/>
                <w:highlight w:val="none"/>
                <w:lang w:val="en-US" w:eastAsia="zh-CN"/>
              </w:rPr>
              <w:t>26</w:t>
            </w:r>
            <w:r>
              <w:rPr>
                <w:color w:val="auto"/>
                <w:kern w:val="0"/>
                <w:sz w:val="24"/>
                <w:lang w:val="zh-CN" w:bidi="ar"/>
              </w:rPr>
              <w:t>）二级标准</w:t>
            </w:r>
            <w:r>
              <w:rPr>
                <w:rFonts w:hint="eastAsia"/>
                <w:color w:val="auto"/>
                <w:kern w:val="0"/>
                <w:sz w:val="24"/>
                <w:lang w:val="zh-CN" w:bidi="ar"/>
              </w:rPr>
              <w:t>；</w:t>
            </w:r>
            <w:r>
              <w:rPr>
                <w:rFonts w:hint="default" w:ascii="Times New Roman" w:hAnsi="Times New Roman" w:eastAsia="宋体" w:cs="Times New Roman"/>
                <w:b w:val="0"/>
                <w:bCs w:val="0"/>
                <w:color w:val="auto"/>
                <w:sz w:val="24"/>
                <w:szCs w:val="24"/>
                <w:lang w:val="en-US" w:eastAsia="zh-CN"/>
              </w:rPr>
              <w:t>TVOC</w:t>
            </w:r>
            <w:r>
              <w:rPr>
                <w:rFonts w:hint="eastAsia" w:cs="Times New Roman"/>
                <w:b w:val="0"/>
                <w:bCs w:val="0"/>
                <w:color w:val="auto"/>
                <w:sz w:val="24"/>
                <w:szCs w:val="24"/>
                <w:lang w:val="en-US" w:eastAsia="zh-CN"/>
              </w:rPr>
              <w:t>（以非甲烷总烃计）</w:t>
            </w:r>
            <w:r>
              <w:rPr>
                <w:rFonts w:hint="eastAsia" w:ascii="Times New Roman" w:hAnsi="Times New Roman" w:eastAsia="宋体" w:cs="Times New Roman"/>
                <w:b w:val="0"/>
                <w:bCs w:val="0"/>
                <w:color w:val="auto"/>
                <w:sz w:val="24"/>
                <w:szCs w:val="24"/>
                <w:lang w:val="en-US" w:eastAsia="zh-CN"/>
              </w:rPr>
              <w:t>执行</w:t>
            </w:r>
            <w:r>
              <w:rPr>
                <w:rFonts w:hint="default" w:ascii="Times New Roman" w:hAnsi="Times New Roman" w:eastAsia="宋体" w:cs="Times New Roman"/>
                <w:b w:val="0"/>
                <w:bCs w:val="0"/>
                <w:color w:val="auto"/>
                <w:sz w:val="24"/>
                <w:szCs w:val="24"/>
                <w:lang w:val="en-US" w:eastAsia="zh-CN"/>
              </w:rPr>
              <w:t>《环境影响评价技术导则大气环境》（HJ2.2-2018）附录D表D.1中其他污染物空气质量浓度参考限值</w:t>
            </w:r>
            <w:r>
              <w:rPr>
                <w:rFonts w:hint="eastAsia" w:ascii="Times New Roman" w:hAnsi="Times New Roman" w:eastAsia="宋体" w:cs="Times New Roman"/>
                <w:b w:val="0"/>
                <w:bCs w:val="0"/>
                <w:color w:val="auto"/>
                <w:sz w:val="24"/>
                <w:szCs w:val="24"/>
                <w:lang w:val="en-US" w:eastAsia="zh-CN"/>
              </w:rPr>
              <w:t>。</w:t>
            </w:r>
          </w:p>
          <w:p w14:paraId="314508F2">
            <w:pPr>
              <w:adjustRightInd w:val="0"/>
              <w:snapToGrid w:val="0"/>
              <w:spacing w:line="360" w:lineRule="auto"/>
              <w:ind w:firstLine="480" w:firstLineChars="200"/>
              <w:rPr>
                <w:rFonts w:hint="eastAsia" w:eastAsia="宋体"/>
                <w:color w:val="auto"/>
                <w:kern w:val="0"/>
                <w:sz w:val="24"/>
                <w:lang w:eastAsia="zh-CN"/>
              </w:rPr>
            </w:pPr>
            <w:r>
              <w:rPr>
                <w:color w:val="auto"/>
                <w:kern w:val="0"/>
                <w:sz w:val="24"/>
              </w:rPr>
              <w:t>①TSP</w:t>
            </w:r>
            <w:r>
              <w:rPr>
                <w:rFonts w:hint="eastAsia"/>
                <w:color w:val="auto"/>
                <w:kern w:val="0"/>
                <w:sz w:val="24"/>
                <w:lang w:eastAsia="zh-CN"/>
              </w:rPr>
              <w:t>、</w:t>
            </w:r>
            <w:r>
              <w:rPr>
                <w:rFonts w:hint="default" w:ascii="Times New Roman" w:hAnsi="Times New Roman" w:eastAsia="宋体" w:cs="Times New Roman"/>
                <w:b w:val="0"/>
                <w:bCs w:val="0"/>
                <w:color w:val="auto"/>
                <w:sz w:val="24"/>
                <w:szCs w:val="24"/>
                <w:lang w:val="en-US" w:eastAsia="zh-CN"/>
              </w:rPr>
              <w:t>TVOC</w:t>
            </w:r>
            <w:r>
              <w:rPr>
                <w:rFonts w:hint="eastAsia" w:cs="Times New Roman"/>
                <w:b w:val="0"/>
                <w:bCs w:val="0"/>
                <w:color w:val="auto"/>
                <w:sz w:val="24"/>
                <w:szCs w:val="24"/>
                <w:lang w:val="en-US" w:eastAsia="zh-CN"/>
              </w:rPr>
              <w:t>（以非甲烷总烃计）</w:t>
            </w:r>
          </w:p>
          <w:p w14:paraId="23912BC5">
            <w:pPr>
              <w:adjustRightInd w:val="0"/>
              <w:snapToGrid w:val="0"/>
              <w:spacing w:line="360" w:lineRule="auto"/>
              <w:ind w:firstLine="480" w:firstLineChars="200"/>
              <w:rPr>
                <w:color w:val="auto"/>
                <w:sz w:val="24"/>
              </w:rPr>
            </w:pPr>
            <w:r>
              <w:rPr>
                <w:color w:val="auto"/>
                <w:kern w:val="0"/>
                <w:sz w:val="24"/>
              </w:rPr>
              <w:t>TSP</w:t>
            </w:r>
            <w:r>
              <w:rPr>
                <w:rFonts w:hint="eastAsia"/>
                <w:color w:val="auto"/>
                <w:kern w:val="0"/>
                <w:sz w:val="24"/>
                <w:lang w:eastAsia="zh-CN"/>
              </w:rPr>
              <w:t>、</w:t>
            </w:r>
            <w:r>
              <w:rPr>
                <w:rFonts w:hint="default" w:ascii="Times New Roman" w:hAnsi="Times New Roman" w:eastAsia="宋体" w:cs="Times New Roman"/>
                <w:b w:val="0"/>
                <w:bCs w:val="0"/>
                <w:color w:val="auto"/>
                <w:sz w:val="24"/>
                <w:szCs w:val="24"/>
                <w:lang w:val="en-US" w:eastAsia="zh-CN"/>
              </w:rPr>
              <w:t>TVOC</w:t>
            </w:r>
            <w:r>
              <w:rPr>
                <w:rFonts w:hint="eastAsia" w:cs="Times New Roman"/>
                <w:b w:val="0"/>
                <w:bCs w:val="0"/>
                <w:color w:val="auto"/>
                <w:sz w:val="24"/>
                <w:szCs w:val="24"/>
                <w:lang w:val="en-US" w:eastAsia="zh-CN"/>
              </w:rPr>
              <w:t>（以非甲烷总烃计）</w:t>
            </w:r>
            <w:r>
              <w:rPr>
                <w:color w:val="auto"/>
                <w:kern w:val="0"/>
                <w:sz w:val="24"/>
                <w:lang w:val="zh-CN"/>
              </w:rPr>
              <w:t>环境空气质量现状评价引用</w:t>
            </w:r>
            <w:r>
              <w:rPr>
                <w:rFonts w:hint="default" w:ascii="Times New Roman" w:hAnsi="Times New Roman" w:eastAsia="宋体" w:cs="Times New Roman"/>
                <w:b w:val="0"/>
                <w:bCs w:val="0"/>
                <w:color w:val="auto"/>
                <w:sz w:val="24"/>
                <w:szCs w:val="24"/>
                <w:lang w:eastAsia="zh-CN"/>
              </w:rPr>
              <w:t>贵州鼎拔检测有限公司</w:t>
            </w:r>
            <w:r>
              <w:rPr>
                <w:color w:val="auto"/>
                <w:sz w:val="24"/>
              </w:rPr>
              <w:t>于202</w:t>
            </w:r>
            <w:r>
              <w:rPr>
                <w:rFonts w:hint="eastAsia"/>
                <w:color w:val="auto"/>
                <w:sz w:val="24"/>
                <w:lang w:val="en-US" w:eastAsia="zh-CN"/>
              </w:rPr>
              <w:t>3</w:t>
            </w:r>
            <w:r>
              <w:rPr>
                <w:color w:val="auto"/>
                <w:sz w:val="24"/>
                <w:lang w:val="zh-CN"/>
              </w:rPr>
              <w:t>年</w:t>
            </w:r>
            <w:r>
              <w:rPr>
                <w:rFonts w:hint="eastAsia"/>
                <w:color w:val="auto"/>
                <w:sz w:val="24"/>
                <w:lang w:val="en-US" w:eastAsia="zh-CN"/>
              </w:rPr>
              <w:t>10</w:t>
            </w:r>
            <w:r>
              <w:rPr>
                <w:color w:val="auto"/>
                <w:sz w:val="24"/>
                <w:lang w:val="zh-CN"/>
              </w:rPr>
              <w:t>月</w:t>
            </w:r>
            <w:r>
              <w:rPr>
                <w:rFonts w:hint="eastAsia"/>
                <w:color w:val="auto"/>
                <w:sz w:val="24"/>
                <w:lang w:val="en-US" w:eastAsia="zh-CN"/>
              </w:rPr>
              <w:t>20</w:t>
            </w:r>
            <w:r>
              <w:rPr>
                <w:color w:val="auto"/>
                <w:sz w:val="24"/>
                <w:lang w:val="zh-CN"/>
              </w:rPr>
              <w:t>日</w:t>
            </w:r>
            <w:r>
              <w:rPr>
                <w:rFonts w:hint="eastAsia"/>
                <w:color w:val="auto"/>
                <w:sz w:val="24"/>
              </w:rPr>
              <w:t>-</w:t>
            </w:r>
            <w:r>
              <w:rPr>
                <w:color w:val="auto"/>
                <w:sz w:val="24"/>
              </w:rPr>
              <w:t>202</w:t>
            </w:r>
            <w:r>
              <w:rPr>
                <w:rFonts w:hint="eastAsia"/>
                <w:color w:val="auto"/>
                <w:sz w:val="24"/>
                <w:lang w:val="en-US" w:eastAsia="zh-CN"/>
              </w:rPr>
              <w:t>3</w:t>
            </w:r>
            <w:r>
              <w:rPr>
                <w:color w:val="auto"/>
                <w:sz w:val="24"/>
                <w:lang w:val="zh-CN"/>
              </w:rPr>
              <w:t>年</w:t>
            </w:r>
            <w:r>
              <w:rPr>
                <w:rFonts w:hint="eastAsia"/>
                <w:color w:val="auto"/>
                <w:sz w:val="24"/>
                <w:lang w:val="en-US" w:eastAsia="zh-CN"/>
              </w:rPr>
              <w:t>10</w:t>
            </w:r>
            <w:r>
              <w:rPr>
                <w:color w:val="auto"/>
                <w:sz w:val="24"/>
                <w:lang w:val="zh-CN"/>
              </w:rPr>
              <w:t>月</w:t>
            </w:r>
            <w:r>
              <w:rPr>
                <w:rFonts w:hint="eastAsia"/>
                <w:color w:val="auto"/>
                <w:sz w:val="24"/>
                <w:lang w:val="en-US" w:eastAsia="zh-CN"/>
              </w:rPr>
              <w:t>22</w:t>
            </w:r>
            <w:r>
              <w:rPr>
                <w:color w:val="auto"/>
                <w:sz w:val="24"/>
                <w:lang w:val="zh-CN"/>
              </w:rPr>
              <w:t>日</w:t>
            </w:r>
            <w:r>
              <w:rPr>
                <w:color w:val="auto"/>
                <w:sz w:val="24"/>
              </w:rPr>
              <w:t>对</w:t>
            </w:r>
            <w:r>
              <w:rPr>
                <w:color w:val="auto"/>
                <w:sz w:val="24"/>
                <w:lang w:val="zh-CN"/>
              </w:rPr>
              <w:t>《</w:t>
            </w:r>
            <w:r>
              <w:rPr>
                <w:rFonts w:hint="eastAsia" w:ascii="Times New Roman" w:hAnsi="Times New Roman" w:eastAsia="宋体" w:cs="Times New Roman"/>
                <w:b w:val="0"/>
                <w:bCs w:val="0"/>
                <w:color w:val="auto"/>
                <w:sz w:val="24"/>
                <w:szCs w:val="24"/>
                <w:lang w:val="en-US" w:eastAsia="zh-CN"/>
              </w:rPr>
              <w:t>云南星宗安消防设备有限公司消防器材以及配套器材生产建设项目环境影响报告表</w:t>
            </w:r>
            <w:r>
              <w:rPr>
                <w:color w:val="auto"/>
                <w:sz w:val="24"/>
                <w:lang w:val="zh-CN"/>
              </w:rPr>
              <w:t>》</w:t>
            </w:r>
            <w:r>
              <w:rPr>
                <w:color w:val="auto"/>
                <w:sz w:val="24"/>
              </w:rPr>
              <w:t>中的</w:t>
            </w:r>
            <w:r>
              <w:rPr>
                <w:color w:val="auto"/>
                <w:sz w:val="24"/>
                <w:lang w:val="zh-CN"/>
              </w:rPr>
              <w:t>空气质量现状监测数据</w:t>
            </w:r>
            <w:r>
              <w:rPr>
                <w:color w:val="auto"/>
                <w:kern w:val="0"/>
                <w:sz w:val="24"/>
                <w:lang w:val="zh-CN"/>
              </w:rPr>
              <w:t>，</w:t>
            </w:r>
            <w:r>
              <w:rPr>
                <w:color w:val="auto"/>
                <w:sz w:val="24"/>
              </w:rPr>
              <w:t>引用监测点</w:t>
            </w:r>
            <w:r>
              <w:rPr>
                <w:rFonts w:hint="eastAsia"/>
                <w:color w:val="auto"/>
                <w:sz w:val="24"/>
              </w:rPr>
              <w:t>位于</w:t>
            </w:r>
            <w:r>
              <w:rPr>
                <w:rFonts w:hint="eastAsia"/>
                <w:color w:val="auto"/>
                <w:sz w:val="24"/>
                <w:lang w:eastAsia="zh-CN"/>
              </w:rPr>
              <w:t>该项目</w:t>
            </w:r>
            <w:r>
              <w:rPr>
                <w:rFonts w:hint="default" w:ascii="Times New Roman" w:hAnsi="Times New Roman" w:eastAsia="宋体" w:cs="Times New Roman"/>
                <w:b w:val="0"/>
                <w:bCs w:val="0"/>
                <w:color w:val="auto"/>
                <w:sz w:val="24"/>
                <w:szCs w:val="24"/>
                <w:lang w:eastAsia="zh-CN"/>
              </w:rPr>
              <w:t>厂址下风向</w:t>
            </w:r>
            <w:r>
              <w:rPr>
                <w:rFonts w:hint="eastAsia"/>
                <w:color w:val="auto"/>
                <w:sz w:val="24"/>
                <w:lang w:eastAsia="zh-CN"/>
              </w:rPr>
              <w:t>，</w:t>
            </w:r>
            <w:r>
              <w:rPr>
                <w:color w:val="auto"/>
                <w:sz w:val="24"/>
              </w:rPr>
              <w:t>位于本项目</w:t>
            </w:r>
            <w:r>
              <w:rPr>
                <w:rFonts w:hint="eastAsia"/>
                <w:color w:val="auto"/>
                <w:sz w:val="24"/>
                <w:lang w:eastAsia="zh-CN"/>
              </w:rPr>
              <w:t>东</w:t>
            </w:r>
            <w:r>
              <w:rPr>
                <w:color w:val="auto"/>
                <w:sz w:val="24"/>
              </w:rPr>
              <w:t>侧约</w:t>
            </w:r>
            <w:r>
              <w:rPr>
                <w:rFonts w:hint="eastAsia"/>
                <w:color w:val="auto"/>
                <w:sz w:val="24"/>
                <w:lang w:val="en-US" w:eastAsia="zh-CN"/>
              </w:rPr>
              <w:t>250</w:t>
            </w:r>
            <w:r>
              <w:rPr>
                <w:color w:val="auto"/>
                <w:sz w:val="24"/>
              </w:rPr>
              <w:t>m。</w:t>
            </w:r>
          </w:p>
          <w:p w14:paraId="52D17A77">
            <w:pPr>
              <w:adjustRightInd w:val="0"/>
              <w:snapToGrid w:val="0"/>
              <w:spacing w:line="360" w:lineRule="auto"/>
              <w:ind w:firstLine="480" w:firstLineChars="200"/>
              <w:rPr>
                <w:color w:val="auto"/>
                <w:sz w:val="24"/>
              </w:rPr>
            </w:pPr>
            <w:r>
              <w:rPr>
                <w:color w:val="auto"/>
                <w:sz w:val="24"/>
              </w:rPr>
              <w:t>本项目引用的现状监测点</w:t>
            </w:r>
            <w:r>
              <w:rPr>
                <w:color w:val="auto"/>
                <w:sz w:val="24"/>
                <w:lang w:val="zh-CN"/>
              </w:rPr>
              <w:t>具备</w:t>
            </w:r>
            <w:r>
              <w:rPr>
                <w:rFonts w:hint="eastAsia"/>
                <w:color w:val="auto"/>
                <w:sz w:val="24"/>
                <w:lang w:val="zh-CN"/>
              </w:rPr>
              <w:t>引用</w:t>
            </w:r>
            <w:r>
              <w:rPr>
                <w:color w:val="auto"/>
                <w:sz w:val="24"/>
                <w:lang w:val="zh-CN"/>
              </w:rPr>
              <w:t>条件，数据在技术导则要求的“近三年</w:t>
            </w:r>
            <w:r>
              <w:rPr>
                <w:rFonts w:hint="eastAsia"/>
                <w:color w:val="auto"/>
                <w:sz w:val="24"/>
                <w:lang w:val="zh-CN"/>
              </w:rPr>
              <w:t>，</w:t>
            </w:r>
            <w:r>
              <w:rPr>
                <w:rFonts w:hint="eastAsia"/>
                <w:color w:val="auto"/>
                <w:sz w:val="24"/>
              </w:rPr>
              <w:t>且项目周围</w:t>
            </w:r>
            <w:r>
              <w:rPr>
                <w:color w:val="auto"/>
                <w:sz w:val="24"/>
              </w:rPr>
              <w:t>5km</w:t>
            </w:r>
            <w:r>
              <w:rPr>
                <w:rFonts w:hint="eastAsia"/>
                <w:color w:val="auto"/>
                <w:sz w:val="24"/>
              </w:rPr>
              <w:t>范围</w:t>
            </w:r>
            <w:r>
              <w:rPr>
                <w:color w:val="auto"/>
                <w:sz w:val="24"/>
                <w:lang w:val="zh-CN"/>
              </w:rPr>
              <w:t>”时限内，属于有效数据，故本项目空气质量现状评价引用</w:t>
            </w:r>
            <w:r>
              <w:rPr>
                <w:color w:val="auto"/>
                <w:sz w:val="24"/>
              </w:rPr>
              <w:t>的数据具有时效性和代表性。</w:t>
            </w:r>
          </w:p>
          <w:p w14:paraId="6602EE3F">
            <w:pPr>
              <w:pStyle w:val="85"/>
              <w:rPr>
                <w:b/>
                <w:color w:val="auto"/>
                <w:szCs w:val="21"/>
              </w:rPr>
            </w:pPr>
            <w:r>
              <w:rPr>
                <w:rFonts w:cs="Times New Roman"/>
                <w:color w:val="auto"/>
                <w:szCs w:val="18"/>
              </w:rPr>
              <w:t>大气环境质量现状引用监测结果见表3-</w:t>
            </w:r>
            <w:r>
              <w:rPr>
                <w:rFonts w:hint="eastAsia" w:cs="Times New Roman"/>
                <w:color w:val="auto"/>
                <w:szCs w:val="18"/>
                <w:lang w:val="en-US" w:eastAsia="zh-CN"/>
              </w:rPr>
              <w:t>2</w:t>
            </w:r>
            <w:r>
              <w:rPr>
                <w:rFonts w:cs="Times New Roman"/>
                <w:color w:val="auto"/>
                <w:szCs w:val="24"/>
              </w:rPr>
              <w:t>。</w:t>
            </w:r>
          </w:p>
          <w:p w14:paraId="53F258B1">
            <w:pPr>
              <w:pStyle w:val="8"/>
              <w:rPr>
                <w:rFonts w:hint="default" w:ascii="Times New Roman" w:hAnsi="Times New Roman" w:eastAsia="宋体" w:cs="Times New Roman"/>
                <w:b/>
                <w:bCs/>
                <w:color w:val="auto"/>
                <w:kern w:val="0"/>
                <w:sz w:val="21"/>
                <w:szCs w:val="21"/>
                <w:lang w:val="en-US" w:eastAsia="zh-CN" w:bidi="ar-SA"/>
              </w:rPr>
            </w:pPr>
            <w:r>
              <w:rPr>
                <w:rFonts w:hint="default" w:ascii="Times New Roman" w:hAnsi="Times New Roman" w:eastAsia="宋体" w:cs="Times New Roman"/>
                <w:b/>
                <w:bCs/>
                <w:color w:val="auto"/>
                <w:kern w:val="0"/>
                <w:sz w:val="21"/>
                <w:szCs w:val="21"/>
                <w:lang w:val="en-US" w:eastAsia="zh-CN" w:bidi="ar-SA"/>
              </w:rPr>
              <w:t>表3-</w:t>
            </w:r>
            <w:r>
              <w:rPr>
                <w:rFonts w:hint="eastAsia" w:ascii="Times New Roman" w:hAnsi="Times New Roman" w:eastAsia="宋体" w:cs="Times New Roman"/>
                <w:b/>
                <w:bCs/>
                <w:color w:val="auto"/>
                <w:kern w:val="0"/>
                <w:sz w:val="21"/>
                <w:szCs w:val="21"/>
                <w:lang w:val="en-US" w:eastAsia="zh-CN" w:bidi="ar-SA"/>
              </w:rPr>
              <w:t>2</w:t>
            </w:r>
            <w:r>
              <w:rPr>
                <w:rFonts w:hint="default" w:ascii="Times New Roman" w:hAnsi="Times New Roman" w:eastAsia="宋体" w:cs="Times New Roman"/>
                <w:b/>
                <w:bCs/>
                <w:color w:val="auto"/>
                <w:kern w:val="0"/>
                <w:sz w:val="21"/>
                <w:szCs w:val="21"/>
                <w:lang w:val="en-US" w:eastAsia="zh-CN" w:bidi="ar-SA"/>
              </w:rPr>
              <w:t xml:space="preserve">  环境空气日均浓度监测结果统计单位：ug/m³</w:t>
            </w:r>
          </w:p>
          <w:tbl>
            <w:tblPr>
              <w:tblStyle w:val="3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5"/>
              <w:gridCol w:w="1636"/>
              <w:gridCol w:w="1135"/>
              <w:gridCol w:w="1007"/>
              <w:gridCol w:w="886"/>
              <w:gridCol w:w="1162"/>
              <w:gridCol w:w="1182"/>
            </w:tblGrid>
            <w:tr w14:paraId="430AD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4" w:type="pct"/>
                  <w:noWrap w:val="0"/>
                  <w:vAlign w:val="center"/>
                </w:tcPr>
                <w:p w14:paraId="0B976F38">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采样点</w:t>
                  </w:r>
                </w:p>
              </w:tc>
              <w:tc>
                <w:tcPr>
                  <w:tcW w:w="967" w:type="pct"/>
                  <w:noWrap w:val="0"/>
                  <w:vAlign w:val="center"/>
                </w:tcPr>
                <w:p w14:paraId="42578125">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采样日期</w:t>
                  </w:r>
                </w:p>
              </w:tc>
              <w:tc>
                <w:tcPr>
                  <w:tcW w:w="671" w:type="pct"/>
                  <w:noWrap w:val="0"/>
                  <w:vAlign w:val="center"/>
                </w:tcPr>
                <w:p w14:paraId="594C8438">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20</w:t>
                  </w:r>
                </w:p>
              </w:tc>
              <w:tc>
                <w:tcPr>
                  <w:tcW w:w="595" w:type="pct"/>
                  <w:noWrap w:val="0"/>
                  <w:vAlign w:val="center"/>
                </w:tcPr>
                <w:p w14:paraId="797DC592">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21</w:t>
                  </w:r>
                </w:p>
              </w:tc>
              <w:tc>
                <w:tcPr>
                  <w:tcW w:w="524" w:type="pct"/>
                  <w:noWrap w:val="0"/>
                  <w:vAlign w:val="center"/>
                </w:tcPr>
                <w:p w14:paraId="177C28D1">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22</w:t>
                  </w:r>
                </w:p>
              </w:tc>
              <w:tc>
                <w:tcPr>
                  <w:tcW w:w="687" w:type="pct"/>
                  <w:noWrap w:val="0"/>
                  <w:vAlign w:val="center"/>
                </w:tcPr>
                <w:p w14:paraId="5012E206">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标准限值</w:t>
                  </w:r>
                </w:p>
              </w:tc>
              <w:tc>
                <w:tcPr>
                  <w:tcW w:w="699" w:type="pct"/>
                  <w:noWrap w:val="0"/>
                  <w:vAlign w:val="center"/>
                </w:tcPr>
                <w:p w14:paraId="740A3646">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达标情况</w:t>
                  </w:r>
                </w:p>
              </w:tc>
            </w:tr>
            <w:tr w14:paraId="5A140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854" w:type="pct"/>
                  <w:vMerge w:val="restart"/>
                  <w:noWrap w:val="0"/>
                  <w:vAlign w:val="center"/>
                </w:tcPr>
                <w:p w14:paraId="2A611104">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pacing w:val="-11"/>
                      <w:sz w:val="21"/>
                      <w:szCs w:val="21"/>
                    </w:rPr>
                    <w:t>项目区</w:t>
                  </w:r>
                  <w:r>
                    <w:rPr>
                      <w:rFonts w:hint="default" w:ascii="Times New Roman" w:hAnsi="Times New Roman" w:eastAsia="宋体" w:cs="Times New Roman"/>
                      <w:b/>
                      <w:bCs/>
                      <w:color w:val="auto"/>
                      <w:spacing w:val="-11"/>
                      <w:sz w:val="21"/>
                      <w:szCs w:val="21"/>
                      <w:lang w:eastAsia="zh-CN"/>
                    </w:rPr>
                    <w:t>下风向</w:t>
                  </w:r>
                </w:p>
              </w:tc>
              <w:tc>
                <w:tcPr>
                  <w:tcW w:w="967" w:type="pct"/>
                  <w:noWrap w:val="0"/>
                  <w:vAlign w:val="center"/>
                </w:tcPr>
                <w:p w14:paraId="40F78B64">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总悬浮颗粒物</w:t>
                  </w:r>
                </w:p>
              </w:tc>
              <w:tc>
                <w:tcPr>
                  <w:tcW w:w="671" w:type="pct"/>
                  <w:noWrap w:val="0"/>
                  <w:vAlign w:val="center"/>
                </w:tcPr>
                <w:p w14:paraId="7853F923">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114</w:t>
                  </w:r>
                </w:p>
              </w:tc>
              <w:tc>
                <w:tcPr>
                  <w:tcW w:w="595" w:type="pct"/>
                  <w:noWrap w:val="0"/>
                  <w:vAlign w:val="center"/>
                </w:tcPr>
                <w:p w14:paraId="603F973A">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125</w:t>
                  </w:r>
                </w:p>
              </w:tc>
              <w:tc>
                <w:tcPr>
                  <w:tcW w:w="524" w:type="pct"/>
                  <w:noWrap w:val="0"/>
                  <w:vAlign w:val="center"/>
                </w:tcPr>
                <w:p w14:paraId="68A0A614">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115</w:t>
                  </w:r>
                </w:p>
              </w:tc>
              <w:tc>
                <w:tcPr>
                  <w:tcW w:w="687" w:type="pct"/>
                  <w:noWrap w:val="0"/>
                  <w:vAlign w:val="center"/>
                </w:tcPr>
                <w:p w14:paraId="626CAE4A">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300</w:t>
                  </w:r>
                </w:p>
              </w:tc>
              <w:tc>
                <w:tcPr>
                  <w:tcW w:w="699" w:type="pct"/>
                  <w:noWrap w:val="0"/>
                  <w:vAlign w:val="center"/>
                </w:tcPr>
                <w:p w14:paraId="7D998CBA">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达标</w:t>
                  </w:r>
                </w:p>
              </w:tc>
            </w:tr>
            <w:tr w14:paraId="42386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4" w:type="pct"/>
                  <w:vMerge w:val="continue"/>
                  <w:noWrap w:val="0"/>
                  <w:vAlign w:val="center"/>
                </w:tcPr>
                <w:p w14:paraId="72A0FF99">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spacing w:val="-11"/>
                      <w:sz w:val="21"/>
                      <w:szCs w:val="21"/>
                    </w:rPr>
                  </w:pPr>
                </w:p>
              </w:tc>
              <w:tc>
                <w:tcPr>
                  <w:tcW w:w="967" w:type="pct"/>
                  <w:noWrap w:val="0"/>
                  <w:vAlign w:val="center"/>
                </w:tcPr>
                <w:p w14:paraId="5392A33A">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TVOC</w:t>
                  </w:r>
                  <w:r>
                    <w:rPr>
                      <w:rFonts w:hint="eastAsia" w:ascii="Times New Roman" w:cs="Times New Roman"/>
                      <w:color w:val="auto"/>
                      <w:sz w:val="21"/>
                      <w:szCs w:val="21"/>
                      <w:lang w:val="en-US" w:eastAsia="zh-CN"/>
                    </w:rPr>
                    <w:t>（以非甲烷总烃计）</w:t>
                  </w:r>
                </w:p>
              </w:tc>
              <w:tc>
                <w:tcPr>
                  <w:tcW w:w="671" w:type="pct"/>
                  <w:noWrap w:val="0"/>
                  <w:vAlign w:val="center"/>
                </w:tcPr>
                <w:p w14:paraId="23603906">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121</w:t>
                  </w:r>
                </w:p>
              </w:tc>
              <w:tc>
                <w:tcPr>
                  <w:tcW w:w="595" w:type="pct"/>
                  <w:noWrap w:val="0"/>
                  <w:vAlign w:val="center"/>
                </w:tcPr>
                <w:p w14:paraId="0B6F8466">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118</w:t>
                  </w:r>
                </w:p>
              </w:tc>
              <w:tc>
                <w:tcPr>
                  <w:tcW w:w="524" w:type="pct"/>
                  <w:noWrap w:val="0"/>
                  <w:vAlign w:val="center"/>
                </w:tcPr>
                <w:p w14:paraId="68AE76E4">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126</w:t>
                  </w:r>
                </w:p>
              </w:tc>
              <w:tc>
                <w:tcPr>
                  <w:tcW w:w="687" w:type="pct"/>
                  <w:noWrap w:val="0"/>
                  <w:vAlign w:val="center"/>
                </w:tcPr>
                <w:p w14:paraId="38F22095">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600</w:t>
                  </w:r>
                </w:p>
              </w:tc>
              <w:tc>
                <w:tcPr>
                  <w:tcW w:w="699" w:type="pct"/>
                  <w:noWrap w:val="0"/>
                  <w:vAlign w:val="center"/>
                </w:tcPr>
                <w:p w14:paraId="17CEC211">
                  <w:pPr>
                    <w:pStyle w:val="47"/>
                    <w:keepNext w:val="0"/>
                    <w:keepLines w:val="0"/>
                    <w:pageBreakBefore w:val="0"/>
                    <w:widowControl w:val="0"/>
                    <w:tabs>
                      <w:tab w:val="left" w:pos="5530"/>
                    </w:tabs>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达标</w:t>
                  </w:r>
                </w:p>
              </w:tc>
            </w:tr>
          </w:tbl>
          <w:p w14:paraId="78159549">
            <w:pPr>
              <w:adjustRightInd w:val="0"/>
              <w:snapToGrid w:val="0"/>
              <w:spacing w:line="348" w:lineRule="auto"/>
              <w:ind w:firstLine="480" w:firstLineChars="200"/>
              <w:rPr>
                <w:color w:val="auto"/>
                <w:kern w:val="0"/>
                <w:sz w:val="24"/>
              </w:rPr>
            </w:pPr>
            <w:r>
              <w:rPr>
                <w:color w:val="auto"/>
                <w:kern w:val="0"/>
                <w:sz w:val="24"/>
              </w:rPr>
              <w:t>根据引用监测结果可知，引</w:t>
            </w:r>
            <w:r>
              <w:rPr>
                <w:rFonts w:ascii="Times New Roman" w:hAnsi="Times New Roman" w:eastAsia="宋体" w:cs="Times New Roman"/>
                <w:color w:val="auto"/>
                <w:kern w:val="0"/>
                <w:sz w:val="24"/>
              </w:rPr>
              <w:t>用的</w:t>
            </w:r>
            <w:r>
              <w:rPr>
                <w:rFonts w:hint="eastAsia" w:ascii="Times New Roman" w:hAnsi="Times New Roman" w:eastAsia="宋体" w:cs="Times New Roman"/>
                <w:b w:val="0"/>
                <w:bCs w:val="0"/>
                <w:color w:val="auto"/>
                <w:sz w:val="24"/>
                <w:szCs w:val="24"/>
                <w:lang w:val="en-US" w:eastAsia="zh-CN"/>
              </w:rPr>
              <w:t>云南星宗安消防设备有限公司消防器材以及配套器材生产建设项目下风向</w:t>
            </w:r>
            <w:r>
              <w:rPr>
                <w:color w:val="auto"/>
                <w:kern w:val="0"/>
                <w:sz w:val="24"/>
              </w:rPr>
              <w:t>监测点TSP日均值浓度能够达到《环境空气质量标准》（GB3095-20</w:t>
            </w:r>
            <w:r>
              <w:rPr>
                <w:rFonts w:hint="eastAsia"/>
                <w:color w:val="auto"/>
                <w:kern w:val="0"/>
                <w:sz w:val="24"/>
                <w:lang w:val="en-US" w:eastAsia="zh-CN"/>
              </w:rPr>
              <w:t>26</w:t>
            </w:r>
            <w:r>
              <w:rPr>
                <w:color w:val="auto"/>
                <w:kern w:val="0"/>
                <w:sz w:val="24"/>
              </w:rPr>
              <w:t>）二级评价标准要求</w:t>
            </w:r>
            <w:r>
              <w:rPr>
                <w:rFonts w:hint="eastAsia"/>
                <w:color w:val="auto"/>
                <w:kern w:val="0"/>
                <w:sz w:val="24"/>
                <w:lang w:eastAsia="zh-CN"/>
              </w:rPr>
              <w:t>；</w:t>
            </w:r>
            <w:r>
              <w:rPr>
                <w:rFonts w:hint="default" w:ascii="Times New Roman" w:hAnsi="Times New Roman" w:eastAsia="宋体" w:cs="Times New Roman"/>
                <w:b w:val="0"/>
                <w:bCs w:val="0"/>
                <w:color w:val="auto"/>
                <w:sz w:val="24"/>
                <w:szCs w:val="24"/>
                <w:lang w:val="en-US" w:eastAsia="zh-CN"/>
              </w:rPr>
              <w:t>TVOC</w:t>
            </w:r>
            <w:r>
              <w:rPr>
                <w:rFonts w:hint="eastAsia" w:cs="Times New Roman"/>
                <w:b w:val="0"/>
                <w:bCs w:val="0"/>
                <w:color w:val="auto"/>
                <w:sz w:val="24"/>
                <w:szCs w:val="24"/>
                <w:lang w:val="en-US" w:eastAsia="zh-CN"/>
              </w:rPr>
              <w:t>（以非甲烷总烃计）</w:t>
            </w:r>
            <w:r>
              <w:rPr>
                <w:rFonts w:hint="eastAsia" w:ascii="Times New Roman" w:hAnsi="Times New Roman" w:eastAsia="宋体" w:cs="Times New Roman"/>
                <w:b w:val="0"/>
                <w:bCs w:val="0"/>
                <w:color w:val="auto"/>
                <w:sz w:val="24"/>
                <w:szCs w:val="24"/>
                <w:lang w:val="en-US" w:eastAsia="zh-CN"/>
              </w:rPr>
              <w:t>满足</w:t>
            </w:r>
            <w:r>
              <w:rPr>
                <w:rFonts w:hint="default" w:ascii="Times New Roman" w:hAnsi="Times New Roman" w:eastAsia="宋体" w:cs="Times New Roman"/>
                <w:b w:val="0"/>
                <w:bCs w:val="0"/>
                <w:color w:val="auto"/>
                <w:sz w:val="24"/>
                <w:szCs w:val="24"/>
                <w:lang w:val="en-US" w:eastAsia="zh-CN"/>
              </w:rPr>
              <w:t>《环境影响评价技术导则大气环境》（HJ2.2-2018）附录D表D.1中其他污染物空气质量浓度参考限值</w:t>
            </w:r>
            <w:r>
              <w:rPr>
                <w:rFonts w:hint="eastAsia" w:ascii="Times New Roman" w:hAnsi="Times New Roman" w:eastAsia="宋体" w:cs="Times New Roman"/>
                <w:b w:val="0"/>
                <w:bCs w:val="0"/>
                <w:color w:val="auto"/>
                <w:sz w:val="24"/>
                <w:szCs w:val="24"/>
                <w:lang w:val="en-US" w:eastAsia="zh-CN"/>
              </w:rPr>
              <w:t>，</w:t>
            </w:r>
            <w:r>
              <w:rPr>
                <w:color w:val="auto"/>
                <w:kern w:val="0"/>
                <w:sz w:val="24"/>
              </w:rPr>
              <w:t>项目区环境空气质量满足功能区要求。</w:t>
            </w:r>
          </w:p>
          <w:p w14:paraId="4CA0C9EC">
            <w:pPr>
              <w:pStyle w:val="22"/>
              <w:spacing w:line="348" w:lineRule="auto"/>
              <w:ind w:firstLine="480" w:firstLineChars="200"/>
              <w:rPr>
                <w:rFonts w:hint="eastAsia" w:ascii="Times New Roman" w:hAnsi="Times New Roman" w:eastAsia="宋体"/>
                <w:color w:val="auto"/>
                <w:sz w:val="24"/>
                <w:lang w:eastAsia="zh-CN"/>
              </w:rPr>
            </w:pPr>
            <w:r>
              <w:rPr>
                <w:color w:val="auto"/>
                <w:kern w:val="0"/>
                <w:sz w:val="24"/>
              </w:rPr>
              <w:t>②</w:t>
            </w:r>
            <w:r>
              <w:rPr>
                <w:rFonts w:hint="eastAsia"/>
                <w:color w:val="auto"/>
                <w:kern w:val="0"/>
                <w:sz w:val="24"/>
                <w:lang w:eastAsia="zh-CN"/>
              </w:rPr>
              <w:t>臭气浓度</w:t>
            </w:r>
          </w:p>
          <w:p w14:paraId="73D19A4F">
            <w:pPr>
              <w:pStyle w:val="17"/>
              <w:adjustRightInd w:val="0"/>
              <w:snapToGrid w:val="0"/>
              <w:spacing w:line="348" w:lineRule="auto"/>
              <w:ind w:firstLine="480" w:firstLineChars="200"/>
              <w:rPr>
                <w:rFonts w:ascii="Times New Roman" w:hAnsi="Times New Roman"/>
                <w:color w:val="auto"/>
                <w:sz w:val="24"/>
                <w:lang w:bidi="ar"/>
              </w:rPr>
            </w:pPr>
            <w:r>
              <w:rPr>
                <w:rFonts w:ascii="Times New Roman" w:hAnsi="Times New Roman"/>
                <w:color w:val="auto"/>
                <w:sz w:val="24"/>
              </w:rPr>
              <w:t>参考生态环境部工程评估中心在全国环评技术评估服务咨询平台（http://iconsult-eia.china-eia.com/index?aimModule=searching_detail&amp;fromHome=1&amp;infoId=2194）相关回复，环境空气质量标准指《环境空气质量标准》（GB3095</w:t>
            </w:r>
            <w:r>
              <w:rPr>
                <w:rFonts w:hint="eastAsia" w:ascii="Times New Roman" w:hAnsi="Times New Roman"/>
                <w:color w:val="auto"/>
                <w:sz w:val="24"/>
                <w:lang w:val="en-US" w:eastAsia="zh-CN"/>
              </w:rPr>
              <w:t>-2026</w:t>
            </w:r>
            <w:r>
              <w:rPr>
                <w:rFonts w:ascii="Times New Roman" w:hAnsi="Times New Roman"/>
                <w:color w:val="auto"/>
                <w:sz w:val="24"/>
              </w:rPr>
              <w:t>）和地方的环境空气质量标准，不包括《环境影响评价技术导则 大气环境》（HJ2.2-2018）附录D、《工业企业设计卫生标准》（TJ36-97）、《前苏联居住区标准》（CH245-71）、《环境影响评价技术导则 制药建设项目》（HJ611-2011）、《大气污染物综合排放标准详解》等导则或参考资料。本项目特征因子</w:t>
            </w:r>
            <w:r>
              <w:rPr>
                <w:rFonts w:hint="eastAsia"/>
                <w:color w:val="auto"/>
                <w:sz w:val="24"/>
              </w:rPr>
              <w:t>臭气浓度</w:t>
            </w:r>
            <w:r>
              <w:rPr>
                <w:rFonts w:ascii="Times New Roman" w:hAnsi="Times New Roman"/>
                <w:color w:val="auto"/>
                <w:sz w:val="24"/>
              </w:rPr>
              <w:t>不属于《环境空气质量标准》</w:t>
            </w:r>
            <w:r>
              <w:rPr>
                <w:rFonts w:ascii="Times New Roman" w:hAnsi="Times New Roman"/>
                <w:color w:val="auto"/>
                <w:kern w:val="0"/>
                <w:sz w:val="24"/>
                <w:lang w:val="zh-CN" w:bidi="ar"/>
              </w:rPr>
              <w:t>（GB3095-20</w:t>
            </w:r>
            <w:r>
              <w:rPr>
                <w:rFonts w:hint="eastAsia" w:ascii="Times New Roman" w:hAnsi="Times New Roman"/>
                <w:color w:val="auto"/>
                <w:kern w:val="0"/>
                <w:sz w:val="24"/>
                <w:lang w:val="en-US" w:eastAsia="zh-CN" w:bidi="ar"/>
              </w:rPr>
              <w:t>26</w:t>
            </w:r>
            <w:r>
              <w:rPr>
                <w:rFonts w:ascii="Times New Roman" w:hAnsi="Times New Roman"/>
                <w:color w:val="auto"/>
                <w:kern w:val="0"/>
                <w:sz w:val="24"/>
                <w:lang w:val="zh-CN" w:bidi="ar"/>
              </w:rPr>
              <w:t>）</w:t>
            </w:r>
            <w:r>
              <w:rPr>
                <w:rFonts w:ascii="Times New Roman" w:hAnsi="Times New Roman"/>
                <w:color w:val="auto"/>
                <w:sz w:val="24"/>
              </w:rPr>
              <w:t>中所列项目，云南省亦无地方环境空气质量标准，因此未进行</w:t>
            </w:r>
            <w:r>
              <w:rPr>
                <w:rFonts w:ascii="Times New Roman" w:hAnsi="Times New Roman"/>
                <w:bCs/>
                <w:color w:val="auto"/>
                <w:spacing w:val="-10"/>
                <w:sz w:val="24"/>
              </w:rPr>
              <w:t>臭气浓度</w:t>
            </w:r>
            <w:r>
              <w:rPr>
                <w:rFonts w:ascii="Times New Roman" w:hAnsi="Times New Roman"/>
                <w:color w:val="auto"/>
                <w:sz w:val="24"/>
              </w:rPr>
              <w:t>环境质量现状检测。</w:t>
            </w:r>
          </w:p>
          <w:p w14:paraId="6B1FC385">
            <w:pPr>
              <w:pStyle w:val="17"/>
              <w:adjustRightInd w:val="0"/>
              <w:snapToGrid w:val="0"/>
              <w:spacing w:line="348" w:lineRule="auto"/>
              <w:ind w:firstLine="482" w:firstLineChars="200"/>
              <w:rPr>
                <w:rFonts w:ascii="Times New Roman" w:hAnsi="Times New Roman"/>
                <w:b/>
                <w:bCs/>
                <w:color w:val="auto"/>
                <w:sz w:val="24"/>
              </w:rPr>
            </w:pPr>
            <w:r>
              <w:rPr>
                <w:rFonts w:ascii="Times New Roman" w:hAnsi="Times New Roman"/>
                <w:b/>
                <w:bCs/>
                <w:color w:val="auto"/>
                <w:sz w:val="24"/>
              </w:rPr>
              <w:t>2、地表水环境质量现状</w:t>
            </w:r>
          </w:p>
          <w:p w14:paraId="6DC4A40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default" w:ascii="Times New Roman" w:hAnsi="Times New Roman" w:eastAsia="宋体" w:cs="Times New Roman"/>
                <w:b w:val="0"/>
                <w:bCs w:val="0"/>
                <w:color w:val="auto"/>
                <w:sz w:val="24"/>
                <w:szCs w:val="24"/>
                <w:lang w:eastAsia="zh-CN"/>
              </w:rPr>
            </w:pPr>
            <w:r>
              <w:rPr>
                <w:rFonts w:hint="default" w:ascii="Times New Roman" w:hAnsi="Times New Roman" w:eastAsia="宋体" w:cs="Times New Roman"/>
                <w:b w:val="0"/>
                <w:bCs w:val="0"/>
                <w:color w:val="auto"/>
                <w:sz w:val="24"/>
                <w:szCs w:val="24"/>
                <w:lang w:eastAsia="zh-CN"/>
              </w:rPr>
              <w:t>项目所在区域主要地表水体为梁王河集水区，距离梁王河集水区</w:t>
            </w:r>
            <w:r>
              <w:rPr>
                <w:rFonts w:hint="default" w:ascii="Times New Roman" w:hAnsi="Times New Roman" w:eastAsia="宋体" w:cs="Times New Roman"/>
                <w:b w:val="0"/>
                <w:bCs w:val="0"/>
                <w:color w:val="auto"/>
                <w:sz w:val="24"/>
                <w:szCs w:val="24"/>
                <w:lang w:val="en-US" w:eastAsia="zh-CN"/>
              </w:rPr>
              <w:t>6.</w:t>
            </w:r>
            <w:r>
              <w:rPr>
                <w:rFonts w:hint="eastAsia" w:cs="Times New Roman"/>
                <w:b w:val="0"/>
                <w:bCs w:val="0"/>
                <w:color w:val="auto"/>
                <w:sz w:val="24"/>
                <w:szCs w:val="24"/>
                <w:lang w:val="en-US" w:eastAsia="zh-CN"/>
              </w:rPr>
              <w:t>16</w:t>
            </w:r>
            <w:r>
              <w:rPr>
                <w:rFonts w:hint="default" w:ascii="Times New Roman" w:hAnsi="Times New Roman" w:eastAsia="宋体" w:cs="Times New Roman"/>
                <w:b w:val="0"/>
                <w:bCs w:val="0"/>
                <w:color w:val="auto"/>
                <w:sz w:val="24"/>
                <w:szCs w:val="24"/>
                <w:lang w:val="en-US" w:eastAsia="zh-CN"/>
              </w:rPr>
              <w:t>km，</w:t>
            </w:r>
            <w:r>
              <w:rPr>
                <w:rFonts w:hint="default" w:ascii="Times New Roman" w:hAnsi="Times New Roman" w:eastAsia="宋体" w:cs="Times New Roman"/>
                <w:b w:val="0"/>
                <w:bCs w:val="0"/>
                <w:color w:val="auto"/>
                <w:sz w:val="24"/>
                <w:szCs w:val="24"/>
                <w:lang w:eastAsia="zh-CN"/>
              </w:rPr>
              <w:t>梁王河汇入捞鱼河，最终汇入滇池。根据《云南省水功能区划》（2014年修订）：捞鱼河、梁王</w:t>
            </w:r>
            <w:r>
              <w:rPr>
                <w:rFonts w:hint="default" w:ascii="Times New Roman" w:hAnsi="Times New Roman" w:eastAsia="宋体" w:cs="Times New Roman"/>
                <w:b w:val="0"/>
                <w:bCs w:val="0"/>
                <w:color w:val="auto"/>
                <w:sz w:val="24"/>
                <w:szCs w:val="24"/>
                <w:lang w:val="en-US" w:eastAsia="zh-CN"/>
              </w:rPr>
              <w:t>河</w:t>
            </w:r>
            <w:r>
              <w:rPr>
                <w:rFonts w:hint="default" w:ascii="Times New Roman" w:hAnsi="Times New Roman" w:eastAsia="宋体" w:cs="Times New Roman"/>
                <w:b w:val="0"/>
                <w:bCs w:val="0"/>
                <w:color w:val="auto"/>
                <w:sz w:val="24"/>
                <w:szCs w:val="24"/>
                <w:lang w:eastAsia="zh-CN"/>
              </w:rPr>
              <w:t>呈贡农业用水区：捞鱼河由河源至滇池入口，全长28.7km；梁王河由河源至滇池入口，全长23.0km，捞鱼河、梁王河主要用于农灌。现状水质为劣V类，2020年水质目标为IV类，2030年水质目标为III类。因此项目区地表水环境执行《地表水环境质量标准》（GB3838-2002）III类标准。</w:t>
            </w:r>
          </w:p>
          <w:p w14:paraId="0164EF7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ascii="Times New Roman" w:hAnsi="Times New Roman" w:eastAsia="宋体" w:cs="Times New Roman"/>
                <w:b/>
                <w:bCs/>
                <w:color w:val="auto"/>
                <w:kern w:val="2"/>
                <w:sz w:val="21"/>
                <w:szCs w:val="21"/>
                <w:lang w:val="en-US" w:eastAsia="zh-CN" w:bidi="ar-SA"/>
              </w:rPr>
            </w:pPr>
            <w:r>
              <w:rPr>
                <w:rFonts w:hint="eastAsia" w:ascii="Times New Roman" w:hAnsi="Times New Roman" w:eastAsia="宋体" w:cs="Times New Roman"/>
                <w:color w:val="auto"/>
                <w:kern w:val="2"/>
                <w:sz w:val="24"/>
                <w:szCs w:val="24"/>
                <w:lang w:val="en-US" w:eastAsia="zh-CN" w:bidi="ar-SA"/>
              </w:rPr>
              <w:t>根据</w:t>
            </w:r>
            <w:r>
              <w:rPr>
                <w:rFonts w:hint="default" w:ascii="Times New Roman" w:hAnsi="Times New Roman" w:eastAsia="宋体" w:cs="Times New Roman"/>
                <w:b w:val="0"/>
                <w:bCs w:val="0"/>
                <w:color w:val="auto"/>
                <w:sz w:val="24"/>
                <w:szCs w:val="24"/>
                <w:lang w:eastAsia="zh-CN"/>
              </w:rPr>
              <w:t>昆明市呈贡区人民政府公布</w:t>
            </w:r>
            <w:r>
              <w:rPr>
                <w:rFonts w:hint="eastAsia" w:ascii="Times New Roman" w:hAnsi="Times New Roman" w:eastAsia="宋体" w:cs="Times New Roman"/>
                <w:color w:val="auto"/>
                <w:kern w:val="2"/>
                <w:sz w:val="24"/>
                <w:szCs w:val="24"/>
                <w:lang w:val="en-US" w:eastAsia="zh-CN" w:bidi="ar-SA"/>
              </w:rPr>
              <w:t>的</w:t>
            </w:r>
            <w:r>
              <w:rPr>
                <w:rFonts w:hint="default" w:ascii="Times New Roman" w:hAnsi="Times New Roman" w:eastAsia="宋体" w:cs="Times New Roman"/>
                <w:color w:val="auto"/>
                <w:kern w:val="2"/>
                <w:sz w:val="24"/>
                <w:szCs w:val="24"/>
                <w:lang w:val="en-US" w:eastAsia="zh-CN" w:bidi="ar-SA"/>
              </w:rPr>
              <w:t>202</w:t>
            </w:r>
            <w:r>
              <w:rPr>
                <w:rFonts w:hint="eastAsia" w:cs="Times New Roman"/>
                <w:color w:val="auto"/>
                <w:kern w:val="2"/>
                <w:sz w:val="24"/>
                <w:szCs w:val="24"/>
                <w:lang w:val="en-US" w:eastAsia="zh-CN" w:bidi="ar-SA"/>
              </w:rPr>
              <w:t>5</w:t>
            </w:r>
            <w:r>
              <w:rPr>
                <w:rFonts w:hint="eastAsia" w:ascii="Times New Roman" w:hAnsi="Times New Roman" w:eastAsia="宋体" w:cs="Times New Roman"/>
                <w:color w:val="auto"/>
                <w:kern w:val="2"/>
                <w:sz w:val="24"/>
                <w:szCs w:val="24"/>
                <w:lang w:val="en-US" w:eastAsia="zh-CN" w:bidi="ar-SA"/>
              </w:rPr>
              <w:t>年</w:t>
            </w:r>
            <w:r>
              <w:rPr>
                <w:rFonts w:hint="eastAsia" w:cs="Times New Roman"/>
                <w:color w:val="auto"/>
                <w:kern w:val="2"/>
                <w:sz w:val="24"/>
                <w:szCs w:val="24"/>
                <w:lang w:val="en-US" w:eastAsia="zh-CN" w:bidi="ar-SA"/>
              </w:rPr>
              <w:t>1</w:t>
            </w:r>
            <w:r>
              <w:rPr>
                <w:rFonts w:hint="eastAsia" w:ascii="Times New Roman" w:hAnsi="Times New Roman" w:eastAsia="宋体" w:cs="Times New Roman"/>
                <w:color w:val="auto"/>
                <w:kern w:val="2"/>
                <w:sz w:val="24"/>
                <w:szCs w:val="24"/>
                <w:lang w:val="en-US" w:eastAsia="zh-CN" w:bidi="ar-SA"/>
              </w:rPr>
              <w:t>月</w:t>
            </w:r>
            <w:r>
              <w:rPr>
                <w:rFonts w:hint="eastAsia" w:eastAsia="宋体" w:cs="Times New Roman"/>
                <w:color w:val="auto"/>
                <w:kern w:val="2"/>
                <w:sz w:val="24"/>
                <w:szCs w:val="24"/>
                <w:lang w:val="en-US" w:eastAsia="zh-CN" w:bidi="ar-SA"/>
              </w:rPr>
              <w:t>-</w:t>
            </w:r>
            <w:r>
              <w:rPr>
                <w:rFonts w:hint="eastAsia" w:cs="Times New Roman"/>
                <w:color w:val="auto"/>
                <w:kern w:val="2"/>
                <w:sz w:val="24"/>
                <w:szCs w:val="24"/>
                <w:lang w:val="en-US" w:eastAsia="zh-CN" w:bidi="ar-SA"/>
              </w:rPr>
              <w:t>12</w:t>
            </w:r>
            <w:r>
              <w:rPr>
                <w:rFonts w:hint="eastAsia" w:eastAsia="宋体" w:cs="Times New Roman"/>
                <w:color w:val="auto"/>
                <w:kern w:val="2"/>
                <w:sz w:val="24"/>
                <w:szCs w:val="24"/>
                <w:lang w:val="en-US" w:eastAsia="zh-CN" w:bidi="ar-SA"/>
              </w:rPr>
              <w:t>月</w:t>
            </w:r>
            <w:r>
              <w:rPr>
                <w:rFonts w:hint="default" w:ascii="Times New Roman" w:hAnsi="Times New Roman" w:eastAsia="宋体" w:cs="Times New Roman"/>
                <w:b w:val="0"/>
                <w:bCs w:val="0"/>
                <w:color w:val="auto"/>
                <w:sz w:val="24"/>
                <w:szCs w:val="24"/>
                <w:lang w:eastAsia="zh-CN"/>
              </w:rPr>
              <w:t>《呈贡区入滇河流水质月报》</w:t>
            </w:r>
            <w:r>
              <w:rPr>
                <w:rFonts w:hint="eastAsia" w:ascii="Times New Roman" w:hAnsi="Times New Roman" w:eastAsia="宋体" w:cs="Times New Roman"/>
                <w:color w:val="auto"/>
                <w:kern w:val="2"/>
                <w:sz w:val="24"/>
                <w:szCs w:val="24"/>
                <w:lang w:val="en-US" w:eastAsia="zh-CN" w:bidi="ar-SA"/>
              </w:rPr>
              <w:t>中入湖河流断面例行监测，</w:t>
            </w:r>
            <w:r>
              <w:rPr>
                <w:rFonts w:hint="default" w:ascii="Times New Roman" w:hAnsi="Times New Roman" w:eastAsia="宋体" w:cs="Times New Roman"/>
                <w:b w:val="0"/>
                <w:bCs w:val="0"/>
                <w:color w:val="auto"/>
                <w:sz w:val="24"/>
                <w:szCs w:val="24"/>
                <w:lang w:eastAsia="zh-CN"/>
              </w:rPr>
              <w:t>梁王河呈贡辖区设小月角（海康庄园南300米）</w:t>
            </w:r>
            <w:r>
              <w:rPr>
                <w:rFonts w:hint="eastAsia" w:ascii="Times New Roman" w:hAnsi="Times New Roman" w:eastAsia="宋体" w:cs="Times New Roman"/>
                <w:color w:val="auto"/>
                <w:kern w:val="2"/>
                <w:sz w:val="24"/>
                <w:szCs w:val="24"/>
                <w:lang w:val="en-US" w:eastAsia="zh-CN" w:bidi="ar-SA"/>
              </w:rPr>
              <w:t>水质状况详见下表。</w:t>
            </w:r>
          </w:p>
          <w:p w14:paraId="5F7F507D">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22" w:firstLineChars="200"/>
              <w:jc w:val="center"/>
              <w:textAlignment w:val="auto"/>
              <w:rPr>
                <w:rFonts w:hint="eastAsia" w:ascii="Times New Roman" w:hAnsi="Times New Roman" w:eastAsia="宋体" w:cs="Times New Roman"/>
                <w:b/>
                <w:bCs/>
                <w:color w:val="auto"/>
                <w:kern w:val="2"/>
                <w:sz w:val="21"/>
                <w:szCs w:val="21"/>
                <w:lang w:val="en-US" w:eastAsia="zh-CN" w:bidi="ar-SA"/>
              </w:rPr>
            </w:pPr>
            <w:r>
              <w:rPr>
                <w:rFonts w:hint="eastAsia" w:ascii="Times New Roman" w:hAnsi="Times New Roman" w:eastAsia="宋体" w:cs="Times New Roman"/>
                <w:b/>
                <w:bCs/>
                <w:color w:val="auto"/>
                <w:kern w:val="2"/>
                <w:sz w:val="21"/>
                <w:szCs w:val="21"/>
                <w:lang w:val="en-US" w:eastAsia="zh-CN" w:bidi="ar-SA"/>
              </w:rPr>
              <w:t>表</w:t>
            </w:r>
            <w:r>
              <w:rPr>
                <w:rFonts w:hint="default" w:ascii="Times New Roman" w:hAnsi="Times New Roman" w:eastAsia="宋体" w:cs="Times New Roman"/>
                <w:b/>
                <w:bCs/>
                <w:color w:val="auto"/>
                <w:kern w:val="2"/>
                <w:sz w:val="21"/>
                <w:szCs w:val="21"/>
                <w:lang w:val="en-US" w:eastAsia="zh-CN" w:bidi="ar-SA"/>
              </w:rPr>
              <w:t>3-</w:t>
            </w:r>
            <w:r>
              <w:rPr>
                <w:rFonts w:hint="eastAsia" w:cs="Times New Roman"/>
                <w:b/>
                <w:bCs/>
                <w:color w:val="auto"/>
                <w:kern w:val="2"/>
                <w:sz w:val="21"/>
                <w:szCs w:val="21"/>
                <w:lang w:val="en-US" w:eastAsia="zh-CN" w:bidi="ar-SA"/>
              </w:rPr>
              <w:t>3</w:t>
            </w:r>
            <w:r>
              <w:rPr>
                <w:rFonts w:hint="eastAsia" w:ascii="Times New Roman" w:hAnsi="Times New Roman" w:eastAsia="宋体" w:cs="Times New Roman"/>
                <w:b/>
                <w:bCs/>
                <w:color w:val="auto"/>
                <w:kern w:val="2"/>
                <w:sz w:val="21"/>
                <w:szCs w:val="21"/>
                <w:lang w:val="en-US" w:eastAsia="zh-CN" w:bidi="ar-SA"/>
              </w:rPr>
              <w:t xml:space="preserve">  </w:t>
            </w:r>
            <w:r>
              <w:rPr>
                <w:rFonts w:hint="default" w:ascii="Times New Roman" w:hAnsi="Times New Roman" w:eastAsia="宋体" w:cs="Times New Roman"/>
                <w:b/>
                <w:bCs/>
                <w:color w:val="auto"/>
                <w:kern w:val="2"/>
                <w:sz w:val="21"/>
                <w:szCs w:val="21"/>
                <w:lang w:val="en-US" w:eastAsia="zh-CN" w:bidi="ar-SA"/>
              </w:rPr>
              <w:t>呈贡区入滇河流水质月报</w:t>
            </w:r>
            <w:r>
              <w:rPr>
                <w:rFonts w:hint="eastAsia" w:ascii="Times New Roman" w:hAnsi="Times New Roman" w:eastAsia="宋体" w:cs="Times New Roman"/>
                <w:b/>
                <w:bCs/>
                <w:color w:val="auto"/>
                <w:kern w:val="2"/>
                <w:sz w:val="21"/>
                <w:szCs w:val="21"/>
                <w:lang w:val="en-US" w:eastAsia="zh-CN" w:bidi="ar-SA"/>
              </w:rPr>
              <w:t>（</w:t>
            </w:r>
            <w:r>
              <w:rPr>
                <w:rFonts w:hint="default" w:ascii="Times New Roman" w:hAnsi="Times New Roman" w:eastAsia="宋体" w:cs="Times New Roman"/>
                <w:b/>
                <w:bCs/>
                <w:color w:val="auto"/>
                <w:kern w:val="2"/>
                <w:sz w:val="21"/>
                <w:szCs w:val="21"/>
                <w:lang w:val="en-US" w:eastAsia="zh-CN" w:bidi="ar-SA"/>
              </w:rPr>
              <w:t>202</w:t>
            </w:r>
            <w:r>
              <w:rPr>
                <w:rFonts w:hint="eastAsia" w:ascii="Times New Roman" w:hAnsi="Times New Roman" w:eastAsia="宋体" w:cs="Times New Roman"/>
                <w:b/>
                <w:bCs/>
                <w:color w:val="auto"/>
                <w:kern w:val="2"/>
                <w:sz w:val="21"/>
                <w:szCs w:val="21"/>
                <w:lang w:val="en-US" w:eastAsia="zh-CN" w:bidi="ar-SA"/>
              </w:rPr>
              <w:t>5年1月-12月）</w:t>
            </w:r>
          </w:p>
          <w:tbl>
            <w:tblPr>
              <w:tblStyle w:val="30"/>
              <w:tblW w:w="4819"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2074"/>
              <w:gridCol w:w="1502"/>
              <w:gridCol w:w="1300"/>
              <w:gridCol w:w="1592"/>
            </w:tblGrid>
            <w:tr w14:paraId="6BC52A7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36" w:hRule="atLeast"/>
                <w:jc w:val="center"/>
              </w:trPr>
              <w:tc>
                <w:tcPr>
                  <w:tcW w:w="1036" w:type="pct"/>
                  <w:vMerge w:val="restart"/>
                  <w:tcBorders>
                    <w:tl2br w:val="nil"/>
                    <w:tr2bl w:val="nil"/>
                  </w:tcBorders>
                  <w:vAlign w:val="center"/>
                </w:tcPr>
                <w:p w14:paraId="2A21CC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z w:val="21"/>
                      <w:szCs w:val="21"/>
                    </w:rPr>
                  </w:pPr>
                  <w:r>
                    <w:rPr>
                      <w:rFonts w:hint="default" w:ascii="Times New Roman" w:hAnsi="Times New Roman" w:cs="Times New Roman"/>
                      <w:b/>
                      <w:bCs w:val="0"/>
                      <w:color w:val="auto"/>
                      <w:sz w:val="21"/>
                      <w:szCs w:val="21"/>
                      <w:lang w:val="zh-CN"/>
                    </w:rPr>
                    <w:t>名称</w:t>
                  </w:r>
                </w:p>
              </w:tc>
              <w:tc>
                <w:tcPr>
                  <w:tcW w:w="1271" w:type="pct"/>
                  <w:vMerge w:val="restart"/>
                  <w:tcBorders>
                    <w:tl2br w:val="nil"/>
                    <w:tr2bl w:val="nil"/>
                  </w:tcBorders>
                  <w:vAlign w:val="center"/>
                </w:tcPr>
                <w:p w14:paraId="080DF6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z w:val="21"/>
                      <w:szCs w:val="21"/>
                      <w:lang w:eastAsia="zh-CN"/>
                    </w:rPr>
                  </w:pPr>
                  <w:r>
                    <w:rPr>
                      <w:rFonts w:hint="eastAsia" w:cs="Times New Roman"/>
                      <w:b/>
                      <w:bCs w:val="0"/>
                      <w:color w:val="auto"/>
                      <w:sz w:val="21"/>
                      <w:szCs w:val="21"/>
                      <w:lang w:eastAsia="zh-CN"/>
                    </w:rPr>
                    <w:t>断面名称</w:t>
                  </w:r>
                </w:p>
              </w:tc>
              <w:tc>
                <w:tcPr>
                  <w:tcW w:w="1716" w:type="pct"/>
                  <w:gridSpan w:val="2"/>
                  <w:tcBorders>
                    <w:tl2br w:val="nil"/>
                    <w:tr2bl w:val="nil"/>
                  </w:tcBorders>
                  <w:vAlign w:val="center"/>
                </w:tcPr>
                <w:p w14:paraId="33EF9C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z w:val="21"/>
                      <w:szCs w:val="21"/>
                      <w:lang w:val="en-US" w:eastAsia="zh-CN"/>
                    </w:rPr>
                  </w:pPr>
                  <w:r>
                    <w:rPr>
                      <w:rFonts w:hint="default" w:ascii="Times New Roman" w:hAnsi="Times New Roman" w:cs="Times New Roman"/>
                      <w:b/>
                      <w:bCs w:val="0"/>
                      <w:color w:val="auto"/>
                      <w:sz w:val="21"/>
                      <w:szCs w:val="21"/>
                      <w:lang w:val="en-US" w:eastAsia="zh-CN"/>
                    </w:rPr>
                    <w:t>水质</w:t>
                  </w:r>
                  <w:r>
                    <w:rPr>
                      <w:rFonts w:hint="eastAsia" w:ascii="Times New Roman" w:hAnsi="Times New Roman" w:cs="Times New Roman"/>
                      <w:b/>
                      <w:bCs w:val="0"/>
                      <w:color w:val="auto"/>
                      <w:sz w:val="21"/>
                      <w:szCs w:val="21"/>
                      <w:lang w:val="en-US" w:eastAsia="zh-CN"/>
                    </w:rPr>
                    <w:t>状况</w:t>
                  </w:r>
                </w:p>
              </w:tc>
              <w:tc>
                <w:tcPr>
                  <w:tcW w:w="975" w:type="pct"/>
                  <w:vMerge w:val="restart"/>
                  <w:tcBorders>
                    <w:tl2br w:val="nil"/>
                    <w:tr2bl w:val="nil"/>
                  </w:tcBorders>
                  <w:vAlign w:val="center"/>
                </w:tcPr>
                <w:p w14:paraId="3000B8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val="0"/>
                      <w:color w:val="auto"/>
                      <w:sz w:val="21"/>
                      <w:szCs w:val="21"/>
                      <w:lang w:val="en-US" w:eastAsia="zh-CN"/>
                    </w:rPr>
                  </w:pPr>
                  <w:r>
                    <w:rPr>
                      <w:rFonts w:hint="eastAsia" w:ascii="Times New Roman" w:hAnsi="Times New Roman" w:eastAsia="宋体" w:cs="Times New Roman"/>
                      <w:b/>
                      <w:bCs w:val="0"/>
                      <w:color w:val="auto"/>
                      <w:sz w:val="21"/>
                      <w:szCs w:val="21"/>
                      <w:lang w:eastAsia="zh-CN"/>
                    </w:rPr>
                    <w:t>超Ⅲ类项目</w:t>
                  </w:r>
                </w:p>
              </w:tc>
            </w:tr>
            <w:tr w14:paraId="2FB7F8B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36" w:hRule="atLeast"/>
                <w:jc w:val="center"/>
              </w:trPr>
              <w:tc>
                <w:tcPr>
                  <w:tcW w:w="1036" w:type="pct"/>
                  <w:vMerge w:val="continue"/>
                  <w:tcBorders>
                    <w:tl2br w:val="nil"/>
                    <w:tr2bl w:val="nil"/>
                  </w:tcBorders>
                  <w:vAlign w:val="center"/>
                </w:tcPr>
                <w:p w14:paraId="708EC7C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p>
              </w:tc>
              <w:tc>
                <w:tcPr>
                  <w:tcW w:w="1271" w:type="pct"/>
                  <w:vMerge w:val="continue"/>
                  <w:tcBorders>
                    <w:tl2br w:val="nil"/>
                    <w:tr2bl w:val="nil"/>
                  </w:tcBorders>
                  <w:vAlign w:val="center"/>
                </w:tcPr>
                <w:p w14:paraId="48F64C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p>
              </w:tc>
              <w:tc>
                <w:tcPr>
                  <w:tcW w:w="920" w:type="pct"/>
                  <w:tcBorders>
                    <w:tl2br w:val="nil"/>
                    <w:tr2bl w:val="nil"/>
                  </w:tcBorders>
                  <w:vAlign w:val="center"/>
                </w:tcPr>
                <w:p w14:paraId="47B283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z w:val="21"/>
                      <w:szCs w:val="21"/>
                      <w:lang w:eastAsia="zh-CN"/>
                    </w:rPr>
                  </w:pPr>
                  <w:r>
                    <w:rPr>
                      <w:rFonts w:hint="eastAsia" w:eastAsia="宋体" w:cs="Times New Roman"/>
                      <w:b/>
                      <w:bCs w:val="0"/>
                      <w:color w:val="auto"/>
                      <w:sz w:val="21"/>
                      <w:szCs w:val="21"/>
                      <w:lang w:eastAsia="zh-CN"/>
                    </w:rPr>
                    <w:t>月份</w:t>
                  </w:r>
                </w:p>
              </w:tc>
              <w:tc>
                <w:tcPr>
                  <w:tcW w:w="796" w:type="pct"/>
                  <w:tcBorders>
                    <w:tl2br w:val="nil"/>
                    <w:tr2bl w:val="nil"/>
                  </w:tcBorders>
                  <w:vAlign w:val="center"/>
                </w:tcPr>
                <w:p w14:paraId="3C23E7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cs="Times New Roman"/>
                      <w:b/>
                      <w:bCs w:val="0"/>
                      <w:color w:val="auto"/>
                      <w:sz w:val="21"/>
                      <w:szCs w:val="21"/>
                      <w:lang w:eastAsia="zh-CN"/>
                    </w:rPr>
                  </w:pPr>
                  <w:r>
                    <w:rPr>
                      <w:rFonts w:hint="eastAsia" w:eastAsia="宋体" w:cs="Times New Roman"/>
                      <w:b/>
                      <w:bCs w:val="0"/>
                      <w:color w:val="auto"/>
                      <w:sz w:val="21"/>
                      <w:szCs w:val="21"/>
                      <w:lang w:eastAsia="zh-CN"/>
                    </w:rPr>
                    <w:t>水质类别</w:t>
                  </w:r>
                </w:p>
              </w:tc>
              <w:tc>
                <w:tcPr>
                  <w:tcW w:w="975" w:type="pct"/>
                  <w:vMerge w:val="continue"/>
                  <w:tcBorders>
                    <w:tl2br w:val="nil"/>
                    <w:tr2bl w:val="nil"/>
                  </w:tcBorders>
                  <w:vAlign w:val="center"/>
                </w:tcPr>
                <w:p w14:paraId="666ED3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宋体" w:cs="Times New Roman"/>
                      <w:b/>
                      <w:bCs w:val="0"/>
                      <w:color w:val="auto"/>
                      <w:sz w:val="21"/>
                      <w:szCs w:val="21"/>
                      <w:lang w:eastAsia="zh-CN"/>
                    </w:rPr>
                  </w:pPr>
                </w:p>
              </w:tc>
            </w:tr>
            <w:tr w14:paraId="35F6BFE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1036" w:type="pct"/>
                  <w:vMerge w:val="restart"/>
                  <w:tcBorders>
                    <w:tl2br w:val="nil"/>
                    <w:tr2bl w:val="nil"/>
                  </w:tcBorders>
                  <w:vAlign w:val="center"/>
                </w:tcPr>
                <w:p w14:paraId="2FB7DC0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梁王河</w:t>
                  </w:r>
                </w:p>
              </w:tc>
              <w:tc>
                <w:tcPr>
                  <w:tcW w:w="1271" w:type="pct"/>
                  <w:vMerge w:val="restart"/>
                  <w:tcBorders>
                    <w:tl2br w:val="nil"/>
                    <w:tr2bl w:val="nil"/>
                  </w:tcBorders>
                  <w:vAlign w:val="center"/>
                </w:tcPr>
                <w:p w14:paraId="0418EE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小月角（海康庄园南300米）</w:t>
                  </w:r>
                </w:p>
                <w:p w14:paraId="2F1DCE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p>
              </w:tc>
              <w:tc>
                <w:tcPr>
                  <w:tcW w:w="920" w:type="pct"/>
                  <w:tcBorders>
                    <w:tl2br w:val="nil"/>
                    <w:tr2bl w:val="nil"/>
                  </w:tcBorders>
                  <w:vAlign w:val="center"/>
                </w:tcPr>
                <w:p w14:paraId="74392D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1月</w:t>
                  </w:r>
                </w:p>
              </w:tc>
              <w:tc>
                <w:tcPr>
                  <w:tcW w:w="796" w:type="pct"/>
                  <w:tcBorders>
                    <w:tl2br w:val="nil"/>
                    <w:tr2bl w:val="nil"/>
                  </w:tcBorders>
                  <w:vAlign w:val="center"/>
                </w:tcPr>
                <w:p w14:paraId="559DF8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Ⅰ类</w:t>
                  </w:r>
                </w:p>
              </w:tc>
              <w:tc>
                <w:tcPr>
                  <w:tcW w:w="975" w:type="pct"/>
                  <w:tcBorders>
                    <w:tl2br w:val="nil"/>
                    <w:tr2bl w:val="nil"/>
                  </w:tcBorders>
                  <w:vAlign w:val="center"/>
                </w:tcPr>
                <w:p w14:paraId="6CC4E5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w:t>
                  </w:r>
                </w:p>
              </w:tc>
            </w:tr>
            <w:tr w14:paraId="7E539F9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1036" w:type="pct"/>
                  <w:vMerge w:val="continue"/>
                  <w:tcBorders>
                    <w:tl2br w:val="nil"/>
                    <w:tr2bl w:val="nil"/>
                  </w:tcBorders>
                  <w:vAlign w:val="center"/>
                </w:tcPr>
                <w:p w14:paraId="7A6F26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p>
              </w:tc>
              <w:tc>
                <w:tcPr>
                  <w:tcW w:w="1271" w:type="pct"/>
                  <w:vMerge w:val="continue"/>
                  <w:tcBorders>
                    <w:tl2br w:val="nil"/>
                    <w:tr2bl w:val="nil"/>
                  </w:tcBorders>
                  <w:vAlign w:val="center"/>
                </w:tcPr>
                <w:p w14:paraId="71E332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p>
              </w:tc>
              <w:tc>
                <w:tcPr>
                  <w:tcW w:w="920" w:type="pct"/>
                  <w:tcBorders>
                    <w:tl2br w:val="nil"/>
                    <w:tr2bl w:val="nil"/>
                  </w:tcBorders>
                  <w:vAlign w:val="center"/>
                </w:tcPr>
                <w:p w14:paraId="19FA1F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2月</w:t>
                  </w:r>
                </w:p>
              </w:tc>
              <w:tc>
                <w:tcPr>
                  <w:tcW w:w="796" w:type="pct"/>
                  <w:tcBorders>
                    <w:tl2br w:val="nil"/>
                    <w:tr2bl w:val="nil"/>
                  </w:tcBorders>
                  <w:vAlign w:val="center"/>
                </w:tcPr>
                <w:p w14:paraId="29A288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Ⅱ类</w:t>
                  </w:r>
                </w:p>
              </w:tc>
              <w:tc>
                <w:tcPr>
                  <w:tcW w:w="975" w:type="pct"/>
                  <w:tcBorders>
                    <w:tl2br w:val="nil"/>
                    <w:tr2bl w:val="nil"/>
                  </w:tcBorders>
                  <w:vAlign w:val="center"/>
                </w:tcPr>
                <w:p w14:paraId="3CEB79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w:t>
                  </w:r>
                </w:p>
              </w:tc>
            </w:tr>
            <w:tr w14:paraId="612EC81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1036" w:type="pct"/>
                  <w:vMerge w:val="continue"/>
                  <w:tcBorders>
                    <w:tl2br w:val="nil"/>
                    <w:tr2bl w:val="nil"/>
                  </w:tcBorders>
                  <w:vAlign w:val="center"/>
                </w:tcPr>
                <w:p w14:paraId="0BC7C8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p>
              </w:tc>
              <w:tc>
                <w:tcPr>
                  <w:tcW w:w="1271" w:type="pct"/>
                  <w:vMerge w:val="continue"/>
                  <w:tcBorders>
                    <w:tl2br w:val="nil"/>
                    <w:tr2bl w:val="nil"/>
                  </w:tcBorders>
                  <w:vAlign w:val="center"/>
                </w:tcPr>
                <w:p w14:paraId="6C299F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p>
              </w:tc>
              <w:tc>
                <w:tcPr>
                  <w:tcW w:w="920" w:type="pct"/>
                  <w:tcBorders>
                    <w:tl2br w:val="nil"/>
                    <w:tr2bl w:val="nil"/>
                  </w:tcBorders>
                  <w:vAlign w:val="center"/>
                </w:tcPr>
                <w:p w14:paraId="671A7B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3月</w:t>
                  </w:r>
                </w:p>
              </w:tc>
              <w:tc>
                <w:tcPr>
                  <w:tcW w:w="796" w:type="pct"/>
                  <w:tcBorders>
                    <w:tl2br w:val="nil"/>
                    <w:tr2bl w:val="nil"/>
                  </w:tcBorders>
                  <w:vAlign w:val="center"/>
                </w:tcPr>
                <w:p w14:paraId="183203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Ⅲ类</w:t>
                  </w:r>
                </w:p>
              </w:tc>
              <w:tc>
                <w:tcPr>
                  <w:tcW w:w="975" w:type="pct"/>
                  <w:tcBorders>
                    <w:tl2br w:val="nil"/>
                    <w:tr2bl w:val="nil"/>
                  </w:tcBorders>
                  <w:vAlign w:val="center"/>
                </w:tcPr>
                <w:p w14:paraId="7B8707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w:t>
                  </w:r>
                </w:p>
              </w:tc>
            </w:tr>
            <w:tr w14:paraId="4C24637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1036" w:type="pct"/>
                  <w:vMerge w:val="continue"/>
                  <w:tcBorders>
                    <w:tl2br w:val="nil"/>
                    <w:tr2bl w:val="nil"/>
                  </w:tcBorders>
                  <w:vAlign w:val="center"/>
                </w:tcPr>
                <w:p w14:paraId="12DD21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p>
              </w:tc>
              <w:tc>
                <w:tcPr>
                  <w:tcW w:w="1271" w:type="pct"/>
                  <w:vMerge w:val="continue"/>
                  <w:tcBorders>
                    <w:tl2br w:val="nil"/>
                    <w:tr2bl w:val="nil"/>
                  </w:tcBorders>
                  <w:vAlign w:val="center"/>
                </w:tcPr>
                <w:p w14:paraId="5DE18B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p>
              </w:tc>
              <w:tc>
                <w:tcPr>
                  <w:tcW w:w="920" w:type="pct"/>
                  <w:tcBorders>
                    <w:tl2br w:val="nil"/>
                    <w:tr2bl w:val="nil"/>
                  </w:tcBorders>
                  <w:vAlign w:val="center"/>
                </w:tcPr>
                <w:p w14:paraId="4D2AF3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4月</w:t>
                  </w:r>
                </w:p>
              </w:tc>
              <w:tc>
                <w:tcPr>
                  <w:tcW w:w="796" w:type="pct"/>
                  <w:tcBorders>
                    <w:tl2br w:val="nil"/>
                    <w:tr2bl w:val="nil"/>
                  </w:tcBorders>
                  <w:vAlign w:val="center"/>
                </w:tcPr>
                <w:p w14:paraId="020D1B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Ⅲ类</w:t>
                  </w:r>
                </w:p>
              </w:tc>
              <w:tc>
                <w:tcPr>
                  <w:tcW w:w="975" w:type="pct"/>
                  <w:tcBorders>
                    <w:tl2br w:val="nil"/>
                    <w:tr2bl w:val="nil"/>
                  </w:tcBorders>
                  <w:vAlign w:val="center"/>
                </w:tcPr>
                <w:p w14:paraId="49DE91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w:t>
                  </w:r>
                </w:p>
              </w:tc>
            </w:tr>
            <w:tr w14:paraId="3B3CD5E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1036" w:type="pct"/>
                  <w:vMerge w:val="continue"/>
                  <w:tcBorders>
                    <w:tl2br w:val="nil"/>
                    <w:tr2bl w:val="nil"/>
                  </w:tcBorders>
                  <w:vAlign w:val="center"/>
                </w:tcPr>
                <w:p w14:paraId="3F51A5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p>
              </w:tc>
              <w:tc>
                <w:tcPr>
                  <w:tcW w:w="1271" w:type="pct"/>
                  <w:vMerge w:val="continue"/>
                  <w:tcBorders>
                    <w:tl2br w:val="nil"/>
                    <w:tr2bl w:val="nil"/>
                  </w:tcBorders>
                  <w:vAlign w:val="center"/>
                </w:tcPr>
                <w:p w14:paraId="7437A51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p>
              </w:tc>
              <w:tc>
                <w:tcPr>
                  <w:tcW w:w="920" w:type="pct"/>
                  <w:tcBorders>
                    <w:tl2br w:val="nil"/>
                    <w:tr2bl w:val="nil"/>
                  </w:tcBorders>
                  <w:vAlign w:val="center"/>
                </w:tcPr>
                <w:p w14:paraId="29D6A1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5月</w:t>
                  </w:r>
                </w:p>
              </w:tc>
              <w:tc>
                <w:tcPr>
                  <w:tcW w:w="796" w:type="pct"/>
                  <w:tcBorders>
                    <w:tl2br w:val="nil"/>
                    <w:tr2bl w:val="nil"/>
                  </w:tcBorders>
                  <w:vAlign w:val="center"/>
                </w:tcPr>
                <w:p w14:paraId="69C1905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Ⅲ类</w:t>
                  </w:r>
                </w:p>
              </w:tc>
              <w:tc>
                <w:tcPr>
                  <w:tcW w:w="975" w:type="pct"/>
                  <w:tcBorders>
                    <w:tl2br w:val="nil"/>
                    <w:tr2bl w:val="nil"/>
                  </w:tcBorders>
                  <w:vAlign w:val="center"/>
                </w:tcPr>
                <w:p w14:paraId="6EAF6A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w:t>
                  </w:r>
                </w:p>
              </w:tc>
            </w:tr>
            <w:tr w14:paraId="48399CA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1036" w:type="pct"/>
                  <w:vMerge w:val="continue"/>
                  <w:tcBorders>
                    <w:tl2br w:val="nil"/>
                    <w:tr2bl w:val="nil"/>
                  </w:tcBorders>
                  <w:vAlign w:val="center"/>
                </w:tcPr>
                <w:p w14:paraId="0F139F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p>
              </w:tc>
              <w:tc>
                <w:tcPr>
                  <w:tcW w:w="1271" w:type="pct"/>
                  <w:vMerge w:val="continue"/>
                  <w:tcBorders>
                    <w:tl2br w:val="nil"/>
                    <w:tr2bl w:val="nil"/>
                  </w:tcBorders>
                  <w:vAlign w:val="center"/>
                </w:tcPr>
                <w:p w14:paraId="7766C9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p>
              </w:tc>
              <w:tc>
                <w:tcPr>
                  <w:tcW w:w="920" w:type="pct"/>
                  <w:tcBorders>
                    <w:tl2br w:val="nil"/>
                    <w:tr2bl w:val="nil"/>
                  </w:tcBorders>
                  <w:vAlign w:val="center"/>
                </w:tcPr>
                <w:p w14:paraId="612065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6月</w:t>
                  </w:r>
                </w:p>
              </w:tc>
              <w:tc>
                <w:tcPr>
                  <w:tcW w:w="796" w:type="pct"/>
                  <w:tcBorders>
                    <w:tl2br w:val="nil"/>
                    <w:tr2bl w:val="nil"/>
                  </w:tcBorders>
                  <w:vAlign w:val="center"/>
                </w:tcPr>
                <w:p w14:paraId="0A8B6D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Ⅲ类</w:t>
                  </w:r>
                </w:p>
              </w:tc>
              <w:tc>
                <w:tcPr>
                  <w:tcW w:w="975" w:type="pct"/>
                  <w:tcBorders>
                    <w:tl2br w:val="nil"/>
                    <w:tr2bl w:val="nil"/>
                  </w:tcBorders>
                  <w:vAlign w:val="center"/>
                </w:tcPr>
                <w:p w14:paraId="3DE0D6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w:t>
                  </w:r>
                </w:p>
              </w:tc>
            </w:tr>
            <w:tr w14:paraId="32FCC79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1036" w:type="pct"/>
                  <w:vMerge w:val="continue"/>
                  <w:tcBorders>
                    <w:tl2br w:val="nil"/>
                    <w:tr2bl w:val="nil"/>
                  </w:tcBorders>
                  <w:vAlign w:val="center"/>
                </w:tcPr>
                <w:p w14:paraId="5D65B1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p>
              </w:tc>
              <w:tc>
                <w:tcPr>
                  <w:tcW w:w="1271" w:type="pct"/>
                  <w:vMerge w:val="continue"/>
                  <w:tcBorders>
                    <w:tl2br w:val="nil"/>
                    <w:tr2bl w:val="nil"/>
                  </w:tcBorders>
                  <w:vAlign w:val="center"/>
                </w:tcPr>
                <w:p w14:paraId="346943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p>
              </w:tc>
              <w:tc>
                <w:tcPr>
                  <w:tcW w:w="920" w:type="pct"/>
                  <w:tcBorders>
                    <w:tl2br w:val="nil"/>
                    <w:tr2bl w:val="nil"/>
                  </w:tcBorders>
                  <w:vAlign w:val="center"/>
                </w:tcPr>
                <w:p w14:paraId="0F6FDD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7月</w:t>
                  </w:r>
                </w:p>
              </w:tc>
              <w:tc>
                <w:tcPr>
                  <w:tcW w:w="796" w:type="pct"/>
                  <w:tcBorders>
                    <w:tl2br w:val="nil"/>
                    <w:tr2bl w:val="nil"/>
                  </w:tcBorders>
                  <w:vAlign w:val="center"/>
                </w:tcPr>
                <w:p w14:paraId="6ECB97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Ⅲ类</w:t>
                  </w:r>
                </w:p>
              </w:tc>
              <w:tc>
                <w:tcPr>
                  <w:tcW w:w="975" w:type="pct"/>
                  <w:tcBorders>
                    <w:tl2br w:val="nil"/>
                    <w:tr2bl w:val="nil"/>
                  </w:tcBorders>
                  <w:vAlign w:val="center"/>
                </w:tcPr>
                <w:p w14:paraId="3998E5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w:t>
                  </w:r>
                </w:p>
              </w:tc>
            </w:tr>
            <w:tr w14:paraId="00961EC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1036" w:type="pct"/>
                  <w:vMerge w:val="continue"/>
                  <w:tcBorders>
                    <w:tl2br w:val="nil"/>
                    <w:tr2bl w:val="nil"/>
                  </w:tcBorders>
                  <w:vAlign w:val="center"/>
                </w:tcPr>
                <w:p w14:paraId="632AE0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p>
              </w:tc>
              <w:tc>
                <w:tcPr>
                  <w:tcW w:w="1271" w:type="pct"/>
                  <w:vMerge w:val="continue"/>
                  <w:tcBorders>
                    <w:tl2br w:val="nil"/>
                    <w:tr2bl w:val="nil"/>
                  </w:tcBorders>
                  <w:vAlign w:val="center"/>
                </w:tcPr>
                <w:p w14:paraId="5F0C59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p>
              </w:tc>
              <w:tc>
                <w:tcPr>
                  <w:tcW w:w="920" w:type="pct"/>
                  <w:tcBorders>
                    <w:tl2br w:val="nil"/>
                    <w:tr2bl w:val="nil"/>
                  </w:tcBorders>
                  <w:vAlign w:val="center"/>
                </w:tcPr>
                <w:p w14:paraId="3AA2AC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8月</w:t>
                  </w:r>
                </w:p>
              </w:tc>
              <w:tc>
                <w:tcPr>
                  <w:tcW w:w="796" w:type="pct"/>
                  <w:tcBorders>
                    <w:tl2br w:val="nil"/>
                    <w:tr2bl w:val="nil"/>
                  </w:tcBorders>
                  <w:vAlign w:val="center"/>
                </w:tcPr>
                <w:p w14:paraId="163E10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Ⅲ类</w:t>
                  </w:r>
                </w:p>
              </w:tc>
              <w:tc>
                <w:tcPr>
                  <w:tcW w:w="975" w:type="pct"/>
                  <w:tcBorders>
                    <w:tl2br w:val="nil"/>
                    <w:tr2bl w:val="nil"/>
                  </w:tcBorders>
                  <w:vAlign w:val="center"/>
                </w:tcPr>
                <w:p w14:paraId="01A5C3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w:t>
                  </w:r>
                </w:p>
              </w:tc>
            </w:tr>
            <w:tr w14:paraId="70D2CAD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1036" w:type="pct"/>
                  <w:vMerge w:val="continue"/>
                  <w:tcBorders>
                    <w:tl2br w:val="nil"/>
                    <w:tr2bl w:val="nil"/>
                  </w:tcBorders>
                  <w:vAlign w:val="center"/>
                </w:tcPr>
                <w:p w14:paraId="2924E7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p>
              </w:tc>
              <w:tc>
                <w:tcPr>
                  <w:tcW w:w="1271" w:type="pct"/>
                  <w:vMerge w:val="continue"/>
                  <w:tcBorders>
                    <w:tl2br w:val="nil"/>
                    <w:tr2bl w:val="nil"/>
                  </w:tcBorders>
                  <w:vAlign w:val="center"/>
                </w:tcPr>
                <w:p w14:paraId="442343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p>
              </w:tc>
              <w:tc>
                <w:tcPr>
                  <w:tcW w:w="920" w:type="pct"/>
                  <w:tcBorders>
                    <w:tl2br w:val="nil"/>
                    <w:tr2bl w:val="nil"/>
                  </w:tcBorders>
                  <w:vAlign w:val="center"/>
                </w:tcPr>
                <w:p w14:paraId="3DEC5C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9月</w:t>
                  </w:r>
                </w:p>
              </w:tc>
              <w:tc>
                <w:tcPr>
                  <w:tcW w:w="796" w:type="pct"/>
                  <w:tcBorders>
                    <w:tl2br w:val="nil"/>
                    <w:tr2bl w:val="nil"/>
                  </w:tcBorders>
                  <w:vAlign w:val="center"/>
                </w:tcPr>
                <w:p w14:paraId="49D57C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Ⅲ类</w:t>
                  </w:r>
                </w:p>
              </w:tc>
              <w:tc>
                <w:tcPr>
                  <w:tcW w:w="975" w:type="pct"/>
                  <w:tcBorders>
                    <w:tl2br w:val="nil"/>
                    <w:tr2bl w:val="nil"/>
                  </w:tcBorders>
                  <w:vAlign w:val="center"/>
                </w:tcPr>
                <w:p w14:paraId="307BAE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w:t>
                  </w:r>
                </w:p>
              </w:tc>
            </w:tr>
            <w:tr w14:paraId="67E9A65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1036" w:type="pct"/>
                  <w:vMerge w:val="continue"/>
                  <w:tcBorders>
                    <w:tl2br w:val="nil"/>
                    <w:tr2bl w:val="nil"/>
                  </w:tcBorders>
                  <w:vAlign w:val="center"/>
                </w:tcPr>
                <w:p w14:paraId="3A67E0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rPr>
                  </w:pPr>
                </w:p>
              </w:tc>
              <w:tc>
                <w:tcPr>
                  <w:tcW w:w="1271" w:type="pct"/>
                  <w:vMerge w:val="continue"/>
                  <w:tcBorders>
                    <w:tl2br w:val="nil"/>
                    <w:tr2bl w:val="nil"/>
                  </w:tcBorders>
                  <w:vAlign w:val="center"/>
                </w:tcPr>
                <w:p w14:paraId="5B4A2B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p>
              </w:tc>
              <w:tc>
                <w:tcPr>
                  <w:tcW w:w="920" w:type="pct"/>
                  <w:tcBorders>
                    <w:tl2br w:val="nil"/>
                    <w:tr2bl w:val="nil"/>
                  </w:tcBorders>
                  <w:vAlign w:val="center"/>
                </w:tcPr>
                <w:p w14:paraId="6BF67C8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10月</w:t>
                  </w:r>
                </w:p>
              </w:tc>
              <w:tc>
                <w:tcPr>
                  <w:tcW w:w="796" w:type="pct"/>
                  <w:tcBorders>
                    <w:tl2br w:val="nil"/>
                    <w:tr2bl w:val="nil"/>
                  </w:tcBorders>
                  <w:vAlign w:val="center"/>
                </w:tcPr>
                <w:p w14:paraId="1D6470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Ⅱ类</w:t>
                  </w:r>
                </w:p>
              </w:tc>
              <w:tc>
                <w:tcPr>
                  <w:tcW w:w="975" w:type="pct"/>
                  <w:tcBorders>
                    <w:tl2br w:val="nil"/>
                    <w:tr2bl w:val="nil"/>
                  </w:tcBorders>
                  <w:vAlign w:val="center"/>
                </w:tcPr>
                <w:p w14:paraId="62B845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w:t>
                  </w:r>
                </w:p>
              </w:tc>
            </w:tr>
            <w:tr w14:paraId="0B6893B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1036" w:type="pct"/>
                  <w:vMerge w:val="continue"/>
                  <w:tcBorders>
                    <w:tl2br w:val="nil"/>
                    <w:tr2bl w:val="nil"/>
                  </w:tcBorders>
                  <w:vAlign w:val="center"/>
                </w:tcPr>
                <w:p w14:paraId="073A69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rPr>
                  </w:pPr>
                </w:p>
              </w:tc>
              <w:tc>
                <w:tcPr>
                  <w:tcW w:w="1271" w:type="pct"/>
                  <w:vMerge w:val="continue"/>
                  <w:tcBorders>
                    <w:tl2br w:val="nil"/>
                    <w:tr2bl w:val="nil"/>
                  </w:tcBorders>
                  <w:vAlign w:val="center"/>
                </w:tcPr>
                <w:p w14:paraId="650F0C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p>
              </w:tc>
              <w:tc>
                <w:tcPr>
                  <w:tcW w:w="920" w:type="pct"/>
                  <w:tcBorders>
                    <w:tl2br w:val="nil"/>
                    <w:tr2bl w:val="nil"/>
                  </w:tcBorders>
                  <w:vAlign w:val="center"/>
                </w:tcPr>
                <w:p w14:paraId="4E36F1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11月</w:t>
                  </w:r>
                </w:p>
              </w:tc>
              <w:tc>
                <w:tcPr>
                  <w:tcW w:w="796" w:type="pct"/>
                  <w:tcBorders>
                    <w:tl2br w:val="nil"/>
                    <w:tr2bl w:val="nil"/>
                  </w:tcBorders>
                  <w:vAlign w:val="center"/>
                </w:tcPr>
                <w:p w14:paraId="793604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2"/>
                      <w:sz w:val="21"/>
                      <w:szCs w:val="21"/>
                      <w:lang w:val="en-US" w:eastAsia="zh-CN" w:bidi="ar-SA"/>
                    </w:rPr>
                    <w:t>Ⅲ类</w:t>
                  </w:r>
                </w:p>
              </w:tc>
              <w:tc>
                <w:tcPr>
                  <w:tcW w:w="975" w:type="pct"/>
                  <w:tcBorders>
                    <w:tl2br w:val="nil"/>
                    <w:tr2bl w:val="nil"/>
                  </w:tcBorders>
                  <w:vAlign w:val="center"/>
                </w:tcPr>
                <w:p w14:paraId="4242FF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r>
                    <w:rPr>
                      <w:rFonts w:hint="eastAsia" w:eastAsia="宋体" w:cs="Times New Roman"/>
                      <w:color w:val="auto"/>
                      <w:kern w:val="2"/>
                      <w:sz w:val="21"/>
                      <w:szCs w:val="21"/>
                      <w:lang w:val="en-US" w:eastAsia="zh-CN" w:bidi="ar-SA"/>
                    </w:rPr>
                    <w:t>-</w:t>
                  </w:r>
                </w:p>
              </w:tc>
            </w:tr>
            <w:tr w14:paraId="4F2CBE5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1036" w:type="pct"/>
                  <w:vMerge w:val="continue"/>
                  <w:tcBorders>
                    <w:tl2br w:val="nil"/>
                    <w:tr2bl w:val="nil"/>
                  </w:tcBorders>
                  <w:vAlign w:val="center"/>
                </w:tcPr>
                <w:p w14:paraId="3E24ED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p>
              </w:tc>
              <w:tc>
                <w:tcPr>
                  <w:tcW w:w="1271" w:type="pct"/>
                  <w:vMerge w:val="continue"/>
                  <w:tcBorders>
                    <w:tl2br w:val="nil"/>
                    <w:tr2bl w:val="nil"/>
                  </w:tcBorders>
                  <w:vAlign w:val="center"/>
                </w:tcPr>
                <w:p w14:paraId="72E433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p>
              </w:tc>
              <w:tc>
                <w:tcPr>
                  <w:tcW w:w="920" w:type="pct"/>
                  <w:tcBorders>
                    <w:tl2br w:val="nil"/>
                    <w:tr2bl w:val="nil"/>
                  </w:tcBorders>
                  <w:vAlign w:val="center"/>
                </w:tcPr>
                <w:p w14:paraId="4D10AB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12月</w:t>
                  </w:r>
                </w:p>
              </w:tc>
              <w:tc>
                <w:tcPr>
                  <w:tcW w:w="796" w:type="pct"/>
                  <w:tcBorders>
                    <w:tl2br w:val="nil"/>
                    <w:tr2bl w:val="nil"/>
                  </w:tcBorders>
                  <w:vAlign w:val="center"/>
                </w:tcPr>
                <w:p w14:paraId="152DB4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kern w:val="2"/>
                      <w:sz w:val="21"/>
                      <w:szCs w:val="21"/>
                      <w:lang w:val="en-US" w:eastAsia="zh-CN" w:bidi="ar-SA"/>
                    </w:rPr>
                    <w:t>Ⅲ类</w:t>
                  </w:r>
                </w:p>
              </w:tc>
              <w:tc>
                <w:tcPr>
                  <w:tcW w:w="975" w:type="pct"/>
                  <w:tcBorders>
                    <w:tl2br w:val="nil"/>
                    <w:tr2bl w:val="nil"/>
                  </w:tcBorders>
                  <w:vAlign w:val="center"/>
                </w:tcPr>
                <w:p w14:paraId="0B72B2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eastAsia="zh-CN"/>
                    </w:rPr>
                  </w:pPr>
                  <w:r>
                    <w:rPr>
                      <w:rFonts w:hint="eastAsia" w:eastAsia="宋体" w:cs="Times New Roman"/>
                      <w:color w:val="auto"/>
                      <w:kern w:val="2"/>
                      <w:sz w:val="21"/>
                      <w:szCs w:val="21"/>
                      <w:lang w:val="en-US" w:eastAsia="zh-CN" w:bidi="ar-SA"/>
                    </w:rPr>
                    <w:t>-</w:t>
                  </w:r>
                </w:p>
              </w:tc>
            </w:tr>
          </w:tbl>
          <w:p w14:paraId="4858715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b w:val="0"/>
                <w:bCs w:val="0"/>
                <w:color w:val="auto"/>
                <w:sz w:val="24"/>
                <w:szCs w:val="24"/>
                <w:lang w:eastAsia="zh-CN"/>
              </w:rPr>
            </w:pPr>
            <w:r>
              <w:rPr>
                <w:rFonts w:hint="default" w:ascii="Times New Roman" w:hAnsi="Times New Roman" w:eastAsia="宋体" w:cs="Times New Roman"/>
                <w:b w:val="0"/>
                <w:bCs w:val="0"/>
                <w:color w:val="auto"/>
                <w:sz w:val="24"/>
                <w:szCs w:val="24"/>
                <w:lang w:eastAsia="zh-CN"/>
              </w:rPr>
              <w:t>梁王河</w:t>
            </w:r>
            <w:r>
              <w:rPr>
                <w:rFonts w:hint="default" w:ascii="Times New Roman" w:hAnsi="Times New Roman" w:eastAsia="宋体" w:cs="Times New Roman"/>
                <w:color w:val="auto"/>
                <w:sz w:val="24"/>
                <w:highlight w:val="none"/>
                <w:lang w:val="zh-CN"/>
              </w:rPr>
              <w:t>执行《地表水环境质量标准》</w:t>
            </w:r>
            <w:r>
              <w:rPr>
                <w:rFonts w:hint="default" w:ascii="Times New Roman" w:hAnsi="Times New Roman" w:eastAsia="宋体" w:cs="Times New Roman"/>
                <w:color w:val="auto"/>
                <w:kern w:val="0"/>
                <w:sz w:val="24"/>
                <w:highlight w:val="none"/>
                <w:lang w:val="zh-CN"/>
              </w:rPr>
              <w:t>（GB3838-2002）中Ⅲ类水质标准</w:t>
            </w:r>
            <w:r>
              <w:rPr>
                <w:rFonts w:hint="eastAsia" w:ascii="Times New Roman" w:hAnsi="Times New Roman" w:eastAsia="宋体" w:cs="Times New Roman"/>
                <w:color w:val="auto"/>
                <w:kern w:val="2"/>
                <w:sz w:val="24"/>
                <w:szCs w:val="24"/>
                <w:lang w:val="en-US" w:eastAsia="zh-CN" w:bidi="ar-SA"/>
              </w:rPr>
              <w:t>，</w:t>
            </w:r>
            <w:r>
              <w:rPr>
                <w:rFonts w:hint="default" w:ascii="Times New Roman" w:hAnsi="Times New Roman" w:eastAsia="宋体" w:cs="Times New Roman"/>
                <w:bCs/>
                <w:i w:val="0"/>
                <w:iCs w:val="0"/>
                <w:caps w:val="0"/>
                <w:color w:val="auto"/>
                <w:spacing w:val="0"/>
                <w:sz w:val="24"/>
                <w:szCs w:val="24"/>
                <w:highlight w:val="none"/>
                <w:shd w:val="clear"/>
                <w:lang w:val="en-US" w:eastAsia="zh-CN"/>
              </w:rPr>
              <w:t>根据统计表中可</w:t>
            </w:r>
            <w:r>
              <w:rPr>
                <w:rFonts w:hint="default" w:ascii="Times New Roman" w:hAnsi="Times New Roman" w:eastAsia="宋体" w:cs="Times New Roman"/>
                <w:color w:val="auto"/>
                <w:kern w:val="2"/>
                <w:sz w:val="24"/>
                <w:szCs w:val="24"/>
                <w:highlight w:val="none"/>
                <w:lang w:val="en-US" w:eastAsia="zh-CN" w:bidi="ar-SA"/>
              </w:rPr>
              <w:t>知，</w:t>
            </w:r>
            <w:r>
              <w:rPr>
                <w:rFonts w:hint="default" w:ascii="Times New Roman" w:hAnsi="Times New Roman" w:eastAsia="宋体" w:cs="Times New Roman"/>
                <w:color w:val="auto"/>
                <w:kern w:val="2"/>
                <w:sz w:val="24"/>
                <w:szCs w:val="24"/>
                <w:lang w:val="en-US" w:eastAsia="zh-CN" w:bidi="ar-SA"/>
              </w:rPr>
              <w:t>202</w:t>
            </w:r>
            <w:r>
              <w:rPr>
                <w:rFonts w:hint="eastAsia" w:cs="Times New Roman"/>
                <w:color w:val="auto"/>
                <w:kern w:val="2"/>
                <w:sz w:val="24"/>
                <w:szCs w:val="24"/>
                <w:lang w:val="en-US" w:eastAsia="zh-CN" w:bidi="ar-SA"/>
              </w:rPr>
              <w:t>5</w:t>
            </w:r>
            <w:r>
              <w:rPr>
                <w:rFonts w:hint="eastAsia" w:ascii="Times New Roman" w:hAnsi="Times New Roman" w:eastAsia="宋体" w:cs="Times New Roman"/>
                <w:color w:val="auto"/>
                <w:kern w:val="2"/>
                <w:sz w:val="24"/>
                <w:szCs w:val="24"/>
                <w:lang w:val="en-US" w:eastAsia="zh-CN" w:bidi="ar-SA"/>
              </w:rPr>
              <w:t>年</w:t>
            </w:r>
            <w:r>
              <w:rPr>
                <w:rFonts w:hint="eastAsia" w:cs="Times New Roman"/>
                <w:color w:val="auto"/>
                <w:kern w:val="2"/>
                <w:sz w:val="24"/>
                <w:szCs w:val="24"/>
                <w:lang w:val="en-US" w:eastAsia="zh-CN" w:bidi="ar-SA"/>
              </w:rPr>
              <w:t>1</w:t>
            </w:r>
            <w:r>
              <w:rPr>
                <w:rFonts w:hint="eastAsia" w:ascii="Times New Roman" w:hAnsi="Times New Roman" w:eastAsia="宋体" w:cs="Times New Roman"/>
                <w:color w:val="auto"/>
                <w:kern w:val="2"/>
                <w:sz w:val="24"/>
                <w:szCs w:val="24"/>
                <w:lang w:val="en-US" w:eastAsia="zh-CN" w:bidi="ar-SA"/>
              </w:rPr>
              <w:t>月</w:t>
            </w:r>
            <w:r>
              <w:rPr>
                <w:rFonts w:hint="eastAsia" w:cs="Times New Roman"/>
                <w:color w:val="auto"/>
                <w:kern w:val="2"/>
                <w:sz w:val="24"/>
                <w:szCs w:val="24"/>
                <w:lang w:val="en-US" w:eastAsia="zh-CN" w:bidi="ar-SA"/>
              </w:rPr>
              <w:t>-12月</w:t>
            </w:r>
            <w:r>
              <w:rPr>
                <w:rFonts w:hint="default" w:ascii="Times New Roman" w:hAnsi="Times New Roman" w:eastAsia="宋体" w:cs="Times New Roman"/>
                <w:b w:val="0"/>
                <w:bCs w:val="0"/>
                <w:color w:val="auto"/>
                <w:sz w:val="24"/>
                <w:szCs w:val="24"/>
                <w:lang w:eastAsia="zh-CN"/>
              </w:rPr>
              <w:t>梁王河呈贡辖区设小月角（海康庄园南300米）</w:t>
            </w:r>
            <w:r>
              <w:rPr>
                <w:rFonts w:hint="default" w:ascii="Times New Roman" w:hAnsi="Times New Roman" w:eastAsia="宋体" w:cs="Times New Roman"/>
                <w:color w:val="auto"/>
                <w:kern w:val="0"/>
                <w:sz w:val="24"/>
                <w:szCs w:val="24"/>
                <w:highlight w:val="none"/>
                <w:lang w:val="en-US" w:eastAsia="zh-CN"/>
              </w:rPr>
              <w:t>断面</w:t>
            </w:r>
            <w:r>
              <w:rPr>
                <w:rFonts w:hint="default" w:ascii="Times New Roman" w:hAnsi="Times New Roman" w:eastAsia="宋体" w:cs="Times New Roman"/>
                <w:color w:val="auto"/>
                <w:kern w:val="0"/>
                <w:sz w:val="24"/>
                <w:szCs w:val="24"/>
                <w:highlight w:val="none"/>
              </w:rPr>
              <w:t>水质</w:t>
            </w:r>
            <w:r>
              <w:rPr>
                <w:rFonts w:hint="default" w:ascii="Times New Roman" w:hAnsi="Times New Roman" w:eastAsia="宋体" w:cs="Times New Roman"/>
                <w:color w:val="auto"/>
                <w:kern w:val="0"/>
                <w:sz w:val="24"/>
                <w:szCs w:val="24"/>
                <w:highlight w:val="none"/>
                <w:lang w:val="en-US" w:eastAsia="zh-CN"/>
              </w:rPr>
              <w:t>类别</w:t>
            </w:r>
            <w:r>
              <w:rPr>
                <w:rFonts w:hint="default" w:ascii="Times New Roman" w:hAnsi="Times New Roman" w:eastAsia="宋体" w:cs="Times New Roman"/>
                <w:color w:val="auto"/>
                <w:kern w:val="0"/>
                <w:sz w:val="24"/>
                <w:szCs w:val="24"/>
                <w:highlight w:val="none"/>
              </w:rPr>
              <w:t>为Ⅰ</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highlight w:val="none"/>
                <w:lang w:val="zh-CN"/>
              </w:rPr>
              <w:t>Ⅲ类</w:t>
            </w:r>
            <w:r>
              <w:rPr>
                <w:rFonts w:hint="eastAsia" w:ascii="Times New Roman" w:hAnsi="Times New Roman" w:eastAsia="宋体" w:cs="Times New Roman"/>
                <w:color w:val="auto"/>
                <w:kern w:val="2"/>
                <w:sz w:val="24"/>
                <w:szCs w:val="24"/>
                <w:lang w:val="en-US" w:eastAsia="zh-CN" w:bidi="ar-SA"/>
              </w:rPr>
              <w:t>。</w:t>
            </w:r>
            <w:r>
              <w:rPr>
                <w:rFonts w:hint="eastAsia" w:ascii="宋体" w:hAnsi="宋体" w:eastAsia="宋体" w:cs="宋体"/>
                <w:color w:val="auto"/>
                <w:kern w:val="0"/>
                <w:sz w:val="24"/>
                <w:szCs w:val="24"/>
                <w:lang w:val="en-US" w:eastAsia="zh-CN" w:bidi="ar"/>
              </w:rPr>
              <w:t>综上所述，评价区域</w:t>
            </w:r>
            <w:r>
              <w:rPr>
                <w:rFonts w:hint="eastAsia" w:ascii="Times New Roman" w:hAnsi="Times New Roman" w:eastAsia="宋体" w:cs="Times New Roman"/>
                <w:b w:val="0"/>
                <w:bCs w:val="0"/>
                <w:color w:val="auto"/>
                <w:sz w:val="24"/>
                <w:szCs w:val="24"/>
                <w:lang w:eastAsia="zh-CN"/>
              </w:rPr>
              <w:t>梁王河水质能够满足《地表水环境质量标准》（GB3838-2002）中III类标准限值。</w:t>
            </w:r>
          </w:p>
          <w:p w14:paraId="21691563">
            <w:pPr>
              <w:pStyle w:val="17"/>
              <w:adjustRightInd w:val="0"/>
              <w:snapToGrid w:val="0"/>
              <w:spacing w:line="346" w:lineRule="auto"/>
              <w:ind w:firstLine="482" w:firstLineChars="200"/>
              <w:rPr>
                <w:rFonts w:ascii="Times New Roman" w:hAnsi="Times New Roman"/>
                <w:b/>
                <w:bCs/>
                <w:color w:val="auto"/>
                <w:sz w:val="24"/>
              </w:rPr>
            </w:pPr>
            <w:r>
              <w:rPr>
                <w:rFonts w:ascii="Times New Roman" w:hAnsi="Times New Roman"/>
                <w:b/>
                <w:bCs/>
                <w:color w:val="auto"/>
                <w:sz w:val="24"/>
              </w:rPr>
              <w:t>3、声环境质量现状</w:t>
            </w:r>
          </w:p>
          <w:p w14:paraId="6BC82B54">
            <w:pPr>
              <w:widowControl/>
              <w:adjustRightInd w:val="0"/>
              <w:snapToGrid w:val="0"/>
              <w:spacing w:line="360" w:lineRule="auto"/>
              <w:ind w:firstLine="480" w:firstLineChars="200"/>
              <w:jc w:val="left"/>
              <w:rPr>
                <w:rFonts w:ascii="Times New Roman" w:hAnsi="Times New Roman"/>
                <w:color w:val="auto"/>
                <w:sz w:val="24"/>
              </w:rPr>
            </w:pPr>
            <w:r>
              <w:rPr>
                <w:color w:val="auto"/>
                <w:sz w:val="24"/>
              </w:rPr>
              <w:t>本项目位于</w:t>
            </w:r>
            <w:r>
              <w:rPr>
                <w:rFonts w:hint="eastAsia" w:ascii="Times New Roman" w:hAnsi="Times New Roman" w:eastAsia="宋体" w:cs="Times New Roman"/>
                <w:color w:val="auto"/>
                <w:sz w:val="24"/>
                <w:szCs w:val="24"/>
                <w:highlight w:val="none"/>
                <w:lang w:val="en-US" w:eastAsia="zh-CN"/>
              </w:rPr>
              <w:t>云南省</w:t>
            </w:r>
            <w:r>
              <w:rPr>
                <w:rFonts w:hint="eastAsia" w:cs="Times New Roman"/>
                <w:color w:val="auto"/>
                <w:sz w:val="24"/>
                <w:szCs w:val="24"/>
                <w:highlight w:val="none"/>
                <w:lang w:val="en-US" w:eastAsia="zh-CN"/>
              </w:rPr>
              <w:t>玉溪市澄江市产业园区提古片区</w:t>
            </w:r>
            <w:r>
              <w:rPr>
                <w:color w:val="auto"/>
                <w:sz w:val="24"/>
              </w:rPr>
              <w:t>，</w:t>
            </w:r>
            <w:r>
              <w:rPr>
                <w:rFonts w:hint="eastAsia"/>
                <w:color w:val="auto"/>
                <w:sz w:val="24"/>
                <w:lang w:bidi="ar"/>
              </w:rPr>
              <w:t>项目所在区域属于</w:t>
            </w:r>
            <w:r>
              <w:rPr>
                <w:rFonts w:hint="eastAsia"/>
                <w:color w:val="auto"/>
                <w:sz w:val="24"/>
                <w:lang w:eastAsia="zh-CN" w:bidi="ar"/>
              </w:rPr>
              <w:t>为</w:t>
            </w:r>
            <w:r>
              <w:rPr>
                <w:rFonts w:hint="eastAsia"/>
                <w:color w:val="auto"/>
                <w:sz w:val="24"/>
                <w:lang w:bidi="ar"/>
              </w:rPr>
              <w:t>3类区，声环境执行《声环境质量标准》（</w:t>
            </w:r>
            <w:r>
              <w:rPr>
                <w:color w:val="auto"/>
                <w:sz w:val="24"/>
                <w:lang w:bidi="ar"/>
              </w:rPr>
              <w:t>GB3096-2008</w:t>
            </w:r>
            <w:r>
              <w:rPr>
                <w:rFonts w:hint="eastAsia"/>
                <w:color w:val="auto"/>
                <w:sz w:val="24"/>
                <w:lang w:bidi="ar"/>
              </w:rPr>
              <w:t>）3类标准</w:t>
            </w:r>
            <w:r>
              <w:rPr>
                <w:rFonts w:ascii="Times New Roman" w:hAnsi="Times New Roman"/>
                <w:color w:val="auto"/>
                <w:sz w:val="24"/>
              </w:rPr>
              <w:t>。</w:t>
            </w:r>
          </w:p>
          <w:p w14:paraId="78B7D35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color w:val="auto"/>
                <w:sz w:val="24"/>
                <w:lang w:bidi="ar"/>
              </w:rPr>
            </w:pPr>
            <w:r>
              <w:rPr>
                <w:color w:val="auto"/>
                <w:sz w:val="24"/>
                <w:lang w:bidi="ar"/>
              </w:rPr>
              <w:t>根据《建设项目环境影响报告表编制技术指南（污染影响类）》（试行），</w:t>
            </w:r>
            <w:r>
              <w:rPr>
                <w:rFonts w:hint="eastAsia" w:ascii="Times New Roman" w:hAnsi="Times New Roman" w:eastAsia="宋体" w:cs="Times New Roman"/>
                <w:b w:val="0"/>
                <w:bCs w:val="0"/>
                <w:color w:val="auto"/>
                <w:sz w:val="24"/>
                <w:szCs w:val="24"/>
                <w:lang w:eastAsia="zh-CN"/>
              </w:rPr>
              <w:t>项目厂界外周边50米范围内存在声环境保护目标的建设项目，应监测保护目标声环境质量环境现状并评价达标情况。本项目厂界周边50米范围内无声环境保护目标，故无需进行声环境质量现状监测。</w:t>
            </w:r>
          </w:p>
          <w:p w14:paraId="757A5D22">
            <w:pPr>
              <w:adjustRightInd w:val="0"/>
              <w:snapToGrid w:val="0"/>
              <w:spacing w:line="346" w:lineRule="auto"/>
              <w:ind w:firstLine="482" w:firstLineChars="200"/>
              <w:rPr>
                <w:b/>
                <w:bCs/>
                <w:color w:val="auto"/>
                <w:sz w:val="24"/>
              </w:rPr>
            </w:pPr>
            <w:r>
              <w:rPr>
                <w:b/>
                <w:bCs/>
                <w:color w:val="auto"/>
                <w:sz w:val="24"/>
              </w:rPr>
              <w:t>4、地下水、土壤环境质量现状</w:t>
            </w:r>
          </w:p>
          <w:p w14:paraId="423331A8">
            <w:pPr>
              <w:adjustRightInd w:val="0"/>
              <w:snapToGrid w:val="0"/>
              <w:spacing w:line="336" w:lineRule="auto"/>
              <w:ind w:firstLine="480" w:firstLineChars="200"/>
              <w:rPr>
                <w:color w:val="auto"/>
                <w:sz w:val="24"/>
              </w:rPr>
            </w:pPr>
            <w:r>
              <w:rPr>
                <w:bCs/>
                <w:color w:val="auto"/>
                <w:sz w:val="24"/>
              </w:rPr>
              <w:t>本项目为</w:t>
            </w:r>
            <w:r>
              <w:rPr>
                <w:color w:val="auto"/>
                <w:sz w:val="24"/>
              </w:rPr>
              <w:t>塑料</w:t>
            </w:r>
            <w:r>
              <w:rPr>
                <w:rFonts w:hint="eastAsia"/>
                <w:color w:val="auto"/>
                <w:sz w:val="24"/>
              </w:rPr>
              <w:t>包装箱及容器制造</w:t>
            </w:r>
            <w:r>
              <w:rPr>
                <w:bCs/>
                <w:color w:val="auto"/>
                <w:sz w:val="24"/>
              </w:rPr>
              <w:t>，</w:t>
            </w:r>
            <w:r>
              <w:rPr>
                <w:color w:val="auto"/>
                <w:sz w:val="24"/>
              </w:rPr>
              <w:t>根据《建设项目环境影响报告表编制技术指南（污染影响类）》，原则上不开展地下水、土壤环境质量现状调查。</w:t>
            </w:r>
            <w:r>
              <w:rPr>
                <w:rFonts w:hint="eastAsia"/>
                <w:color w:val="auto"/>
                <w:sz w:val="24"/>
              </w:rPr>
              <w:t xml:space="preserve">    </w:t>
            </w:r>
          </w:p>
          <w:p w14:paraId="5DA3A67D">
            <w:pPr>
              <w:adjustRightInd w:val="0"/>
              <w:snapToGrid w:val="0"/>
              <w:spacing w:line="336" w:lineRule="auto"/>
              <w:ind w:firstLine="480" w:firstLineChars="200"/>
              <w:rPr>
                <w:color w:val="auto"/>
                <w:sz w:val="24"/>
              </w:rPr>
            </w:pPr>
            <w:r>
              <w:rPr>
                <w:snapToGrid w:val="0"/>
                <w:color w:val="auto"/>
                <w:kern w:val="0"/>
                <w:sz w:val="24"/>
              </w:rPr>
              <w:t xml:space="preserve">对照《环境影响评价技术导则 </w:t>
            </w:r>
            <w:r>
              <w:rPr>
                <w:rFonts w:hint="eastAsia"/>
                <w:snapToGrid w:val="0"/>
                <w:color w:val="auto"/>
                <w:kern w:val="0"/>
                <w:sz w:val="24"/>
              </w:rPr>
              <w:t>地下水</w:t>
            </w:r>
            <w:r>
              <w:rPr>
                <w:snapToGrid w:val="0"/>
                <w:color w:val="auto"/>
                <w:kern w:val="0"/>
                <w:sz w:val="24"/>
              </w:rPr>
              <w:t>环境》</w:t>
            </w:r>
            <w:r>
              <w:rPr>
                <w:rFonts w:hint="eastAsia"/>
                <w:snapToGrid w:val="0"/>
                <w:color w:val="auto"/>
                <w:kern w:val="0"/>
                <w:sz w:val="24"/>
              </w:rPr>
              <w:t>（</w:t>
            </w:r>
            <w:r>
              <w:rPr>
                <w:snapToGrid w:val="0"/>
                <w:color w:val="auto"/>
                <w:kern w:val="0"/>
                <w:sz w:val="24"/>
              </w:rPr>
              <w:t>HJ</w:t>
            </w:r>
            <w:r>
              <w:rPr>
                <w:rFonts w:hint="eastAsia"/>
                <w:snapToGrid w:val="0"/>
                <w:color w:val="auto"/>
                <w:kern w:val="0"/>
                <w:sz w:val="24"/>
              </w:rPr>
              <w:t>610</w:t>
            </w:r>
            <w:r>
              <w:rPr>
                <w:snapToGrid w:val="0"/>
                <w:color w:val="auto"/>
                <w:kern w:val="0"/>
                <w:sz w:val="24"/>
              </w:rPr>
              <w:t>-201</w:t>
            </w:r>
            <w:r>
              <w:rPr>
                <w:rFonts w:hint="eastAsia"/>
                <w:snapToGrid w:val="0"/>
                <w:color w:val="auto"/>
                <w:kern w:val="0"/>
                <w:sz w:val="24"/>
              </w:rPr>
              <w:t>6）</w:t>
            </w:r>
            <w:r>
              <w:rPr>
                <w:snapToGrid w:val="0"/>
                <w:color w:val="auto"/>
                <w:kern w:val="0"/>
                <w:sz w:val="24"/>
              </w:rPr>
              <w:t>附录A可知，项目为</w:t>
            </w:r>
            <w:r>
              <w:rPr>
                <w:rFonts w:hint="eastAsia"/>
                <w:snapToGrid w:val="0"/>
                <w:color w:val="auto"/>
                <w:kern w:val="0"/>
                <w:sz w:val="24"/>
              </w:rPr>
              <w:t>Ⅳ</w:t>
            </w:r>
            <w:r>
              <w:rPr>
                <w:snapToGrid w:val="0"/>
                <w:color w:val="auto"/>
                <w:kern w:val="0"/>
                <w:sz w:val="24"/>
              </w:rPr>
              <w:t>类项目。</w:t>
            </w:r>
            <w:r>
              <w:rPr>
                <w:color w:val="auto"/>
                <w:sz w:val="24"/>
              </w:rPr>
              <w:t>因此不对</w:t>
            </w:r>
            <w:r>
              <w:rPr>
                <w:rFonts w:hint="eastAsia"/>
                <w:color w:val="auto"/>
                <w:sz w:val="24"/>
              </w:rPr>
              <w:t>地下水</w:t>
            </w:r>
            <w:r>
              <w:rPr>
                <w:color w:val="auto"/>
                <w:sz w:val="24"/>
              </w:rPr>
              <w:t>环境开展现状调查。</w:t>
            </w:r>
          </w:p>
          <w:p w14:paraId="0DF45D24">
            <w:pPr>
              <w:adjustRightInd w:val="0"/>
              <w:snapToGrid w:val="0"/>
              <w:spacing w:line="346" w:lineRule="auto"/>
              <w:ind w:firstLine="480" w:firstLineChars="200"/>
              <w:rPr>
                <w:color w:val="auto"/>
                <w:sz w:val="24"/>
              </w:rPr>
            </w:pPr>
            <w:r>
              <w:rPr>
                <w:snapToGrid w:val="0"/>
                <w:color w:val="auto"/>
                <w:kern w:val="0"/>
                <w:sz w:val="24"/>
              </w:rPr>
              <w:t>对照《环境影响评价技术导则 土壤环境（试行）》</w:t>
            </w:r>
            <w:r>
              <w:rPr>
                <w:rFonts w:hint="eastAsia"/>
                <w:snapToGrid w:val="0"/>
                <w:color w:val="auto"/>
                <w:kern w:val="0"/>
                <w:sz w:val="24"/>
              </w:rPr>
              <w:t>（</w:t>
            </w:r>
            <w:r>
              <w:rPr>
                <w:snapToGrid w:val="0"/>
                <w:color w:val="auto"/>
                <w:kern w:val="0"/>
                <w:sz w:val="24"/>
              </w:rPr>
              <w:t>HJ964-2018</w:t>
            </w:r>
            <w:r>
              <w:rPr>
                <w:rFonts w:hint="eastAsia"/>
                <w:snapToGrid w:val="0"/>
                <w:color w:val="auto"/>
                <w:kern w:val="0"/>
                <w:sz w:val="24"/>
              </w:rPr>
              <w:t>）</w:t>
            </w:r>
            <w:r>
              <w:rPr>
                <w:snapToGrid w:val="0"/>
                <w:color w:val="auto"/>
                <w:kern w:val="0"/>
                <w:sz w:val="24"/>
              </w:rPr>
              <w:t>附录A的表A.1可知，项目</w:t>
            </w:r>
            <w:r>
              <w:rPr>
                <w:rFonts w:hint="eastAsia"/>
                <w:color w:val="auto"/>
                <w:sz w:val="24"/>
              </w:rPr>
              <w:t>属于“其他行业”类项目</w:t>
            </w:r>
            <w:r>
              <w:rPr>
                <w:rFonts w:hint="eastAsia"/>
                <w:snapToGrid w:val="0"/>
                <w:color w:val="auto"/>
                <w:kern w:val="0"/>
                <w:sz w:val="24"/>
              </w:rPr>
              <w:t>，</w:t>
            </w:r>
            <w:r>
              <w:rPr>
                <w:snapToGrid w:val="0"/>
                <w:color w:val="auto"/>
                <w:kern w:val="0"/>
                <w:sz w:val="24"/>
              </w:rPr>
              <w:t>为</w:t>
            </w:r>
            <w:r>
              <w:rPr>
                <w:rFonts w:hint="eastAsia"/>
                <w:snapToGrid w:val="0"/>
                <w:color w:val="auto"/>
                <w:kern w:val="0"/>
                <w:sz w:val="24"/>
              </w:rPr>
              <w:t>Ⅳ</w:t>
            </w:r>
            <w:r>
              <w:rPr>
                <w:snapToGrid w:val="0"/>
                <w:color w:val="auto"/>
                <w:kern w:val="0"/>
                <w:sz w:val="24"/>
              </w:rPr>
              <w:t>类项目。</w:t>
            </w:r>
            <w:r>
              <w:rPr>
                <w:color w:val="auto"/>
                <w:sz w:val="24"/>
              </w:rPr>
              <w:t>因此不对土壤环境开展现状调查。</w:t>
            </w:r>
          </w:p>
          <w:p w14:paraId="07FC72B8">
            <w:pPr>
              <w:pStyle w:val="17"/>
              <w:adjustRightInd w:val="0"/>
              <w:snapToGrid w:val="0"/>
              <w:spacing w:line="346" w:lineRule="auto"/>
              <w:ind w:firstLine="482" w:firstLineChars="200"/>
              <w:rPr>
                <w:rFonts w:ascii="Times New Roman" w:hAnsi="Times New Roman"/>
                <w:b/>
                <w:bCs/>
                <w:color w:val="auto"/>
                <w:sz w:val="24"/>
              </w:rPr>
            </w:pPr>
            <w:r>
              <w:rPr>
                <w:rFonts w:ascii="Times New Roman" w:hAnsi="Times New Roman"/>
                <w:b/>
                <w:bCs/>
                <w:color w:val="auto"/>
                <w:sz w:val="24"/>
              </w:rPr>
              <w:t>5、生态环境质量现状</w:t>
            </w:r>
          </w:p>
          <w:p w14:paraId="71C426BE">
            <w:pPr>
              <w:snapToGrid w:val="0"/>
              <w:spacing w:line="346" w:lineRule="auto"/>
              <w:ind w:firstLine="480" w:firstLineChars="200"/>
              <w:rPr>
                <w:color w:val="auto"/>
              </w:rPr>
            </w:pPr>
            <w:r>
              <w:rPr>
                <w:color w:val="auto"/>
                <w:sz w:val="24"/>
              </w:rPr>
              <w:t>本项目位于</w:t>
            </w:r>
            <w:r>
              <w:rPr>
                <w:rFonts w:hint="eastAsia" w:ascii="Times New Roman" w:hAnsi="Times New Roman" w:eastAsia="宋体" w:cs="Times New Roman"/>
                <w:color w:val="auto"/>
                <w:sz w:val="24"/>
                <w:szCs w:val="24"/>
                <w:highlight w:val="none"/>
                <w:lang w:val="en-US" w:eastAsia="zh-CN"/>
              </w:rPr>
              <w:t>云南省</w:t>
            </w:r>
            <w:r>
              <w:rPr>
                <w:rFonts w:hint="eastAsia" w:cs="Times New Roman"/>
                <w:color w:val="auto"/>
                <w:sz w:val="24"/>
                <w:szCs w:val="24"/>
                <w:highlight w:val="none"/>
                <w:lang w:val="en-US" w:eastAsia="zh-CN"/>
              </w:rPr>
              <w:t>玉溪市澄江市产业园区提古片区</w:t>
            </w:r>
            <w:r>
              <w:rPr>
                <w:rFonts w:hint="eastAsia"/>
                <w:color w:val="auto"/>
                <w:sz w:val="24"/>
              </w:rPr>
              <w:t>，</w:t>
            </w:r>
            <w:r>
              <w:rPr>
                <w:color w:val="auto"/>
                <w:sz w:val="24"/>
                <w:lang w:val="zh-CN"/>
              </w:rPr>
              <w:t>项目所在区域</w:t>
            </w:r>
            <w:r>
              <w:rPr>
                <w:color w:val="auto"/>
                <w:sz w:val="24"/>
              </w:rPr>
              <w:t>为规划的工业园区，区域</w:t>
            </w:r>
            <w:r>
              <w:rPr>
                <w:color w:val="auto"/>
                <w:sz w:val="24"/>
                <w:lang w:val="zh-CN"/>
              </w:rPr>
              <w:t>现状主要为水泥路面和人工绿化植被，无天然植被，生态环境自我调节能力低。调查范围内未涉及国家保护的珍贵野生动、植物。</w:t>
            </w:r>
            <w:r>
              <w:rPr>
                <w:color w:val="auto"/>
                <w:sz w:val="24"/>
              </w:rPr>
              <w:t>评价范围</w:t>
            </w:r>
            <w:r>
              <w:rPr>
                <w:color w:val="auto"/>
                <w:sz w:val="24"/>
                <w:lang w:val="zh-CN"/>
              </w:rPr>
              <w:t>内无自然保护区、风景名胜区、森林公园、历史文化遗迹等需要特殊保护的生态敏感目标，无国家</w:t>
            </w:r>
            <w:r>
              <w:rPr>
                <w:color w:val="auto"/>
                <w:sz w:val="24"/>
              </w:rPr>
              <w:t>珍稀</w:t>
            </w:r>
            <w:r>
              <w:rPr>
                <w:color w:val="auto"/>
                <w:sz w:val="24"/>
                <w:lang w:val="zh-CN"/>
              </w:rPr>
              <w:t>濒危保护物种、国家重点保护野生</w:t>
            </w:r>
            <w:r>
              <w:rPr>
                <w:color w:val="auto"/>
                <w:sz w:val="24"/>
              </w:rPr>
              <w:t>物种</w:t>
            </w:r>
            <w:r>
              <w:rPr>
                <w:color w:val="auto"/>
                <w:sz w:val="24"/>
                <w:lang w:val="zh-CN"/>
              </w:rPr>
              <w:t>和云南省级重点野生保护</w:t>
            </w:r>
            <w:r>
              <w:rPr>
                <w:color w:val="auto"/>
                <w:sz w:val="24"/>
              </w:rPr>
              <w:t>物种</w:t>
            </w:r>
            <w:r>
              <w:rPr>
                <w:color w:val="auto"/>
                <w:sz w:val="24"/>
                <w:lang w:val="zh-CN"/>
              </w:rPr>
              <w:t>，也没有特有种类存在</w:t>
            </w:r>
            <w:r>
              <w:rPr>
                <w:color w:val="auto"/>
                <w:sz w:val="24"/>
              </w:rPr>
              <w:t>。</w:t>
            </w:r>
          </w:p>
        </w:tc>
      </w:tr>
      <w:tr w14:paraId="5B2303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75" w:type="dxa"/>
            <w:vAlign w:val="center"/>
          </w:tcPr>
          <w:p w14:paraId="4D65EECA">
            <w:pPr>
              <w:adjustRightInd w:val="0"/>
              <w:snapToGrid w:val="0"/>
              <w:jc w:val="center"/>
              <w:rPr>
                <w:color w:val="auto"/>
                <w:kern w:val="0"/>
                <w:sz w:val="24"/>
              </w:rPr>
            </w:pPr>
            <w:r>
              <w:rPr>
                <w:color w:val="auto"/>
                <w:kern w:val="0"/>
                <w:sz w:val="24"/>
              </w:rPr>
              <w:t>环境</w:t>
            </w:r>
          </w:p>
          <w:p w14:paraId="605EECB4">
            <w:pPr>
              <w:adjustRightInd w:val="0"/>
              <w:snapToGrid w:val="0"/>
              <w:jc w:val="center"/>
              <w:rPr>
                <w:color w:val="auto"/>
                <w:kern w:val="0"/>
                <w:sz w:val="24"/>
              </w:rPr>
            </w:pPr>
            <w:r>
              <w:rPr>
                <w:color w:val="auto"/>
                <w:kern w:val="0"/>
                <w:sz w:val="24"/>
              </w:rPr>
              <w:t>保护</w:t>
            </w:r>
          </w:p>
          <w:p w14:paraId="036763CC">
            <w:pPr>
              <w:adjustRightInd w:val="0"/>
              <w:snapToGrid w:val="0"/>
              <w:jc w:val="center"/>
              <w:rPr>
                <w:color w:val="auto"/>
                <w:kern w:val="0"/>
                <w:sz w:val="24"/>
              </w:rPr>
            </w:pPr>
            <w:r>
              <w:rPr>
                <w:color w:val="auto"/>
                <w:kern w:val="0"/>
                <w:sz w:val="24"/>
              </w:rPr>
              <w:t>目标</w:t>
            </w:r>
          </w:p>
        </w:tc>
        <w:tc>
          <w:tcPr>
            <w:tcW w:w="8686" w:type="dxa"/>
            <w:vAlign w:val="center"/>
          </w:tcPr>
          <w:p w14:paraId="29CA0A89">
            <w:pPr>
              <w:pStyle w:val="17"/>
              <w:adjustRightInd w:val="0"/>
              <w:snapToGrid w:val="0"/>
              <w:spacing w:line="346" w:lineRule="auto"/>
              <w:ind w:firstLine="482" w:firstLineChars="200"/>
              <w:rPr>
                <w:rFonts w:ascii="Times New Roman" w:hAnsi="Times New Roman"/>
                <w:b/>
                <w:bCs/>
                <w:color w:val="auto"/>
                <w:sz w:val="24"/>
              </w:rPr>
            </w:pPr>
            <w:r>
              <w:rPr>
                <w:rFonts w:ascii="Times New Roman" w:hAnsi="Times New Roman"/>
                <w:b/>
                <w:bCs/>
                <w:color w:val="auto"/>
                <w:sz w:val="24"/>
              </w:rPr>
              <w:t>1、大气环境</w:t>
            </w:r>
          </w:p>
          <w:p w14:paraId="6EB9029E">
            <w:pPr>
              <w:pStyle w:val="69"/>
              <w:adjustRightInd w:val="0"/>
              <w:spacing w:before="0" w:after="0" w:line="346" w:lineRule="auto"/>
              <w:ind w:firstLine="480"/>
              <w:rPr>
                <w:color w:val="auto"/>
              </w:rPr>
            </w:pPr>
            <w:r>
              <w:rPr>
                <w:color w:val="auto"/>
              </w:rPr>
              <w:t>根据现场踏勘，本项目大气环境保护目标为厂界外</w:t>
            </w:r>
            <w:r>
              <w:rPr>
                <w:color w:val="auto"/>
                <w:lang w:val="zh-CN"/>
              </w:rPr>
              <w:t>500米范围内的自然保护区、风景名胜区、居住区、文化区和农村地区中人群较集中的区域等保护目标。</w:t>
            </w:r>
            <w:r>
              <w:rPr>
                <w:rFonts w:hint="eastAsia"/>
                <w:color w:val="auto"/>
              </w:rPr>
              <w:t>环境空气保护目标为：评价范围内关心点环境空气质量达到</w:t>
            </w:r>
            <w:r>
              <w:rPr>
                <w:color w:val="auto"/>
                <w:sz w:val="24"/>
              </w:rPr>
              <w:t>《环境空气质量标</w:t>
            </w:r>
            <w:r>
              <w:rPr>
                <w:rFonts w:hint="eastAsia"/>
                <w:color w:val="auto"/>
                <w:sz w:val="24"/>
                <w:lang w:eastAsia="zh-CN"/>
              </w:rPr>
              <w:t>准</w:t>
            </w:r>
            <w:r>
              <w:rPr>
                <w:color w:val="auto"/>
                <w:sz w:val="24"/>
              </w:rPr>
              <w:t>》</w:t>
            </w:r>
            <w:r>
              <w:rPr>
                <w:color w:val="auto"/>
                <w:kern w:val="0"/>
                <w:sz w:val="24"/>
                <w:lang w:val="zh-CN" w:bidi="ar"/>
              </w:rPr>
              <w:t>（</w:t>
            </w:r>
            <w:r>
              <w:rPr>
                <w:rFonts w:hint="default" w:ascii="Times New Roman" w:hAnsi="Times New Roman" w:eastAsia="宋体" w:cs="Times New Roman"/>
                <w:color w:val="auto"/>
                <w:sz w:val="24"/>
                <w:szCs w:val="24"/>
                <w:highlight w:val="none"/>
                <w:lang w:val="en-US" w:eastAsia="zh-CN"/>
              </w:rPr>
              <w:t>GB3095-20</w:t>
            </w:r>
            <w:r>
              <w:rPr>
                <w:rFonts w:hint="eastAsia" w:cs="Times New Roman"/>
                <w:color w:val="auto"/>
                <w:sz w:val="24"/>
                <w:szCs w:val="24"/>
                <w:highlight w:val="none"/>
                <w:lang w:val="en-US" w:eastAsia="zh-CN"/>
              </w:rPr>
              <w:t>26</w:t>
            </w:r>
            <w:r>
              <w:rPr>
                <w:color w:val="auto"/>
                <w:kern w:val="0"/>
                <w:sz w:val="24"/>
                <w:lang w:val="zh-CN" w:bidi="ar"/>
              </w:rPr>
              <w:t>）</w:t>
            </w:r>
            <w:r>
              <w:rPr>
                <w:rFonts w:hint="eastAsia" w:ascii="Times New Roman" w:hAnsi="Times New Roman" w:eastAsia="宋体" w:cs="Times New Roman"/>
                <w:b w:val="0"/>
                <w:bCs w:val="0"/>
                <w:color w:val="auto"/>
                <w:sz w:val="24"/>
                <w:szCs w:val="24"/>
                <w:lang w:val="en-US" w:eastAsia="zh-CN"/>
              </w:rPr>
              <w:t>表</w:t>
            </w:r>
            <w:r>
              <w:rPr>
                <w:rFonts w:hint="eastAsia"/>
                <w:color w:val="auto"/>
                <w:kern w:val="0"/>
                <w:sz w:val="24"/>
                <w:lang w:val="en-US" w:eastAsia="zh-CN" w:bidi="ar"/>
              </w:rPr>
              <w:t>1</w:t>
            </w:r>
            <w:r>
              <w:rPr>
                <w:rFonts w:hint="eastAsia"/>
                <w:color w:val="auto"/>
                <w:kern w:val="0"/>
                <w:sz w:val="24"/>
                <w:lang w:val="zh-CN" w:bidi="ar"/>
              </w:rPr>
              <w:t>中过渡阶段浓度限值</w:t>
            </w:r>
            <w:r>
              <w:rPr>
                <w:color w:val="auto"/>
                <w:kern w:val="0"/>
                <w:sz w:val="24"/>
                <w:lang w:val="zh-CN" w:bidi="ar"/>
              </w:rPr>
              <w:t>二</w:t>
            </w:r>
            <w:r>
              <w:rPr>
                <w:color w:val="auto"/>
                <w:sz w:val="24"/>
                <w:lang w:val="zh-CN"/>
              </w:rPr>
              <w:t>级标准</w:t>
            </w:r>
            <w:r>
              <w:rPr>
                <w:rFonts w:hint="eastAsia"/>
                <w:color w:val="auto"/>
              </w:rPr>
              <w:t>要求。</w:t>
            </w:r>
          </w:p>
          <w:p w14:paraId="6544411F">
            <w:pPr>
              <w:pStyle w:val="17"/>
              <w:adjustRightInd w:val="0"/>
              <w:snapToGrid w:val="0"/>
              <w:spacing w:line="346" w:lineRule="auto"/>
              <w:ind w:firstLine="482" w:firstLineChars="200"/>
              <w:rPr>
                <w:rFonts w:ascii="Times New Roman" w:hAnsi="Times New Roman"/>
                <w:b/>
                <w:bCs/>
                <w:color w:val="auto"/>
                <w:sz w:val="24"/>
              </w:rPr>
            </w:pPr>
            <w:r>
              <w:rPr>
                <w:rFonts w:ascii="Times New Roman" w:hAnsi="Times New Roman"/>
                <w:b/>
                <w:bCs/>
                <w:color w:val="auto"/>
                <w:sz w:val="24"/>
              </w:rPr>
              <w:t>2、声环境</w:t>
            </w:r>
          </w:p>
          <w:p w14:paraId="4AB604A3">
            <w:pPr>
              <w:pStyle w:val="12"/>
              <w:adjustRightInd w:val="0"/>
              <w:snapToGrid w:val="0"/>
              <w:spacing w:line="346" w:lineRule="auto"/>
              <w:ind w:firstLine="480" w:firstLineChars="200"/>
              <w:jc w:val="both"/>
              <w:rPr>
                <w:color w:val="auto"/>
                <w:sz w:val="24"/>
              </w:rPr>
            </w:pPr>
            <w:r>
              <w:rPr>
                <w:color w:val="auto"/>
                <w:sz w:val="24"/>
              </w:rPr>
              <w:t>根据现场踏勘，项目厂界外周边50m范围内无声环境保护目标。</w:t>
            </w:r>
          </w:p>
          <w:p w14:paraId="1424558E">
            <w:pPr>
              <w:pStyle w:val="17"/>
              <w:adjustRightInd w:val="0"/>
              <w:snapToGrid w:val="0"/>
              <w:spacing w:line="346" w:lineRule="auto"/>
              <w:ind w:firstLine="482" w:firstLineChars="200"/>
              <w:rPr>
                <w:rFonts w:ascii="Times New Roman" w:hAnsi="Times New Roman"/>
                <w:b/>
                <w:bCs/>
                <w:color w:val="auto"/>
                <w:sz w:val="24"/>
              </w:rPr>
            </w:pPr>
            <w:r>
              <w:rPr>
                <w:rFonts w:ascii="Times New Roman" w:hAnsi="Times New Roman"/>
                <w:b/>
                <w:bCs/>
                <w:color w:val="auto"/>
                <w:sz w:val="24"/>
              </w:rPr>
              <w:t>3、地表水</w:t>
            </w:r>
          </w:p>
          <w:p w14:paraId="5B6419DE">
            <w:pPr>
              <w:adjustRightInd w:val="0"/>
              <w:snapToGrid w:val="0"/>
              <w:spacing w:line="348" w:lineRule="auto"/>
              <w:ind w:firstLine="480" w:firstLineChars="200"/>
              <w:rPr>
                <w:color w:val="auto"/>
                <w:sz w:val="24"/>
                <w:lang w:val="zh-CN"/>
              </w:rPr>
            </w:pPr>
            <w:r>
              <w:rPr>
                <w:rFonts w:hint="eastAsia" w:ascii="Times New Roman" w:hAnsi="Times New Roman" w:eastAsia="宋体" w:cs="Times New Roman"/>
                <w:b w:val="0"/>
                <w:bCs w:val="0"/>
                <w:color w:val="auto"/>
                <w:sz w:val="24"/>
                <w:szCs w:val="24"/>
                <w:lang w:eastAsia="zh-CN"/>
              </w:rPr>
              <w:t>项目位于</w:t>
            </w:r>
            <w:r>
              <w:rPr>
                <w:rFonts w:hint="eastAsia" w:ascii="Times New Roman" w:hAnsi="Times New Roman" w:eastAsia="宋体" w:cs="Times New Roman"/>
                <w:color w:val="auto"/>
                <w:sz w:val="24"/>
                <w:szCs w:val="24"/>
                <w:highlight w:val="none"/>
                <w:lang w:val="en-US" w:eastAsia="zh-CN"/>
              </w:rPr>
              <w:t>云南省</w:t>
            </w:r>
            <w:r>
              <w:rPr>
                <w:rFonts w:hint="eastAsia" w:cs="Times New Roman"/>
                <w:color w:val="auto"/>
                <w:sz w:val="24"/>
                <w:szCs w:val="24"/>
                <w:highlight w:val="none"/>
                <w:lang w:val="en-US" w:eastAsia="zh-CN"/>
              </w:rPr>
              <w:t>玉溪市澄江市产业园区提古片区</w:t>
            </w:r>
            <w:r>
              <w:rPr>
                <w:rFonts w:hint="eastAsia" w:ascii="Times New Roman" w:hAnsi="Times New Roman" w:eastAsia="宋体" w:cs="Times New Roman"/>
                <w:b w:val="0"/>
                <w:bCs w:val="0"/>
                <w:color w:val="auto"/>
                <w:sz w:val="24"/>
                <w:szCs w:val="24"/>
                <w:lang w:eastAsia="zh-CN"/>
              </w:rPr>
              <w:t>，周围地表为梁王河集水区。梁王河</w:t>
            </w:r>
            <w:r>
              <w:rPr>
                <w:rFonts w:hint="eastAsia" w:eastAsia="宋体" w:cs="Times New Roman"/>
                <w:b w:val="0"/>
                <w:bCs w:val="0"/>
                <w:color w:val="auto"/>
                <w:sz w:val="24"/>
                <w:szCs w:val="24"/>
                <w:lang w:val="en-US" w:eastAsia="zh-CN"/>
              </w:rPr>
              <w:t>集水区</w:t>
            </w:r>
            <w:r>
              <w:rPr>
                <w:rFonts w:hint="eastAsia"/>
                <w:color w:val="auto"/>
                <w:kern w:val="0"/>
                <w:sz w:val="24"/>
              </w:rPr>
              <w:t>按照</w:t>
            </w:r>
            <w:r>
              <w:rPr>
                <w:color w:val="auto"/>
                <w:sz w:val="24"/>
                <w:lang w:val="zh-CN"/>
              </w:rPr>
              <w:t>《地表水环境质量标准》</w:t>
            </w:r>
            <w:r>
              <w:rPr>
                <w:color w:val="auto"/>
                <w:kern w:val="0"/>
                <w:sz w:val="24"/>
                <w:lang w:val="zh-CN"/>
              </w:rPr>
              <w:t>（GB3838-2002）中Ⅲ类水质标准</w:t>
            </w:r>
            <w:r>
              <w:rPr>
                <w:color w:val="auto"/>
                <w:kern w:val="0"/>
                <w:sz w:val="24"/>
              </w:rPr>
              <w:t>进行保护</w:t>
            </w:r>
            <w:r>
              <w:rPr>
                <w:color w:val="auto"/>
                <w:kern w:val="0"/>
                <w:sz w:val="24"/>
                <w:lang w:val="zh-CN"/>
              </w:rPr>
              <w:t>。</w:t>
            </w:r>
          </w:p>
          <w:p w14:paraId="3493D0EE">
            <w:pPr>
              <w:pStyle w:val="17"/>
              <w:adjustRightInd w:val="0"/>
              <w:snapToGrid w:val="0"/>
              <w:spacing w:line="346" w:lineRule="auto"/>
              <w:ind w:firstLine="482" w:firstLineChars="200"/>
              <w:rPr>
                <w:rFonts w:ascii="Times New Roman" w:hAnsi="Times New Roman"/>
                <w:b/>
                <w:bCs/>
                <w:color w:val="auto"/>
                <w:sz w:val="24"/>
              </w:rPr>
            </w:pPr>
            <w:r>
              <w:rPr>
                <w:rFonts w:ascii="Times New Roman" w:hAnsi="Times New Roman"/>
                <w:b/>
                <w:bCs/>
                <w:color w:val="auto"/>
                <w:sz w:val="24"/>
              </w:rPr>
              <w:t>4、地下水</w:t>
            </w:r>
          </w:p>
          <w:p w14:paraId="03DDC2B2">
            <w:pPr>
              <w:pStyle w:val="12"/>
              <w:adjustRightInd w:val="0"/>
              <w:snapToGrid w:val="0"/>
              <w:spacing w:line="346" w:lineRule="auto"/>
              <w:ind w:firstLine="480" w:firstLineChars="200"/>
              <w:jc w:val="both"/>
              <w:rPr>
                <w:color w:val="auto"/>
                <w:sz w:val="24"/>
              </w:rPr>
            </w:pPr>
            <w:r>
              <w:rPr>
                <w:color w:val="auto"/>
                <w:sz w:val="24"/>
              </w:rPr>
              <w:t>根据现场踏勘，项目厂界外500m范围内无地下水集中式饮用水水源和热水、矿泉水、温泉等特殊地下水资源。</w:t>
            </w:r>
          </w:p>
          <w:p w14:paraId="2F72CBFA">
            <w:pPr>
              <w:pStyle w:val="17"/>
              <w:adjustRightInd w:val="0"/>
              <w:snapToGrid w:val="0"/>
              <w:spacing w:line="346" w:lineRule="auto"/>
              <w:ind w:firstLine="482" w:firstLineChars="200"/>
              <w:rPr>
                <w:rFonts w:ascii="Times New Roman" w:hAnsi="Times New Roman"/>
                <w:b/>
                <w:bCs/>
                <w:color w:val="auto"/>
                <w:sz w:val="24"/>
              </w:rPr>
            </w:pPr>
            <w:r>
              <w:rPr>
                <w:rFonts w:ascii="Times New Roman" w:hAnsi="Times New Roman"/>
                <w:b/>
                <w:bCs/>
                <w:color w:val="auto"/>
                <w:sz w:val="24"/>
              </w:rPr>
              <w:t>5、生态环境</w:t>
            </w:r>
          </w:p>
          <w:p w14:paraId="4B5FD0D4">
            <w:pPr>
              <w:pStyle w:val="12"/>
              <w:adjustRightInd w:val="0"/>
              <w:snapToGrid w:val="0"/>
              <w:spacing w:line="346" w:lineRule="auto"/>
              <w:ind w:firstLine="480" w:firstLineChars="200"/>
              <w:rPr>
                <w:color w:val="auto"/>
                <w:sz w:val="24"/>
              </w:rPr>
            </w:pPr>
            <w:r>
              <w:rPr>
                <w:color w:val="auto"/>
                <w:sz w:val="24"/>
                <w:lang w:val="zh-CN"/>
              </w:rPr>
              <w:t>本项目位于</w:t>
            </w:r>
            <w:r>
              <w:rPr>
                <w:rFonts w:hint="eastAsia" w:ascii="Times New Roman" w:hAnsi="Times New Roman" w:eastAsia="宋体" w:cs="Times New Roman"/>
                <w:color w:val="auto"/>
                <w:sz w:val="24"/>
                <w:szCs w:val="24"/>
                <w:highlight w:val="none"/>
                <w:lang w:val="en-US" w:eastAsia="zh-CN"/>
              </w:rPr>
              <w:t>云南省</w:t>
            </w:r>
            <w:r>
              <w:rPr>
                <w:rFonts w:hint="eastAsia" w:cs="Times New Roman"/>
                <w:color w:val="auto"/>
                <w:sz w:val="24"/>
                <w:szCs w:val="24"/>
                <w:highlight w:val="none"/>
                <w:lang w:val="en-US" w:eastAsia="zh-CN"/>
              </w:rPr>
              <w:t>玉溪市澄江市产业园区提古片区</w:t>
            </w:r>
            <w:r>
              <w:rPr>
                <w:color w:val="auto"/>
                <w:sz w:val="24"/>
              </w:rPr>
              <w:t>，属于规划的工业园区，不涉及园区外用地，不涉及生态保护目标。</w:t>
            </w:r>
          </w:p>
          <w:p w14:paraId="577DB873">
            <w:pPr>
              <w:pStyle w:val="12"/>
              <w:spacing w:line="346" w:lineRule="auto"/>
              <w:ind w:firstLine="480" w:firstLineChars="200"/>
              <w:rPr>
                <w:b/>
                <w:color w:val="auto"/>
                <w:szCs w:val="21"/>
              </w:rPr>
            </w:pPr>
            <w:r>
              <w:rPr>
                <w:bCs/>
                <w:color w:val="auto"/>
                <w:sz w:val="24"/>
              </w:rPr>
              <w:t>本项目主要保护目标详见下表，项目周边关系示意详见附图3。</w:t>
            </w:r>
          </w:p>
          <w:p w14:paraId="1F01D614">
            <w:pPr>
              <w:jc w:val="center"/>
              <w:rPr>
                <w:b/>
                <w:color w:val="auto"/>
                <w:szCs w:val="21"/>
              </w:rPr>
            </w:pPr>
            <w:r>
              <w:rPr>
                <w:b/>
                <w:color w:val="auto"/>
                <w:szCs w:val="21"/>
              </w:rPr>
              <w:t>表3-</w:t>
            </w:r>
            <w:r>
              <w:rPr>
                <w:rFonts w:hint="eastAsia"/>
                <w:b/>
                <w:color w:val="auto"/>
                <w:szCs w:val="21"/>
                <w:lang w:val="en-US" w:eastAsia="zh-CN"/>
              </w:rPr>
              <w:t>4</w:t>
            </w:r>
            <w:r>
              <w:rPr>
                <w:b/>
                <w:color w:val="auto"/>
                <w:szCs w:val="21"/>
              </w:rPr>
              <w:t xml:space="preserve">  项目主要保护目标一览表</w:t>
            </w:r>
          </w:p>
          <w:tbl>
            <w:tblPr>
              <w:tblStyle w:val="30"/>
              <w:tblW w:w="8524" w:type="dxa"/>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555"/>
              <w:gridCol w:w="710"/>
              <w:gridCol w:w="1578"/>
              <w:gridCol w:w="1530"/>
              <w:gridCol w:w="660"/>
              <w:gridCol w:w="720"/>
              <w:gridCol w:w="564"/>
              <w:gridCol w:w="682"/>
              <w:gridCol w:w="1525"/>
            </w:tblGrid>
            <w:tr w14:paraId="77DD23F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vMerge w:val="restart"/>
                  <w:tcBorders>
                    <w:tl2br w:val="nil"/>
                    <w:tr2bl w:val="nil"/>
                  </w:tcBorders>
                  <w:vAlign w:val="center"/>
                </w:tcPr>
                <w:p w14:paraId="1CF75D39">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b/>
                      <w:bCs/>
                      <w:color w:val="auto"/>
                      <w:sz w:val="21"/>
                      <w:szCs w:val="21"/>
                    </w:rPr>
                  </w:pPr>
                  <w:r>
                    <w:rPr>
                      <w:b/>
                      <w:bCs/>
                      <w:color w:val="auto"/>
                      <w:sz w:val="21"/>
                      <w:szCs w:val="21"/>
                    </w:rPr>
                    <w:t>环境</w:t>
                  </w:r>
                </w:p>
                <w:p w14:paraId="6B675631">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b/>
                      <w:bCs/>
                      <w:color w:val="auto"/>
                      <w:sz w:val="21"/>
                      <w:szCs w:val="21"/>
                    </w:rPr>
                  </w:pPr>
                  <w:r>
                    <w:rPr>
                      <w:b/>
                      <w:bCs/>
                      <w:color w:val="auto"/>
                      <w:sz w:val="21"/>
                      <w:szCs w:val="21"/>
                    </w:rPr>
                    <w:t>要素</w:t>
                  </w:r>
                </w:p>
              </w:tc>
              <w:tc>
                <w:tcPr>
                  <w:tcW w:w="710" w:type="dxa"/>
                  <w:vMerge w:val="restart"/>
                  <w:tcBorders>
                    <w:tl2br w:val="nil"/>
                    <w:tr2bl w:val="nil"/>
                  </w:tcBorders>
                  <w:vAlign w:val="center"/>
                </w:tcPr>
                <w:p w14:paraId="4C305E6B">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b/>
                      <w:bCs/>
                      <w:color w:val="auto"/>
                      <w:sz w:val="21"/>
                      <w:szCs w:val="21"/>
                    </w:rPr>
                  </w:pPr>
                  <w:r>
                    <w:rPr>
                      <w:b/>
                      <w:bCs/>
                      <w:color w:val="auto"/>
                      <w:sz w:val="21"/>
                      <w:szCs w:val="21"/>
                    </w:rPr>
                    <w:t>保护目标名称</w:t>
                  </w:r>
                </w:p>
              </w:tc>
              <w:tc>
                <w:tcPr>
                  <w:tcW w:w="3108" w:type="dxa"/>
                  <w:gridSpan w:val="2"/>
                  <w:tcBorders>
                    <w:tl2br w:val="nil"/>
                    <w:tr2bl w:val="nil"/>
                  </w:tcBorders>
                  <w:vAlign w:val="center"/>
                </w:tcPr>
                <w:p w14:paraId="25FF40BE">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b/>
                      <w:bCs/>
                      <w:color w:val="auto"/>
                      <w:sz w:val="21"/>
                      <w:szCs w:val="21"/>
                    </w:rPr>
                  </w:pPr>
                  <w:r>
                    <w:rPr>
                      <w:b/>
                      <w:bCs/>
                      <w:color w:val="auto"/>
                      <w:sz w:val="21"/>
                      <w:szCs w:val="21"/>
                    </w:rPr>
                    <w:t>坐标</w:t>
                  </w:r>
                </w:p>
              </w:tc>
              <w:tc>
                <w:tcPr>
                  <w:tcW w:w="660" w:type="dxa"/>
                  <w:vMerge w:val="restart"/>
                  <w:tcBorders>
                    <w:tl2br w:val="nil"/>
                    <w:tr2bl w:val="nil"/>
                  </w:tcBorders>
                  <w:vAlign w:val="center"/>
                </w:tcPr>
                <w:p w14:paraId="65A4F2C8">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b/>
                      <w:bCs/>
                      <w:color w:val="auto"/>
                      <w:sz w:val="21"/>
                      <w:szCs w:val="21"/>
                    </w:rPr>
                  </w:pPr>
                  <w:r>
                    <w:rPr>
                      <w:b/>
                      <w:bCs/>
                      <w:color w:val="auto"/>
                      <w:sz w:val="21"/>
                      <w:szCs w:val="21"/>
                    </w:rPr>
                    <w:t>保护对象</w:t>
                  </w:r>
                </w:p>
              </w:tc>
              <w:tc>
                <w:tcPr>
                  <w:tcW w:w="720" w:type="dxa"/>
                  <w:vMerge w:val="restart"/>
                  <w:tcBorders>
                    <w:tl2br w:val="nil"/>
                    <w:tr2bl w:val="nil"/>
                  </w:tcBorders>
                  <w:vAlign w:val="center"/>
                </w:tcPr>
                <w:p w14:paraId="1D320129">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b/>
                      <w:bCs/>
                      <w:color w:val="auto"/>
                      <w:sz w:val="21"/>
                      <w:szCs w:val="21"/>
                    </w:rPr>
                  </w:pPr>
                  <w:r>
                    <w:rPr>
                      <w:b/>
                      <w:bCs/>
                      <w:color w:val="auto"/>
                      <w:sz w:val="21"/>
                      <w:szCs w:val="21"/>
                    </w:rPr>
                    <w:t>保护内容</w:t>
                  </w:r>
                </w:p>
              </w:tc>
              <w:tc>
                <w:tcPr>
                  <w:tcW w:w="564" w:type="dxa"/>
                  <w:vMerge w:val="restart"/>
                  <w:tcBorders>
                    <w:tl2br w:val="nil"/>
                    <w:tr2bl w:val="nil"/>
                  </w:tcBorders>
                  <w:vAlign w:val="center"/>
                </w:tcPr>
                <w:p w14:paraId="2CB08EAD">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b/>
                      <w:bCs/>
                      <w:color w:val="auto"/>
                      <w:sz w:val="21"/>
                      <w:szCs w:val="21"/>
                    </w:rPr>
                  </w:pPr>
                  <w:r>
                    <w:rPr>
                      <w:b/>
                      <w:bCs/>
                      <w:color w:val="auto"/>
                      <w:sz w:val="21"/>
                      <w:szCs w:val="21"/>
                    </w:rPr>
                    <w:t>相对厂址方位</w:t>
                  </w:r>
                </w:p>
              </w:tc>
              <w:tc>
                <w:tcPr>
                  <w:tcW w:w="682" w:type="dxa"/>
                  <w:vMerge w:val="restart"/>
                  <w:tcBorders>
                    <w:tl2br w:val="nil"/>
                    <w:tr2bl w:val="nil"/>
                  </w:tcBorders>
                  <w:vAlign w:val="center"/>
                </w:tcPr>
                <w:p w14:paraId="4770DCC1">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b/>
                      <w:bCs/>
                      <w:color w:val="auto"/>
                      <w:sz w:val="21"/>
                      <w:szCs w:val="21"/>
                    </w:rPr>
                  </w:pPr>
                  <w:r>
                    <w:rPr>
                      <w:b/>
                      <w:bCs/>
                      <w:color w:val="auto"/>
                      <w:sz w:val="21"/>
                      <w:szCs w:val="21"/>
                    </w:rPr>
                    <w:t>相对厂界距离</w:t>
                  </w:r>
                </w:p>
              </w:tc>
              <w:tc>
                <w:tcPr>
                  <w:tcW w:w="1525" w:type="dxa"/>
                  <w:vMerge w:val="restart"/>
                  <w:tcBorders>
                    <w:tl2br w:val="nil"/>
                    <w:tr2bl w:val="nil"/>
                  </w:tcBorders>
                  <w:vAlign w:val="center"/>
                </w:tcPr>
                <w:p w14:paraId="68590853">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b/>
                      <w:bCs/>
                      <w:color w:val="auto"/>
                      <w:sz w:val="21"/>
                      <w:szCs w:val="21"/>
                    </w:rPr>
                  </w:pPr>
                  <w:r>
                    <w:rPr>
                      <w:b/>
                      <w:bCs/>
                      <w:color w:val="auto"/>
                      <w:sz w:val="21"/>
                      <w:szCs w:val="21"/>
                    </w:rPr>
                    <w:t>环境功能区及执行标准</w:t>
                  </w:r>
                </w:p>
              </w:tc>
            </w:tr>
            <w:tr w14:paraId="26109C2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55" w:type="dxa"/>
                  <w:vMerge w:val="continue"/>
                  <w:tcBorders>
                    <w:tl2br w:val="nil"/>
                    <w:tr2bl w:val="nil"/>
                  </w:tcBorders>
                  <w:vAlign w:val="center"/>
                </w:tcPr>
                <w:p w14:paraId="368C0B74">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p>
              </w:tc>
              <w:tc>
                <w:tcPr>
                  <w:tcW w:w="710" w:type="dxa"/>
                  <w:vMerge w:val="continue"/>
                  <w:tcBorders>
                    <w:tl2br w:val="nil"/>
                    <w:tr2bl w:val="nil"/>
                  </w:tcBorders>
                  <w:vAlign w:val="center"/>
                </w:tcPr>
                <w:p w14:paraId="614CDAFF">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p>
              </w:tc>
              <w:tc>
                <w:tcPr>
                  <w:tcW w:w="1578" w:type="dxa"/>
                  <w:tcBorders>
                    <w:tl2br w:val="nil"/>
                    <w:tr2bl w:val="nil"/>
                  </w:tcBorders>
                  <w:vAlign w:val="center"/>
                </w:tcPr>
                <w:p w14:paraId="5BBFEE8C">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b/>
                      <w:bCs/>
                      <w:color w:val="auto"/>
                      <w:sz w:val="21"/>
                      <w:szCs w:val="21"/>
                    </w:rPr>
                  </w:pPr>
                  <w:r>
                    <w:rPr>
                      <w:b/>
                      <w:bCs/>
                      <w:color w:val="auto"/>
                      <w:sz w:val="21"/>
                      <w:szCs w:val="21"/>
                    </w:rPr>
                    <w:t>经度</w:t>
                  </w:r>
                </w:p>
              </w:tc>
              <w:tc>
                <w:tcPr>
                  <w:tcW w:w="1530" w:type="dxa"/>
                  <w:tcBorders>
                    <w:tl2br w:val="nil"/>
                    <w:tr2bl w:val="nil"/>
                  </w:tcBorders>
                  <w:vAlign w:val="center"/>
                </w:tcPr>
                <w:p w14:paraId="1CCEE753">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b/>
                      <w:bCs/>
                      <w:color w:val="auto"/>
                      <w:sz w:val="21"/>
                      <w:szCs w:val="21"/>
                    </w:rPr>
                  </w:pPr>
                  <w:r>
                    <w:rPr>
                      <w:b/>
                      <w:bCs/>
                      <w:color w:val="auto"/>
                      <w:sz w:val="21"/>
                      <w:szCs w:val="21"/>
                    </w:rPr>
                    <w:t>纬度</w:t>
                  </w:r>
                </w:p>
              </w:tc>
              <w:tc>
                <w:tcPr>
                  <w:tcW w:w="660" w:type="dxa"/>
                  <w:vMerge w:val="continue"/>
                  <w:tcBorders>
                    <w:tl2br w:val="nil"/>
                    <w:tr2bl w:val="nil"/>
                  </w:tcBorders>
                  <w:vAlign w:val="center"/>
                </w:tcPr>
                <w:p w14:paraId="0247C29F">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p>
              </w:tc>
              <w:tc>
                <w:tcPr>
                  <w:tcW w:w="720" w:type="dxa"/>
                  <w:vMerge w:val="continue"/>
                  <w:tcBorders>
                    <w:tl2br w:val="nil"/>
                    <w:tr2bl w:val="nil"/>
                  </w:tcBorders>
                  <w:vAlign w:val="center"/>
                </w:tcPr>
                <w:p w14:paraId="33C97557">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p>
              </w:tc>
              <w:tc>
                <w:tcPr>
                  <w:tcW w:w="564" w:type="dxa"/>
                  <w:vMerge w:val="continue"/>
                  <w:tcBorders>
                    <w:tl2br w:val="nil"/>
                    <w:tr2bl w:val="nil"/>
                  </w:tcBorders>
                  <w:vAlign w:val="center"/>
                </w:tcPr>
                <w:p w14:paraId="359CFF48">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p>
              </w:tc>
              <w:tc>
                <w:tcPr>
                  <w:tcW w:w="682" w:type="dxa"/>
                  <w:vMerge w:val="continue"/>
                  <w:tcBorders>
                    <w:tl2br w:val="nil"/>
                    <w:tr2bl w:val="nil"/>
                  </w:tcBorders>
                  <w:vAlign w:val="center"/>
                </w:tcPr>
                <w:p w14:paraId="1DD0A1DE">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p>
              </w:tc>
              <w:tc>
                <w:tcPr>
                  <w:tcW w:w="1525" w:type="dxa"/>
                  <w:vMerge w:val="continue"/>
                  <w:tcBorders>
                    <w:tl2br w:val="nil"/>
                    <w:tr2bl w:val="nil"/>
                  </w:tcBorders>
                  <w:vAlign w:val="center"/>
                </w:tcPr>
                <w:p w14:paraId="32DB1141">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p>
              </w:tc>
            </w:tr>
            <w:tr w14:paraId="703490D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555" w:type="dxa"/>
                  <w:vMerge w:val="restart"/>
                  <w:tcBorders>
                    <w:tl2br w:val="nil"/>
                    <w:tr2bl w:val="nil"/>
                  </w:tcBorders>
                  <w:vAlign w:val="center"/>
                </w:tcPr>
                <w:p w14:paraId="6DDBCBF7">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color w:val="auto"/>
                      <w:sz w:val="21"/>
                      <w:szCs w:val="21"/>
                    </w:rPr>
                    <w:t>环境空气</w:t>
                  </w:r>
                </w:p>
              </w:tc>
              <w:tc>
                <w:tcPr>
                  <w:tcW w:w="710" w:type="dxa"/>
                  <w:tcBorders>
                    <w:tl2br w:val="nil"/>
                    <w:tr2bl w:val="nil"/>
                  </w:tcBorders>
                  <w:vAlign w:val="center"/>
                </w:tcPr>
                <w:p w14:paraId="63BE43FD">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提古小学</w:t>
                  </w:r>
                </w:p>
              </w:tc>
              <w:tc>
                <w:tcPr>
                  <w:tcW w:w="1578" w:type="dxa"/>
                  <w:tcBorders>
                    <w:tl2br w:val="nil"/>
                    <w:tr2bl w:val="nil"/>
                  </w:tcBorders>
                  <w:vAlign w:val="center"/>
                </w:tcPr>
                <w:p w14:paraId="41437F70">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rFonts w:hint="eastAsia"/>
                      <w:color w:val="auto"/>
                      <w:sz w:val="21"/>
                      <w:szCs w:val="21"/>
                      <w:lang w:val="en-US" w:eastAsia="zh-CN"/>
                    </w:rPr>
                    <w:t>102</w:t>
                  </w:r>
                  <w:r>
                    <w:rPr>
                      <w:color w:val="auto"/>
                      <w:sz w:val="21"/>
                      <w:szCs w:val="21"/>
                    </w:rPr>
                    <w:t>°</w:t>
                  </w:r>
                  <w:r>
                    <w:rPr>
                      <w:rFonts w:hint="eastAsia"/>
                      <w:color w:val="auto"/>
                      <w:sz w:val="21"/>
                      <w:szCs w:val="21"/>
                      <w:lang w:val="en-US" w:eastAsia="zh-CN"/>
                    </w:rPr>
                    <w:t>50</w:t>
                  </w:r>
                  <w:r>
                    <w:rPr>
                      <w:color w:val="auto"/>
                      <w:sz w:val="21"/>
                      <w:szCs w:val="21"/>
                    </w:rPr>
                    <w:t>′</w:t>
                  </w:r>
                  <w:r>
                    <w:rPr>
                      <w:rFonts w:hint="eastAsia"/>
                      <w:color w:val="auto"/>
                      <w:sz w:val="21"/>
                      <w:szCs w:val="21"/>
                      <w:lang w:val="en-US" w:eastAsia="zh-CN"/>
                    </w:rPr>
                    <w:t>57.341</w:t>
                  </w:r>
                  <w:r>
                    <w:rPr>
                      <w:color w:val="auto"/>
                      <w:sz w:val="21"/>
                      <w:szCs w:val="21"/>
                    </w:rPr>
                    <w:t>″</w:t>
                  </w:r>
                </w:p>
              </w:tc>
              <w:tc>
                <w:tcPr>
                  <w:tcW w:w="1530" w:type="dxa"/>
                  <w:tcBorders>
                    <w:tl2br w:val="nil"/>
                    <w:tr2bl w:val="nil"/>
                  </w:tcBorders>
                  <w:vAlign w:val="center"/>
                </w:tcPr>
                <w:p w14:paraId="2AA37F11">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rFonts w:hint="eastAsia"/>
                      <w:color w:val="auto"/>
                      <w:sz w:val="21"/>
                      <w:szCs w:val="21"/>
                    </w:rPr>
                    <w:t>24</w:t>
                  </w:r>
                  <w:r>
                    <w:rPr>
                      <w:color w:val="auto"/>
                      <w:sz w:val="21"/>
                      <w:szCs w:val="21"/>
                    </w:rPr>
                    <w:t>°</w:t>
                  </w:r>
                  <w:r>
                    <w:rPr>
                      <w:rFonts w:hint="eastAsia"/>
                      <w:color w:val="auto"/>
                      <w:sz w:val="21"/>
                      <w:szCs w:val="21"/>
                      <w:lang w:val="en-US" w:eastAsia="zh-CN"/>
                    </w:rPr>
                    <w:t>44</w:t>
                  </w:r>
                  <w:r>
                    <w:rPr>
                      <w:color w:val="auto"/>
                      <w:sz w:val="21"/>
                      <w:szCs w:val="21"/>
                    </w:rPr>
                    <w:t>′</w:t>
                  </w:r>
                  <w:r>
                    <w:rPr>
                      <w:rFonts w:hint="eastAsia"/>
                      <w:color w:val="auto"/>
                      <w:sz w:val="21"/>
                      <w:szCs w:val="21"/>
                      <w:lang w:val="en-US" w:eastAsia="zh-CN"/>
                    </w:rPr>
                    <w:t>34.911</w:t>
                  </w:r>
                  <w:r>
                    <w:rPr>
                      <w:color w:val="auto"/>
                      <w:sz w:val="21"/>
                      <w:szCs w:val="21"/>
                    </w:rPr>
                    <w:t>″</w:t>
                  </w:r>
                </w:p>
              </w:tc>
              <w:tc>
                <w:tcPr>
                  <w:tcW w:w="660" w:type="dxa"/>
                  <w:tcBorders>
                    <w:tl2br w:val="nil"/>
                    <w:tr2bl w:val="nil"/>
                  </w:tcBorders>
                  <w:vAlign w:val="center"/>
                </w:tcPr>
                <w:p w14:paraId="52A20B8C">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rFonts w:hint="eastAsia" w:eastAsia="宋体"/>
                      <w:color w:val="auto"/>
                      <w:sz w:val="21"/>
                      <w:szCs w:val="21"/>
                      <w:lang w:eastAsia="zh-CN"/>
                    </w:rPr>
                  </w:pPr>
                  <w:r>
                    <w:rPr>
                      <w:rFonts w:hint="eastAsia"/>
                      <w:color w:val="auto"/>
                      <w:sz w:val="21"/>
                      <w:szCs w:val="21"/>
                      <w:lang w:val="en-US" w:eastAsia="zh-CN"/>
                    </w:rPr>
                    <w:t>学校</w:t>
                  </w:r>
                </w:p>
              </w:tc>
              <w:tc>
                <w:tcPr>
                  <w:tcW w:w="720" w:type="dxa"/>
                  <w:tcBorders>
                    <w:tl2br w:val="nil"/>
                    <w:tr2bl w:val="nil"/>
                  </w:tcBorders>
                  <w:vAlign w:val="center"/>
                </w:tcPr>
                <w:p w14:paraId="565D889D">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color w:val="auto"/>
                      <w:sz w:val="21"/>
                      <w:szCs w:val="21"/>
                    </w:rPr>
                    <w:t>约</w:t>
                  </w:r>
                  <w:r>
                    <w:rPr>
                      <w:rFonts w:hint="eastAsia"/>
                      <w:color w:val="auto"/>
                      <w:sz w:val="21"/>
                      <w:szCs w:val="21"/>
                      <w:lang w:val="en-US" w:eastAsia="zh-CN"/>
                    </w:rPr>
                    <w:t>280</w:t>
                  </w:r>
                  <w:r>
                    <w:rPr>
                      <w:color w:val="auto"/>
                      <w:sz w:val="21"/>
                      <w:szCs w:val="21"/>
                    </w:rPr>
                    <w:t>人</w:t>
                  </w:r>
                </w:p>
              </w:tc>
              <w:tc>
                <w:tcPr>
                  <w:tcW w:w="564" w:type="dxa"/>
                  <w:tcBorders>
                    <w:tl2br w:val="nil"/>
                    <w:tr2bl w:val="nil"/>
                  </w:tcBorders>
                  <w:vAlign w:val="center"/>
                </w:tcPr>
                <w:p w14:paraId="23560377">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rFonts w:hint="eastAsia" w:eastAsia="宋体"/>
                      <w:color w:val="auto"/>
                      <w:sz w:val="21"/>
                      <w:szCs w:val="21"/>
                      <w:lang w:eastAsia="zh-CN"/>
                    </w:rPr>
                  </w:pPr>
                  <w:r>
                    <w:rPr>
                      <w:rFonts w:hint="eastAsia"/>
                      <w:color w:val="auto"/>
                      <w:sz w:val="21"/>
                      <w:szCs w:val="21"/>
                      <w:lang w:val="en-US" w:eastAsia="zh-CN"/>
                    </w:rPr>
                    <w:t>西北侧</w:t>
                  </w:r>
                </w:p>
              </w:tc>
              <w:tc>
                <w:tcPr>
                  <w:tcW w:w="682" w:type="dxa"/>
                  <w:tcBorders>
                    <w:tl2br w:val="nil"/>
                    <w:tr2bl w:val="nil"/>
                  </w:tcBorders>
                  <w:vAlign w:val="center"/>
                </w:tcPr>
                <w:p w14:paraId="0415B606">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392m</w:t>
                  </w:r>
                </w:p>
              </w:tc>
              <w:tc>
                <w:tcPr>
                  <w:tcW w:w="1525" w:type="dxa"/>
                  <w:vMerge w:val="restart"/>
                  <w:tcBorders>
                    <w:tl2br w:val="nil"/>
                    <w:tr2bl w:val="nil"/>
                  </w:tcBorders>
                  <w:vAlign w:val="center"/>
                </w:tcPr>
                <w:p w14:paraId="5C862B63">
                  <w:pPr>
                    <w:pStyle w:val="29"/>
                    <w:keepNext w:val="0"/>
                    <w:keepLines w:val="0"/>
                    <w:pageBreakBefore w:val="0"/>
                    <w:kinsoku/>
                    <w:wordWrap w:val="0"/>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rFonts w:eastAsia="宋体"/>
                      <w:color w:val="auto"/>
                      <w:sz w:val="21"/>
                      <w:szCs w:val="21"/>
                      <w:lang w:val="zh-CN"/>
                    </w:rPr>
                    <w:t>《环境空气质量标</w:t>
                  </w:r>
                  <w:r>
                    <w:rPr>
                      <w:rFonts w:hint="eastAsia" w:eastAsia="宋体"/>
                      <w:color w:val="auto"/>
                      <w:sz w:val="21"/>
                      <w:szCs w:val="21"/>
                      <w:lang w:val="zh-CN" w:eastAsia="zh-CN"/>
                    </w:rPr>
                    <w:t>准</w:t>
                  </w:r>
                  <w:r>
                    <w:rPr>
                      <w:rFonts w:eastAsia="宋体"/>
                      <w:color w:val="auto"/>
                      <w:sz w:val="21"/>
                      <w:szCs w:val="21"/>
                      <w:lang w:val="zh-CN"/>
                    </w:rPr>
                    <w:t>》（</w:t>
                  </w:r>
                  <w:r>
                    <w:rPr>
                      <w:rFonts w:hint="default" w:eastAsia="宋体"/>
                      <w:color w:val="auto"/>
                      <w:sz w:val="21"/>
                      <w:szCs w:val="21"/>
                      <w:lang w:val="en-US" w:eastAsia="zh-CN"/>
                    </w:rPr>
                    <w:t>GB3095-20</w:t>
                  </w:r>
                  <w:r>
                    <w:rPr>
                      <w:rFonts w:hint="eastAsia" w:eastAsia="宋体"/>
                      <w:color w:val="auto"/>
                      <w:sz w:val="21"/>
                      <w:szCs w:val="21"/>
                      <w:lang w:val="en-US" w:eastAsia="zh-CN"/>
                    </w:rPr>
                    <w:t>26</w:t>
                  </w:r>
                  <w:r>
                    <w:rPr>
                      <w:rFonts w:eastAsia="宋体"/>
                      <w:color w:val="auto"/>
                      <w:sz w:val="21"/>
                      <w:szCs w:val="21"/>
                      <w:lang w:val="zh-CN"/>
                    </w:rPr>
                    <w:t>）</w:t>
                  </w:r>
                  <w:r>
                    <w:rPr>
                      <w:rFonts w:hint="eastAsia" w:eastAsia="宋体"/>
                      <w:color w:val="auto"/>
                      <w:sz w:val="21"/>
                      <w:szCs w:val="21"/>
                      <w:lang w:val="en-US" w:eastAsia="zh-CN"/>
                    </w:rPr>
                    <w:t>表1</w:t>
                  </w:r>
                  <w:r>
                    <w:rPr>
                      <w:rFonts w:hint="eastAsia" w:eastAsia="宋体"/>
                      <w:color w:val="auto"/>
                      <w:sz w:val="21"/>
                      <w:szCs w:val="21"/>
                      <w:lang w:val="zh-CN"/>
                    </w:rPr>
                    <w:t>中过渡阶段浓度限值</w:t>
                  </w:r>
                  <w:r>
                    <w:rPr>
                      <w:rFonts w:eastAsia="宋体"/>
                      <w:color w:val="auto"/>
                      <w:sz w:val="21"/>
                      <w:szCs w:val="21"/>
                      <w:lang w:val="zh-CN"/>
                    </w:rPr>
                    <w:t>二级标准</w:t>
                  </w:r>
                </w:p>
              </w:tc>
            </w:tr>
            <w:tr w14:paraId="573F591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555" w:type="dxa"/>
                  <w:vMerge w:val="continue"/>
                  <w:tcBorders>
                    <w:tl2br w:val="nil"/>
                    <w:tr2bl w:val="nil"/>
                  </w:tcBorders>
                  <w:vAlign w:val="center"/>
                </w:tcPr>
                <w:p w14:paraId="50FF37FE">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p>
              </w:tc>
              <w:tc>
                <w:tcPr>
                  <w:tcW w:w="710" w:type="dxa"/>
                  <w:tcBorders>
                    <w:tl2br w:val="nil"/>
                    <w:tr2bl w:val="nil"/>
                  </w:tcBorders>
                  <w:vAlign w:val="center"/>
                </w:tcPr>
                <w:p w14:paraId="445C091E">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提古幼儿园</w:t>
                  </w:r>
                </w:p>
              </w:tc>
              <w:tc>
                <w:tcPr>
                  <w:tcW w:w="1578" w:type="dxa"/>
                  <w:tcBorders>
                    <w:tl2br w:val="nil"/>
                    <w:tr2bl w:val="nil"/>
                  </w:tcBorders>
                  <w:vAlign w:val="center"/>
                </w:tcPr>
                <w:p w14:paraId="138B50B2">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rFonts w:hint="eastAsia"/>
                      <w:color w:val="auto"/>
                      <w:sz w:val="21"/>
                      <w:szCs w:val="21"/>
                      <w:lang w:val="en-US" w:eastAsia="zh-CN"/>
                    </w:rPr>
                    <w:t>102</w:t>
                  </w:r>
                  <w:r>
                    <w:rPr>
                      <w:color w:val="auto"/>
                      <w:sz w:val="21"/>
                      <w:szCs w:val="21"/>
                    </w:rPr>
                    <w:t>°</w:t>
                  </w:r>
                  <w:r>
                    <w:rPr>
                      <w:rFonts w:hint="eastAsia"/>
                      <w:color w:val="auto"/>
                      <w:sz w:val="21"/>
                      <w:szCs w:val="21"/>
                      <w:lang w:val="en-US" w:eastAsia="zh-CN"/>
                    </w:rPr>
                    <w:t>50</w:t>
                  </w:r>
                  <w:r>
                    <w:rPr>
                      <w:color w:val="auto"/>
                      <w:sz w:val="21"/>
                      <w:szCs w:val="21"/>
                    </w:rPr>
                    <w:t>′</w:t>
                  </w:r>
                  <w:r>
                    <w:rPr>
                      <w:rFonts w:hint="eastAsia"/>
                      <w:color w:val="auto"/>
                      <w:sz w:val="21"/>
                      <w:szCs w:val="21"/>
                      <w:lang w:val="en-US" w:eastAsia="zh-CN"/>
                    </w:rPr>
                    <w:t>59.234</w:t>
                  </w:r>
                  <w:r>
                    <w:rPr>
                      <w:color w:val="auto"/>
                      <w:sz w:val="21"/>
                      <w:szCs w:val="21"/>
                    </w:rPr>
                    <w:t>″</w:t>
                  </w:r>
                </w:p>
              </w:tc>
              <w:tc>
                <w:tcPr>
                  <w:tcW w:w="1530" w:type="dxa"/>
                  <w:tcBorders>
                    <w:tl2br w:val="nil"/>
                    <w:tr2bl w:val="nil"/>
                  </w:tcBorders>
                  <w:vAlign w:val="center"/>
                </w:tcPr>
                <w:p w14:paraId="6478645E">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rFonts w:hint="eastAsia"/>
                      <w:color w:val="auto"/>
                      <w:sz w:val="21"/>
                      <w:szCs w:val="21"/>
                    </w:rPr>
                    <w:t>24</w:t>
                  </w:r>
                  <w:r>
                    <w:rPr>
                      <w:color w:val="auto"/>
                      <w:sz w:val="21"/>
                      <w:szCs w:val="21"/>
                    </w:rPr>
                    <w:t>°</w:t>
                  </w:r>
                  <w:r>
                    <w:rPr>
                      <w:rFonts w:hint="eastAsia"/>
                      <w:color w:val="auto"/>
                      <w:sz w:val="21"/>
                      <w:szCs w:val="21"/>
                      <w:lang w:val="en-US" w:eastAsia="zh-CN"/>
                    </w:rPr>
                    <w:t>44</w:t>
                  </w:r>
                  <w:r>
                    <w:rPr>
                      <w:color w:val="auto"/>
                      <w:sz w:val="21"/>
                      <w:szCs w:val="21"/>
                    </w:rPr>
                    <w:t>′</w:t>
                  </w:r>
                  <w:r>
                    <w:rPr>
                      <w:rFonts w:hint="eastAsia"/>
                      <w:color w:val="auto"/>
                      <w:sz w:val="21"/>
                      <w:szCs w:val="21"/>
                      <w:lang w:val="en-US" w:eastAsia="zh-CN"/>
                    </w:rPr>
                    <w:t>36.611</w:t>
                  </w:r>
                  <w:r>
                    <w:rPr>
                      <w:color w:val="auto"/>
                      <w:sz w:val="21"/>
                      <w:szCs w:val="21"/>
                    </w:rPr>
                    <w:t>″</w:t>
                  </w:r>
                </w:p>
              </w:tc>
              <w:tc>
                <w:tcPr>
                  <w:tcW w:w="660" w:type="dxa"/>
                  <w:tcBorders>
                    <w:tl2br w:val="nil"/>
                    <w:tr2bl w:val="nil"/>
                  </w:tcBorders>
                  <w:vAlign w:val="center"/>
                </w:tcPr>
                <w:p w14:paraId="1F343BEF">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rFonts w:hint="eastAsia"/>
                      <w:color w:val="auto"/>
                      <w:sz w:val="21"/>
                      <w:szCs w:val="21"/>
                    </w:rPr>
                    <w:t>学校</w:t>
                  </w:r>
                </w:p>
              </w:tc>
              <w:tc>
                <w:tcPr>
                  <w:tcW w:w="720" w:type="dxa"/>
                  <w:tcBorders>
                    <w:tl2br w:val="nil"/>
                    <w:tr2bl w:val="nil"/>
                  </w:tcBorders>
                  <w:vAlign w:val="center"/>
                </w:tcPr>
                <w:p w14:paraId="18AFA1A6">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color w:val="auto"/>
                      <w:sz w:val="21"/>
                      <w:szCs w:val="21"/>
                    </w:rPr>
                    <w:t>约</w:t>
                  </w:r>
                  <w:r>
                    <w:rPr>
                      <w:rFonts w:hint="eastAsia"/>
                      <w:color w:val="auto"/>
                      <w:sz w:val="21"/>
                      <w:szCs w:val="21"/>
                    </w:rPr>
                    <w:t>200</w:t>
                  </w:r>
                  <w:r>
                    <w:rPr>
                      <w:color w:val="auto"/>
                      <w:sz w:val="21"/>
                      <w:szCs w:val="21"/>
                    </w:rPr>
                    <w:t>人</w:t>
                  </w:r>
                </w:p>
              </w:tc>
              <w:tc>
                <w:tcPr>
                  <w:tcW w:w="564" w:type="dxa"/>
                  <w:tcBorders>
                    <w:tl2br w:val="nil"/>
                    <w:tr2bl w:val="nil"/>
                  </w:tcBorders>
                  <w:vAlign w:val="center"/>
                </w:tcPr>
                <w:p w14:paraId="766809C9">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rFonts w:hint="eastAsia" w:eastAsia="宋体"/>
                      <w:color w:val="auto"/>
                      <w:sz w:val="21"/>
                      <w:szCs w:val="21"/>
                      <w:lang w:eastAsia="zh-CN"/>
                    </w:rPr>
                  </w:pPr>
                  <w:r>
                    <w:rPr>
                      <w:rFonts w:hint="eastAsia"/>
                      <w:color w:val="auto"/>
                      <w:sz w:val="21"/>
                      <w:szCs w:val="21"/>
                      <w:lang w:val="en-US" w:eastAsia="zh-CN"/>
                    </w:rPr>
                    <w:t>西北侧</w:t>
                  </w:r>
                </w:p>
              </w:tc>
              <w:tc>
                <w:tcPr>
                  <w:tcW w:w="682" w:type="dxa"/>
                  <w:tcBorders>
                    <w:tl2br w:val="nil"/>
                    <w:tr2bl w:val="nil"/>
                  </w:tcBorders>
                  <w:vAlign w:val="center"/>
                </w:tcPr>
                <w:p w14:paraId="45276607">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rFonts w:hint="eastAsia"/>
                      <w:color w:val="auto"/>
                      <w:sz w:val="21"/>
                      <w:szCs w:val="21"/>
                      <w:lang w:val="en-US" w:eastAsia="zh-CN"/>
                    </w:rPr>
                    <w:t>451</w:t>
                  </w:r>
                  <w:r>
                    <w:rPr>
                      <w:rFonts w:hint="eastAsia"/>
                      <w:color w:val="auto"/>
                      <w:sz w:val="21"/>
                      <w:szCs w:val="21"/>
                    </w:rPr>
                    <w:t>m</w:t>
                  </w:r>
                </w:p>
              </w:tc>
              <w:tc>
                <w:tcPr>
                  <w:tcW w:w="1525" w:type="dxa"/>
                  <w:vMerge w:val="continue"/>
                  <w:tcBorders>
                    <w:tl2br w:val="nil"/>
                    <w:tr2bl w:val="nil"/>
                  </w:tcBorders>
                  <w:vAlign w:val="center"/>
                </w:tcPr>
                <w:p w14:paraId="325DF01A">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p>
              </w:tc>
            </w:tr>
            <w:tr w14:paraId="6166318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555" w:type="dxa"/>
                  <w:vMerge w:val="continue"/>
                  <w:tcBorders>
                    <w:tl2br w:val="nil"/>
                    <w:tr2bl w:val="nil"/>
                  </w:tcBorders>
                  <w:vAlign w:val="center"/>
                </w:tcPr>
                <w:p w14:paraId="6C423CC8">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p>
              </w:tc>
              <w:tc>
                <w:tcPr>
                  <w:tcW w:w="710" w:type="dxa"/>
                  <w:tcBorders>
                    <w:tl2br w:val="nil"/>
                    <w:tr2bl w:val="nil"/>
                  </w:tcBorders>
                  <w:vAlign w:val="center"/>
                </w:tcPr>
                <w:p w14:paraId="0EB957AA">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rFonts w:hint="eastAsia"/>
                      <w:color w:val="auto"/>
                      <w:sz w:val="21"/>
                      <w:szCs w:val="21"/>
                      <w:lang w:val="en-US" w:eastAsia="zh-CN"/>
                    </w:rPr>
                    <w:t>提古村</w:t>
                  </w:r>
                </w:p>
              </w:tc>
              <w:tc>
                <w:tcPr>
                  <w:tcW w:w="1578" w:type="dxa"/>
                  <w:tcBorders>
                    <w:tl2br w:val="nil"/>
                    <w:tr2bl w:val="nil"/>
                  </w:tcBorders>
                  <w:vAlign w:val="center"/>
                </w:tcPr>
                <w:p w14:paraId="4864E278">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rFonts w:hint="eastAsia"/>
                      <w:color w:val="auto"/>
                      <w:sz w:val="21"/>
                      <w:szCs w:val="21"/>
                      <w:lang w:val="en-US" w:eastAsia="zh-CN"/>
                    </w:rPr>
                    <w:t>102</w:t>
                  </w:r>
                  <w:r>
                    <w:rPr>
                      <w:color w:val="auto"/>
                      <w:sz w:val="21"/>
                      <w:szCs w:val="21"/>
                    </w:rPr>
                    <w:t>°</w:t>
                  </w:r>
                  <w:r>
                    <w:rPr>
                      <w:rFonts w:hint="eastAsia"/>
                      <w:color w:val="auto"/>
                      <w:sz w:val="21"/>
                      <w:szCs w:val="21"/>
                      <w:lang w:val="en-US" w:eastAsia="zh-CN"/>
                    </w:rPr>
                    <w:t>50</w:t>
                  </w:r>
                  <w:r>
                    <w:rPr>
                      <w:color w:val="auto"/>
                      <w:sz w:val="21"/>
                      <w:szCs w:val="21"/>
                    </w:rPr>
                    <w:t>′</w:t>
                  </w:r>
                  <w:r>
                    <w:rPr>
                      <w:rFonts w:hint="eastAsia"/>
                      <w:color w:val="auto"/>
                      <w:sz w:val="21"/>
                      <w:szCs w:val="21"/>
                      <w:lang w:val="en-US" w:eastAsia="zh-CN"/>
                    </w:rPr>
                    <w:t>58.461</w:t>
                  </w:r>
                  <w:r>
                    <w:rPr>
                      <w:color w:val="auto"/>
                      <w:sz w:val="21"/>
                      <w:szCs w:val="21"/>
                    </w:rPr>
                    <w:t>″</w:t>
                  </w:r>
                </w:p>
              </w:tc>
              <w:tc>
                <w:tcPr>
                  <w:tcW w:w="1530" w:type="dxa"/>
                  <w:tcBorders>
                    <w:tl2br w:val="nil"/>
                    <w:tr2bl w:val="nil"/>
                  </w:tcBorders>
                  <w:vAlign w:val="center"/>
                </w:tcPr>
                <w:p w14:paraId="09F97BEE">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rFonts w:hint="eastAsia"/>
                      <w:color w:val="auto"/>
                      <w:sz w:val="21"/>
                      <w:szCs w:val="21"/>
                    </w:rPr>
                    <w:t>24</w:t>
                  </w:r>
                  <w:r>
                    <w:rPr>
                      <w:color w:val="auto"/>
                      <w:sz w:val="21"/>
                      <w:szCs w:val="21"/>
                    </w:rPr>
                    <w:t>°</w:t>
                  </w:r>
                  <w:r>
                    <w:rPr>
                      <w:rFonts w:hint="eastAsia"/>
                      <w:color w:val="auto"/>
                      <w:sz w:val="21"/>
                      <w:szCs w:val="21"/>
                      <w:lang w:val="en-US" w:eastAsia="zh-CN"/>
                    </w:rPr>
                    <w:t>44</w:t>
                  </w:r>
                  <w:r>
                    <w:rPr>
                      <w:color w:val="auto"/>
                      <w:sz w:val="21"/>
                      <w:szCs w:val="21"/>
                    </w:rPr>
                    <w:t>′</w:t>
                  </w:r>
                  <w:r>
                    <w:rPr>
                      <w:rFonts w:hint="eastAsia"/>
                      <w:color w:val="auto"/>
                      <w:sz w:val="21"/>
                      <w:szCs w:val="21"/>
                      <w:lang w:val="en-US" w:eastAsia="zh-CN"/>
                    </w:rPr>
                    <w:t>37.576</w:t>
                  </w:r>
                  <w:r>
                    <w:rPr>
                      <w:color w:val="auto"/>
                      <w:sz w:val="21"/>
                      <w:szCs w:val="21"/>
                    </w:rPr>
                    <w:t>″</w:t>
                  </w:r>
                </w:p>
              </w:tc>
              <w:tc>
                <w:tcPr>
                  <w:tcW w:w="660" w:type="dxa"/>
                  <w:tcBorders>
                    <w:tl2br w:val="nil"/>
                    <w:tr2bl w:val="nil"/>
                  </w:tcBorders>
                  <w:vAlign w:val="center"/>
                </w:tcPr>
                <w:p w14:paraId="46F1849E">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rFonts w:hint="eastAsia"/>
                      <w:color w:val="auto"/>
                      <w:sz w:val="21"/>
                      <w:szCs w:val="21"/>
                    </w:rPr>
                    <w:t>居民区</w:t>
                  </w:r>
                </w:p>
              </w:tc>
              <w:tc>
                <w:tcPr>
                  <w:tcW w:w="720" w:type="dxa"/>
                  <w:tcBorders>
                    <w:tl2br w:val="nil"/>
                    <w:tr2bl w:val="nil"/>
                  </w:tcBorders>
                  <w:vAlign w:val="center"/>
                </w:tcPr>
                <w:p w14:paraId="41426739">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rFonts w:hint="eastAsia"/>
                      <w:color w:val="auto"/>
                      <w:sz w:val="21"/>
                      <w:szCs w:val="21"/>
                    </w:rPr>
                    <w:t>约</w:t>
                  </w:r>
                  <w:r>
                    <w:rPr>
                      <w:rFonts w:hint="eastAsia"/>
                      <w:color w:val="auto"/>
                      <w:sz w:val="21"/>
                      <w:szCs w:val="21"/>
                      <w:lang w:val="en-US" w:eastAsia="zh-CN"/>
                    </w:rPr>
                    <w:t>200户，800</w:t>
                  </w:r>
                  <w:r>
                    <w:rPr>
                      <w:rFonts w:hint="eastAsia"/>
                      <w:color w:val="auto"/>
                      <w:sz w:val="21"/>
                      <w:szCs w:val="21"/>
                    </w:rPr>
                    <w:t>人</w:t>
                  </w:r>
                </w:p>
              </w:tc>
              <w:tc>
                <w:tcPr>
                  <w:tcW w:w="564" w:type="dxa"/>
                  <w:tcBorders>
                    <w:tl2br w:val="nil"/>
                    <w:tr2bl w:val="nil"/>
                  </w:tcBorders>
                  <w:vAlign w:val="center"/>
                </w:tcPr>
                <w:p w14:paraId="34F23DE1">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rFonts w:hint="eastAsia"/>
                      <w:color w:val="auto"/>
                      <w:sz w:val="21"/>
                      <w:szCs w:val="21"/>
                      <w:lang w:val="en-US" w:eastAsia="zh-CN"/>
                    </w:rPr>
                    <w:t>西</w:t>
                  </w:r>
                  <w:r>
                    <w:rPr>
                      <w:rFonts w:hint="eastAsia"/>
                      <w:color w:val="auto"/>
                      <w:sz w:val="21"/>
                      <w:szCs w:val="21"/>
                    </w:rPr>
                    <w:t>北侧</w:t>
                  </w:r>
                </w:p>
              </w:tc>
              <w:tc>
                <w:tcPr>
                  <w:tcW w:w="682" w:type="dxa"/>
                  <w:tcBorders>
                    <w:tl2br w:val="nil"/>
                    <w:tr2bl w:val="nil"/>
                  </w:tcBorders>
                  <w:vAlign w:val="center"/>
                </w:tcPr>
                <w:p w14:paraId="293730A0">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rFonts w:hint="eastAsia"/>
                      <w:color w:val="auto"/>
                      <w:sz w:val="21"/>
                      <w:szCs w:val="21"/>
                      <w:lang w:val="en-US" w:eastAsia="zh-CN"/>
                    </w:rPr>
                    <w:t>320</w:t>
                  </w:r>
                  <w:r>
                    <w:rPr>
                      <w:rFonts w:hint="eastAsia"/>
                      <w:color w:val="auto"/>
                      <w:sz w:val="21"/>
                      <w:szCs w:val="21"/>
                    </w:rPr>
                    <w:t>m</w:t>
                  </w:r>
                </w:p>
              </w:tc>
              <w:tc>
                <w:tcPr>
                  <w:tcW w:w="1525" w:type="dxa"/>
                  <w:vMerge w:val="continue"/>
                  <w:tcBorders>
                    <w:tl2br w:val="nil"/>
                    <w:tr2bl w:val="nil"/>
                  </w:tcBorders>
                  <w:vAlign w:val="center"/>
                </w:tcPr>
                <w:p w14:paraId="6A1DF8A8">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p>
              </w:tc>
            </w:tr>
            <w:tr w14:paraId="66AFCEF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555" w:type="dxa"/>
                  <w:tcBorders>
                    <w:tl2br w:val="nil"/>
                    <w:tr2bl w:val="nil"/>
                  </w:tcBorders>
                  <w:vAlign w:val="center"/>
                </w:tcPr>
                <w:p w14:paraId="1F190759">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color w:val="auto"/>
                      <w:sz w:val="21"/>
                      <w:szCs w:val="21"/>
                    </w:rPr>
                    <w:t>地表水</w:t>
                  </w:r>
                </w:p>
              </w:tc>
              <w:tc>
                <w:tcPr>
                  <w:tcW w:w="710" w:type="dxa"/>
                  <w:tcBorders>
                    <w:tl2br w:val="nil"/>
                    <w:tr2bl w:val="nil"/>
                  </w:tcBorders>
                  <w:vAlign w:val="center"/>
                </w:tcPr>
                <w:p w14:paraId="639C41B3">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梁王河集水区</w:t>
                  </w:r>
                </w:p>
              </w:tc>
              <w:tc>
                <w:tcPr>
                  <w:tcW w:w="1578" w:type="dxa"/>
                  <w:tcBorders>
                    <w:tl2br w:val="nil"/>
                    <w:tr2bl w:val="nil"/>
                  </w:tcBorders>
                  <w:vAlign w:val="center"/>
                </w:tcPr>
                <w:p w14:paraId="1D36C42D">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color w:val="auto"/>
                      <w:sz w:val="21"/>
                      <w:szCs w:val="21"/>
                    </w:rPr>
                    <w:t>/</w:t>
                  </w:r>
                </w:p>
              </w:tc>
              <w:tc>
                <w:tcPr>
                  <w:tcW w:w="1530" w:type="dxa"/>
                  <w:tcBorders>
                    <w:tl2br w:val="nil"/>
                    <w:tr2bl w:val="nil"/>
                  </w:tcBorders>
                  <w:vAlign w:val="center"/>
                </w:tcPr>
                <w:p w14:paraId="08821822">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color w:val="auto"/>
                      <w:sz w:val="21"/>
                      <w:szCs w:val="21"/>
                    </w:rPr>
                    <w:t>/</w:t>
                  </w:r>
                </w:p>
              </w:tc>
              <w:tc>
                <w:tcPr>
                  <w:tcW w:w="660" w:type="dxa"/>
                  <w:tcBorders>
                    <w:tl2br w:val="nil"/>
                    <w:tr2bl w:val="nil"/>
                  </w:tcBorders>
                  <w:vAlign w:val="center"/>
                </w:tcPr>
                <w:p w14:paraId="2A3D46E8">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color w:val="auto"/>
                      <w:sz w:val="21"/>
                      <w:szCs w:val="21"/>
                    </w:rPr>
                    <w:t>/</w:t>
                  </w:r>
                </w:p>
              </w:tc>
              <w:tc>
                <w:tcPr>
                  <w:tcW w:w="720" w:type="dxa"/>
                  <w:tcBorders>
                    <w:tl2br w:val="nil"/>
                    <w:tr2bl w:val="nil"/>
                  </w:tcBorders>
                  <w:vAlign w:val="center"/>
                </w:tcPr>
                <w:p w14:paraId="227A2348">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color w:val="auto"/>
                      <w:sz w:val="21"/>
                      <w:szCs w:val="21"/>
                    </w:rPr>
                    <w:t>/</w:t>
                  </w:r>
                </w:p>
              </w:tc>
              <w:tc>
                <w:tcPr>
                  <w:tcW w:w="564" w:type="dxa"/>
                  <w:tcBorders>
                    <w:tl2br w:val="nil"/>
                    <w:tr2bl w:val="nil"/>
                  </w:tcBorders>
                  <w:vAlign w:val="center"/>
                </w:tcPr>
                <w:p w14:paraId="5F18B42A">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rFonts w:hint="eastAsia" w:eastAsia="宋体"/>
                      <w:color w:val="auto"/>
                      <w:sz w:val="21"/>
                      <w:szCs w:val="21"/>
                      <w:lang w:eastAsia="zh-CN"/>
                    </w:rPr>
                  </w:pPr>
                  <w:r>
                    <w:rPr>
                      <w:rFonts w:hint="eastAsia"/>
                      <w:color w:val="auto"/>
                      <w:sz w:val="21"/>
                      <w:szCs w:val="21"/>
                      <w:lang w:val="en-US" w:eastAsia="zh-CN"/>
                    </w:rPr>
                    <w:t>东南侧</w:t>
                  </w:r>
                </w:p>
              </w:tc>
              <w:tc>
                <w:tcPr>
                  <w:tcW w:w="682" w:type="dxa"/>
                  <w:tcBorders>
                    <w:tl2br w:val="nil"/>
                    <w:tr2bl w:val="nil"/>
                  </w:tcBorders>
                  <w:vAlign w:val="center"/>
                </w:tcPr>
                <w:p w14:paraId="321F1735">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6160m</w:t>
                  </w:r>
                </w:p>
              </w:tc>
              <w:tc>
                <w:tcPr>
                  <w:tcW w:w="1525" w:type="dxa"/>
                  <w:tcBorders>
                    <w:tl2br w:val="nil"/>
                    <w:tr2bl w:val="nil"/>
                  </w:tcBorders>
                  <w:vAlign w:val="center"/>
                </w:tcPr>
                <w:p w14:paraId="63AC4D55">
                  <w:pPr>
                    <w:pStyle w:val="29"/>
                    <w:keepNext w:val="0"/>
                    <w:keepLines w:val="0"/>
                    <w:pageBreakBefore w:val="0"/>
                    <w:kinsoku/>
                    <w:overflowPunct/>
                    <w:topLinePunct w:val="0"/>
                    <w:autoSpaceDE/>
                    <w:autoSpaceDN/>
                    <w:bidi w:val="0"/>
                    <w:adjustRightInd w:val="0"/>
                    <w:snapToGrid w:val="0"/>
                    <w:spacing w:after="0"/>
                    <w:ind w:left="0" w:leftChars="0" w:firstLine="0" w:firstLineChars="0"/>
                    <w:jc w:val="center"/>
                    <w:textAlignment w:val="auto"/>
                    <w:rPr>
                      <w:color w:val="auto"/>
                      <w:sz w:val="21"/>
                      <w:szCs w:val="21"/>
                    </w:rPr>
                  </w:pPr>
                  <w:r>
                    <w:rPr>
                      <w:color w:val="auto"/>
                      <w:sz w:val="21"/>
                      <w:szCs w:val="21"/>
                      <w:lang w:val="zh-CN"/>
                    </w:rPr>
                    <w:t>《地表水环境质量标准》</w:t>
                  </w:r>
                  <w:r>
                    <w:rPr>
                      <w:color w:val="auto"/>
                      <w:kern w:val="0"/>
                      <w:sz w:val="21"/>
                      <w:szCs w:val="21"/>
                      <w:lang w:val="zh-CN"/>
                    </w:rPr>
                    <w:t>（GB3838-2002）中Ⅲ类标准</w:t>
                  </w:r>
                </w:p>
              </w:tc>
            </w:tr>
          </w:tbl>
          <w:p w14:paraId="349CE549">
            <w:pPr>
              <w:pStyle w:val="12"/>
              <w:spacing w:line="360" w:lineRule="auto"/>
              <w:ind w:firstLine="420" w:firstLineChars="200"/>
              <w:rPr>
                <w:color w:val="auto"/>
                <w:kern w:val="0"/>
                <w:szCs w:val="21"/>
              </w:rPr>
            </w:pPr>
          </w:p>
        </w:tc>
      </w:tr>
      <w:tr w14:paraId="6AA19E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75" w:type="dxa"/>
            <w:tcMar>
              <w:left w:w="28" w:type="dxa"/>
              <w:right w:w="28" w:type="dxa"/>
            </w:tcMar>
            <w:vAlign w:val="center"/>
          </w:tcPr>
          <w:p w14:paraId="26C0D2E8">
            <w:pPr>
              <w:adjustRightInd w:val="0"/>
              <w:snapToGrid w:val="0"/>
              <w:jc w:val="center"/>
              <w:rPr>
                <w:color w:val="auto"/>
                <w:kern w:val="0"/>
                <w:sz w:val="24"/>
              </w:rPr>
            </w:pPr>
            <w:r>
              <w:rPr>
                <w:color w:val="auto"/>
                <w:kern w:val="0"/>
                <w:sz w:val="24"/>
              </w:rPr>
              <w:t>污染</w:t>
            </w:r>
          </w:p>
          <w:p w14:paraId="0EE2376C">
            <w:pPr>
              <w:adjustRightInd w:val="0"/>
              <w:snapToGrid w:val="0"/>
              <w:jc w:val="center"/>
              <w:rPr>
                <w:color w:val="auto"/>
                <w:kern w:val="0"/>
                <w:sz w:val="24"/>
              </w:rPr>
            </w:pPr>
            <w:r>
              <w:rPr>
                <w:color w:val="auto"/>
                <w:kern w:val="0"/>
                <w:sz w:val="24"/>
              </w:rPr>
              <w:t>物排</w:t>
            </w:r>
          </w:p>
          <w:p w14:paraId="16D4E93B">
            <w:pPr>
              <w:adjustRightInd w:val="0"/>
              <w:snapToGrid w:val="0"/>
              <w:jc w:val="center"/>
              <w:rPr>
                <w:color w:val="auto"/>
                <w:kern w:val="0"/>
                <w:sz w:val="24"/>
              </w:rPr>
            </w:pPr>
            <w:r>
              <w:rPr>
                <w:color w:val="auto"/>
                <w:kern w:val="0"/>
                <w:sz w:val="24"/>
              </w:rPr>
              <w:t>放控</w:t>
            </w:r>
          </w:p>
          <w:p w14:paraId="2182A692">
            <w:pPr>
              <w:adjustRightInd w:val="0"/>
              <w:snapToGrid w:val="0"/>
              <w:jc w:val="center"/>
              <w:rPr>
                <w:color w:val="auto"/>
                <w:kern w:val="0"/>
                <w:sz w:val="24"/>
              </w:rPr>
            </w:pPr>
            <w:r>
              <w:rPr>
                <w:color w:val="auto"/>
                <w:kern w:val="0"/>
                <w:sz w:val="24"/>
              </w:rPr>
              <w:t>制标</w:t>
            </w:r>
          </w:p>
          <w:p w14:paraId="75800826">
            <w:pPr>
              <w:adjustRightInd w:val="0"/>
              <w:snapToGrid w:val="0"/>
              <w:jc w:val="center"/>
              <w:rPr>
                <w:color w:val="auto"/>
                <w:kern w:val="0"/>
                <w:sz w:val="24"/>
              </w:rPr>
            </w:pPr>
            <w:r>
              <w:rPr>
                <w:color w:val="auto"/>
                <w:kern w:val="0"/>
                <w:sz w:val="24"/>
              </w:rPr>
              <w:t>准</w:t>
            </w:r>
          </w:p>
        </w:tc>
        <w:tc>
          <w:tcPr>
            <w:tcW w:w="8686" w:type="dxa"/>
            <w:vAlign w:val="center"/>
          </w:tcPr>
          <w:p w14:paraId="5B45A791">
            <w:pPr>
              <w:pStyle w:val="17"/>
              <w:adjustRightInd w:val="0"/>
              <w:snapToGrid w:val="0"/>
              <w:spacing w:line="360" w:lineRule="auto"/>
              <w:ind w:firstLine="482" w:firstLineChars="200"/>
              <w:rPr>
                <w:rFonts w:ascii="Times New Roman" w:hAnsi="Times New Roman"/>
                <w:b/>
                <w:bCs/>
                <w:color w:val="auto"/>
                <w:sz w:val="24"/>
              </w:rPr>
            </w:pPr>
            <w:r>
              <w:rPr>
                <w:rFonts w:ascii="Times New Roman" w:hAnsi="Times New Roman"/>
                <w:b/>
                <w:bCs/>
                <w:color w:val="auto"/>
                <w:sz w:val="24"/>
              </w:rPr>
              <w:t>1、废气</w:t>
            </w:r>
          </w:p>
          <w:p w14:paraId="447406B1">
            <w:pPr>
              <w:adjustRightInd w:val="0"/>
              <w:snapToGrid w:val="0"/>
              <w:spacing w:line="360" w:lineRule="auto"/>
              <w:ind w:firstLine="480" w:firstLineChars="200"/>
              <w:rPr>
                <w:color w:val="auto"/>
                <w:sz w:val="24"/>
              </w:rPr>
            </w:pPr>
            <w:r>
              <w:rPr>
                <w:color w:val="auto"/>
                <w:sz w:val="24"/>
              </w:rPr>
              <w:t>（1）施工期</w:t>
            </w:r>
          </w:p>
          <w:p w14:paraId="5CBD69BD">
            <w:pPr>
              <w:spacing w:line="360" w:lineRule="auto"/>
              <w:ind w:firstLine="480"/>
              <w:rPr>
                <w:b/>
                <w:color w:val="auto"/>
                <w:sz w:val="24"/>
              </w:rPr>
            </w:pPr>
            <w:r>
              <w:rPr>
                <w:color w:val="auto"/>
                <w:sz w:val="24"/>
              </w:rPr>
              <w:t>施工期无组织粉尘执行《大气污染物综合排放标准》（GB16297-1996）表2中颗粒物无组织排放监控浓度限值要求。</w:t>
            </w:r>
          </w:p>
          <w:p w14:paraId="51BC505B">
            <w:pPr>
              <w:jc w:val="center"/>
              <w:rPr>
                <w:b/>
                <w:bCs/>
                <w:color w:val="auto"/>
                <w:szCs w:val="21"/>
              </w:rPr>
            </w:pPr>
            <w:r>
              <w:rPr>
                <w:b/>
                <w:bCs/>
                <w:color w:val="auto"/>
                <w:szCs w:val="21"/>
              </w:rPr>
              <w:t>表3-</w:t>
            </w:r>
            <w:r>
              <w:rPr>
                <w:rFonts w:hint="eastAsia"/>
                <w:b/>
                <w:bCs/>
                <w:color w:val="auto"/>
                <w:szCs w:val="21"/>
                <w:lang w:val="en-US" w:eastAsia="zh-CN"/>
              </w:rPr>
              <w:t>5</w:t>
            </w:r>
            <w:r>
              <w:rPr>
                <w:b/>
                <w:bCs/>
                <w:color w:val="auto"/>
                <w:szCs w:val="21"/>
              </w:rPr>
              <w:t xml:space="preserve">   无组织颗粒物排放标准</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6"/>
              <w:gridCol w:w="2682"/>
              <w:gridCol w:w="3500"/>
            </w:tblGrid>
            <w:tr w14:paraId="2C07F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1345" w:type="pct"/>
                  <w:vMerge w:val="restart"/>
                  <w:vAlign w:val="center"/>
                </w:tcPr>
                <w:p w14:paraId="0647B1AD">
                  <w:pPr>
                    <w:jc w:val="center"/>
                    <w:rPr>
                      <w:b/>
                      <w:bCs/>
                      <w:color w:val="auto"/>
                    </w:rPr>
                  </w:pPr>
                  <w:r>
                    <w:rPr>
                      <w:b/>
                      <w:bCs/>
                      <w:color w:val="auto"/>
                    </w:rPr>
                    <w:t>污染物</w:t>
                  </w:r>
                </w:p>
              </w:tc>
              <w:tc>
                <w:tcPr>
                  <w:tcW w:w="3654" w:type="pct"/>
                  <w:gridSpan w:val="2"/>
                  <w:vAlign w:val="center"/>
                </w:tcPr>
                <w:p w14:paraId="0572EEA3">
                  <w:pPr>
                    <w:jc w:val="center"/>
                    <w:rPr>
                      <w:b/>
                      <w:bCs/>
                      <w:color w:val="auto"/>
                    </w:rPr>
                  </w:pPr>
                  <w:r>
                    <w:rPr>
                      <w:b/>
                      <w:bCs/>
                      <w:color w:val="auto"/>
                    </w:rPr>
                    <w:t>无组织排放监控浓度限值</w:t>
                  </w:r>
                </w:p>
              </w:tc>
            </w:tr>
            <w:tr w14:paraId="54BB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345" w:type="pct"/>
                  <w:vMerge w:val="continue"/>
                  <w:vAlign w:val="center"/>
                </w:tcPr>
                <w:p w14:paraId="58FE200C">
                  <w:pPr>
                    <w:jc w:val="center"/>
                    <w:rPr>
                      <w:b/>
                      <w:bCs/>
                      <w:color w:val="auto"/>
                    </w:rPr>
                  </w:pPr>
                </w:p>
              </w:tc>
              <w:tc>
                <w:tcPr>
                  <w:tcW w:w="1585" w:type="pct"/>
                  <w:vAlign w:val="center"/>
                </w:tcPr>
                <w:p w14:paraId="59E1C45A">
                  <w:pPr>
                    <w:jc w:val="center"/>
                    <w:rPr>
                      <w:b/>
                      <w:bCs/>
                      <w:color w:val="auto"/>
                    </w:rPr>
                  </w:pPr>
                  <w:r>
                    <w:rPr>
                      <w:b/>
                      <w:bCs/>
                      <w:color w:val="auto"/>
                    </w:rPr>
                    <w:t>监控点</w:t>
                  </w:r>
                </w:p>
              </w:tc>
              <w:tc>
                <w:tcPr>
                  <w:tcW w:w="2068" w:type="pct"/>
                  <w:vAlign w:val="center"/>
                </w:tcPr>
                <w:p w14:paraId="1AB0A098">
                  <w:pPr>
                    <w:jc w:val="center"/>
                    <w:rPr>
                      <w:b/>
                      <w:bCs/>
                      <w:color w:val="auto"/>
                    </w:rPr>
                  </w:pPr>
                  <w:r>
                    <w:rPr>
                      <w:b/>
                      <w:bCs/>
                      <w:color w:val="auto"/>
                    </w:rPr>
                    <w:t>浓度（mg/m</w:t>
                  </w:r>
                  <w:r>
                    <w:rPr>
                      <w:b/>
                      <w:bCs/>
                      <w:color w:val="auto"/>
                      <w:vertAlign w:val="superscript"/>
                    </w:rPr>
                    <w:t>3</w:t>
                  </w:r>
                  <w:r>
                    <w:rPr>
                      <w:b/>
                      <w:bCs/>
                      <w:color w:val="auto"/>
                    </w:rPr>
                    <w:t>）</w:t>
                  </w:r>
                </w:p>
              </w:tc>
            </w:tr>
            <w:tr w14:paraId="538F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45" w:type="pct"/>
                  <w:vAlign w:val="center"/>
                </w:tcPr>
                <w:p w14:paraId="1FFDE53B">
                  <w:pPr>
                    <w:jc w:val="center"/>
                    <w:rPr>
                      <w:color w:val="auto"/>
                    </w:rPr>
                  </w:pPr>
                  <w:r>
                    <w:rPr>
                      <w:color w:val="auto"/>
                    </w:rPr>
                    <w:t>颗粒物</w:t>
                  </w:r>
                </w:p>
              </w:tc>
              <w:tc>
                <w:tcPr>
                  <w:tcW w:w="1585" w:type="pct"/>
                  <w:vAlign w:val="center"/>
                </w:tcPr>
                <w:p w14:paraId="1DEE7054">
                  <w:pPr>
                    <w:jc w:val="center"/>
                    <w:rPr>
                      <w:color w:val="auto"/>
                    </w:rPr>
                  </w:pPr>
                  <w:r>
                    <w:rPr>
                      <w:color w:val="auto"/>
                    </w:rPr>
                    <w:t>周界外浓度最高点</w:t>
                  </w:r>
                </w:p>
              </w:tc>
              <w:tc>
                <w:tcPr>
                  <w:tcW w:w="2068" w:type="pct"/>
                  <w:vAlign w:val="center"/>
                </w:tcPr>
                <w:p w14:paraId="54C2309A">
                  <w:pPr>
                    <w:jc w:val="center"/>
                    <w:rPr>
                      <w:color w:val="auto"/>
                    </w:rPr>
                  </w:pPr>
                  <w:r>
                    <w:rPr>
                      <w:color w:val="auto"/>
                    </w:rPr>
                    <w:t>1.0</w:t>
                  </w:r>
                </w:p>
              </w:tc>
            </w:tr>
          </w:tbl>
          <w:p w14:paraId="2C2F0A75">
            <w:pPr>
              <w:adjustRightInd w:val="0"/>
              <w:snapToGrid w:val="0"/>
              <w:spacing w:line="360" w:lineRule="auto"/>
              <w:ind w:firstLine="480" w:firstLineChars="200"/>
              <w:textAlignment w:val="baseline"/>
              <w:rPr>
                <w:color w:val="auto"/>
                <w:sz w:val="24"/>
              </w:rPr>
            </w:pPr>
            <w:r>
              <w:rPr>
                <w:color w:val="auto"/>
                <w:sz w:val="24"/>
              </w:rPr>
              <w:t>（2）运营期</w:t>
            </w:r>
          </w:p>
          <w:p w14:paraId="5023D468">
            <w:pPr>
              <w:adjustRightInd w:val="0"/>
              <w:snapToGrid w:val="0"/>
              <w:spacing w:line="360" w:lineRule="auto"/>
              <w:ind w:firstLine="480" w:firstLineChars="200"/>
              <w:textAlignment w:val="baseline"/>
              <w:rPr>
                <w:color w:val="auto"/>
                <w:sz w:val="24"/>
              </w:rPr>
            </w:pPr>
            <w:r>
              <w:rPr>
                <w:color w:val="auto"/>
                <w:sz w:val="24"/>
              </w:rPr>
              <w:t>①本项目生产过程产生的颗粒物、挥发性有机化合物（以非甲烷总烃计）执行《</w:t>
            </w:r>
            <w:r>
              <w:rPr>
                <w:rFonts w:hint="eastAsia"/>
                <w:color w:val="auto"/>
                <w:sz w:val="24"/>
                <w:lang w:eastAsia="zh-CN"/>
              </w:rPr>
              <w:t>合</w:t>
            </w:r>
            <w:r>
              <w:rPr>
                <w:color w:val="auto"/>
                <w:sz w:val="24"/>
              </w:rPr>
              <w:t>成树脂工业污染物排放标准》（GB31572-2015）</w:t>
            </w:r>
            <w:r>
              <w:rPr>
                <w:rFonts w:hint="default" w:ascii="Times New Roman" w:hAnsi="Times New Roman" w:eastAsia="宋体" w:cs="Times New Roman"/>
                <w:color w:val="auto"/>
                <w:sz w:val="24"/>
                <w:szCs w:val="24"/>
                <w:highlight w:val="none"/>
                <w:lang w:val="en-US" w:eastAsia="zh-CN"/>
              </w:rPr>
              <w:t>及</w:t>
            </w:r>
            <w:r>
              <w:rPr>
                <w:rFonts w:hint="default" w:ascii="Times New Roman" w:hAnsi="Times New Roman" w:eastAsia="宋体" w:cs="Times New Roman"/>
                <w:color w:val="auto"/>
                <w:sz w:val="24"/>
                <w:highlight w:val="none"/>
                <w:lang w:val="en-US" w:eastAsia="zh-CN"/>
              </w:rPr>
              <w:t>2024年修改单</w:t>
            </w:r>
            <w:r>
              <w:rPr>
                <w:rFonts w:hint="default" w:ascii="Times New Roman" w:hAnsi="Times New Roman" w:eastAsia="宋体" w:cs="Times New Roman"/>
                <w:color w:val="auto"/>
                <w:sz w:val="24"/>
                <w:szCs w:val="24"/>
                <w:highlight w:val="none"/>
                <w:lang w:eastAsia="zh-CN"/>
              </w:rPr>
              <w:t>中</w:t>
            </w:r>
            <w:r>
              <w:rPr>
                <w:rFonts w:hint="default" w:ascii="Times New Roman" w:hAnsi="Times New Roman" w:eastAsia="宋体" w:cs="Times New Roman"/>
                <w:color w:val="auto"/>
                <w:sz w:val="24"/>
                <w:szCs w:val="24"/>
                <w:highlight w:val="none"/>
                <w:lang w:val="en-US" w:eastAsia="zh-CN"/>
              </w:rPr>
              <w:t>表4大气污染物排放限值</w:t>
            </w:r>
            <w:r>
              <w:rPr>
                <w:rFonts w:hint="eastAsia"/>
                <w:color w:val="auto"/>
                <w:sz w:val="24"/>
              </w:rPr>
              <w:t>，</w:t>
            </w:r>
            <w:r>
              <w:rPr>
                <w:color w:val="auto"/>
                <w:sz w:val="24"/>
              </w:rPr>
              <w:t>详见表3-</w:t>
            </w:r>
            <w:r>
              <w:rPr>
                <w:rFonts w:hint="eastAsia"/>
                <w:color w:val="auto"/>
                <w:sz w:val="24"/>
                <w:lang w:val="en-US" w:eastAsia="zh-CN"/>
              </w:rPr>
              <w:t>6</w:t>
            </w:r>
            <w:r>
              <w:rPr>
                <w:color w:val="auto"/>
                <w:sz w:val="24"/>
              </w:rPr>
              <w:t>所示。</w:t>
            </w:r>
          </w:p>
          <w:p w14:paraId="293180B5">
            <w:pPr>
              <w:jc w:val="center"/>
              <w:rPr>
                <w:b/>
                <w:bCs/>
                <w:color w:val="auto"/>
                <w:szCs w:val="21"/>
              </w:rPr>
            </w:pPr>
            <w:r>
              <w:rPr>
                <w:b/>
                <w:bCs/>
                <w:color w:val="auto"/>
                <w:szCs w:val="21"/>
              </w:rPr>
              <w:t>表3-</w:t>
            </w:r>
            <w:r>
              <w:rPr>
                <w:rFonts w:hint="eastAsia"/>
                <w:b/>
                <w:bCs/>
                <w:color w:val="auto"/>
                <w:szCs w:val="21"/>
                <w:lang w:val="en-US" w:eastAsia="zh-CN"/>
              </w:rPr>
              <w:t>6</w:t>
            </w:r>
            <w:r>
              <w:rPr>
                <w:b/>
                <w:bCs/>
                <w:color w:val="auto"/>
                <w:szCs w:val="21"/>
              </w:rPr>
              <w:t xml:space="preserve">  合成树脂工业污染物排放标准   单位：mg/m</w:t>
            </w:r>
            <w:r>
              <w:rPr>
                <w:b/>
                <w:bCs/>
                <w:color w:val="auto"/>
                <w:szCs w:val="21"/>
                <w:vertAlign w:val="superscript"/>
              </w:rPr>
              <w:t>3</w:t>
            </w:r>
          </w:p>
          <w:tbl>
            <w:tblPr>
              <w:tblStyle w:val="30"/>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1541"/>
              <w:gridCol w:w="1156"/>
              <w:gridCol w:w="2013"/>
              <w:gridCol w:w="1616"/>
            </w:tblGrid>
            <w:tr w14:paraId="3B7BC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67" w:type="dxa"/>
                  <w:vMerge w:val="restart"/>
                  <w:vAlign w:val="center"/>
                </w:tcPr>
                <w:p w14:paraId="1CB7B169">
                  <w:pPr>
                    <w:jc w:val="center"/>
                    <w:rPr>
                      <w:b/>
                      <w:bCs/>
                      <w:color w:val="auto"/>
                      <w:szCs w:val="21"/>
                    </w:rPr>
                  </w:pPr>
                  <w:r>
                    <w:rPr>
                      <w:b/>
                      <w:bCs/>
                      <w:color w:val="auto"/>
                      <w:szCs w:val="21"/>
                    </w:rPr>
                    <w:t>污染物</w:t>
                  </w:r>
                </w:p>
              </w:tc>
              <w:tc>
                <w:tcPr>
                  <w:tcW w:w="1541" w:type="dxa"/>
                  <w:vMerge w:val="restart"/>
                  <w:vAlign w:val="center"/>
                </w:tcPr>
                <w:p w14:paraId="5084363E">
                  <w:pPr>
                    <w:jc w:val="center"/>
                    <w:rPr>
                      <w:b/>
                      <w:bCs/>
                      <w:color w:val="auto"/>
                      <w:szCs w:val="21"/>
                    </w:rPr>
                  </w:pPr>
                  <w:r>
                    <w:rPr>
                      <w:b/>
                      <w:bCs/>
                      <w:color w:val="auto"/>
                      <w:szCs w:val="21"/>
                    </w:rPr>
                    <w:t>最高允许排放浓度（mg/m</w:t>
                  </w:r>
                  <w:r>
                    <w:rPr>
                      <w:b/>
                      <w:bCs/>
                      <w:color w:val="auto"/>
                      <w:szCs w:val="21"/>
                      <w:vertAlign w:val="superscript"/>
                    </w:rPr>
                    <w:t>3</w:t>
                  </w:r>
                  <w:r>
                    <w:rPr>
                      <w:b/>
                      <w:bCs/>
                      <w:color w:val="auto"/>
                      <w:szCs w:val="21"/>
                    </w:rPr>
                    <w:t>）</w:t>
                  </w:r>
                </w:p>
              </w:tc>
              <w:tc>
                <w:tcPr>
                  <w:tcW w:w="1156" w:type="dxa"/>
                  <w:vMerge w:val="restart"/>
                  <w:vAlign w:val="center"/>
                </w:tcPr>
                <w:p w14:paraId="7B92E4AC">
                  <w:pPr>
                    <w:jc w:val="center"/>
                    <w:rPr>
                      <w:b/>
                      <w:bCs/>
                      <w:color w:val="auto"/>
                      <w:szCs w:val="21"/>
                    </w:rPr>
                  </w:pPr>
                  <w:r>
                    <w:rPr>
                      <w:b/>
                      <w:bCs/>
                      <w:color w:val="auto"/>
                      <w:szCs w:val="21"/>
                    </w:rPr>
                    <w:t>排气筒高度（m）</w:t>
                  </w:r>
                </w:p>
              </w:tc>
              <w:tc>
                <w:tcPr>
                  <w:tcW w:w="3629" w:type="dxa"/>
                  <w:gridSpan w:val="2"/>
                  <w:vAlign w:val="center"/>
                </w:tcPr>
                <w:p w14:paraId="03519CCE">
                  <w:pPr>
                    <w:jc w:val="center"/>
                    <w:rPr>
                      <w:b/>
                      <w:bCs/>
                      <w:color w:val="auto"/>
                      <w:szCs w:val="21"/>
                    </w:rPr>
                  </w:pPr>
                  <w:r>
                    <w:rPr>
                      <w:b/>
                      <w:bCs/>
                      <w:color w:val="auto"/>
                      <w:szCs w:val="21"/>
                    </w:rPr>
                    <w:t>无组织排放监控浓度限值</w:t>
                  </w:r>
                </w:p>
              </w:tc>
            </w:tr>
            <w:tr w14:paraId="33D9F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67" w:type="dxa"/>
                  <w:vMerge w:val="continue"/>
                  <w:vAlign w:val="center"/>
                </w:tcPr>
                <w:p w14:paraId="6CCDC04F">
                  <w:pPr>
                    <w:jc w:val="center"/>
                    <w:textAlignment w:val="baseline"/>
                    <w:rPr>
                      <w:b/>
                      <w:bCs/>
                      <w:color w:val="auto"/>
                      <w:szCs w:val="21"/>
                    </w:rPr>
                  </w:pPr>
                </w:p>
              </w:tc>
              <w:tc>
                <w:tcPr>
                  <w:tcW w:w="1541" w:type="dxa"/>
                  <w:vMerge w:val="continue"/>
                  <w:vAlign w:val="center"/>
                </w:tcPr>
                <w:p w14:paraId="5C807BB6">
                  <w:pPr>
                    <w:jc w:val="center"/>
                    <w:textAlignment w:val="baseline"/>
                    <w:rPr>
                      <w:b/>
                      <w:bCs/>
                      <w:color w:val="auto"/>
                      <w:szCs w:val="21"/>
                    </w:rPr>
                  </w:pPr>
                </w:p>
              </w:tc>
              <w:tc>
                <w:tcPr>
                  <w:tcW w:w="1156" w:type="dxa"/>
                  <w:vMerge w:val="continue"/>
                  <w:vAlign w:val="center"/>
                </w:tcPr>
                <w:p w14:paraId="27B7315B">
                  <w:pPr>
                    <w:jc w:val="center"/>
                    <w:rPr>
                      <w:b/>
                      <w:bCs/>
                      <w:color w:val="auto"/>
                      <w:szCs w:val="21"/>
                    </w:rPr>
                  </w:pPr>
                </w:p>
              </w:tc>
              <w:tc>
                <w:tcPr>
                  <w:tcW w:w="2013" w:type="dxa"/>
                  <w:vAlign w:val="center"/>
                </w:tcPr>
                <w:p w14:paraId="3589DD3F">
                  <w:pPr>
                    <w:jc w:val="center"/>
                    <w:rPr>
                      <w:b/>
                      <w:bCs/>
                      <w:color w:val="auto"/>
                      <w:szCs w:val="21"/>
                    </w:rPr>
                  </w:pPr>
                  <w:r>
                    <w:rPr>
                      <w:b/>
                      <w:bCs/>
                      <w:color w:val="auto"/>
                      <w:szCs w:val="21"/>
                    </w:rPr>
                    <w:t>监控点</w:t>
                  </w:r>
                </w:p>
              </w:tc>
              <w:tc>
                <w:tcPr>
                  <w:tcW w:w="1616" w:type="dxa"/>
                  <w:vAlign w:val="center"/>
                </w:tcPr>
                <w:p w14:paraId="47F7076E">
                  <w:pPr>
                    <w:jc w:val="center"/>
                    <w:rPr>
                      <w:b/>
                      <w:bCs/>
                      <w:color w:val="auto"/>
                      <w:szCs w:val="21"/>
                    </w:rPr>
                  </w:pPr>
                  <w:r>
                    <w:rPr>
                      <w:b/>
                      <w:bCs/>
                      <w:color w:val="auto"/>
                      <w:szCs w:val="21"/>
                    </w:rPr>
                    <w:t>浓度（mg/m</w:t>
                  </w:r>
                  <w:r>
                    <w:rPr>
                      <w:b/>
                      <w:bCs/>
                      <w:color w:val="auto"/>
                      <w:szCs w:val="21"/>
                      <w:vertAlign w:val="superscript"/>
                    </w:rPr>
                    <w:t>3</w:t>
                  </w:r>
                  <w:r>
                    <w:rPr>
                      <w:b/>
                      <w:bCs/>
                      <w:color w:val="auto"/>
                      <w:szCs w:val="21"/>
                    </w:rPr>
                    <w:t>）</w:t>
                  </w:r>
                </w:p>
              </w:tc>
            </w:tr>
            <w:tr w14:paraId="23F5E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67" w:type="dxa"/>
                  <w:vAlign w:val="center"/>
                </w:tcPr>
                <w:p w14:paraId="4B78B918">
                  <w:pPr>
                    <w:jc w:val="center"/>
                    <w:rPr>
                      <w:color w:val="auto"/>
                      <w:szCs w:val="21"/>
                    </w:rPr>
                  </w:pPr>
                  <w:r>
                    <w:rPr>
                      <w:rFonts w:hint="eastAsia"/>
                      <w:color w:val="auto"/>
                      <w:szCs w:val="21"/>
                    </w:rPr>
                    <w:t>颗粒物</w:t>
                  </w:r>
                </w:p>
              </w:tc>
              <w:tc>
                <w:tcPr>
                  <w:tcW w:w="1541" w:type="dxa"/>
                  <w:vAlign w:val="center"/>
                </w:tcPr>
                <w:p w14:paraId="1499B620">
                  <w:pPr>
                    <w:jc w:val="center"/>
                    <w:rPr>
                      <w:color w:val="auto"/>
                      <w:szCs w:val="21"/>
                    </w:rPr>
                  </w:pPr>
                  <w:r>
                    <w:rPr>
                      <w:rFonts w:hint="eastAsia"/>
                      <w:color w:val="auto"/>
                      <w:szCs w:val="21"/>
                    </w:rPr>
                    <w:t>30</w:t>
                  </w:r>
                </w:p>
              </w:tc>
              <w:tc>
                <w:tcPr>
                  <w:tcW w:w="1156" w:type="dxa"/>
                  <w:vAlign w:val="center"/>
                </w:tcPr>
                <w:p w14:paraId="14E6FB49">
                  <w:pPr>
                    <w:jc w:val="center"/>
                    <w:rPr>
                      <w:color w:val="auto"/>
                      <w:szCs w:val="21"/>
                    </w:rPr>
                  </w:pPr>
                  <w:r>
                    <w:rPr>
                      <w:color w:val="auto"/>
                      <w:szCs w:val="21"/>
                    </w:rPr>
                    <w:t>15</w:t>
                  </w:r>
                </w:p>
              </w:tc>
              <w:tc>
                <w:tcPr>
                  <w:tcW w:w="2013" w:type="dxa"/>
                  <w:vAlign w:val="center"/>
                </w:tcPr>
                <w:p w14:paraId="4604AB3E">
                  <w:pPr>
                    <w:jc w:val="center"/>
                    <w:rPr>
                      <w:color w:val="auto"/>
                      <w:szCs w:val="21"/>
                    </w:rPr>
                  </w:pPr>
                  <w:r>
                    <w:rPr>
                      <w:color w:val="auto"/>
                      <w:szCs w:val="21"/>
                    </w:rPr>
                    <w:t>周界外浓度最高点</w:t>
                  </w:r>
                </w:p>
              </w:tc>
              <w:tc>
                <w:tcPr>
                  <w:tcW w:w="1616" w:type="dxa"/>
                  <w:vAlign w:val="center"/>
                </w:tcPr>
                <w:p w14:paraId="58FAEB30">
                  <w:pPr>
                    <w:jc w:val="center"/>
                    <w:rPr>
                      <w:color w:val="auto"/>
                      <w:szCs w:val="21"/>
                    </w:rPr>
                  </w:pPr>
                  <w:r>
                    <w:rPr>
                      <w:color w:val="auto"/>
                      <w:szCs w:val="21"/>
                    </w:rPr>
                    <w:t>1.</w:t>
                  </w:r>
                  <w:r>
                    <w:rPr>
                      <w:rFonts w:hint="eastAsia"/>
                      <w:color w:val="auto"/>
                      <w:szCs w:val="21"/>
                    </w:rPr>
                    <w:t>0</w:t>
                  </w:r>
                </w:p>
              </w:tc>
            </w:tr>
            <w:tr w14:paraId="185B3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67" w:type="dxa"/>
                  <w:vAlign w:val="center"/>
                </w:tcPr>
                <w:p w14:paraId="43370A59">
                  <w:pPr>
                    <w:jc w:val="center"/>
                    <w:rPr>
                      <w:color w:val="auto"/>
                      <w:szCs w:val="21"/>
                    </w:rPr>
                  </w:pPr>
                  <w:r>
                    <w:rPr>
                      <w:rFonts w:hint="eastAsia"/>
                      <w:color w:val="auto"/>
                      <w:szCs w:val="21"/>
                    </w:rPr>
                    <w:t>非甲烷总烃</w:t>
                  </w:r>
                </w:p>
              </w:tc>
              <w:tc>
                <w:tcPr>
                  <w:tcW w:w="1541" w:type="dxa"/>
                  <w:vAlign w:val="center"/>
                </w:tcPr>
                <w:p w14:paraId="669EA27D">
                  <w:pPr>
                    <w:jc w:val="center"/>
                    <w:rPr>
                      <w:color w:val="auto"/>
                      <w:szCs w:val="21"/>
                    </w:rPr>
                  </w:pPr>
                  <w:r>
                    <w:rPr>
                      <w:rFonts w:hint="eastAsia"/>
                      <w:color w:val="auto"/>
                      <w:szCs w:val="21"/>
                    </w:rPr>
                    <w:t>100</w:t>
                  </w:r>
                </w:p>
              </w:tc>
              <w:tc>
                <w:tcPr>
                  <w:tcW w:w="1156" w:type="dxa"/>
                  <w:vAlign w:val="center"/>
                </w:tcPr>
                <w:p w14:paraId="16F2E2BD">
                  <w:pPr>
                    <w:jc w:val="center"/>
                    <w:rPr>
                      <w:color w:val="auto"/>
                      <w:szCs w:val="21"/>
                    </w:rPr>
                  </w:pPr>
                  <w:r>
                    <w:rPr>
                      <w:rFonts w:hint="eastAsia"/>
                      <w:color w:val="auto"/>
                      <w:szCs w:val="21"/>
                    </w:rPr>
                    <w:t>15</w:t>
                  </w:r>
                </w:p>
              </w:tc>
              <w:tc>
                <w:tcPr>
                  <w:tcW w:w="2013" w:type="dxa"/>
                  <w:vAlign w:val="center"/>
                </w:tcPr>
                <w:p w14:paraId="62B03409">
                  <w:pPr>
                    <w:jc w:val="center"/>
                    <w:rPr>
                      <w:color w:val="auto"/>
                      <w:szCs w:val="21"/>
                    </w:rPr>
                  </w:pPr>
                  <w:r>
                    <w:rPr>
                      <w:color w:val="auto"/>
                      <w:szCs w:val="21"/>
                    </w:rPr>
                    <w:t>周界外浓度最高点</w:t>
                  </w:r>
                </w:p>
              </w:tc>
              <w:tc>
                <w:tcPr>
                  <w:tcW w:w="1616" w:type="dxa"/>
                  <w:vAlign w:val="center"/>
                </w:tcPr>
                <w:p w14:paraId="3B7600DD">
                  <w:pPr>
                    <w:jc w:val="center"/>
                    <w:rPr>
                      <w:color w:val="auto"/>
                      <w:szCs w:val="21"/>
                    </w:rPr>
                  </w:pPr>
                  <w:r>
                    <w:rPr>
                      <w:rFonts w:hint="eastAsia"/>
                      <w:color w:val="auto"/>
                      <w:szCs w:val="21"/>
                    </w:rPr>
                    <w:t>4.0</w:t>
                  </w:r>
                </w:p>
              </w:tc>
            </w:tr>
            <w:tr w14:paraId="2674A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067" w:type="dxa"/>
                  <w:vAlign w:val="center"/>
                </w:tcPr>
                <w:p w14:paraId="708DC76E">
                  <w:pPr>
                    <w:jc w:val="center"/>
                    <w:rPr>
                      <w:rFonts w:hint="eastAsia"/>
                      <w:color w:val="auto"/>
                      <w:szCs w:val="21"/>
                    </w:rPr>
                  </w:pPr>
                  <w:r>
                    <w:rPr>
                      <w:rFonts w:eastAsia="宋体"/>
                      <w:color w:val="auto"/>
                      <w:szCs w:val="21"/>
                    </w:rPr>
                    <w:t>单位产品非甲烷总烃排放量（kg/t产品）</w:t>
                  </w:r>
                </w:p>
              </w:tc>
              <w:tc>
                <w:tcPr>
                  <w:tcW w:w="1541" w:type="dxa"/>
                  <w:vAlign w:val="center"/>
                </w:tcPr>
                <w:p w14:paraId="172C3E33">
                  <w:pPr>
                    <w:jc w:val="center"/>
                    <w:rPr>
                      <w:rFonts w:hint="default" w:eastAsia="宋体"/>
                      <w:color w:val="auto"/>
                      <w:szCs w:val="21"/>
                      <w:lang w:val="en-US" w:eastAsia="zh-CN"/>
                    </w:rPr>
                  </w:pPr>
                  <w:r>
                    <w:rPr>
                      <w:rFonts w:hint="eastAsia"/>
                      <w:color w:val="auto"/>
                      <w:szCs w:val="21"/>
                      <w:lang w:val="en-US" w:eastAsia="zh-CN"/>
                    </w:rPr>
                    <w:t>0.5</w:t>
                  </w:r>
                </w:p>
              </w:tc>
              <w:tc>
                <w:tcPr>
                  <w:tcW w:w="1156" w:type="dxa"/>
                  <w:vAlign w:val="center"/>
                </w:tcPr>
                <w:p w14:paraId="54691423">
                  <w:pPr>
                    <w:jc w:val="center"/>
                    <w:rPr>
                      <w:rFonts w:hint="eastAsia" w:eastAsia="宋体"/>
                      <w:color w:val="auto"/>
                      <w:szCs w:val="21"/>
                      <w:lang w:val="en-US" w:eastAsia="zh-CN"/>
                    </w:rPr>
                  </w:pPr>
                  <w:r>
                    <w:rPr>
                      <w:rFonts w:hint="eastAsia"/>
                      <w:color w:val="auto"/>
                      <w:szCs w:val="21"/>
                      <w:lang w:val="en-US" w:eastAsia="zh-CN"/>
                    </w:rPr>
                    <w:t>/</w:t>
                  </w:r>
                </w:p>
              </w:tc>
              <w:tc>
                <w:tcPr>
                  <w:tcW w:w="2013" w:type="dxa"/>
                  <w:vAlign w:val="center"/>
                </w:tcPr>
                <w:p w14:paraId="30622CB0">
                  <w:pPr>
                    <w:jc w:val="center"/>
                    <w:rPr>
                      <w:rFonts w:hint="eastAsia" w:eastAsia="宋体"/>
                      <w:color w:val="auto"/>
                      <w:szCs w:val="21"/>
                      <w:lang w:val="en-US" w:eastAsia="zh-CN"/>
                    </w:rPr>
                  </w:pPr>
                  <w:r>
                    <w:rPr>
                      <w:rFonts w:hint="eastAsia"/>
                      <w:color w:val="auto"/>
                      <w:szCs w:val="21"/>
                      <w:lang w:val="en-US" w:eastAsia="zh-CN"/>
                    </w:rPr>
                    <w:t>/</w:t>
                  </w:r>
                </w:p>
              </w:tc>
              <w:tc>
                <w:tcPr>
                  <w:tcW w:w="1616" w:type="dxa"/>
                  <w:vAlign w:val="center"/>
                </w:tcPr>
                <w:p w14:paraId="2E0665FE">
                  <w:pPr>
                    <w:jc w:val="center"/>
                    <w:rPr>
                      <w:rFonts w:hint="eastAsia" w:eastAsia="宋体"/>
                      <w:color w:val="auto"/>
                      <w:szCs w:val="21"/>
                      <w:lang w:val="en-US" w:eastAsia="zh-CN"/>
                    </w:rPr>
                  </w:pPr>
                  <w:r>
                    <w:rPr>
                      <w:rFonts w:hint="eastAsia"/>
                      <w:color w:val="auto"/>
                      <w:szCs w:val="21"/>
                      <w:lang w:val="en-US" w:eastAsia="zh-CN"/>
                    </w:rPr>
                    <w:t>/</w:t>
                  </w:r>
                </w:p>
              </w:tc>
            </w:tr>
          </w:tbl>
          <w:p w14:paraId="7FF5AD21">
            <w:pPr>
              <w:spacing w:line="360" w:lineRule="auto"/>
              <w:ind w:firstLine="480" w:firstLineChars="200"/>
              <w:rPr>
                <w:b/>
                <w:bCs/>
                <w:color w:val="auto"/>
                <w:szCs w:val="21"/>
              </w:rPr>
            </w:pPr>
            <w:r>
              <w:rPr>
                <w:rFonts w:hint="eastAsia"/>
                <w:color w:val="auto"/>
                <w:sz w:val="24"/>
              </w:rPr>
              <w:t>②</w:t>
            </w:r>
            <w:r>
              <w:rPr>
                <w:color w:val="auto"/>
                <w:sz w:val="24"/>
                <w:lang w:val="zh-CN"/>
              </w:rPr>
              <w:t>厂内无组织VOCs排放浓度限值执行</w:t>
            </w:r>
            <w:r>
              <w:rPr>
                <w:color w:val="auto"/>
                <w:sz w:val="24"/>
              </w:rPr>
              <w:t>《挥发性有机物无组织排放控制标准》</w:t>
            </w:r>
            <w:r>
              <w:rPr>
                <w:color w:val="auto"/>
                <w:sz w:val="24"/>
                <w:lang w:val="zh-CN"/>
              </w:rPr>
              <w:t>（GB</w:t>
            </w:r>
            <w:r>
              <w:rPr>
                <w:color w:val="auto"/>
                <w:sz w:val="24"/>
              </w:rPr>
              <w:t>37822</w:t>
            </w:r>
            <w:r>
              <w:rPr>
                <w:color w:val="auto"/>
                <w:sz w:val="24"/>
                <w:lang w:val="zh-CN"/>
              </w:rPr>
              <w:t>-</w:t>
            </w:r>
            <w:r>
              <w:rPr>
                <w:color w:val="auto"/>
                <w:sz w:val="24"/>
              </w:rPr>
              <w:t>2019</w:t>
            </w:r>
            <w:r>
              <w:rPr>
                <w:color w:val="auto"/>
                <w:sz w:val="24"/>
                <w:lang w:val="zh-CN"/>
              </w:rPr>
              <w:t>）</w:t>
            </w:r>
            <w:r>
              <w:rPr>
                <w:color w:val="auto"/>
                <w:sz w:val="24"/>
              </w:rPr>
              <w:t>中的要求，标准值见表3-</w:t>
            </w:r>
            <w:r>
              <w:rPr>
                <w:rFonts w:hint="eastAsia"/>
                <w:color w:val="auto"/>
                <w:sz w:val="24"/>
                <w:lang w:val="en-US" w:eastAsia="zh-CN"/>
              </w:rPr>
              <w:t>7</w:t>
            </w:r>
            <w:r>
              <w:rPr>
                <w:color w:val="auto"/>
                <w:sz w:val="24"/>
              </w:rPr>
              <w:t>。</w:t>
            </w:r>
          </w:p>
          <w:p w14:paraId="7187F96A">
            <w:pPr>
              <w:jc w:val="center"/>
              <w:rPr>
                <w:b/>
                <w:bCs/>
                <w:color w:val="auto"/>
                <w:szCs w:val="21"/>
              </w:rPr>
            </w:pPr>
            <w:r>
              <w:rPr>
                <w:b/>
                <w:bCs/>
                <w:color w:val="auto"/>
                <w:szCs w:val="21"/>
              </w:rPr>
              <w:t>表3-</w:t>
            </w:r>
            <w:r>
              <w:rPr>
                <w:rFonts w:hint="eastAsia"/>
                <w:b/>
                <w:bCs/>
                <w:color w:val="auto"/>
                <w:szCs w:val="21"/>
                <w:lang w:val="en-US" w:eastAsia="zh-CN"/>
              </w:rPr>
              <w:t>7</w:t>
            </w:r>
            <w:r>
              <w:rPr>
                <w:b/>
                <w:bCs/>
                <w:color w:val="auto"/>
                <w:szCs w:val="21"/>
              </w:rPr>
              <w:t xml:space="preserve">   非甲烷总烃厂区内无组织排放限值   单位：mg/m</w:t>
            </w:r>
            <w:r>
              <w:rPr>
                <w:b/>
                <w:bCs/>
                <w:color w:val="auto"/>
                <w:szCs w:val="21"/>
                <w:vertAlign w:val="superscript"/>
              </w:rPr>
              <w:t>3</w:t>
            </w:r>
          </w:p>
          <w:tbl>
            <w:tblPr>
              <w:tblStyle w:val="30"/>
              <w:tblW w:w="0" w:type="auto"/>
              <w:jc w:val="center"/>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fixed"/>
              <w:tblCellMar>
                <w:top w:w="0" w:type="dxa"/>
                <w:left w:w="0" w:type="dxa"/>
                <w:bottom w:w="0" w:type="dxa"/>
                <w:right w:w="0" w:type="dxa"/>
              </w:tblCellMar>
            </w:tblPr>
            <w:tblGrid>
              <w:gridCol w:w="1661"/>
              <w:gridCol w:w="1662"/>
              <w:gridCol w:w="2423"/>
              <w:gridCol w:w="2563"/>
            </w:tblGrid>
            <w:tr w14:paraId="6B9FF03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661" w:type="dxa"/>
                  <w:tcBorders>
                    <w:tl2br w:val="nil"/>
                    <w:tr2bl w:val="nil"/>
                  </w:tcBorders>
                  <w:vAlign w:val="center"/>
                </w:tcPr>
                <w:p w14:paraId="33B8158D">
                  <w:pPr>
                    <w:pStyle w:val="83"/>
                    <w:jc w:val="center"/>
                    <w:rPr>
                      <w:b/>
                      <w:color w:val="auto"/>
                      <w:sz w:val="21"/>
                      <w:szCs w:val="21"/>
                    </w:rPr>
                  </w:pPr>
                  <w:r>
                    <w:rPr>
                      <w:b/>
                      <w:color w:val="auto"/>
                      <w:sz w:val="21"/>
                      <w:szCs w:val="21"/>
                    </w:rPr>
                    <w:t>污染项目</w:t>
                  </w:r>
                </w:p>
              </w:tc>
              <w:tc>
                <w:tcPr>
                  <w:tcW w:w="1662" w:type="dxa"/>
                  <w:tcBorders>
                    <w:tl2br w:val="nil"/>
                    <w:tr2bl w:val="nil"/>
                  </w:tcBorders>
                  <w:vAlign w:val="center"/>
                </w:tcPr>
                <w:p w14:paraId="1654C178">
                  <w:pPr>
                    <w:pStyle w:val="83"/>
                    <w:jc w:val="center"/>
                    <w:rPr>
                      <w:b/>
                      <w:color w:val="auto"/>
                      <w:sz w:val="21"/>
                      <w:szCs w:val="21"/>
                    </w:rPr>
                  </w:pPr>
                  <w:r>
                    <w:rPr>
                      <w:b/>
                      <w:color w:val="auto"/>
                      <w:sz w:val="21"/>
                      <w:szCs w:val="21"/>
                    </w:rPr>
                    <w:t>排放限值</w:t>
                  </w:r>
                </w:p>
              </w:tc>
              <w:tc>
                <w:tcPr>
                  <w:tcW w:w="2423" w:type="dxa"/>
                  <w:tcBorders>
                    <w:tl2br w:val="nil"/>
                    <w:tr2bl w:val="nil"/>
                  </w:tcBorders>
                  <w:vAlign w:val="center"/>
                </w:tcPr>
                <w:p w14:paraId="61EC2E0D">
                  <w:pPr>
                    <w:pStyle w:val="83"/>
                    <w:jc w:val="center"/>
                    <w:rPr>
                      <w:b/>
                      <w:color w:val="auto"/>
                      <w:sz w:val="21"/>
                      <w:szCs w:val="21"/>
                    </w:rPr>
                  </w:pPr>
                  <w:r>
                    <w:rPr>
                      <w:b/>
                      <w:color w:val="auto"/>
                      <w:sz w:val="21"/>
                      <w:szCs w:val="21"/>
                    </w:rPr>
                    <w:t>限值含义</w:t>
                  </w:r>
                </w:p>
              </w:tc>
              <w:tc>
                <w:tcPr>
                  <w:tcW w:w="2563" w:type="dxa"/>
                  <w:tcBorders>
                    <w:tl2br w:val="nil"/>
                    <w:tr2bl w:val="nil"/>
                  </w:tcBorders>
                  <w:vAlign w:val="center"/>
                </w:tcPr>
                <w:p w14:paraId="1C86C21A">
                  <w:pPr>
                    <w:pStyle w:val="83"/>
                    <w:jc w:val="center"/>
                    <w:rPr>
                      <w:b/>
                      <w:color w:val="auto"/>
                      <w:sz w:val="21"/>
                      <w:szCs w:val="21"/>
                    </w:rPr>
                  </w:pPr>
                  <w:r>
                    <w:rPr>
                      <w:b/>
                      <w:color w:val="auto"/>
                      <w:sz w:val="21"/>
                      <w:szCs w:val="21"/>
                    </w:rPr>
                    <w:t>无组织排放监控位置</w:t>
                  </w:r>
                </w:p>
              </w:tc>
            </w:tr>
            <w:tr w14:paraId="73F8370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661" w:type="dxa"/>
                  <w:vMerge w:val="restart"/>
                  <w:tcBorders>
                    <w:tl2br w:val="nil"/>
                    <w:tr2bl w:val="nil"/>
                  </w:tcBorders>
                  <w:vAlign w:val="center"/>
                </w:tcPr>
                <w:p w14:paraId="37B4C4E9">
                  <w:pPr>
                    <w:pStyle w:val="83"/>
                    <w:jc w:val="center"/>
                    <w:rPr>
                      <w:color w:val="auto"/>
                      <w:sz w:val="21"/>
                      <w:szCs w:val="21"/>
                    </w:rPr>
                  </w:pPr>
                  <w:r>
                    <w:rPr>
                      <w:color w:val="auto"/>
                      <w:sz w:val="21"/>
                      <w:szCs w:val="21"/>
                    </w:rPr>
                    <w:t>NMHC</w:t>
                  </w:r>
                </w:p>
              </w:tc>
              <w:tc>
                <w:tcPr>
                  <w:tcW w:w="1662" w:type="dxa"/>
                  <w:tcBorders>
                    <w:tl2br w:val="nil"/>
                    <w:tr2bl w:val="nil"/>
                  </w:tcBorders>
                  <w:vAlign w:val="center"/>
                </w:tcPr>
                <w:p w14:paraId="2FC438D0">
                  <w:pPr>
                    <w:pStyle w:val="83"/>
                    <w:jc w:val="center"/>
                    <w:rPr>
                      <w:color w:val="auto"/>
                      <w:sz w:val="21"/>
                      <w:szCs w:val="21"/>
                    </w:rPr>
                  </w:pPr>
                  <w:r>
                    <w:rPr>
                      <w:color w:val="auto"/>
                      <w:sz w:val="21"/>
                      <w:szCs w:val="21"/>
                    </w:rPr>
                    <w:t>10mg/m³</w:t>
                  </w:r>
                </w:p>
              </w:tc>
              <w:tc>
                <w:tcPr>
                  <w:tcW w:w="2423" w:type="dxa"/>
                  <w:tcBorders>
                    <w:tl2br w:val="nil"/>
                    <w:tr2bl w:val="nil"/>
                  </w:tcBorders>
                  <w:vAlign w:val="center"/>
                </w:tcPr>
                <w:p w14:paraId="692064DE">
                  <w:pPr>
                    <w:pStyle w:val="83"/>
                    <w:jc w:val="center"/>
                    <w:rPr>
                      <w:color w:val="auto"/>
                      <w:sz w:val="21"/>
                      <w:szCs w:val="21"/>
                    </w:rPr>
                  </w:pPr>
                  <w:r>
                    <w:rPr>
                      <w:color w:val="auto"/>
                      <w:sz w:val="21"/>
                      <w:szCs w:val="21"/>
                    </w:rPr>
                    <w:t>监控点处1h平均浓度值</w:t>
                  </w:r>
                </w:p>
              </w:tc>
              <w:tc>
                <w:tcPr>
                  <w:tcW w:w="2563" w:type="dxa"/>
                  <w:vMerge w:val="restart"/>
                  <w:tcBorders>
                    <w:tl2br w:val="nil"/>
                    <w:tr2bl w:val="nil"/>
                  </w:tcBorders>
                  <w:vAlign w:val="center"/>
                </w:tcPr>
                <w:p w14:paraId="4C2F94CD">
                  <w:pPr>
                    <w:pStyle w:val="83"/>
                    <w:jc w:val="center"/>
                    <w:rPr>
                      <w:color w:val="auto"/>
                      <w:sz w:val="21"/>
                      <w:szCs w:val="21"/>
                    </w:rPr>
                  </w:pPr>
                  <w:r>
                    <w:rPr>
                      <w:color w:val="auto"/>
                      <w:sz w:val="21"/>
                      <w:szCs w:val="21"/>
                    </w:rPr>
                    <w:t>在厂房外设置监控点</w:t>
                  </w:r>
                </w:p>
              </w:tc>
            </w:tr>
            <w:tr w14:paraId="3B332002">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661" w:type="dxa"/>
                  <w:vMerge w:val="continue"/>
                  <w:tcBorders>
                    <w:tl2br w:val="nil"/>
                    <w:tr2bl w:val="nil"/>
                  </w:tcBorders>
                  <w:vAlign w:val="center"/>
                </w:tcPr>
                <w:p w14:paraId="00A8F719">
                  <w:pPr>
                    <w:jc w:val="center"/>
                    <w:rPr>
                      <w:color w:val="auto"/>
                      <w:szCs w:val="21"/>
                    </w:rPr>
                  </w:pPr>
                </w:p>
              </w:tc>
              <w:tc>
                <w:tcPr>
                  <w:tcW w:w="1662" w:type="dxa"/>
                  <w:tcBorders>
                    <w:tl2br w:val="nil"/>
                    <w:tr2bl w:val="nil"/>
                  </w:tcBorders>
                  <w:vAlign w:val="center"/>
                </w:tcPr>
                <w:p w14:paraId="14054C13">
                  <w:pPr>
                    <w:jc w:val="center"/>
                    <w:rPr>
                      <w:color w:val="auto"/>
                      <w:szCs w:val="21"/>
                    </w:rPr>
                  </w:pPr>
                  <w:r>
                    <w:rPr>
                      <w:color w:val="auto"/>
                      <w:szCs w:val="21"/>
                    </w:rPr>
                    <w:t>30mg/m³</w:t>
                  </w:r>
                </w:p>
              </w:tc>
              <w:tc>
                <w:tcPr>
                  <w:tcW w:w="2423" w:type="dxa"/>
                  <w:tcBorders>
                    <w:tl2br w:val="nil"/>
                    <w:tr2bl w:val="nil"/>
                  </w:tcBorders>
                  <w:vAlign w:val="center"/>
                </w:tcPr>
                <w:p w14:paraId="55A04778">
                  <w:pPr>
                    <w:jc w:val="center"/>
                    <w:rPr>
                      <w:color w:val="auto"/>
                      <w:szCs w:val="21"/>
                    </w:rPr>
                  </w:pPr>
                  <w:r>
                    <w:rPr>
                      <w:color w:val="auto"/>
                      <w:szCs w:val="21"/>
                    </w:rPr>
                    <w:t>监控点处任意一次浓度值</w:t>
                  </w:r>
                </w:p>
              </w:tc>
              <w:tc>
                <w:tcPr>
                  <w:tcW w:w="2563" w:type="dxa"/>
                  <w:vMerge w:val="continue"/>
                  <w:tcBorders>
                    <w:tl2br w:val="nil"/>
                    <w:tr2bl w:val="nil"/>
                  </w:tcBorders>
                  <w:vAlign w:val="center"/>
                </w:tcPr>
                <w:p w14:paraId="484CD506">
                  <w:pPr>
                    <w:jc w:val="center"/>
                    <w:rPr>
                      <w:color w:val="auto"/>
                      <w:szCs w:val="21"/>
                    </w:rPr>
                  </w:pPr>
                </w:p>
              </w:tc>
            </w:tr>
          </w:tbl>
          <w:p w14:paraId="669FE6D3">
            <w:pPr>
              <w:pStyle w:val="14"/>
              <w:adjustRightInd w:val="0"/>
              <w:spacing w:after="0" w:line="360" w:lineRule="auto"/>
              <w:ind w:firstLine="480" w:firstLineChars="200"/>
              <w:rPr>
                <w:color w:val="auto"/>
                <w:sz w:val="24"/>
              </w:rPr>
            </w:pPr>
            <w:r>
              <w:rPr>
                <w:rFonts w:hint="eastAsia"/>
                <w:color w:val="auto"/>
                <w:kern w:val="0"/>
                <w:sz w:val="24"/>
              </w:rPr>
              <w:t>③</w:t>
            </w:r>
            <w:r>
              <w:rPr>
                <w:color w:val="auto"/>
                <w:sz w:val="24"/>
              </w:rPr>
              <w:t>项目运营期生产车间臭气浓度大部分随有机废气一同收集为有组织排放，未收集少部分为无组织排放，因此臭气浓度</w:t>
            </w:r>
            <w:r>
              <w:rPr>
                <w:color w:val="auto"/>
                <w:sz w:val="24"/>
                <w:lang w:val="zh-CN"/>
              </w:rPr>
              <w:t>排放执行《恶臭污染物排放标准》（GB14554-93）</w:t>
            </w:r>
            <w:r>
              <w:rPr>
                <w:color w:val="auto"/>
                <w:sz w:val="24"/>
              </w:rPr>
              <w:t>中</w:t>
            </w:r>
            <w:r>
              <w:rPr>
                <w:color w:val="auto"/>
                <w:sz w:val="24"/>
                <w:lang w:val="zh-CN"/>
              </w:rPr>
              <w:t>标准</w:t>
            </w:r>
            <w:r>
              <w:rPr>
                <w:color w:val="auto"/>
                <w:sz w:val="24"/>
              </w:rPr>
              <w:t>限值</w:t>
            </w:r>
            <w:r>
              <w:rPr>
                <w:color w:val="auto"/>
                <w:sz w:val="24"/>
                <w:lang w:val="zh-CN"/>
              </w:rPr>
              <w:t>要求</w:t>
            </w:r>
            <w:r>
              <w:rPr>
                <w:color w:val="auto"/>
                <w:sz w:val="24"/>
              </w:rPr>
              <w:t>，排放执行标准值详见表3-</w:t>
            </w:r>
            <w:r>
              <w:rPr>
                <w:rFonts w:hint="eastAsia"/>
                <w:color w:val="auto"/>
                <w:sz w:val="24"/>
                <w:lang w:val="en-US" w:eastAsia="zh-CN"/>
              </w:rPr>
              <w:t>8</w:t>
            </w:r>
            <w:r>
              <w:rPr>
                <w:color w:val="auto"/>
                <w:sz w:val="24"/>
              </w:rPr>
              <w:t>。</w:t>
            </w:r>
          </w:p>
          <w:p w14:paraId="1D4EB915">
            <w:pPr>
              <w:pStyle w:val="53"/>
              <w:snapToGrid w:val="0"/>
              <w:spacing w:line="240" w:lineRule="auto"/>
              <w:jc w:val="center"/>
              <w:rPr>
                <w:b/>
                <w:color w:val="auto"/>
                <w:sz w:val="21"/>
                <w:szCs w:val="21"/>
              </w:rPr>
            </w:pPr>
            <w:r>
              <w:rPr>
                <w:b/>
                <w:color w:val="auto"/>
                <w:sz w:val="21"/>
                <w:szCs w:val="21"/>
              </w:rPr>
              <w:t>表3-</w:t>
            </w:r>
            <w:r>
              <w:rPr>
                <w:rFonts w:hint="eastAsia"/>
                <w:b/>
                <w:color w:val="auto"/>
                <w:sz w:val="21"/>
                <w:szCs w:val="21"/>
                <w:lang w:val="en-US" w:eastAsia="zh-CN"/>
              </w:rPr>
              <w:t>8</w:t>
            </w:r>
            <w:r>
              <w:rPr>
                <w:b/>
                <w:color w:val="auto"/>
                <w:sz w:val="21"/>
                <w:szCs w:val="21"/>
              </w:rPr>
              <w:t xml:space="preserve">  恶臭污染物厂界标准值</w:t>
            </w:r>
          </w:p>
          <w:tbl>
            <w:tblPr>
              <w:tblStyle w:val="30"/>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6"/>
              <w:gridCol w:w="1062"/>
              <w:gridCol w:w="1465"/>
              <w:gridCol w:w="1379"/>
              <w:gridCol w:w="3207"/>
            </w:tblGrid>
            <w:tr w14:paraId="4953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2468" w:type="dxa"/>
                  <w:gridSpan w:val="2"/>
                  <w:tcBorders>
                    <w:top w:val="single" w:color="auto" w:sz="4" w:space="0"/>
                    <w:left w:val="single" w:color="auto" w:sz="4" w:space="0"/>
                    <w:bottom w:val="single" w:color="auto" w:sz="4" w:space="0"/>
                    <w:right w:val="single" w:color="auto" w:sz="4" w:space="0"/>
                  </w:tcBorders>
                  <w:vAlign w:val="center"/>
                </w:tcPr>
                <w:p w14:paraId="55669254">
                  <w:pPr>
                    <w:jc w:val="center"/>
                    <w:rPr>
                      <w:b/>
                      <w:color w:val="auto"/>
                      <w:szCs w:val="21"/>
                    </w:rPr>
                  </w:pPr>
                  <w:r>
                    <w:rPr>
                      <w:b/>
                      <w:color w:val="auto"/>
                      <w:szCs w:val="21"/>
                    </w:rPr>
                    <w:t>控制项目</w:t>
                  </w:r>
                </w:p>
              </w:tc>
              <w:tc>
                <w:tcPr>
                  <w:tcW w:w="1465" w:type="dxa"/>
                  <w:tcBorders>
                    <w:top w:val="single" w:color="auto" w:sz="4" w:space="0"/>
                    <w:left w:val="single" w:color="auto" w:sz="4" w:space="0"/>
                    <w:bottom w:val="single" w:color="auto" w:sz="4" w:space="0"/>
                    <w:right w:val="single" w:color="auto" w:sz="4" w:space="0"/>
                  </w:tcBorders>
                  <w:vAlign w:val="center"/>
                </w:tcPr>
                <w:p w14:paraId="69A7EF3C">
                  <w:pPr>
                    <w:jc w:val="center"/>
                    <w:rPr>
                      <w:b/>
                      <w:color w:val="auto"/>
                      <w:szCs w:val="21"/>
                    </w:rPr>
                  </w:pPr>
                  <w:r>
                    <w:rPr>
                      <w:b/>
                      <w:color w:val="auto"/>
                      <w:szCs w:val="21"/>
                    </w:rPr>
                    <w:t>单位</w:t>
                  </w:r>
                </w:p>
              </w:tc>
              <w:tc>
                <w:tcPr>
                  <w:tcW w:w="1379" w:type="dxa"/>
                  <w:tcBorders>
                    <w:top w:val="single" w:color="auto" w:sz="4" w:space="0"/>
                    <w:left w:val="single" w:color="auto" w:sz="4" w:space="0"/>
                    <w:bottom w:val="single" w:color="auto" w:sz="4" w:space="0"/>
                    <w:right w:val="single" w:color="auto" w:sz="4" w:space="0"/>
                  </w:tcBorders>
                  <w:vAlign w:val="center"/>
                </w:tcPr>
                <w:p w14:paraId="38C8D15E">
                  <w:pPr>
                    <w:jc w:val="center"/>
                    <w:rPr>
                      <w:b/>
                      <w:color w:val="auto"/>
                      <w:szCs w:val="21"/>
                    </w:rPr>
                  </w:pPr>
                  <w:r>
                    <w:rPr>
                      <w:b/>
                      <w:color w:val="auto"/>
                      <w:szCs w:val="21"/>
                    </w:rPr>
                    <w:t>标准限值</w:t>
                  </w:r>
                </w:p>
              </w:tc>
              <w:tc>
                <w:tcPr>
                  <w:tcW w:w="3207" w:type="dxa"/>
                  <w:tcBorders>
                    <w:top w:val="single" w:color="auto" w:sz="4" w:space="0"/>
                    <w:left w:val="single" w:color="auto" w:sz="4" w:space="0"/>
                    <w:bottom w:val="single" w:color="auto" w:sz="4" w:space="0"/>
                    <w:right w:val="single" w:color="auto" w:sz="4" w:space="0"/>
                  </w:tcBorders>
                  <w:vAlign w:val="center"/>
                </w:tcPr>
                <w:p w14:paraId="1523FA2E">
                  <w:pPr>
                    <w:jc w:val="center"/>
                    <w:rPr>
                      <w:b/>
                      <w:color w:val="auto"/>
                      <w:szCs w:val="21"/>
                    </w:rPr>
                  </w:pPr>
                  <w:r>
                    <w:rPr>
                      <w:b/>
                      <w:color w:val="auto"/>
                      <w:szCs w:val="21"/>
                    </w:rPr>
                    <w:t>依据</w:t>
                  </w:r>
                </w:p>
              </w:tc>
            </w:tr>
            <w:tr w14:paraId="54FF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exact"/>
                <w:jc w:val="center"/>
              </w:trPr>
              <w:tc>
                <w:tcPr>
                  <w:tcW w:w="1406" w:type="dxa"/>
                  <w:tcBorders>
                    <w:top w:val="single" w:color="auto" w:sz="4" w:space="0"/>
                    <w:left w:val="single" w:color="auto" w:sz="4" w:space="0"/>
                    <w:right w:val="single" w:color="auto" w:sz="4" w:space="0"/>
                  </w:tcBorders>
                  <w:vAlign w:val="center"/>
                </w:tcPr>
                <w:p w14:paraId="5DC51D28">
                  <w:pPr>
                    <w:jc w:val="center"/>
                    <w:rPr>
                      <w:bCs/>
                      <w:color w:val="auto"/>
                      <w:szCs w:val="21"/>
                    </w:rPr>
                  </w:pPr>
                  <w:r>
                    <w:rPr>
                      <w:bCs/>
                      <w:color w:val="auto"/>
                      <w:szCs w:val="21"/>
                    </w:rPr>
                    <w:t>有组织</w:t>
                  </w:r>
                </w:p>
              </w:tc>
              <w:tc>
                <w:tcPr>
                  <w:tcW w:w="1062" w:type="dxa"/>
                  <w:tcBorders>
                    <w:top w:val="single" w:color="auto" w:sz="4" w:space="0"/>
                    <w:left w:val="single" w:color="auto" w:sz="4" w:space="0"/>
                    <w:right w:val="single" w:color="auto" w:sz="4" w:space="0"/>
                  </w:tcBorders>
                  <w:vAlign w:val="center"/>
                </w:tcPr>
                <w:p w14:paraId="3E873FD3">
                  <w:pPr>
                    <w:jc w:val="center"/>
                    <w:rPr>
                      <w:bCs/>
                      <w:color w:val="auto"/>
                      <w:szCs w:val="21"/>
                    </w:rPr>
                  </w:pPr>
                  <w:r>
                    <w:rPr>
                      <w:bCs/>
                      <w:color w:val="auto"/>
                      <w:szCs w:val="21"/>
                    </w:rPr>
                    <w:t>臭气浓度</w:t>
                  </w:r>
                </w:p>
              </w:tc>
              <w:tc>
                <w:tcPr>
                  <w:tcW w:w="1465" w:type="dxa"/>
                  <w:tcBorders>
                    <w:top w:val="single" w:color="auto" w:sz="4" w:space="0"/>
                    <w:left w:val="single" w:color="auto" w:sz="4" w:space="0"/>
                    <w:right w:val="single" w:color="auto" w:sz="4" w:space="0"/>
                  </w:tcBorders>
                  <w:vAlign w:val="center"/>
                </w:tcPr>
                <w:p w14:paraId="39749E81">
                  <w:pPr>
                    <w:jc w:val="center"/>
                    <w:rPr>
                      <w:bCs/>
                      <w:color w:val="auto"/>
                      <w:szCs w:val="21"/>
                    </w:rPr>
                  </w:pPr>
                  <w:r>
                    <w:rPr>
                      <w:bCs/>
                      <w:color w:val="auto"/>
                      <w:szCs w:val="21"/>
                    </w:rPr>
                    <w:t>无量纲</w:t>
                  </w:r>
                </w:p>
              </w:tc>
              <w:tc>
                <w:tcPr>
                  <w:tcW w:w="1379" w:type="dxa"/>
                  <w:tcBorders>
                    <w:top w:val="single" w:color="auto" w:sz="4" w:space="0"/>
                    <w:left w:val="single" w:color="auto" w:sz="4" w:space="0"/>
                    <w:bottom w:val="single" w:color="auto" w:sz="4" w:space="0"/>
                    <w:right w:val="single" w:color="auto" w:sz="4" w:space="0"/>
                  </w:tcBorders>
                  <w:vAlign w:val="center"/>
                </w:tcPr>
                <w:p w14:paraId="4E399864">
                  <w:pPr>
                    <w:jc w:val="center"/>
                    <w:rPr>
                      <w:bCs/>
                      <w:color w:val="auto"/>
                      <w:szCs w:val="21"/>
                    </w:rPr>
                  </w:pPr>
                  <w:r>
                    <w:rPr>
                      <w:bCs/>
                      <w:color w:val="auto"/>
                      <w:szCs w:val="21"/>
                    </w:rPr>
                    <w:t>2000</w:t>
                  </w:r>
                </w:p>
              </w:tc>
              <w:tc>
                <w:tcPr>
                  <w:tcW w:w="3207" w:type="dxa"/>
                  <w:vMerge w:val="restart"/>
                  <w:tcBorders>
                    <w:top w:val="single" w:color="auto" w:sz="4" w:space="0"/>
                    <w:left w:val="single" w:color="auto" w:sz="4" w:space="0"/>
                    <w:right w:val="single" w:color="auto" w:sz="4" w:space="0"/>
                  </w:tcBorders>
                  <w:vAlign w:val="center"/>
                </w:tcPr>
                <w:p w14:paraId="0431FFA8">
                  <w:pPr>
                    <w:jc w:val="center"/>
                    <w:rPr>
                      <w:bCs/>
                      <w:color w:val="auto"/>
                      <w:szCs w:val="21"/>
                    </w:rPr>
                  </w:pPr>
                  <w:r>
                    <w:rPr>
                      <w:bCs/>
                      <w:color w:val="auto"/>
                      <w:szCs w:val="21"/>
                    </w:rPr>
                    <w:t>（GB14554-93）中二级标准</w:t>
                  </w:r>
                </w:p>
              </w:tc>
            </w:tr>
            <w:tr w14:paraId="7F4E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exact"/>
                <w:jc w:val="center"/>
              </w:trPr>
              <w:tc>
                <w:tcPr>
                  <w:tcW w:w="1406" w:type="dxa"/>
                  <w:tcBorders>
                    <w:top w:val="single" w:color="auto" w:sz="4" w:space="0"/>
                    <w:left w:val="single" w:color="auto" w:sz="4" w:space="0"/>
                    <w:right w:val="single" w:color="auto" w:sz="4" w:space="0"/>
                  </w:tcBorders>
                  <w:vAlign w:val="center"/>
                </w:tcPr>
                <w:p w14:paraId="114802D7">
                  <w:pPr>
                    <w:jc w:val="center"/>
                    <w:rPr>
                      <w:bCs/>
                      <w:color w:val="auto"/>
                      <w:szCs w:val="21"/>
                    </w:rPr>
                  </w:pPr>
                  <w:r>
                    <w:rPr>
                      <w:bCs/>
                      <w:color w:val="auto"/>
                      <w:szCs w:val="21"/>
                    </w:rPr>
                    <w:t>无组织</w:t>
                  </w:r>
                </w:p>
              </w:tc>
              <w:tc>
                <w:tcPr>
                  <w:tcW w:w="1062" w:type="dxa"/>
                  <w:tcBorders>
                    <w:top w:val="single" w:color="auto" w:sz="4" w:space="0"/>
                    <w:left w:val="single" w:color="auto" w:sz="4" w:space="0"/>
                    <w:right w:val="single" w:color="auto" w:sz="4" w:space="0"/>
                  </w:tcBorders>
                  <w:vAlign w:val="center"/>
                </w:tcPr>
                <w:p w14:paraId="0308678B">
                  <w:pPr>
                    <w:jc w:val="center"/>
                    <w:rPr>
                      <w:bCs/>
                      <w:color w:val="auto"/>
                      <w:szCs w:val="21"/>
                    </w:rPr>
                  </w:pPr>
                  <w:r>
                    <w:rPr>
                      <w:bCs/>
                      <w:color w:val="auto"/>
                      <w:szCs w:val="21"/>
                    </w:rPr>
                    <w:t>臭气浓度</w:t>
                  </w:r>
                </w:p>
              </w:tc>
              <w:tc>
                <w:tcPr>
                  <w:tcW w:w="1465" w:type="dxa"/>
                  <w:tcBorders>
                    <w:top w:val="single" w:color="auto" w:sz="4" w:space="0"/>
                    <w:left w:val="single" w:color="auto" w:sz="4" w:space="0"/>
                    <w:right w:val="single" w:color="auto" w:sz="4" w:space="0"/>
                  </w:tcBorders>
                  <w:vAlign w:val="center"/>
                </w:tcPr>
                <w:p w14:paraId="192C3058">
                  <w:pPr>
                    <w:jc w:val="center"/>
                    <w:rPr>
                      <w:bCs/>
                      <w:color w:val="auto"/>
                      <w:szCs w:val="21"/>
                    </w:rPr>
                  </w:pPr>
                  <w:r>
                    <w:rPr>
                      <w:bCs/>
                      <w:color w:val="auto"/>
                      <w:szCs w:val="21"/>
                    </w:rPr>
                    <w:t>无量纲</w:t>
                  </w:r>
                </w:p>
              </w:tc>
              <w:tc>
                <w:tcPr>
                  <w:tcW w:w="1379" w:type="dxa"/>
                  <w:tcBorders>
                    <w:top w:val="single" w:color="auto" w:sz="4" w:space="0"/>
                    <w:left w:val="single" w:color="auto" w:sz="4" w:space="0"/>
                    <w:bottom w:val="single" w:color="auto" w:sz="4" w:space="0"/>
                    <w:right w:val="single" w:color="auto" w:sz="4" w:space="0"/>
                  </w:tcBorders>
                  <w:vAlign w:val="center"/>
                </w:tcPr>
                <w:p w14:paraId="249E7A5F">
                  <w:pPr>
                    <w:jc w:val="center"/>
                    <w:rPr>
                      <w:bCs/>
                      <w:color w:val="auto"/>
                      <w:szCs w:val="21"/>
                    </w:rPr>
                  </w:pPr>
                  <w:r>
                    <w:rPr>
                      <w:bCs/>
                      <w:color w:val="auto"/>
                      <w:szCs w:val="21"/>
                    </w:rPr>
                    <w:t>20</w:t>
                  </w:r>
                </w:p>
              </w:tc>
              <w:tc>
                <w:tcPr>
                  <w:tcW w:w="3207" w:type="dxa"/>
                  <w:vMerge w:val="continue"/>
                  <w:tcBorders>
                    <w:left w:val="single" w:color="auto" w:sz="4" w:space="0"/>
                    <w:right w:val="single" w:color="auto" w:sz="4" w:space="0"/>
                  </w:tcBorders>
                  <w:vAlign w:val="center"/>
                </w:tcPr>
                <w:p w14:paraId="61147789">
                  <w:pPr>
                    <w:jc w:val="center"/>
                    <w:rPr>
                      <w:bCs/>
                      <w:color w:val="auto"/>
                      <w:szCs w:val="21"/>
                    </w:rPr>
                  </w:pPr>
                </w:p>
              </w:tc>
            </w:tr>
          </w:tbl>
          <w:p w14:paraId="007645BF">
            <w:pPr>
              <w:adjustRightInd w:val="0"/>
              <w:snapToGrid w:val="0"/>
              <w:spacing w:line="360" w:lineRule="auto"/>
              <w:ind w:firstLine="480" w:firstLineChars="200"/>
              <w:jc w:val="left"/>
              <w:rPr>
                <w:b/>
                <w:bCs/>
                <w:color w:val="auto"/>
                <w:szCs w:val="21"/>
              </w:rPr>
            </w:pPr>
            <w:r>
              <w:rPr>
                <w:rFonts w:hint="eastAsia"/>
                <w:color w:val="auto"/>
                <w:sz w:val="24"/>
              </w:rPr>
              <w:t>④项目</w:t>
            </w:r>
            <w:r>
              <w:rPr>
                <w:rFonts w:hint="eastAsia" w:ascii="宋体" w:hAnsi="宋体" w:cs="宋体"/>
                <w:color w:val="auto"/>
                <w:sz w:val="24"/>
              </w:rPr>
              <w:t>食堂油烟执行《饮食业油烟排放标准》</w:t>
            </w:r>
            <w:r>
              <w:rPr>
                <w:color w:val="auto"/>
                <w:sz w:val="24"/>
              </w:rPr>
              <w:t>（GB18483-2001）</w:t>
            </w:r>
            <w:r>
              <w:rPr>
                <w:rFonts w:hint="eastAsia" w:ascii="宋体" w:hAnsi="宋体" w:cs="宋体"/>
                <w:color w:val="auto"/>
                <w:sz w:val="24"/>
              </w:rPr>
              <w:t>小型标准，具体数值详见表</w:t>
            </w:r>
            <w:r>
              <w:rPr>
                <w:rFonts w:eastAsia="仿宋"/>
                <w:color w:val="auto"/>
                <w:sz w:val="24"/>
              </w:rPr>
              <w:t>3-</w:t>
            </w:r>
            <w:r>
              <w:rPr>
                <w:rFonts w:hint="eastAsia" w:eastAsia="仿宋"/>
                <w:color w:val="auto"/>
                <w:sz w:val="24"/>
                <w:lang w:val="en-US" w:eastAsia="zh-CN"/>
              </w:rPr>
              <w:t>9</w:t>
            </w:r>
            <w:r>
              <w:rPr>
                <w:rFonts w:hint="eastAsia" w:ascii="仿宋" w:hAnsi="仿宋" w:eastAsia="仿宋" w:cs="仿宋"/>
                <w:color w:val="auto"/>
                <w:sz w:val="24"/>
              </w:rPr>
              <w:t>。</w:t>
            </w:r>
          </w:p>
          <w:p w14:paraId="30503361">
            <w:pPr>
              <w:adjustRightInd w:val="0"/>
              <w:snapToGrid w:val="0"/>
              <w:jc w:val="center"/>
              <w:rPr>
                <w:b/>
                <w:bCs/>
                <w:color w:val="auto"/>
                <w:szCs w:val="21"/>
              </w:rPr>
            </w:pPr>
            <w:r>
              <w:rPr>
                <w:b/>
                <w:bCs/>
                <w:color w:val="auto"/>
                <w:szCs w:val="21"/>
              </w:rPr>
              <w:t>表</w:t>
            </w:r>
            <w:r>
              <w:rPr>
                <w:rFonts w:hint="eastAsia"/>
                <w:b/>
                <w:bCs/>
                <w:color w:val="auto"/>
                <w:szCs w:val="21"/>
              </w:rPr>
              <w:t>3-</w:t>
            </w:r>
            <w:r>
              <w:rPr>
                <w:rFonts w:hint="eastAsia"/>
                <w:b/>
                <w:bCs/>
                <w:color w:val="auto"/>
                <w:szCs w:val="21"/>
                <w:lang w:val="en-US" w:eastAsia="zh-CN"/>
              </w:rPr>
              <w:t>9</w:t>
            </w:r>
            <w:r>
              <w:rPr>
                <w:rFonts w:hint="eastAsia"/>
                <w:b/>
                <w:bCs/>
                <w:color w:val="auto"/>
                <w:szCs w:val="21"/>
              </w:rPr>
              <w:t xml:space="preserve">  </w:t>
            </w:r>
            <w:r>
              <w:rPr>
                <w:b/>
                <w:bCs/>
                <w:color w:val="auto"/>
                <w:szCs w:val="21"/>
              </w:rPr>
              <w:t>饮食业油烟排放标准</w:t>
            </w:r>
          </w:p>
          <w:tbl>
            <w:tblPr>
              <w:tblStyle w:val="30"/>
              <w:tblW w:w="84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50"/>
              <w:gridCol w:w="1860"/>
            </w:tblGrid>
            <w:tr w14:paraId="36242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6550" w:type="dxa"/>
                  <w:vAlign w:val="center"/>
                </w:tcPr>
                <w:p w14:paraId="5CA3972F">
                  <w:pPr>
                    <w:autoSpaceDE w:val="0"/>
                    <w:autoSpaceDN w:val="0"/>
                    <w:snapToGrid w:val="0"/>
                    <w:jc w:val="center"/>
                    <w:rPr>
                      <w:color w:val="auto"/>
                      <w:szCs w:val="21"/>
                    </w:rPr>
                  </w:pPr>
                  <w:r>
                    <w:rPr>
                      <w:color w:val="auto"/>
                      <w:szCs w:val="21"/>
                    </w:rPr>
                    <w:t>规模</w:t>
                  </w:r>
                </w:p>
              </w:tc>
              <w:tc>
                <w:tcPr>
                  <w:tcW w:w="1860" w:type="dxa"/>
                  <w:vAlign w:val="center"/>
                </w:tcPr>
                <w:p w14:paraId="2C1F9EBA">
                  <w:pPr>
                    <w:autoSpaceDE w:val="0"/>
                    <w:autoSpaceDN w:val="0"/>
                    <w:snapToGrid w:val="0"/>
                    <w:jc w:val="center"/>
                    <w:rPr>
                      <w:color w:val="auto"/>
                      <w:szCs w:val="21"/>
                    </w:rPr>
                  </w:pPr>
                  <w:r>
                    <w:rPr>
                      <w:color w:val="auto"/>
                      <w:szCs w:val="21"/>
                    </w:rPr>
                    <w:t>小型</w:t>
                  </w:r>
                </w:p>
              </w:tc>
            </w:tr>
            <w:tr w14:paraId="7F3CE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6550" w:type="dxa"/>
                  <w:vAlign w:val="center"/>
                </w:tcPr>
                <w:p w14:paraId="5F42C69D">
                  <w:pPr>
                    <w:autoSpaceDE w:val="0"/>
                    <w:autoSpaceDN w:val="0"/>
                    <w:snapToGrid w:val="0"/>
                    <w:jc w:val="center"/>
                    <w:rPr>
                      <w:color w:val="auto"/>
                      <w:szCs w:val="21"/>
                    </w:rPr>
                  </w:pPr>
                  <w:r>
                    <w:rPr>
                      <w:color w:val="auto"/>
                      <w:szCs w:val="21"/>
                    </w:rPr>
                    <w:t>基准灶头数</w:t>
                  </w:r>
                </w:p>
              </w:tc>
              <w:tc>
                <w:tcPr>
                  <w:tcW w:w="1860" w:type="dxa"/>
                  <w:vAlign w:val="center"/>
                </w:tcPr>
                <w:p w14:paraId="2A0901EF">
                  <w:pPr>
                    <w:autoSpaceDE w:val="0"/>
                    <w:autoSpaceDN w:val="0"/>
                    <w:snapToGrid w:val="0"/>
                    <w:jc w:val="center"/>
                    <w:rPr>
                      <w:color w:val="auto"/>
                      <w:szCs w:val="21"/>
                    </w:rPr>
                  </w:pPr>
                  <w:r>
                    <w:rPr>
                      <w:color w:val="auto"/>
                      <w:szCs w:val="21"/>
                    </w:rPr>
                    <w:t>≥1，＜3</w:t>
                  </w:r>
                </w:p>
              </w:tc>
            </w:tr>
            <w:tr w14:paraId="17086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6550" w:type="dxa"/>
                  <w:vAlign w:val="center"/>
                </w:tcPr>
                <w:p w14:paraId="56477958">
                  <w:pPr>
                    <w:autoSpaceDE w:val="0"/>
                    <w:autoSpaceDN w:val="0"/>
                    <w:snapToGrid w:val="0"/>
                    <w:jc w:val="center"/>
                    <w:rPr>
                      <w:color w:val="auto"/>
                      <w:szCs w:val="21"/>
                    </w:rPr>
                  </w:pPr>
                  <w:r>
                    <w:rPr>
                      <w:color w:val="auto"/>
                      <w:szCs w:val="21"/>
                    </w:rPr>
                    <w:t>油烟最高允许排放浓度(mg/m</w:t>
                  </w:r>
                  <w:r>
                    <w:rPr>
                      <w:color w:val="auto"/>
                      <w:szCs w:val="21"/>
                      <w:vertAlign w:val="superscript"/>
                    </w:rPr>
                    <w:t>3</w:t>
                  </w:r>
                  <w:r>
                    <w:rPr>
                      <w:color w:val="auto"/>
                      <w:szCs w:val="21"/>
                    </w:rPr>
                    <w:t>)</w:t>
                  </w:r>
                </w:p>
              </w:tc>
              <w:tc>
                <w:tcPr>
                  <w:tcW w:w="1860" w:type="dxa"/>
                  <w:vAlign w:val="center"/>
                </w:tcPr>
                <w:p w14:paraId="025FC70D">
                  <w:pPr>
                    <w:snapToGrid w:val="0"/>
                    <w:jc w:val="center"/>
                    <w:rPr>
                      <w:color w:val="auto"/>
                      <w:szCs w:val="21"/>
                    </w:rPr>
                  </w:pPr>
                  <w:r>
                    <w:rPr>
                      <w:color w:val="auto"/>
                      <w:szCs w:val="21"/>
                    </w:rPr>
                    <w:t>2.0</w:t>
                  </w:r>
                </w:p>
              </w:tc>
            </w:tr>
            <w:tr w14:paraId="33192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6550" w:type="dxa"/>
                  <w:vAlign w:val="center"/>
                </w:tcPr>
                <w:p w14:paraId="08080EDA">
                  <w:pPr>
                    <w:autoSpaceDE w:val="0"/>
                    <w:autoSpaceDN w:val="0"/>
                    <w:snapToGrid w:val="0"/>
                    <w:jc w:val="center"/>
                    <w:rPr>
                      <w:color w:val="auto"/>
                      <w:szCs w:val="21"/>
                    </w:rPr>
                  </w:pPr>
                  <w:r>
                    <w:rPr>
                      <w:color w:val="auto"/>
                      <w:szCs w:val="21"/>
                    </w:rPr>
                    <w:t>净化设施最低去除效率(%)</w:t>
                  </w:r>
                </w:p>
              </w:tc>
              <w:tc>
                <w:tcPr>
                  <w:tcW w:w="1860" w:type="dxa"/>
                  <w:vAlign w:val="center"/>
                </w:tcPr>
                <w:p w14:paraId="3833ED7F">
                  <w:pPr>
                    <w:autoSpaceDE w:val="0"/>
                    <w:autoSpaceDN w:val="0"/>
                    <w:snapToGrid w:val="0"/>
                    <w:jc w:val="center"/>
                    <w:rPr>
                      <w:color w:val="auto"/>
                      <w:szCs w:val="21"/>
                    </w:rPr>
                  </w:pPr>
                  <w:r>
                    <w:rPr>
                      <w:color w:val="auto"/>
                      <w:szCs w:val="21"/>
                    </w:rPr>
                    <w:t>60</w:t>
                  </w:r>
                </w:p>
              </w:tc>
            </w:tr>
          </w:tbl>
          <w:p w14:paraId="52294844">
            <w:pPr>
              <w:pStyle w:val="17"/>
              <w:adjustRightInd w:val="0"/>
              <w:snapToGrid w:val="0"/>
              <w:spacing w:line="348" w:lineRule="auto"/>
              <w:ind w:firstLine="482" w:firstLineChars="200"/>
              <w:rPr>
                <w:rFonts w:ascii="Times New Roman" w:hAnsi="Times New Roman"/>
                <w:b/>
                <w:bCs/>
                <w:color w:val="auto"/>
                <w:sz w:val="24"/>
              </w:rPr>
            </w:pPr>
            <w:r>
              <w:rPr>
                <w:rFonts w:ascii="Times New Roman" w:hAnsi="Times New Roman"/>
                <w:b/>
                <w:bCs/>
                <w:color w:val="auto"/>
                <w:sz w:val="24"/>
              </w:rPr>
              <w:t>2、废水</w:t>
            </w:r>
          </w:p>
          <w:p w14:paraId="17E35D5F">
            <w:pPr>
              <w:pStyle w:val="83"/>
              <w:keepNext w:val="0"/>
              <w:keepLines w:val="0"/>
              <w:pageBreakBefore w:val="0"/>
              <w:widowControl w:val="0"/>
              <w:kinsoku/>
              <w:wordWrap/>
              <w:overflowPunct/>
              <w:topLinePunct w:val="0"/>
              <w:autoSpaceDE/>
              <w:autoSpaceDN/>
              <w:bidi w:val="0"/>
              <w:spacing w:beforeLines="0" w:afterLines="0" w:line="360" w:lineRule="auto"/>
              <w:ind w:left="0" w:right="0" w:firstLine="480" w:firstLineChars="200"/>
              <w:textAlignment w:val="auto"/>
              <w:rPr>
                <w:rFonts w:ascii="Times New Roman" w:hAnsi="Times New Roman" w:eastAsia="宋体"/>
                <w:color w:val="auto"/>
                <w:sz w:val="24"/>
              </w:rPr>
            </w:pPr>
            <w:r>
              <w:rPr>
                <w:rFonts w:ascii="Times New Roman" w:hAnsi="Times New Roman" w:eastAsia="宋体"/>
                <w:color w:val="auto"/>
                <w:sz w:val="24"/>
                <w:szCs w:val="24"/>
              </w:rPr>
              <w:t>项目排水采用雨污分流的排水方式，项目区建筑物屋面及地面雨水经厂区雨水沟收集后排入园区雨水市政管网；冷却水经冷却循环</w:t>
            </w:r>
            <w:r>
              <w:rPr>
                <w:rFonts w:hint="eastAsia" w:ascii="Times New Roman" w:hAnsi="Times New Roman" w:eastAsia="宋体"/>
                <w:color w:val="auto"/>
                <w:sz w:val="24"/>
                <w:szCs w:val="24"/>
                <w:lang w:eastAsia="zh-CN"/>
              </w:rPr>
              <w:t>水箱</w:t>
            </w:r>
            <w:r>
              <w:rPr>
                <w:rFonts w:ascii="Times New Roman" w:hAnsi="Times New Roman" w:eastAsia="宋体"/>
                <w:color w:val="auto"/>
                <w:sz w:val="24"/>
                <w:szCs w:val="24"/>
              </w:rPr>
              <w:t>冷却后循环使用，不外排；</w:t>
            </w:r>
            <w:r>
              <w:rPr>
                <w:rFonts w:hint="default" w:ascii="Times New Roman" w:hAnsi="Times New Roman" w:eastAsia="宋体" w:cs="Times New Roman"/>
                <w:b w:val="0"/>
                <w:bCs w:val="0"/>
                <w:color w:val="auto"/>
                <w:sz w:val="24"/>
                <w:szCs w:val="24"/>
                <w:highlight w:val="none"/>
                <w:lang w:val="en-US" w:eastAsia="zh-CN"/>
              </w:rPr>
              <w:t>食堂含油废水经隔油池预处理后与其他办公生活污水一并进入</w:t>
            </w:r>
            <w:r>
              <w:rPr>
                <w:rFonts w:hint="eastAsia" w:cs="Times New Roman"/>
                <w:b w:val="0"/>
                <w:bCs w:val="0"/>
                <w:color w:val="auto"/>
                <w:sz w:val="24"/>
                <w:szCs w:val="24"/>
                <w:highlight w:val="none"/>
                <w:lang w:val="en-US" w:eastAsia="zh-CN"/>
              </w:rPr>
              <w:t>依托的</w:t>
            </w:r>
            <w:r>
              <w:rPr>
                <w:rFonts w:hint="default" w:ascii="Times New Roman" w:hAnsi="Times New Roman" w:eastAsia="宋体" w:cs="Times New Roman"/>
                <w:b w:val="0"/>
                <w:bCs w:val="0"/>
                <w:color w:val="auto"/>
                <w:sz w:val="24"/>
                <w:szCs w:val="24"/>
                <w:highlight w:val="none"/>
                <w:lang w:val="en-US" w:eastAsia="zh-CN"/>
              </w:rPr>
              <w:t>化粪池</w:t>
            </w:r>
            <w:r>
              <w:rPr>
                <w:rFonts w:hint="eastAsia" w:cs="Times New Roman"/>
                <w:b w:val="0"/>
                <w:bCs w:val="0"/>
                <w:color w:val="auto"/>
                <w:sz w:val="24"/>
                <w:szCs w:val="24"/>
                <w:highlight w:val="none"/>
                <w:lang w:val="en-US" w:eastAsia="zh-CN"/>
              </w:rPr>
              <w:t>处理</w:t>
            </w:r>
            <w:r>
              <w:rPr>
                <w:rFonts w:hint="eastAsia" w:ascii="Times New Roman" w:hAnsi="Times New Roman" w:eastAsia="宋体" w:cs="Times New Roman"/>
                <w:color w:val="auto"/>
                <w:sz w:val="24"/>
                <w:szCs w:val="24"/>
                <w:highlight w:val="none"/>
                <w:lang w:val="en-US" w:eastAsia="zh-CN"/>
              </w:rPr>
              <w:t>后</w:t>
            </w:r>
            <w:r>
              <w:rPr>
                <w:rFonts w:hint="default" w:ascii="Times New Roman" w:hAnsi="Times New Roman" w:eastAsia="宋体" w:cs="Times New Roman"/>
                <w:color w:val="auto"/>
                <w:sz w:val="24"/>
                <w:szCs w:val="24"/>
                <w:highlight w:val="none"/>
                <w:lang w:val="en-US" w:eastAsia="zh-CN"/>
              </w:rPr>
              <w:t>再进入到</w:t>
            </w:r>
            <w:r>
              <w:rPr>
                <w:rFonts w:hint="eastAsia" w:ascii="Times New Roman" w:hAnsi="Times New Roman" w:eastAsia="宋体" w:cs="Times New Roman"/>
                <w:color w:val="auto"/>
                <w:sz w:val="24"/>
                <w:szCs w:val="24"/>
                <w:highlight w:val="none"/>
                <w:lang w:val="en-US" w:eastAsia="zh-CN"/>
              </w:rPr>
              <w:t>依托的一体化污水处理站</w:t>
            </w:r>
            <w:r>
              <w:rPr>
                <w:rFonts w:hint="default" w:ascii="Times New Roman" w:hAnsi="Times New Roman" w:eastAsia="宋体" w:cs="Times New Roman"/>
                <w:color w:val="auto"/>
                <w:sz w:val="24"/>
                <w:szCs w:val="24"/>
                <w:highlight w:val="none"/>
                <w:lang w:val="en-US" w:eastAsia="zh-CN"/>
              </w:rPr>
              <w:t>处理</w:t>
            </w:r>
            <w:r>
              <w:rPr>
                <w:rFonts w:hint="eastAsia" w:ascii="Times New Roman" w:hAnsi="Times New Roman" w:eastAsia="宋体" w:cs="Times New Roman"/>
                <w:color w:val="auto"/>
                <w:sz w:val="24"/>
                <w:szCs w:val="24"/>
                <w:highlight w:val="none"/>
                <w:lang w:val="en-US" w:eastAsia="zh-CN"/>
              </w:rPr>
              <w:t>达到</w:t>
            </w:r>
            <w:r>
              <w:rPr>
                <w:rFonts w:hint="default" w:ascii="Times New Roman" w:hAnsi="Times New Roman" w:eastAsia="宋体" w:cs="Times New Roman"/>
                <w:b w:val="0"/>
                <w:bCs w:val="0"/>
                <w:color w:val="auto"/>
                <w:sz w:val="24"/>
                <w:szCs w:val="24"/>
                <w:highlight w:val="none"/>
                <w:lang w:val="en-US" w:eastAsia="zh-CN"/>
              </w:rPr>
              <w:t>《城市污水再生利用 城市杂用水水质》（GB/T18920-2020）中的城市绿化、道路清扫、消防、建筑施工标准后，用于</w:t>
            </w:r>
            <w:r>
              <w:rPr>
                <w:rFonts w:hint="eastAsia" w:cs="Times New Roman"/>
                <w:b w:val="0"/>
                <w:bCs w:val="0"/>
                <w:color w:val="auto"/>
                <w:sz w:val="24"/>
                <w:szCs w:val="24"/>
                <w:highlight w:val="none"/>
                <w:lang w:val="en-US" w:eastAsia="zh-CN"/>
              </w:rPr>
              <w:t>本</w:t>
            </w:r>
            <w:r>
              <w:rPr>
                <w:rFonts w:hint="default" w:ascii="Times New Roman" w:hAnsi="Times New Roman" w:eastAsia="宋体" w:cs="Times New Roman"/>
                <w:b w:val="0"/>
                <w:bCs w:val="0"/>
                <w:color w:val="auto"/>
                <w:sz w:val="24"/>
                <w:szCs w:val="24"/>
                <w:highlight w:val="none"/>
                <w:lang w:val="en-US" w:eastAsia="zh-CN"/>
              </w:rPr>
              <w:t>项目区</w:t>
            </w:r>
            <w:r>
              <w:rPr>
                <w:rFonts w:hint="eastAsia" w:cs="Times New Roman"/>
                <w:b w:val="0"/>
                <w:bCs w:val="0"/>
                <w:color w:val="auto"/>
                <w:sz w:val="24"/>
                <w:szCs w:val="24"/>
                <w:highlight w:val="none"/>
                <w:lang w:val="en-US" w:eastAsia="zh-CN"/>
              </w:rPr>
              <w:t>及</w:t>
            </w:r>
            <w:r>
              <w:rPr>
                <w:rFonts w:hint="eastAsia"/>
                <w:bCs/>
                <w:color w:val="auto"/>
                <w:sz w:val="24"/>
                <w:highlight w:val="none"/>
                <w:lang w:eastAsia="zh-CN"/>
              </w:rPr>
              <w:t>云</w:t>
            </w:r>
            <w:r>
              <w:rPr>
                <w:rFonts w:hint="eastAsia"/>
                <w:color w:val="auto"/>
                <w:sz w:val="24"/>
                <w:highlight w:val="none"/>
                <w:lang w:val="en-US" w:eastAsia="zh-CN"/>
              </w:rPr>
              <w:t>南宝泰轻化机械</w:t>
            </w:r>
            <w:r>
              <w:rPr>
                <w:rFonts w:hint="eastAsia"/>
                <w:color w:val="auto"/>
                <w:sz w:val="24"/>
                <w:highlight w:val="none"/>
                <w:lang w:eastAsia="zh-CN"/>
              </w:rPr>
              <w:t>有限公司</w:t>
            </w:r>
            <w:r>
              <w:rPr>
                <w:rFonts w:hint="default" w:ascii="Times New Roman" w:hAnsi="Times New Roman" w:eastAsia="宋体" w:cs="Times New Roman"/>
                <w:b w:val="0"/>
                <w:bCs w:val="0"/>
                <w:color w:val="auto"/>
                <w:sz w:val="24"/>
                <w:szCs w:val="24"/>
                <w:highlight w:val="none"/>
                <w:lang w:val="en-US" w:eastAsia="zh-CN"/>
              </w:rPr>
              <w:t>内绿化及道路场地洒水降尘，不外排。</w:t>
            </w:r>
          </w:p>
          <w:p w14:paraId="41995564">
            <w:pPr>
              <w:keepNext w:val="0"/>
              <w:keepLines w:val="0"/>
              <w:pageBreakBefore w:val="0"/>
              <w:widowControl w:val="0"/>
              <w:kinsoku/>
              <w:wordWrap/>
              <w:overflowPunct/>
              <w:topLinePunct w:val="0"/>
              <w:autoSpaceDE/>
              <w:autoSpaceDN/>
              <w:bidi w:val="0"/>
              <w:adjustRightInd w:val="0"/>
              <w:snapToGrid w:val="0"/>
              <w:spacing w:line="348"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szCs w:val="24"/>
                <w:highlight w:val="none"/>
                <w:lang w:val="en-US" w:eastAsia="zh-CN"/>
              </w:rPr>
              <w:t>生活污水执行标准值见表3-</w:t>
            </w:r>
            <w:r>
              <w:rPr>
                <w:rFonts w:hint="eastAsia"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val="en-US" w:eastAsia="zh-CN"/>
              </w:rPr>
              <w:t>。</w:t>
            </w:r>
          </w:p>
          <w:p w14:paraId="07316A7A">
            <w:pPr>
              <w:shd w:val="clear" w:color="auto" w:fill="auto"/>
              <w:spacing w:line="240" w:lineRule="auto"/>
              <w:ind w:firstLine="0" w:firstLineChars="0"/>
              <w:jc w:val="center"/>
              <w:rPr>
                <w:rFonts w:hint="default" w:ascii="Times New Roman" w:hAnsi="Times New Roman" w:eastAsia="宋体" w:cs="Times New Roman"/>
                <w:b/>
                <w:bCs/>
                <w:color w:val="auto"/>
                <w:sz w:val="21"/>
                <w:szCs w:val="21"/>
                <w:highlight w:val="none"/>
                <w:lang w:val="en-US" w:bidi="ar"/>
              </w:rPr>
            </w:pPr>
            <w:r>
              <w:rPr>
                <w:rFonts w:hint="default" w:ascii="Times New Roman" w:hAnsi="Times New Roman" w:eastAsia="宋体" w:cs="Times New Roman"/>
                <w:b/>
                <w:bCs/>
                <w:color w:val="auto"/>
                <w:sz w:val="21"/>
                <w:szCs w:val="21"/>
                <w:highlight w:val="none"/>
                <w:lang w:bidi="ar"/>
              </w:rPr>
              <w:t>表</w:t>
            </w:r>
            <w:r>
              <w:rPr>
                <w:rFonts w:hint="default" w:ascii="Times New Roman" w:hAnsi="Times New Roman" w:eastAsia="宋体" w:cs="Times New Roman"/>
                <w:b/>
                <w:bCs/>
                <w:color w:val="auto"/>
                <w:sz w:val="21"/>
                <w:szCs w:val="21"/>
                <w:highlight w:val="none"/>
                <w:lang w:val="en-US" w:eastAsia="zh-CN" w:bidi="ar"/>
              </w:rPr>
              <w:t>3-</w:t>
            </w:r>
            <w:r>
              <w:rPr>
                <w:rFonts w:hint="eastAsia" w:cs="Times New Roman"/>
                <w:b/>
                <w:bCs/>
                <w:color w:val="auto"/>
                <w:sz w:val="21"/>
                <w:szCs w:val="21"/>
                <w:highlight w:val="none"/>
                <w:lang w:val="en-US" w:eastAsia="zh-CN" w:bidi="ar"/>
              </w:rPr>
              <w:t>10</w:t>
            </w:r>
            <w:r>
              <w:rPr>
                <w:rFonts w:hint="default" w:ascii="Times New Roman" w:hAnsi="Times New Roman" w:eastAsia="宋体" w:cs="Times New Roman"/>
                <w:b/>
                <w:bCs/>
                <w:color w:val="auto"/>
                <w:sz w:val="21"/>
                <w:szCs w:val="21"/>
                <w:highlight w:val="none"/>
                <w:lang w:bidi="ar"/>
              </w:rPr>
              <w:t xml:space="preserve"> </w:t>
            </w:r>
            <w:r>
              <w:rPr>
                <w:rFonts w:hint="default" w:ascii="Times New Roman" w:hAnsi="Times New Roman" w:eastAsia="宋体" w:cs="Times New Roman"/>
                <w:b/>
                <w:bCs/>
                <w:color w:val="auto"/>
                <w:sz w:val="21"/>
                <w:szCs w:val="21"/>
                <w:highlight w:val="none"/>
                <w:lang w:val="en-US" w:eastAsia="zh-CN" w:bidi="ar"/>
              </w:rPr>
              <w:t xml:space="preserve"> 城市污水再生利用 城市杂用水水质</w:t>
            </w:r>
          </w:p>
          <w:tbl>
            <w:tblPr>
              <w:tblStyle w:val="30"/>
              <w:tblW w:w="84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3"/>
              <w:gridCol w:w="4210"/>
            </w:tblGrid>
            <w:tr w14:paraId="6CF01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3" w:type="dxa"/>
                  <w:vAlign w:val="center"/>
                </w:tcPr>
                <w:p w14:paraId="34C55A34">
                  <w:pPr>
                    <w:pStyle w:val="49"/>
                    <w:shd w:val="clear" w:color="auto" w:fill="auto"/>
                    <w:ind w:firstLine="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项目</w:t>
                  </w:r>
                </w:p>
              </w:tc>
              <w:tc>
                <w:tcPr>
                  <w:tcW w:w="4210" w:type="dxa"/>
                  <w:vAlign w:val="center"/>
                </w:tcPr>
                <w:p w14:paraId="36A094D4">
                  <w:pPr>
                    <w:pStyle w:val="49"/>
                    <w:shd w:val="clear" w:color="auto" w:fill="auto"/>
                    <w:ind w:firstLine="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城市绿化、道路清扫、消防、建筑施工</w:t>
                  </w:r>
                </w:p>
              </w:tc>
            </w:tr>
            <w:tr w14:paraId="4D33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3" w:type="dxa"/>
                  <w:vAlign w:val="center"/>
                </w:tcPr>
                <w:p w14:paraId="5E1AF872">
                  <w:pPr>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pH</w:t>
                  </w:r>
                </w:p>
              </w:tc>
              <w:tc>
                <w:tcPr>
                  <w:tcW w:w="4210" w:type="dxa"/>
                  <w:vAlign w:val="center"/>
                </w:tcPr>
                <w:p w14:paraId="11E1DBDA">
                  <w:pPr>
                    <w:pStyle w:val="49"/>
                    <w:shd w:val="clear" w:color="auto" w:fill="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6.0~9.0</w:t>
                  </w:r>
                </w:p>
              </w:tc>
            </w:tr>
            <w:tr w14:paraId="5B117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3" w:type="dxa"/>
                  <w:vAlign w:val="center"/>
                </w:tcPr>
                <w:p w14:paraId="3F4D86EF">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色度≤</w:t>
                  </w:r>
                </w:p>
              </w:tc>
              <w:tc>
                <w:tcPr>
                  <w:tcW w:w="4210" w:type="dxa"/>
                  <w:vAlign w:val="center"/>
                </w:tcPr>
                <w:p w14:paraId="4B8AE96E">
                  <w:pPr>
                    <w:pStyle w:val="49"/>
                    <w:shd w:val="clear" w:color="auto" w:fill="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w:t>
                  </w:r>
                </w:p>
              </w:tc>
            </w:tr>
            <w:tr w14:paraId="607A0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3" w:type="dxa"/>
                  <w:vAlign w:val="center"/>
                </w:tcPr>
                <w:p w14:paraId="3AA75062">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嗅</w:t>
                  </w:r>
                </w:p>
              </w:tc>
              <w:tc>
                <w:tcPr>
                  <w:tcW w:w="4210" w:type="dxa"/>
                  <w:vAlign w:val="center"/>
                </w:tcPr>
                <w:p w14:paraId="2EC81FC7">
                  <w:pPr>
                    <w:pStyle w:val="49"/>
                    <w:shd w:val="clear" w:color="auto" w:fill="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无不快感</w:t>
                  </w:r>
                </w:p>
              </w:tc>
            </w:tr>
            <w:tr w14:paraId="6065A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3" w:type="dxa"/>
                  <w:vAlign w:val="center"/>
                </w:tcPr>
                <w:p w14:paraId="2C640A09">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浊度/NTU≤</w:t>
                  </w:r>
                </w:p>
              </w:tc>
              <w:tc>
                <w:tcPr>
                  <w:tcW w:w="4210" w:type="dxa"/>
                  <w:vAlign w:val="center"/>
                </w:tcPr>
                <w:p w14:paraId="2FCD79E7">
                  <w:pPr>
                    <w:pStyle w:val="49"/>
                    <w:shd w:val="clear" w:color="auto" w:fill="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r>
            <w:tr w14:paraId="47E5A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3" w:type="dxa"/>
                  <w:vAlign w:val="center"/>
                </w:tcPr>
                <w:p w14:paraId="3F003A50">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五日生化需氧量（BOD</w:t>
                  </w:r>
                  <w:r>
                    <w:rPr>
                      <w:rFonts w:hint="default" w:ascii="Times New Roman" w:hAnsi="Times New Roman" w:eastAsia="宋体" w:cs="Times New Roman"/>
                      <w:color w:val="auto"/>
                      <w:sz w:val="21"/>
                      <w:szCs w:val="21"/>
                      <w:highlight w:val="none"/>
                      <w:vertAlign w:val="subscript"/>
                      <w:lang w:val="en-US" w:eastAsia="zh-CN"/>
                    </w:rPr>
                    <w:t>5</w:t>
                  </w:r>
                  <w:r>
                    <w:rPr>
                      <w:rFonts w:hint="default" w:ascii="Times New Roman" w:hAnsi="Times New Roman" w:eastAsia="宋体" w:cs="Times New Roman"/>
                      <w:color w:val="auto"/>
                      <w:sz w:val="21"/>
                      <w:szCs w:val="21"/>
                      <w:highlight w:val="none"/>
                      <w:lang w:val="en-US" w:eastAsia="zh-CN"/>
                    </w:rPr>
                    <w:t>）/（mg/L）≤</w:t>
                  </w:r>
                </w:p>
              </w:tc>
              <w:tc>
                <w:tcPr>
                  <w:tcW w:w="4210" w:type="dxa"/>
                  <w:vAlign w:val="center"/>
                </w:tcPr>
                <w:p w14:paraId="493080F8">
                  <w:pPr>
                    <w:pStyle w:val="49"/>
                    <w:shd w:val="clear" w:color="auto" w:fill="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r>
            <w:tr w14:paraId="10EA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4203" w:type="dxa"/>
                  <w:vAlign w:val="center"/>
                </w:tcPr>
                <w:p w14:paraId="7A12F12B">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氨氮/（mg/L）≤</w:t>
                  </w:r>
                </w:p>
              </w:tc>
              <w:tc>
                <w:tcPr>
                  <w:tcW w:w="4210" w:type="dxa"/>
                  <w:vAlign w:val="center"/>
                </w:tcPr>
                <w:p w14:paraId="1D6DAA3D">
                  <w:pPr>
                    <w:pStyle w:val="49"/>
                    <w:shd w:val="clear" w:color="auto" w:fill="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w:t>
                  </w:r>
                </w:p>
              </w:tc>
            </w:tr>
            <w:tr w14:paraId="2F70F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4203" w:type="dxa"/>
                  <w:vAlign w:val="center"/>
                </w:tcPr>
                <w:p w14:paraId="4D6C3AF9">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阴离子表面活性剂/（mg/L）≤</w:t>
                  </w:r>
                </w:p>
              </w:tc>
              <w:tc>
                <w:tcPr>
                  <w:tcW w:w="4210" w:type="dxa"/>
                  <w:vAlign w:val="center"/>
                </w:tcPr>
                <w:p w14:paraId="099B2622">
                  <w:pPr>
                    <w:pStyle w:val="49"/>
                    <w:shd w:val="clear" w:color="auto" w:fill="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0.5</w:t>
                  </w:r>
                </w:p>
              </w:tc>
            </w:tr>
            <w:tr w14:paraId="07B89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4203" w:type="dxa"/>
                  <w:vAlign w:val="center"/>
                </w:tcPr>
                <w:p w14:paraId="0F7D1EFF">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溶解性总固体/（mg/L）≤</w:t>
                  </w:r>
                </w:p>
              </w:tc>
              <w:tc>
                <w:tcPr>
                  <w:tcW w:w="4210" w:type="dxa"/>
                  <w:vAlign w:val="center"/>
                </w:tcPr>
                <w:p w14:paraId="58EA45D1">
                  <w:pPr>
                    <w:pStyle w:val="49"/>
                    <w:shd w:val="clear" w:color="auto" w:fill="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1000（2000）</w:t>
                  </w:r>
                  <w:r>
                    <w:rPr>
                      <w:rFonts w:hint="default" w:ascii="Times New Roman" w:hAnsi="Times New Roman" w:eastAsia="宋体" w:cs="Times New Roman"/>
                      <w:color w:val="auto"/>
                      <w:sz w:val="21"/>
                      <w:szCs w:val="21"/>
                      <w:highlight w:val="none"/>
                      <w:vertAlign w:val="superscript"/>
                      <w:lang w:val="en-US" w:eastAsia="zh-CN"/>
                    </w:rPr>
                    <w:t>a</w:t>
                  </w:r>
                </w:p>
              </w:tc>
            </w:tr>
            <w:tr w14:paraId="2CCB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4203" w:type="dxa"/>
                  <w:vAlign w:val="center"/>
                </w:tcPr>
                <w:p w14:paraId="3AD0350F">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溶解氧/（mg/L）≥</w:t>
                  </w:r>
                </w:p>
              </w:tc>
              <w:tc>
                <w:tcPr>
                  <w:tcW w:w="4210" w:type="dxa"/>
                  <w:vAlign w:val="center"/>
                </w:tcPr>
                <w:p w14:paraId="1480D118">
                  <w:pPr>
                    <w:pStyle w:val="49"/>
                    <w:shd w:val="clear" w:color="auto" w:fill="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w:t>
                  </w:r>
                </w:p>
              </w:tc>
            </w:tr>
            <w:tr w14:paraId="47E9D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4203" w:type="dxa"/>
                  <w:vAlign w:val="center"/>
                </w:tcPr>
                <w:p w14:paraId="0917AF61">
                  <w:pPr>
                    <w:shd w:val="clear" w:color="auto" w:fill="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总氯/（mg/L）≤</w:t>
                  </w:r>
                </w:p>
              </w:tc>
              <w:tc>
                <w:tcPr>
                  <w:tcW w:w="4210" w:type="dxa"/>
                  <w:vAlign w:val="center"/>
                </w:tcPr>
                <w:p w14:paraId="0A43AB4A">
                  <w:pPr>
                    <w:pStyle w:val="49"/>
                    <w:shd w:val="clear" w:color="auto" w:fill="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1.0（出厂），0.2</w:t>
                  </w:r>
                  <w:r>
                    <w:rPr>
                      <w:rFonts w:hint="default" w:ascii="Times New Roman" w:hAnsi="Times New Roman" w:eastAsia="宋体" w:cs="Times New Roman"/>
                      <w:color w:val="auto"/>
                      <w:sz w:val="21"/>
                      <w:szCs w:val="21"/>
                      <w:highlight w:val="none"/>
                      <w:vertAlign w:val="superscript"/>
                      <w:lang w:val="en-US" w:eastAsia="zh-CN"/>
                    </w:rPr>
                    <w:t>b</w:t>
                  </w:r>
                  <w:r>
                    <w:rPr>
                      <w:rFonts w:hint="default" w:ascii="Times New Roman" w:hAnsi="Times New Roman" w:eastAsia="宋体" w:cs="Times New Roman"/>
                      <w:color w:val="auto"/>
                      <w:sz w:val="21"/>
                      <w:szCs w:val="21"/>
                      <w:highlight w:val="none"/>
                      <w:lang w:val="en-US" w:eastAsia="zh-CN"/>
                    </w:rPr>
                    <w:t>（管网末端）</w:t>
                  </w:r>
                </w:p>
              </w:tc>
            </w:tr>
            <w:tr w14:paraId="06A29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trPr>
              <w:tc>
                <w:tcPr>
                  <w:tcW w:w="8413" w:type="dxa"/>
                  <w:gridSpan w:val="2"/>
                  <w:vAlign w:val="center"/>
                </w:tcPr>
                <w:p w14:paraId="12C0CA57">
                  <w:pPr>
                    <w:pStyle w:val="49"/>
                    <w:shd w:val="clear" w:color="auto" w:fill="auto"/>
                    <w:ind w:firstLine="0" w:firstLineChars="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a 括号内指标值为沿海及本地水源中溶解性固体含量较高的区域的指标。</w:t>
                  </w:r>
                </w:p>
                <w:p w14:paraId="5123B923">
                  <w:pP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b 用于城市绿化时，不应超过2.5mg/L。</w:t>
                  </w:r>
                </w:p>
              </w:tc>
            </w:tr>
          </w:tbl>
          <w:p w14:paraId="2D139A0C">
            <w:pPr>
              <w:pStyle w:val="17"/>
              <w:adjustRightInd w:val="0"/>
              <w:snapToGrid w:val="0"/>
              <w:spacing w:line="336" w:lineRule="auto"/>
              <w:ind w:firstLine="482" w:firstLineChars="200"/>
              <w:rPr>
                <w:rFonts w:ascii="Times New Roman" w:hAnsi="Times New Roman"/>
                <w:b/>
                <w:bCs/>
                <w:color w:val="auto"/>
                <w:sz w:val="24"/>
              </w:rPr>
            </w:pPr>
            <w:r>
              <w:rPr>
                <w:rFonts w:ascii="Times New Roman" w:hAnsi="Times New Roman"/>
                <w:b/>
                <w:bCs/>
                <w:color w:val="auto"/>
                <w:sz w:val="24"/>
              </w:rPr>
              <w:t>3、噪声</w:t>
            </w:r>
          </w:p>
          <w:p w14:paraId="552B0C40">
            <w:pPr>
              <w:adjustRightInd w:val="0"/>
              <w:snapToGrid w:val="0"/>
              <w:spacing w:line="336" w:lineRule="auto"/>
              <w:ind w:firstLine="480" w:firstLineChars="200"/>
              <w:rPr>
                <w:color w:val="auto"/>
                <w:sz w:val="24"/>
              </w:rPr>
            </w:pPr>
            <w:r>
              <w:rPr>
                <w:color w:val="auto"/>
                <w:sz w:val="24"/>
              </w:rPr>
              <w:t>（1）施工期</w:t>
            </w:r>
          </w:p>
          <w:p w14:paraId="6A9B1BBB">
            <w:pPr>
              <w:keepNext w:val="0"/>
              <w:keepLines w:val="0"/>
              <w:pageBreakBefore w:val="0"/>
              <w:widowControl w:val="0"/>
              <w:shd w:val="clear"/>
              <w:kinsoku/>
              <w:wordWrap/>
              <w:overflowPunct/>
              <w:topLinePunct w:val="0"/>
              <w:autoSpaceDE/>
              <w:autoSpaceDN/>
              <w:bidi w:val="0"/>
              <w:adjustRightInd w:val="0"/>
              <w:snapToGrid w:val="0"/>
              <w:spacing w:line="336" w:lineRule="auto"/>
              <w:ind w:firstLine="480" w:firstLineChars="200"/>
              <w:jc w:val="left"/>
              <w:textAlignment w:val="auto"/>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项目施工期噪声执行</w:t>
            </w:r>
            <w:r>
              <w:rPr>
                <w:rFonts w:hint="default" w:ascii="Times New Roman" w:hAnsi="Times New Roman" w:eastAsia="宋体" w:cs="Times New Roman"/>
                <w:color w:val="auto"/>
                <w:kern w:val="0"/>
                <w:sz w:val="24"/>
                <w:highlight w:val="none"/>
              </w:rPr>
              <w:t>《建筑施工噪声排放标准》</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GB12523-</w:t>
            </w:r>
            <w:r>
              <w:rPr>
                <w:rFonts w:hint="eastAsia" w:cs="Times New Roman"/>
                <w:color w:val="auto"/>
                <w:kern w:val="0"/>
                <w:sz w:val="24"/>
                <w:highlight w:val="none"/>
                <w:lang w:val="en-US" w:eastAsia="zh-CN"/>
              </w:rPr>
              <w:t>2025</w:t>
            </w:r>
            <w:r>
              <w:rPr>
                <w:rFonts w:hint="default" w:ascii="Times New Roman" w:hAnsi="Times New Roman" w:eastAsia="宋体" w:cs="Times New Roman"/>
                <w:color w:val="auto"/>
                <w:kern w:val="0"/>
                <w:sz w:val="24"/>
                <w:highlight w:val="none"/>
                <w:lang w:eastAsia="zh-CN"/>
              </w:rPr>
              <w:t>）</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标准限值见表</w:t>
            </w:r>
            <w:r>
              <w:rPr>
                <w:rFonts w:hint="default" w:ascii="Times New Roman" w:hAnsi="Times New Roman" w:eastAsia="宋体" w:cs="Times New Roman"/>
                <w:color w:val="auto"/>
                <w:kern w:val="0"/>
                <w:sz w:val="24"/>
                <w:highlight w:val="none"/>
                <w:lang w:val="en-US" w:eastAsia="zh-CN"/>
              </w:rPr>
              <w:t>3-</w:t>
            </w:r>
            <w:r>
              <w:rPr>
                <w:rFonts w:hint="eastAsia" w:cs="Times New Roman"/>
                <w:color w:val="auto"/>
                <w:kern w:val="0"/>
                <w:sz w:val="24"/>
                <w:highlight w:val="none"/>
                <w:lang w:val="en-US" w:eastAsia="zh-CN"/>
              </w:rPr>
              <w:t>11</w:t>
            </w:r>
            <w:r>
              <w:rPr>
                <w:rFonts w:hint="eastAsia" w:cs="Times New Roman"/>
                <w:color w:val="auto"/>
                <w:kern w:val="0"/>
                <w:sz w:val="24"/>
                <w:highlight w:val="none"/>
                <w:lang w:eastAsia="zh-CN"/>
              </w:rPr>
              <w:t>，</w:t>
            </w:r>
            <w:r>
              <w:rPr>
                <w:rFonts w:hint="eastAsia" w:cs="Times New Roman"/>
                <w:color w:val="auto"/>
                <w:kern w:val="0"/>
                <w:sz w:val="24"/>
                <w:highlight w:val="none"/>
                <w:lang w:val="en-US" w:eastAsia="zh-CN"/>
              </w:rPr>
              <w:t>夜间场界噪声最大声级超过限值的幅度不得高于15 dB（A）。</w:t>
            </w:r>
          </w:p>
          <w:p w14:paraId="3380E31C">
            <w:pPr>
              <w:shd w:val="clear"/>
              <w:adjustRightInd w:val="0"/>
              <w:snapToGrid w:val="0"/>
              <w:jc w:val="center"/>
              <w:textAlignment w:val="baseline"/>
              <w:rPr>
                <w:rFonts w:hint="default" w:ascii="Times New Roman" w:hAnsi="Times New Roman" w:eastAsia="宋体" w:cs="Times New Roman"/>
                <w:b/>
                <w:color w:val="auto"/>
                <w:highlight w:val="none"/>
                <w:lang w:eastAsia="zh-CN"/>
              </w:rPr>
            </w:pPr>
            <w:r>
              <w:rPr>
                <w:rFonts w:hint="default" w:ascii="Times New Roman" w:hAnsi="Times New Roman" w:eastAsia="宋体" w:cs="Times New Roman"/>
                <w:b/>
                <w:bCs/>
                <w:color w:val="auto"/>
                <w:highlight w:val="none"/>
              </w:rPr>
              <w:t>表</w:t>
            </w:r>
            <w:r>
              <w:rPr>
                <w:rFonts w:hint="default" w:ascii="Times New Roman" w:hAnsi="Times New Roman" w:eastAsia="宋体" w:cs="Times New Roman"/>
                <w:b/>
                <w:bCs/>
                <w:color w:val="auto"/>
                <w:highlight w:val="none"/>
                <w:lang w:val="en-US" w:eastAsia="zh-CN"/>
              </w:rPr>
              <w:t>3-</w:t>
            </w:r>
            <w:r>
              <w:rPr>
                <w:rFonts w:hint="eastAsia" w:cs="Times New Roman"/>
                <w:b/>
                <w:bCs/>
                <w:color w:val="auto"/>
                <w:highlight w:val="none"/>
                <w:lang w:val="en-US" w:eastAsia="zh-CN"/>
              </w:rPr>
              <w:t>11</w:t>
            </w:r>
            <w:r>
              <w:rPr>
                <w:rFonts w:hint="default" w:ascii="Times New Roman" w:hAnsi="Times New Roman" w:eastAsia="宋体" w:cs="Times New Roman"/>
                <w:b/>
                <w:bCs/>
                <w:color w:val="auto"/>
                <w:highlight w:val="none"/>
              </w:rPr>
              <w:t xml:space="preserve">  </w:t>
            </w:r>
            <w:r>
              <w:rPr>
                <w:rFonts w:hint="default" w:ascii="Times New Roman" w:hAnsi="Times New Roman" w:eastAsia="宋体" w:cs="Times New Roman"/>
                <w:b/>
                <w:color w:val="auto"/>
                <w:highlight w:val="none"/>
                <w:lang w:val="en-US" w:eastAsia="zh-CN"/>
              </w:rPr>
              <w:t>建筑施工场界噪声排放限值</w:t>
            </w:r>
            <w:r>
              <w:rPr>
                <w:rFonts w:hint="eastAsia" w:cs="Times New Roman"/>
                <w:b/>
                <w:color w:val="auto"/>
                <w:highlight w:val="none"/>
                <w:lang w:val="en-US" w:eastAsia="zh-CN"/>
              </w:rPr>
              <w:t xml:space="preserve">   </w:t>
            </w:r>
            <w:r>
              <w:rPr>
                <w:rFonts w:hint="default" w:ascii="Times New Roman" w:hAnsi="Times New Roman" w:eastAsia="宋体" w:cs="Times New Roman"/>
                <w:b/>
                <w:color w:val="auto"/>
                <w:highlight w:val="none"/>
              </w:rPr>
              <w:t>单位：dB</w:t>
            </w:r>
            <w:r>
              <w:rPr>
                <w:rFonts w:hint="default" w:ascii="Times New Roman" w:hAnsi="Times New Roman" w:eastAsia="宋体" w:cs="Times New Roman"/>
                <w:b/>
                <w:color w:val="auto"/>
                <w:highlight w:val="none"/>
                <w:lang w:eastAsia="zh-CN"/>
              </w:rPr>
              <w:t>（</w:t>
            </w:r>
            <w:r>
              <w:rPr>
                <w:rFonts w:hint="default" w:ascii="Times New Roman" w:hAnsi="Times New Roman" w:eastAsia="宋体" w:cs="Times New Roman"/>
                <w:b/>
                <w:color w:val="auto"/>
                <w:highlight w:val="none"/>
              </w:rPr>
              <w:t>A</w:t>
            </w:r>
            <w:r>
              <w:rPr>
                <w:rFonts w:hint="default" w:ascii="Times New Roman" w:hAnsi="Times New Roman" w:eastAsia="宋体" w:cs="Times New Roman"/>
                <w:b/>
                <w:color w:val="auto"/>
                <w:highlight w:val="none"/>
                <w:lang w:eastAsia="zh-CN"/>
              </w:rPr>
              <w:t>）</w:t>
            </w:r>
          </w:p>
          <w:tbl>
            <w:tblPr>
              <w:tblStyle w:val="3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9"/>
              <w:gridCol w:w="3981"/>
            </w:tblGrid>
            <w:tr w14:paraId="7BCE3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5000" w:type="pct"/>
                  <w:gridSpan w:val="2"/>
                  <w:noWrap w:val="0"/>
                  <w:vAlign w:val="center"/>
                </w:tcPr>
                <w:p w14:paraId="7BCDF91A">
                  <w:pPr>
                    <w:pStyle w:val="29"/>
                    <w:shd w:val="clear"/>
                    <w:spacing w:after="0"/>
                    <w:ind w:left="0" w:leftChars="0" w:firstLine="0" w:firstLineChars="0"/>
                    <w:jc w:val="center"/>
                    <w:rPr>
                      <w:rFonts w:hint="eastAsia" w:ascii="Times New Roman" w:hAnsi="Times New Roman" w:eastAsia="宋体" w:cs="Times New Roman"/>
                      <w:b/>
                      <w:color w:val="auto"/>
                      <w:highlight w:val="none"/>
                      <w:lang w:eastAsia="zh-CN"/>
                    </w:rPr>
                  </w:pPr>
                  <w:r>
                    <w:rPr>
                      <w:rFonts w:hint="eastAsia" w:cs="Times New Roman"/>
                      <w:b/>
                      <w:color w:val="auto"/>
                      <w:highlight w:val="none"/>
                      <w:lang w:val="en-US" w:eastAsia="zh-CN"/>
                    </w:rPr>
                    <w:t>时段</w:t>
                  </w:r>
                </w:p>
              </w:tc>
            </w:tr>
            <w:tr w14:paraId="2EA7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2647" w:type="pct"/>
                  <w:noWrap w:val="0"/>
                  <w:vAlign w:val="center"/>
                </w:tcPr>
                <w:p w14:paraId="2F14F2D8">
                  <w:pPr>
                    <w:pStyle w:val="29"/>
                    <w:shd w:val="clear"/>
                    <w:spacing w:after="0"/>
                    <w:ind w:left="0" w:leftChars="0" w:firstLine="0" w:firstLineChars="0"/>
                    <w:jc w:val="center"/>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昼间</w:t>
                  </w:r>
                </w:p>
              </w:tc>
              <w:tc>
                <w:tcPr>
                  <w:tcW w:w="2352" w:type="pct"/>
                  <w:noWrap w:val="0"/>
                  <w:vAlign w:val="center"/>
                </w:tcPr>
                <w:p w14:paraId="53D29D2A">
                  <w:pPr>
                    <w:pStyle w:val="29"/>
                    <w:shd w:val="clear"/>
                    <w:spacing w:after="0"/>
                    <w:ind w:left="0" w:leftChars="0" w:firstLine="0" w:firstLineChars="0"/>
                    <w:jc w:val="center"/>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夜间</w:t>
                  </w:r>
                </w:p>
              </w:tc>
            </w:tr>
            <w:tr w14:paraId="7BE7D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2647" w:type="pct"/>
                  <w:noWrap w:val="0"/>
                  <w:vAlign w:val="center"/>
                </w:tcPr>
                <w:p w14:paraId="365BE519">
                  <w:pPr>
                    <w:pStyle w:val="29"/>
                    <w:shd w:val="clear"/>
                    <w:spacing w:after="0"/>
                    <w:ind w:left="0" w:leftChars="0" w:firstLine="0" w:firstLineChars="0"/>
                    <w:jc w:val="center"/>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70</w:t>
                  </w:r>
                </w:p>
              </w:tc>
              <w:tc>
                <w:tcPr>
                  <w:tcW w:w="2352" w:type="pct"/>
                  <w:noWrap w:val="0"/>
                  <w:vAlign w:val="center"/>
                </w:tcPr>
                <w:p w14:paraId="1375460E">
                  <w:pPr>
                    <w:pStyle w:val="29"/>
                    <w:shd w:val="clear"/>
                    <w:spacing w:after="0"/>
                    <w:ind w:left="0" w:leftChars="0" w:firstLine="0" w:firstLineChars="0"/>
                    <w:jc w:val="center"/>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55</w:t>
                  </w:r>
                </w:p>
              </w:tc>
            </w:tr>
          </w:tbl>
          <w:p w14:paraId="39AB2B35">
            <w:pPr>
              <w:adjustRightInd w:val="0"/>
              <w:snapToGrid w:val="0"/>
              <w:spacing w:line="336" w:lineRule="auto"/>
              <w:ind w:firstLine="480" w:firstLineChars="200"/>
              <w:rPr>
                <w:color w:val="auto"/>
                <w:sz w:val="24"/>
              </w:rPr>
            </w:pPr>
            <w:r>
              <w:rPr>
                <w:color w:val="auto"/>
                <w:sz w:val="24"/>
              </w:rPr>
              <w:t>（2）运营期</w:t>
            </w:r>
          </w:p>
          <w:p w14:paraId="49878E60">
            <w:pPr>
              <w:adjustRightInd w:val="0"/>
              <w:snapToGrid w:val="0"/>
              <w:spacing w:line="360" w:lineRule="auto"/>
              <w:ind w:firstLine="480" w:firstLineChars="200"/>
              <w:rPr>
                <w:color w:val="auto"/>
                <w:sz w:val="24"/>
              </w:rPr>
            </w:pPr>
            <w:r>
              <w:rPr>
                <w:color w:val="auto"/>
                <w:sz w:val="24"/>
              </w:rPr>
              <w:t>项目营运期厂界噪声排放执行《工业企业厂界环境噪声排放标准》（GB12348-2008）</w:t>
            </w:r>
            <w:r>
              <w:rPr>
                <w:rFonts w:hint="eastAsia"/>
                <w:color w:val="auto"/>
                <w:sz w:val="24"/>
                <w:lang w:val="en-US" w:eastAsia="zh-CN"/>
              </w:rPr>
              <w:t>3</w:t>
            </w:r>
            <w:r>
              <w:rPr>
                <w:color w:val="auto"/>
                <w:sz w:val="24"/>
              </w:rPr>
              <w:t>类标准。标准限</w:t>
            </w:r>
            <w:r>
              <w:rPr>
                <w:color w:val="auto"/>
                <w:kern w:val="0"/>
                <w:sz w:val="24"/>
              </w:rPr>
              <w:t>值</w:t>
            </w:r>
            <w:r>
              <w:rPr>
                <w:color w:val="auto"/>
                <w:sz w:val="24"/>
              </w:rPr>
              <w:t>详见表3-</w:t>
            </w:r>
            <w:r>
              <w:rPr>
                <w:rFonts w:hint="eastAsia"/>
                <w:color w:val="auto"/>
                <w:sz w:val="24"/>
              </w:rPr>
              <w:t>1</w:t>
            </w:r>
            <w:r>
              <w:rPr>
                <w:rFonts w:hint="eastAsia"/>
                <w:color w:val="auto"/>
                <w:sz w:val="24"/>
                <w:lang w:val="en-US" w:eastAsia="zh-CN"/>
              </w:rPr>
              <w:t>2</w:t>
            </w:r>
            <w:r>
              <w:rPr>
                <w:color w:val="auto"/>
                <w:sz w:val="24"/>
              </w:rPr>
              <w:t>。</w:t>
            </w:r>
          </w:p>
          <w:p w14:paraId="4D3DCE43">
            <w:pPr>
              <w:tabs>
                <w:tab w:val="left" w:pos="0"/>
              </w:tabs>
              <w:adjustRightInd w:val="0"/>
              <w:snapToGrid w:val="0"/>
              <w:jc w:val="center"/>
              <w:rPr>
                <w:b/>
                <w:color w:val="auto"/>
                <w:kern w:val="21"/>
                <w:szCs w:val="21"/>
              </w:rPr>
            </w:pPr>
          </w:p>
          <w:p w14:paraId="2B7A9C35">
            <w:pPr>
              <w:tabs>
                <w:tab w:val="left" w:pos="0"/>
              </w:tabs>
              <w:adjustRightInd w:val="0"/>
              <w:snapToGrid w:val="0"/>
              <w:jc w:val="center"/>
              <w:rPr>
                <w:b/>
                <w:color w:val="auto"/>
                <w:kern w:val="21"/>
                <w:szCs w:val="21"/>
              </w:rPr>
            </w:pPr>
          </w:p>
          <w:p w14:paraId="129BB7C5">
            <w:pPr>
              <w:tabs>
                <w:tab w:val="left" w:pos="0"/>
              </w:tabs>
              <w:adjustRightInd w:val="0"/>
              <w:snapToGrid w:val="0"/>
              <w:jc w:val="center"/>
              <w:rPr>
                <w:b/>
                <w:color w:val="auto"/>
                <w:kern w:val="21"/>
                <w:szCs w:val="21"/>
              </w:rPr>
            </w:pPr>
            <w:r>
              <w:rPr>
                <w:b/>
                <w:color w:val="auto"/>
                <w:kern w:val="21"/>
                <w:szCs w:val="21"/>
              </w:rPr>
              <w:t>表3-</w:t>
            </w:r>
            <w:r>
              <w:rPr>
                <w:rFonts w:hint="eastAsia"/>
                <w:b/>
                <w:color w:val="auto"/>
                <w:kern w:val="21"/>
                <w:szCs w:val="21"/>
              </w:rPr>
              <w:t>1</w:t>
            </w:r>
            <w:r>
              <w:rPr>
                <w:rFonts w:hint="eastAsia"/>
                <w:b/>
                <w:color w:val="auto"/>
                <w:kern w:val="21"/>
                <w:szCs w:val="21"/>
                <w:lang w:val="en-US" w:eastAsia="zh-CN"/>
              </w:rPr>
              <w:t>2</w:t>
            </w:r>
            <w:r>
              <w:rPr>
                <w:b/>
                <w:color w:val="auto"/>
                <w:kern w:val="21"/>
                <w:szCs w:val="21"/>
              </w:rPr>
              <w:t xml:space="preserve">  工业企业厂界环境噪声排放标准   单位：dB（A）</w:t>
            </w:r>
          </w:p>
          <w:tbl>
            <w:tblPr>
              <w:tblStyle w:val="30"/>
              <w:tblW w:w="84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3"/>
              <w:gridCol w:w="2329"/>
              <w:gridCol w:w="1412"/>
            </w:tblGrid>
            <w:tr w14:paraId="083B2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3" w:type="dxa"/>
                  <w:vMerge w:val="restart"/>
                  <w:vAlign w:val="center"/>
                </w:tcPr>
                <w:p w14:paraId="3D230375">
                  <w:pPr>
                    <w:tabs>
                      <w:tab w:val="left" w:pos="0"/>
                    </w:tabs>
                    <w:adjustRightInd w:val="0"/>
                    <w:snapToGrid w:val="0"/>
                    <w:jc w:val="center"/>
                    <w:rPr>
                      <w:b/>
                      <w:color w:val="auto"/>
                      <w:kern w:val="21"/>
                      <w:szCs w:val="21"/>
                    </w:rPr>
                  </w:pPr>
                  <w:r>
                    <w:rPr>
                      <w:b/>
                      <w:color w:val="auto"/>
                      <w:kern w:val="21"/>
                      <w:szCs w:val="21"/>
                    </w:rPr>
                    <w:t>类别</w:t>
                  </w:r>
                </w:p>
              </w:tc>
              <w:tc>
                <w:tcPr>
                  <w:tcW w:w="3741" w:type="dxa"/>
                  <w:gridSpan w:val="2"/>
                  <w:vAlign w:val="center"/>
                </w:tcPr>
                <w:p w14:paraId="43261603">
                  <w:pPr>
                    <w:tabs>
                      <w:tab w:val="left" w:pos="0"/>
                    </w:tabs>
                    <w:adjustRightInd w:val="0"/>
                    <w:snapToGrid w:val="0"/>
                    <w:jc w:val="center"/>
                    <w:rPr>
                      <w:b/>
                      <w:color w:val="auto"/>
                      <w:kern w:val="21"/>
                      <w:szCs w:val="21"/>
                    </w:rPr>
                  </w:pPr>
                  <w:r>
                    <w:rPr>
                      <w:b/>
                      <w:color w:val="auto"/>
                      <w:kern w:val="21"/>
                      <w:szCs w:val="21"/>
                    </w:rPr>
                    <w:t>时段</w:t>
                  </w:r>
                </w:p>
              </w:tc>
            </w:tr>
            <w:tr w14:paraId="1721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3" w:type="dxa"/>
                  <w:vMerge w:val="continue"/>
                  <w:vAlign w:val="center"/>
                </w:tcPr>
                <w:p w14:paraId="66DA7F3E">
                  <w:pPr>
                    <w:tabs>
                      <w:tab w:val="left" w:pos="0"/>
                    </w:tabs>
                    <w:adjustRightInd w:val="0"/>
                    <w:snapToGrid w:val="0"/>
                    <w:jc w:val="center"/>
                    <w:rPr>
                      <w:b/>
                      <w:color w:val="auto"/>
                      <w:kern w:val="21"/>
                      <w:szCs w:val="21"/>
                    </w:rPr>
                  </w:pPr>
                </w:p>
              </w:tc>
              <w:tc>
                <w:tcPr>
                  <w:tcW w:w="2329" w:type="dxa"/>
                  <w:vAlign w:val="center"/>
                </w:tcPr>
                <w:p w14:paraId="53162205">
                  <w:pPr>
                    <w:tabs>
                      <w:tab w:val="left" w:pos="0"/>
                    </w:tabs>
                    <w:adjustRightInd w:val="0"/>
                    <w:snapToGrid w:val="0"/>
                    <w:jc w:val="center"/>
                    <w:rPr>
                      <w:b/>
                      <w:color w:val="auto"/>
                      <w:kern w:val="21"/>
                      <w:szCs w:val="21"/>
                    </w:rPr>
                  </w:pPr>
                  <w:r>
                    <w:rPr>
                      <w:b/>
                      <w:color w:val="auto"/>
                      <w:kern w:val="21"/>
                      <w:szCs w:val="21"/>
                    </w:rPr>
                    <w:t>昼间</w:t>
                  </w:r>
                </w:p>
              </w:tc>
              <w:tc>
                <w:tcPr>
                  <w:tcW w:w="1412" w:type="dxa"/>
                  <w:vAlign w:val="center"/>
                </w:tcPr>
                <w:p w14:paraId="061EA31B">
                  <w:pPr>
                    <w:tabs>
                      <w:tab w:val="left" w:pos="0"/>
                    </w:tabs>
                    <w:adjustRightInd w:val="0"/>
                    <w:snapToGrid w:val="0"/>
                    <w:jc w:val="center"/>
                    <w:rPr>
                      <w:b/>
                      <w:color w:val="auto"/>
                      <w:kern w:val="21"/>
                      <w:szCs w:val="21"/>
                    </w:rPr>
                  </w:pPr>
                  <w:r>
                    <w:rPr>
                      <w:b/>
                      <w:color w:val="auto"/>
                      <w:kern w:val="21"/>
                      <w:szCs w:val="21"/>
                    </w:rPr>
                    <w:t>夜间</w:t>
                  </w:r>
                </w:p>
              </w:tc>
            </w:tr>
            <w:tr w14:paraId="2214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73" w:type="dxa"/>
                  <w:vAlign w:val="center"/>
                </w:tcPr>
                <w:p w14:paraId="2C86EB5A">
                  <w:pPr>
                    <w:tabs>
                      <w:tab w:val="left" w:pos="0"/>
                    </w:tabs>
                    <w:adjustRightInd w:val="0"/>
                    <w:snapToGrid w:val="0"/>
                    <w:jc w:val="center"/>
                    <w:rPr>
                      <w:bCs/>
                      <w:color w:val="auto"/>
                      <w:kern w:val="21"/>
                      <w:szCs w:val="21"/>
                    </w:rPr>
                  </w:pPr>
                  <w:r>
                    <w:rPr>
                      <w:rFonts w:hint="eastAsia"/>
                      <w:bCs/>
                      <w:color w:val="auto"/>
                      <w:kern w:val="21"/>
                      <w:szCs w:val="21"/>
                      <w:lang w:val="en-US" w:eastAsia="zh-CN"/>
                    </w:rPr>
                    <w:t>3</w:t>
                  </w:r>
                  <w:r>
                    <w:rPr>
                      <w:bCs/>
                      <w:color w:val="auto"/>
                      <w:kern w:val="21"/>
                      <w:szCs w:val="21"/>
                    </w:rPr>
                    <w:t>类</w:t>
                  </w:r>
                </w:p>
              </w:tc>
              <w:tc>
                <w:tcPr>
                  <w:tcW w:w="2329" w:type="dxa"/>
                  <w:vAlign w:val="center"/>
                </w:tcPr>
                <w:p w14:paraId="40730586">
                  <w:pPr>
                    <w:tabs>
                      <w:tab w:val="left" w:pos="0"/>
                    </w:tabs>
                    <w:adjustRightInd w:val="0"/>
                    <w:snapToGrid w:val="0"/>
                    <w:jc w:val="center"/>
                    <w:rPr>
                      <w:rFonts w:hint="default" w:eastAsia="宋体"/>
                      <w:bCs/>
                      <w:color w:val="auto"/>
                      <w:kern w:val="21"/>
                      <w:szCs w:val="21"/>
                      <w:lang w:val="en-US" w:eastAsia="zh-CN"/>
                    </w:rPr>
                  </w:pPr>
                  <w:r>
                    <w:rPr>
                      <w:rFonts w:hint="eastAsia"/>
                      <w:bCs/>
                      <w:color w:val="auto"/>
                      <w:kern w:val="21"/>
                      <w:szCs w:val="21"/>
                      <w:lang w:val="en-US" w:eastAsia="zh-CN"/>
                    </w:rPr>
                    <w:t>65</w:t>
                  </w:r>
                </w:p>
              </w:tc>
              <w:tc>
                <w:tcPr>
                  <w:tcW w:w="1412" w:type="dxa"/>
                  <w:vAlign w:val="center"/>
                </w:tcPr>
                <w:p w14:paraId="6CEF591D">
                  <w:pPr>
                    <w:tabs>
                      <w:tab w:val="left" w:pos="0"/>
                    </w:tabs>
                    <w:adjustRightInd w:val="0"/>
                    <w:snapToGrid w:val="0"/>
                    <w:jc w:val="center"/>
                    <w:rPr>
                      <w:rFonts w:hint="default" w:eastAsia="宋体"/>
                      <w:bCs/>
                      <w:color w:val="auto"/>
                      <w:kern w:val="21"/>
                      <w:szCs w:val="21"/>
                      <w:lang w:val="en-US" w:eastAsia="zh-CN"/>
                    </w:rPr>
                  </w:pPr>
                  <w:r>
                    <w:rPr>
                      <w:rFonts w:hint="eastAsia"/>
                      <w:bCs/>
                      <w:color w:val="auto"/>
                      <w:kern w:val="21"/>
                      <w:szCs w:val="21"/>
                      <w:lang w:val="en-US" w:eastAsia="zh-CN"/>
                    </w:rPr>
                    <w:t>55</w:t>
                  </w:r>
                </w:p>
              </w:tc>
            </w:tr>
          </w:tbl>
          <w:p w14:paraId="510105FC">
            <w:pPr>
              <w:pStyle w:val="17"/>
              <w:adjustRightInd w:val="0"/>
              <w:snapToGrid w:val="0"/>
              <w:spacing w:line="360" w:lineRule="auto"/>
              <w:ind w:firstLine="482" w:firstLineChars="200"/>
              <w:rPr>
                <w:rFonts w:ascii="Times New Roman" w:hAnsi="Times New Roman"/>
                <w:b/>
                <w:bCs/>
                <w:color w:val="auto"/>
                <w:sz w:val="24"/>
              </w:rPr>
            </w:pPr>
            <w:r>
              <w:rPr>
                <w:rFonts w:ascii="Times New Roman" w:hAnsi="Times New Roman"/>
                <w:b/>
                <w:bCs/>
                <w:color w:val="auto"/>
                <w:sz w:val="24"/>
              </w:rPr>
              <w:t>4、固废</w:t>
            </w:r>
          </w:p>
          <w:p w14:paraId="3FF7DECD">
            <w:pPr>
              <w:pStyle w:val="17"/>
              <w:snapToGrid w:val="0"/>
              <w:spacing w:line="360" w:lineRule="auto"/>
              <w:ind w:firstLine="480" w:firstLineChars="200"/>
              <w:rPr>
                <w:rFonts w:ascii="Times New Roman" w:hAnsi="Times New Roman"/>
                <w:color w:val="auto"/>
                <w:kern w:val="0"/>
                <w:szCs w:val="21"/>
              </w:rPr>
            </w:pPr>
            <w:r>
              <w:rPr>
                <w:rFonts w:ascii="Times New Roman" w:hAnsi="Times New Roman"/>
                <w:color w:val="auto"/>
                <w:sz w:val="24"/>
                <w:lang w:val="zh-CN"/>
              </w:rPr>
              <w:t>项目运营</w:t>
            </w:r>
            <w:r>
              <w:rPr>
                <w:rFonts w:ascii="Times New Roman" w:hAnsi="Times New Roman"/>
                <w:color w:val="auto"/>
                <w:sz w:val="24"/>
              </w:rPr>
              <w:t>期</w:t>
            </w:r>
            <w:r>
              <w:rPr>
                <w:rFonts w:ascii="Times New Roman" w:hAnsi="Times New Roman"/>
                <w:color w:val="auto"/>
                <w:sz w:val="24"/>
                <w:lang w:val="zh-CN"/>
              </w:rPr>
              <w:t>产生的一般固体废物</w:t>
            </w:r>
            <w:r>
              <w:rPr>
                <w:rFonts w:ascii="Times New Roman" w:hAnsi="Times New Roman"/>
                <w:color w:val="auto"/>
                <w:sz w:val="24"/>
              </w:rPr>
              <w:t>贮存和处置</w:t>
            </w:r>
            <w:r>
              <w:rPr>
                <w:rFonts w:ascii="Times New Roman" w:hAnsi="Times New Roman"/>
                <w:color w:val="auto"/>
                <w:sz w:val="24"/>
                <w:lang w:val="zh-CN"/>
              </w:rPr>
              <w:t>执行《一般工业固体废物贮存和填埋污染控制标准》（GB18599-20</w:t>
            </w:r>
            <w:r>
              <w:rPr>
                <w:rFonts w:ascii="Times New Roman" w:hAnsi="Times New Roman"/>
                <w:color w:val="auto"/>
                <w:sz w:val="24"/>
              </w:rPr>
              <w:t>20</w:t>
            </w:r>
            <w:r>
              <w:rPr>
                <w:rFonts w:ascii="Times New Roman" w:hAnsi="Times New Roman"/>
                <w:color w:val="auto"/>
                <w:sz w:val="24"/>
                <w:lang w:val="zh-CN"/>
              </w:rPr>
              <w:t>）；危险废物贮存执行</w:t>
            </w:r>
            <w:r>
              <w:rPr>
                <w:rFonts w:ascii="Times New Roman" w:hAnsi="Times New Roman"/>
                <w:color w:val="auto"/>
                <w:sz w:val="24"/>
              </w:rPr>
              <w:t>《危险废物贮存污染控制标准》（GB18597-2023）</w:t>
            </w:r>
            <w:r>
              <w:rPr>
                <w:rFonts w:hint="eastAsia" w:ascii="Times New Roman" w:hAnsi="Times New Roman"/>
                <w:color w:val="auto"/>
                <w:sz w:val="24"/>
              </w:rPr>
              <w:t>；危险废物台账执行《危险废物管理计划和管理台账制定技术导则》（HJ1259-2022）。</w:t>
            </w:r>
          </w:p>
        </w:tc>
      </w:tr>
      <w:tr w14:paraId="74F801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75" w:type="dxa"/>
            <w:vAlign w:val="center"/>
          </w:tcPr>
          <w:p w14:paraId="7084D788">
            <w:pPr>
              <w:adjustRightInd w:val="0"/>
              <w:snapToGrid w:val="0"/>
              <w:jc w:val="center"/>
              <w:rPr>
                <w:color w:val="auto"/>
                <w:kern w:val="0"/>
                <w:sz w:val="24"/>
              </w:rPr>
            </w:pPr>
            <w:r>
              <w:rPr>
                <w:color w:val="auto"/>
                <w:kern w:val="0"/>
                <w:sz w:val="24"/>
              </w:rPr>
              <w:t>总量</w:t>
            </w:r>
          </w:p>
          <w:p w14:paraId="01ED70F6">
            <w:pPr>
              <w:adjustRightInd w:val="0"/>
              <w:snapToGrid w:val="0"/>
              <w:jc w:val="center"/>
              <w:rPr>
                <w:color w:val="auto"/>
                <w:kern w:val="0"/>
                <w:sz w:val="24"/>
              </w:rPr>
            </w:pPr>
            <w:r>
              <w:rPr>
                <w:color w:val="auto"/>
                <w:kern w:val="0"/>
                <w:sz w:val="24"/>
              </w:rPr>
              <w:t>控制</w:t>
            </w:r>
          </w:p>
          <w:p w14:paraId="5622DBC2">
            <w:pPr>
              <w:adjustRightInd w:val="0"/>
              <w:snapToGrid w:val="0"/>
              <w:jc w:val="center"/>
              <w:rPr>
                <w:color w:val="auto"/>
                <w:kern w:val="0"/>
                <w:sz w:val="24"/>
              </w:rPr>
            </w:pPr>
            <w:r>
              <w:rPr>
                <w:color w:val="auto"/>
                <w:kern w:val="0"/>
                <w:sz w:val="24"/>
              </w:rPr>
              <w:t>指标</w:t>
            </w:r>
          </w:p>
        </w:tc>
        <w:tc>
          <w:tcPr>
            <w:tcW w:w="8686" w:type="dxa"/>
            <w:vAlign w:val="center"/>
          </w:tcPr>
          <w:p w14:paraId="6644D9E3">
            <w:pPr>
              <w:adjustRightInd w:val="0"/>
              <w:snapToGrid w:val="0"/>
              <w:spacing w:line="348" w:lineRule="auto"/>
              <w:ind w:firstLine="482" w:firstLineChars="200"/>
              <w:rPr>
                <w:bCs/>
                <w:color w:val="auto"/>
                <w:sz w:val="24"/>
              </w:rPr>
            </w:pPr>
            <w:r>
              <w:rPr>
                <w:b/>
                <w:bCs/>
                <w:color w:val="auto"/>
                <w:sz w:val="24"/>
              </w:rPr>
              <w:t>1、废气</w:t>
            </w:r>
          </w:p>
          <w:p w14:paraId="588C0D29">
            <w:pPr>
              <w:spacing w:line="348" w:lineRule="auto"/>
              <w:ind w:firstLine="480" w:firstLineChars="200"/>
              <w:rPr>
                <w:bCs/>
                <w:color w:val="auto"/>
                <w:sz w:val="24"/>
              </w:rPr>
            </w:pPr>
            <w:r>
              <w:rPr>
                <w:bCs/>
                <w:color w:val="auto"/>
                <w:sz w:val="24"/>
              </w:rPr>
              <w:t>①有组织排放情况</w:t>
            </w:r>
          </w:p>
          <w:p w14:paraId="5F87A83C">
            <w:pPr>
              <w:spacing w:line="348" w:lineRule="auto"/>
              <w:ind w:firstLine="480" w:firstLineChars="200"/>
              <w:rPr>
                <w:rFonts w:hint="eastAsia" w:eastAsia="宋体"/>
                <w:bCs/>
                <w:color w:val="auto"/>
                <w:sz w:val="24"/>
                <w:highlight w:val="none"/>
                <w:lang w:eastAsia="zh-CN"/>
              </w:rPr>
            </w:pPr>
            <w:r>
              <w:rPr>
                <w:bCs/>
                <w:color w:val="auto"/>
                <w:sz w:val="24"/>
                <w:highlight w:val="none"/>
              </w:rPr>
              <w:t>废气量：</w:t>
            </w:r>
            <w:r>
              <w:rPr>
                <w:rFonts w:hint="eastAsia"/>
                <w:color w:val="auto"/>
                <w:kern w:val="0"/>
                <w:sz w:val="24"/>
                <w:highlight w:val="none"/>
                <w:lang w:val="en-US" w:eastAsia="zh-CN"/>
              </w:rPr>
              <w:t>4802.4</w:t>
            </w:r>
            <w:r>
              <w:rPr>
                <w:color w:val="auto"/>
                <w:kern w:val="0"/>
                <w:sz w:val="24"/>
                <w:highlight w:val="none"/>
              </w:rPr>
              <w:t>万m</w:t>
            </w:r>
            <w:r>
              <w:rPr>
                <w:color w:val="auto"/>
                <w:kern w:val="0"/>
                <w:sz w:val="24"/>
                <w:highlight w:val="none"/>
                <w:vertAlign w:val="superscript"/>
              </w:rPr>
              <w:t>3</w:t>
            </w:r>
            <w:r>
              <w:rPr>
                <w:color w:val="auto"/>
                <w:kern w:val="0"/>
                <w:sz w:val="24"/>
                <w:highlight w:val="none"/>
              </w:rPr>
              <w:t>/a</w:t>
            </w:r>
            <w:r>
              <w:rPr>
                <w:bCs/>
                <w:color w:val="auto"/>
                <w:sz w:val="24"/>
                <w:highlight w:val="none"/>
              </w:rPr>
              <w:t>；有组织</w:t>
            </w:r>
            <w:r>
              <w:rPr>
                <w:color w:val="auto"/>
                <w:sz w:val="24"/>
                <w:highlight w:val="none"/>
              </w:rPr>
              <w:t>非甲烷总烃</w:t>
            </w:r>
            <w:r>
              <w:rPr>
                <w:color w:val="auto"/>
                <w:kern w:val="0"/>
                <w:sz w:val="24"/>
                <w:highlight w:val="none"/>
              </w:rPr>
              <w:t>排放量为</w:t>
            </w:r>
            <w:r>
              <w:rPr>
                <w:rFonts w:hint="eastAsia"/>
                <w:color w:val="auto"/>
                <w:kern w:val="0"/>
                <w:sz w:val="24"/>
                <w:highlight w:val="none"/>
                <w:lang w:val="en-US" w:eastAsia="zh-CN"/>
              </w:rPr>
              <w:t>3.7545</w:t>
            </w:r>
            <w:r>
              <w:rPr>
                <w:color w:val="auto"/>
                <w:kern w:val="0"/>
                <w:sz w:val="24"/>
                <w:highlight w:val="none"/>
              </w:rPr>
              <w:t>t/a</w:t>
            </w:r>
            <w:r>
              <w:rPr>
                <w:rFonts w:hint="eastAsia"/>
                <w:bCs/>
                <w:color w:val="auto"/>
                <w:sz w:val="24"/>
                <w:highlight w:val="none"/>
                <w:lang w:eastAsia="zh-CN"/>
              </w:rPr>
              <w:t>，有</w:t>
            </w:r>
            <w:r>
              <w:rPr>
                <w:bCs/>
                <w:color w:val="auto"/>
                <w:sz w:val="24"/>
                <w:highlight w:val="none"/>
              </w:rPr>
              <w:t>组织颗粒物排放量为</w:t>
            </w:r>
            <w:r>
              <w:rPr>
                <w:color w:val="auto"/>
                <w:sz w:val="24"/>
                <w:highlight w:val="none"/>
              </w:rPr>
              <w:t>0.</w:t>
            </w:r>
            <w:r>
              <w:rPr>
                <w:rFonts w:hint="eastAsia"/>
                <w:color w:val="auto"/>
                <w:sz w:val="24"/>
                <w:highlight w:val="none"/>
                <w:lang w:val="en-US" w:eastAsia="zh-CN"/>
              </w:rPr>
              <w:t>0003</w:t>
            </w:r>
            <w:r>
              <w:rPr>
                <w:bCs/>
                <w:color w:val="auto"/>
                <w:sz w:val="24"/>
                <w:highlight w:val="none"/>
              </w:rPr>
              <w:t>t/a</w:t>
            </w:r>
            <w:r>
              <w:rPr>
                <w:rFonts w:hint="eastAsia"/>
                <w:bCs/>
                <w:color w:val="auto"/>
                <w:sz w:val="24"/>
                <w:highlight w:val="none"/>
                <w:lang w:eastAsia="zh-CN"/>
              </w:rPr>
              <w:t>。</w:t>
            </w:r>
          </w:p>
          <w:p w14:paraId="15F862D9">
            <w:pPr>
              <w:pStyle w:val="7"/>
              <w:spacing w:line="348" w:lineRule="auto"/>
              <w:ind w:firstLine="480"/>
              <w:jc w:val="left"/>
              <w:rPr>
                <w:bCs/>
                <w:color w:val="auto"/>
                <w:kern w:val="0"/>
                <w:sz w:val="24"/>
                <w:highlight w:val="none"/>
              </w:rPr>
            </w:pPr>
            <w:r>
              <w:rPr>
                <w:bCs/>
                <w:color w:val="auto"/>
                <w:kern w:val="0"/>
                <w:sz w:val="24"/>
                <w:highlight w:val="none"/>
              </w:rPr>
              <w:t>②无组织排放情况</w:t>
            </w:r>
          </w:p>
          <w:p w14:paraId="12F86E61">
            <w:pPr>
              <w:pStyle w:val="7"/>
              <w:spacing w:line="348" w:lineRule="auto"/>
              <w:ind w:firstLine="480"/>
              <w:jc w:val="left"/>
              <w:rPr>
                <w:rFonts w:hint="eastAsia" w:eastAsia="宋体"/>
                <w:bCs/>
                <w:color w:val="auto"/>
                <w:kern w:val="0"/>
                <w:sz w:val="24"/>
                <w:highlight w:val="none"/>
                <w:lang w:eastAsia="zh-CN"/>
              </w:rPr>
            </w:pPr>
            <w:r>
              <w:rPr>
                <w:bCs/>
                <w:color w:val="auto"/>
                <w:sz w:val="24"/>
                <w:highlight w:val="none"/>
              </w:rPr>
              <w:t>无组织</w:t>
            </w:r>
            <w:r>
              <w:rPr>
                <w:color w:val="auto"/>
                <w:sz w:val="24"/>
                <w:highlight w:val="none"/>
              </w:rPr>
              <w:t>非甲烷总烃</w:t>
            </w:r>
            <w:r>
              <w:rPr>
                <w:color w:val="auto"/>
                <w:kern w:val="0"/>
                <w:sz w:val="24"/>
                <w:highlight w:val="none"/>
              </w:rPr>
              <w:t>排放量为</w:t>
            </w:r>
            <w:r>
              <w:rPr>
                <w:rFonts w:hint="eastAsia"/>
                <w:color w:val="auto"/>
                <w:kern w:val="0"/>
                <w:sz w:val="24"/>
                <w:highlight w:val="none"/>
                <w:lang w:val="en-US" w:eastAsia="zh-CN"/>
              </w:rPr>
              <w:t>4.6931</w:t>
            </w:r>
            <w:r>
              <w:rPr>
                <w:color w:val="auto"/>
                <w:kern w:val="0"/>
                <w:sz w:val="24"/>
                <w:highlight w:val="none"/>
              </w:rPr>
              <w:t>t/a</w:t>
            </w:r>
            <w:r>
              <w:rPr>
                <w:rFonts w:hint="eastAsia"/>
                <w:color w:val="auto"/>
                <w:kern w:val="0"/>
                <w:sz w:val="24"/>
                <w:highlight w:val="none"/>
                <w:lang w:eastAsia="zh-CN"/>
              </w:rPr>
              <w:t>，</w:t>
            </w:r>
            <w:r>
              <w:rPr>
                <w:bCs/>
                <w:color w:val="auto"/>
                <w:sz w:val="24"/>
                <w:highlight w:val="none"/>
              </w:rPr>
              <w:t>无组织颗粒物排放量为</w:t>
            </w:r>
            <w:r>
              <w:rPr>
                <w:color w:val="auto"/>
                <w:sz w:val="24"/>
                <w:highlight w:val="none"/>
              </w:rPr>
              <w:t>0.</w:t>
            </w:r>
            <w:r>
              <w:rPr>
                <w:rFonts w:hint="eastAsia"/>
                <w:color w:val="auto"/>
                <w:sz w:val="24"/>
                <w:highlight w:val="none"/>
                <w:lang w:val="en-US" w:eastAsia="zh-CN"/>
              </w:rPr>
              <w:t>0016</w:t>
            </w:r>
            <w:r>
              <w:rPr>
                <w:bCs/>
                <w:color w:val="auto"/>
                <w:sz w:val="24"/>
                <w:highlight w:val="none"/>
              </w:rPr>
              <w:t>t/a</w:t>
            </w:r>
            <w:r>
              <w:rPr>
                <w:rFonts w:hint="eastAsia"/>
                <w:bCs/>
                <w:color w:val="auto"/>
                <w:sz w:val="24"/>
                <w:highlight w:val="none"/>
                <w:lang w:eastAsia="zh-CN"/>
              </w:rPr>
              <w:t>。</w:t>
            </w:r>
          </w:p>
          <w:p w14:paraId="3026C506">
            <w:pPr>
              <w:pStyle w:val="7"/>
              <w:spacing w:line="348" w:lineRule="auto"/>
              <w:ind w:firstLine="480"/>
              <w:jc w:val="left"/>
              <w:rPr>
                <w:bCs/>
                <w:color w:val="auto"/>
                <w:kern w:val="0"/>
                <w:sz w:val="24"/>
                <w:highlight w:val="none"/>
              </w:rPr>
            </w:pPr>
            <w:r>
              <w:rPr>
                <w:bCs/>
                <w:color w:val="auto"/>
                <w:kern w:val="0"/>
                <w:sz w:val="24"/>
                <w:highlight w:val="none"/>
              </w:rPr>
              <w:t>③全厂排放总量情况（有组织排放+无组织排放废气）</w:t>
            </w:r>
          </w:p>
          <w:p w14:paraId="5DB2AFEB">
            <w:pPr>
              <w:widowControl/>
              <w:spacing w:line="348" w:lineRule="auto"/>
              <w:ind w:firstLine="480" w:firstLineChars="200"/>
              <w:jc w:val="left"/>
              <w:rPr>
                <w:rFonts w:hint="eastAsia" w:eastAsia="宋体"/>
                <w:bCs/>
                <w:color w:val="auto"/>
                <w:sz w:val="24"/>
                <w:highlight w:val="none"/>
                <w:lang w:val="en-US" w:eastAsia="zh-CN"/>
              </w:rPr>
            </w:pPr>
            <w:r>
              <w:rPr>
                <w:bCs/>
                <w:color w:val="auto"/>
                <w:sz w:val="24"/>
                <w:highlight w:val="none"/>
              </w:rPr>
              <w:t>废气量：</w:t>
            </w:r>
            <w:r>
              <w:rPr>
                <w:rFonts w:hint="eastAsia"/>
                <w:color w:val="auto"/>
                <w:kern w:val="0"/>
                <w:sz w:val="24"/>
                <w:highlight w:val="none"/>
                <w:lang w:val="en-US" w:eastAsia="zh-CN"/>
              </w:rPr>
              <w:t>4802.4</w:t>
            </w:r>
            <w:r>
              <w:rPr>
                <w:color w:val="auto"/>
                <w:kern w:val="0"/>
                <w:sz w:val="24"/>
                <w:highlight w:val="none"/>
              </w:rPr>
              <w:t>万m</w:t>
            </w:r>
            <w:r>
              <w:rPr>
                <w:color w:val="auto"/>
                <w:kern w:val="0"/>
                <w:sz w:val="24"/>
                <w:highlight w:val="none"/>
                <w:vertAlign w:val="superscript"/>
              </w:rPr>
              <w:t>3</w:t>
            </w:r>
            <w:r>
              <w:rPr>
                <w:color w:val="auto"/>
                <w:kern w:val="0"/>
                <w:sz w:val="24"/>
                <w:highlight w:val="none"/>
              </w:rPr>
              <w:t>/a</w:t>
            </w:r>
            <w:r>
              <w:rPr>
                <w:bCs/>
                <w:color w:val="auto"/>
                <w:sz w:val="24"/>
                <w:highlight w:val="none"/>
              </w:rPr>
              <w:t>；</w:t>
            </w:r>
            <w:r>
              <w:rPr>
                <w:color w:val="auto"/>
                <w:sz w:val="24"/>
                <w:highlight w:val="none"/>
              </w:rPr>
              <w:t>非甲烷总烃</w:t>
            </w:r>
            <w:r>
              <w:rPr>
                <w:color w:val="auto"/>
                <w:kern w:val="0"/>
                <w:sz w:val="24"/>
                <w:highlight w:val="none"/>
              </w:rPr>
              <w:t>排放量为</w:t>
            </w:r>
            <w:r>
              <w:rPr>
                <w:rFonts w:hint="eastAsia"/>
                <w:color w:val="auto"/>
                <w:kern w:val="0"/>
                <w:sz w:val="24"/>
                <w:highlight w:val="none"/>
                <w:lang w:val="en-US" w:eastAsia="zh-CN"/>
              </w:rPr>
              <w:t>8.4476</w:t>
            </w:r>
            <w:r>
              <w:rPr>
                <w:color w:val="auto"/>
                <w:kern w:val="0"/>
                <w:sz w:val="24"/>
                <w:highlight w:val="none"/>
              </w:rPr>
              <w:t>t/a</w:t>
            </w:r>
            <w:r>
              <w:rPr>
                <w:rFonts w:hint="eastAsia"/>
                <w:bCs/>
                <w:color w:val="auto"/>
                <w:sz w:val="24"/>
                <w:highlight w:val="none"/>
                <w:lang w:eastAsia="zh-CN"/>
              </w:rPr>
              <w:t>，</w:t>
            </w:r>
            <w:r>
              <w:rPr>
                <w:bCs/>
                <w:color w:val="auto"/>
                <w:sz w:val="24"/>
                <w:highlight w:val="none"/>
              </w:rPr>
              <w:t>颗粒物排放量为</w:t>
            </w:r>
            <w:r>
              <w:rPr>
                <w:color w:val="auto"/>
                <w:sz w:val="24"/>
                <w:highlight w:val="none"/>
              </w:rPr>
              <w:t>0.</w:t>
            </w:r>
            <w:r>
              <w:rPr>
                <w:rFonts w:hint="eastAsia"/>
                <w:color w:val="auto"/>
                <w:sz w:val="24"/>
                <w:highlight w:val="none"/>
                <w:lang w:val="en-US" w:eastAsia="zh-CN"/>
              </w:rPr>
              <w:t>0019</w:t>
            </w:r>
            <w:r>
              <w:rPr>
                <w:bCs/>
                <w:color w:val="auto"/>
                <w:sz w:val="24"/>
                <w:highlight w:val="none"/>
              </w:rPr>
              <w:t>t/a</w:t>
            </w:r>
            <w:r>
              <w:rPr>
                <w:rFonts w:hint="eastAsia"/>
                <w:bCs/>
                <w:color w:val="auto"/>
                <w:sz w:val="24"/>
                <w:highlight w:val="none"/>
                <w:lang w:val="en-US" w:eastAsia="zh-CN"/>
              </w:rPr>
              <w:t>。</w:t>
            </w:r>
          </w:p>
          <w:p w14:paraId="439FEC9B">
            <w:pPr>
              <w:adjustRightInd w:val="0"/>
              <w:snapToGrid w:val="0"/>
              <w:spacing w:line="348" w:lineRule="auto"/>
              <w:ind w:firstLine="482" w:firstLineChars="200"/>
              <w:rPr>
                <w:b/>
                <w:bCs/>
                <w:color w:val="auto"/>
                <w:sz w:val="24"/>
              </w:rPr>
            </w:pPr>
            <w:r>
              <w:rPr>
                <w:b/>
                <w:bCs/>
                <w:color w:val="auto"/>
                <w:sz w:val="24"/>
              </w:rPr>
              <w:t>2、废水</w:t>
            </w:r>
          </w:p>
          <w:p w14:paraId="19B3A70F">
            <w:pPr>
              <w:pStyle w:val="83"/>
              <w:keepNext w:val="0"/>
              <w:keepLines w:val="0"/>
              <w:pageBreakBefore w:val="0"/>
              <w:widowControl w:val="0"/>
              <w:kinsoku/>
              <w:wordWrap/>
              <w:overflowPunct/>
              <w:topLinePunct w:val="0"/>
              <w:autoSpaceDE/>
              <w:autoSpaceDN/>
              <w:bidi w:val="0"/>
              <w:spacing w:beforeLines="0" w:afterLines="0" w:line="360" w:lineRule="auto"/>
              <w:ind w:left="0" w:right="0" w:firstLine="480" w:firstLineChars="200"/>
              <w:textAlignment w:val="auto"/>
              <w:rPr>
                <w:rFonts w:hint="default" w:ascii="Times New Roman" w:hAnsi="Times New Roman" w:eastAsia="宋体" w:cs="Times New Roman"/>
                <w:caps w:val="0"/>
                <w:snapToGrid w:val="0"/>
                <w:color w:val="auto"/>
                <w:spacing w:val="0"/>
                <w:w w:val="100"/>
                <w:kern w:val="2"/>
                <w:position w:val="0"/>
                <w:sz w:val="24"/>
                <w:szCs w:val="24"/>
                <w:highlight w:val="none"/>
                <w:lang w:val="en-US" w:eastAsia="zh-CN" w:bidi="ar-SA"/>
              </w:rPr>
            </w:pPr>
            <w:r>
              <w:rPr>
                <w:rFonts w:ascii="Times New Roman" w:hAnsi="Times New Roman" w:eastAsia="宋体"/>
                <w:color w:val="auto"/>
                <w:sz w:val="24"/>
                <w:szCs w:val="24"/>
              </w:rPr>
              <w:t>项目排水采用雨污分流的排水方式，项目区建筑物屋面及地面雨水经厂区雨水沟收集后排入园区雨水市政管网；冷却水经冷却循环</w:t>
            </w:r>
            <w:r>
              <w:rPr>
                <w:rFonts w:hint="eastAsia" w:ascii="Times New Roman" w:hAnsi="Times New Roman" w:eastAsia="宋体"/>
                <w:color w:val="auto"/>
                <w:sz w:val="24"/>
                <w:szCs w:val="24"/>
                <w:lang w:eastAsia="zh-CN"/>
              </w:rPr>
              <w:t>水箱</w:t>
            </w:r>
            <w:r>
              <w:rPr>
                <w:rFonts w:ascii="Times New Roman" w:hAnsi="Times New Roman" w:eastAsia="宋体"/>
                <w:color w:val="auto"/>
                <w:sz w:val="24"/>
                <w:szCs w:val="24"/>
              </w:rPr>
              <w:t>冷却后循环使用，不外排；</w:t>
            </w:r>
            <w:r>
              <w:rPr>
                <w:rFonts w:hint="default" w:ascii="Times New Roman" w:hAnsi="Times New Roman" w:eastAsia="宋体" w:cs="Times New Roman"/>
                <w:b w:val="0"/>
                <w:bCs w:val="0"/>
                <w:color w:val="auto"/>
                <w:sz w:val="24"/>
                <w:szCs w:val="24"/>
                <w:highlight w:val="none"/>
                <w:lang w:val="en-US" w:eastAsia="zh-CN"/>
              </w:rPr>
              <w:t>食堂含油废水经隔油池预处理后与其他办公生活污水一并进入</w:t>
            </w:r>
            <w:r>
              <w:rPr>
                <w:rFonts w:hint="eastAsia" w:cs="Times New Roman"/>
                <w:b w:val="0"/>
                <w:bCs w:val="0"/>
                <w:color w:val="auto"/>
                <w:sz w:val="24"/>
                <w:szCs w:val="24"/>
                <w:highlight w:val="none"/>
                <w:lang w:val="en-US" w:eastAsia="zh-CN"/>
              </w:rPr>
              <w:t>依托的</w:t>
            </w:r>
            <w:r>
              <w:rPr>
                <w:rFonts w:hint="default" w:ascii="Times New Roman" w:hAnsi="Times New Roman" w:eastAsia="宋体" w:cs="Times New Roman"/>
                <w:b w:val="0"/>
                <w:bCs w:val="0"/>
                <w:color w:val="auto"/>
                <w:sz w:val="24"/>
                <w:szCs w:val="24"/>
                <w:highlight w:val="none"/>
                <w:lang w:val="en-US" w:eastAsia="zh-CN"/>
              </w:rPr>
              <w:t>化粪池</w:t>
            </w:r>
            <w:r>
              <w:rPr>
                <w:rFonts w:hint="eastAsia" w:cs="Times New Roman"/>
                <w:b w:val="0"/>
                <w:bCs w:val="0"/>
                <w:color w:val="auto"/>
                <w:sz w:val="24"/>
                <w:szCs w:val="24"/>
                <w:highlight w:val="none"/>
                <w:lang w:val="en-US" w:eastAsia="zh-CN"/>
              </w:rPr>
              <w:t>处理</w:t>
            </w:r>
            <w:r>
              <w:rPr>
                <w:rFonts w:hint="eastAsia" w:ascii="Times New Roman" w:hAnsi="Times New Roman" w:eastAsia="宋体" w:cs="Times New Roman"/>
                <w:color w:val="auto"/>
                <w:sz w:val="24"/>
                <w:szCs w:val="24"/>
                <w:highlight w:val="none"/>
                <w:lang w:val="en-US" w:eastAsia="zh-CN"/>
              </w:rPr>
              <w:t>后</w:t>
            </w:r>
            <w:r>
              <w:rPr>
                <w:rFonts w:hint="default" w:ascii="Times New Roman" w:hAnsi="Times New Roman" w:eastAsia="宋体" w:cs="Times New Roman"/>
                <w:color w:val="auto"/>
                <w:sz w:val="24"/>
                <w:szCs w:val="24"/>
                <w:highlight w:val="none"/>
                <w:lang w:val="en-US" w:eastAsia="zh-CN"/>
              </w:rPr>
              <w:t>再进入到</w:t>
            </w:r>
            <w:r>
              <w:rPr>
                <w:rFonts w:hint="eastAsia" w:ascii="Times New Roman" w:hAnsi="Times New Roman" w:eastAsia="宋体" w:cs="Times New Roman"/>
                <w:color w:val="auto"/>
                <w:sz w:val="24"/>
                <w:szCs w:val="24"/>
                <w:highlight w:val="none"/>
                <w:lang w:val="en-US" w:eastAsia="zh-CN"/>
              </w:rPr>
              <w:t>依托的一体化污水处理站</w:t>
            </w:r>
            <w:r>
              <w:rPr>
                <w:rFonts w:hint="default" w:ascii="Times New Roman" w:hAnsi="Times New Roman" w:eastAsia="宋体" w:cs="Times New Roman"/>
                <w:color w:val="auto"/>
                <w:sz w:val="24"/>
                <w:szCs w:val="24"/>
                <w:highlight w:val="none"/>
                <w:lang w:val="en-US" w:eastAsia="zh-CN"/>
              </w:rPr>
              <w:t>处理</w:t>
            </w:r>
            <w:r>
              <w:rPr>
                <w:rFonts w:hint="eastAsia" w:ascii="Times New Roman" w:hAnsi="Times New Roman" w:eastAsia="宋体" w:cs="Times New Roman"/>
                <w:color w:val="auto"/>
                <w:sz w:val="24"/>
                <w:szCs w:val="24"/>
                <w:highlight w:val="none"/>
                <w:lang w:val="en-US" w:eastAsia="zh-CN"/>
              </w:rPr>
              <w:t>达到</w:t>
            </w:r>
            <w:r>
              <w:rPr>
                <w:rFonts w:hint="default" w:ascii="Times New Roman" w:hAnsi="Times New Roman" w:eastAsia="宋体" w:cs="Times New Roman"/>
                <w:b w:val="0"/>
                <w:bCs w:val="0"/>
                <w:color w:val="auto"/>
                <w:sz w:val="24"/>
                <w:szCs w:val="24"/>
                <w:highlight w:val="none"/>
                <w:lang w:val="en-US" w:eastAsia="zh-CN"/>
              </w:rPr>
              <w:t>《城市污水再生利用 城市杂用水水质》（GB/T18920-2020）中的城市绿化、道路清扫、消防、建筑施工标准后，用于</w:t>
            </w:r>
            <w:r>
              <w:rPr>
                <w:rFonts w:hint="eastAsia" w:cs="Times New Roman"/>
                <w:b w:val="0"/>
                <w:bCs w:val="0"/>
                <w:color w:val="auto"/>
                <w:sz w:val="24"/>
                <w:szCs w:val="24"/>
                <w:highlight w:val="none"/>
                <w:lang w:val="en-US" w:eastAsia="zh-CN"/>
              </w:rPr>
              <w:t>本</w:t>
            </w:r>
            <w:r>
              <w:rPr>
                <w:rFonts w:hint="default" w:ascii="Times New Roman" w:hAnsi="Times New Roman" w:eastAsia="宋体" w:cs="Times New Roman"/>
                <w:b w:val="0"/>
                <w:bCs w:val="0"/>
                <w:color w:val="auto"/>
                <w:sz w:val="24"/>
                <w:szCs w:val="24"/>
                <w:highlight w:val="none"/>
                <w:lang w:val="en-US" w:eastAsia="zh-CN"/>
              </w:rPr>
              <w:t>项目区</w:t>
            </w:r>
            <w:r>
              <w:rPr>
                <w:rFonts w:hint="eastAsia" w:cs="Times New Roman"/>
                <w:b w:val="0"/>
                <w:bCs w:val="0"/>
                <w:color w:val="auto"/>
                <w:sz w:val="24"/>
                <w:szCs w:val="24"/>
                <w:highlight w:val="none"/>
                <w:lang w:val="en-US" w:eastAsia="zh-CN"/>
              </w:rPr>
              <w:t>及</w:t>
            </w:r>
            <w:r>
              <w:rPr>
                <w:rFonts w:hint="eastAsia"/>
                <w:bCs/>
                <w:color w:val="auto"/>
                <w:sz w:val="24"/>
                <w:highlight w:val="none"/>
                <w:lang w:eastAsia="zh-CN"/>
              </w:rPr>
              <w:t>云</w:t>
            </w:r>
            <w:r>
              <w:rPr>
                <w:rFonts w:hint="eastAsia"/>
                <w:color w:val="auto"/>
                <w:sz w:val="24"/>
                <w:highlight w:val="none"/>
                <w:lang w:val="en-US" w:eastAsia="zh-CN"/>
              </w:rPr>
              <w:t>南宝泰轻化机械</w:t>
            </w:r>
            <w:r>
              <w:rPr>
                <w:rFonts w:hint="eastAsia"/>
                <w:color w:val="auto"/>
                <w:sz w:val="24"/>
                <w:highlight w:val="none"/>
                <w:lang w:eastAsia="zh-CN"/>
              </w:rPr>
              <w:t>有限公司</w:t>
            </w:r>
            <w:r>
              <w:rPr>
                <w:rFonts w:hint="default" w:ascii="Times New Roman" w:hAnsi="Times New Roman" w:eastAsia="宋体" w:cs="Times New Roman"/>
                <w:b w:val="0"/>
                <w:bCs w:val="0"/>
                <w:color w:val="auto"/>
                <w:sz w:val="24"/>
                <w:szCs w:val="24"/>
                <w:highlight w:val="none"/>
                <w:lang w:val="en-US" w:eastAsia="zh-CN"/>
              </w:rPr>
              <w:t>内绿化及道路场地洒水降尘，不外排。</w:t>
            </w:r>
          </w:p>
          <w:p w14:paraId="196CE5F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aps w:val="0"/>
                <w:snapToGrid w:val="0"/>
                <w:color w:val="auto"/>
                <w:spacing w:val="0"/>
                <w:w w:val="100"/>
                <w:kern w:val="2"/>
                <w:position w:val="0"/>
                <w:sz w:val="24"/>
                <w:szCs w:val="24"/>
                <w:highlight w:val="none"/>
                <w:lang w:val="en-US" w:eastAsia="zh-CN" w:bidi="ar-SA"/>
              </w:rPr>
            </w:pPr>
            <w:r>
              <w:rPr>
                <w:rFonts w:hint="default" w:ascii="Times New Roman" w:hAnsi="Times New Roman" w:eastAsia="宋体" w:cs="Times New Roman"/>
                <w:b w:val="0"/>
                <w:bCs w:val="0"/>
                <w:color w:val="auto"/>
                <w:sz w:val="24"/>
                <w:szCs w:val="24"/>
                <w:highlight w:val="none"/>
                <w:lang w:val="en-US" w:eastAsia="zh-CN"/>
              </w:rPr>
              <w:t>因此，不设总量控制指标</w:t>
            </w:r>
            <w:r>
              <w:rPr>
                <w:rFonts w:hint="default" w:ascii="Times New Roman" w:hAnsi="Times New Roman" w:eastAsia="宋体" w:cs="Times New Roman"/>
                <w:b w:val="0"/>
                <w:bCs w:val="0"/>
                <w:color w:val="auto"/>
                <w:kern w:val="0"/>
                <w:sz w:val="24"/>
                <w:szCs w:val="24"/>
                <w:highlight w:val="none"/>
              </w:rPr>
              <w:t>。</w:t>
            </w:r>
          </w:p>
          <w:p w14:paraId="72D2CD3A">
            <w:pPr>
              <w:adjustRightInd w:val="0"/>
              <w:snapToGrid w:val="0"/>
              <w:spacing w:line="348" w:lineRule="auto"/>
              <w:ind w:firstLine="482" w:firstLineChars="200"/>
              <w:rPr>
                <w:b/>
                <w:bCs/>
                <w:color w:val="auto"/>
                <w:sz w:val="24"/>
              </w:rPr>
            </w:pPr>
            <w:r>
              <w:rPr>
                <w:b/>
                <w:bCs/>
                <w:color w:val="auto"/>
                <w:sz w:val="24"/>
              </w:rPr>
              <w:t>3、固体废物</w:t>
            </w:r>
          </w:p>
          <w:p w14:paraId="77714BD9">
            <w:pPr>
              <w:adjustRightInd w:val="0"/>
              <w:snapToGrid w:val="0"/>
              <w:spacing w:line="348" w:lineRule="auto"/>
              <w:ind w:firstLine="480" w:firstLineChars="200"/>
              <w:rPr>
                <w:rFonts w:ascii="Times New Roman" w:hAnsi="Times New Roman"/>
                <w:color w:val="auto"/>
                <w:sz w:val="24"/>
              </w:rPr>
            </w:pPr>
            <w:r>
              <w:rPr>
                <w:color w:val="auto"/>
                <w:sz w:val="24"/>
              </w:rPr>
              <w:t>本项目固体废物处置率100%，不设总量控制指标。</w:t>
            </w:r>
          </w:p>
          <w:p w14:paraId="1E52EF99">
            <w:pPr>
              <w:pStyle w:val="17"/>
              <w:rPr>
                <w:rFonts w:ascii="Times New Roman" w:hAnsi="Times New Roman"/>
                <w:color w:val="auto"/>
                <w:sz w:val="24"/>
              </w:rPr>
            </w:pPr>
          </w:p>
        </w:tc>
      </w:tr>
    </w:tbl>
    <w:p w14:paraId="6AE97877">
      <w:pPr>
        <w:pStyle w:val="27"/>
        <w:adjustRightInd w:val="0"/>
        <w:snapToGrid w:val="0"/>
        <w:spacing w:before="0" w:beforeAutospacing="0" w:after="0" w:afterAutospacing="0"/>
        <w:jc w:val="center"/>
        <w:outlineLvl w:val="0"/>
        <w:rPr>
          <w:rFonts w:ascii="Times New Roman" w:hAnsi="Times New Roman"/>
          <w:snapToGrid w:val="0"/>
          <w:color w:val="auto"/>
          <w:sz w:val="30"/>
          <w:szCs w:val="30"/>
        </w:rPr>
      </w:pPr>
      <w:r>
        <w:rPr>
          <w:rFonts w:ascii="Times New Roman" w:hAnsi="Times New Roman"/>
          <w:snapToGrid w:val="0"/>
          <w:color w:val="auto"/>
          <w:sz w:val="36"/>
          <w:szCs w:val="36"/>
        </w:rPr>
        <w:br w:type="page"/>
      </w:r>
      <w:bookmarkStart w:id="20" w:name="_Toc6112"/>
      <w:bookmarkStart w:id="21" w:name="_Toc32349"/>
      <w:r>
        <w:rPr>
          <w:rFonts w:ascii="Times New Roman" w:hAnsi="Times New Roman"/>
          <w:b/>
          <w:bCs/>
          <w:snapToGrid w:val="0"/>
          <w:color w:val="auto"/>
          <w:sz w:val="30"/>
          <w:szCs w:val="30"/>
        </w:rPr>
        <w:t>四、主要环境影响和保护措施</w:t>
      </w:r>
      <w:bookmarkEnd w:id="20"/>
      <w:bookmarkEnd w:id="21"/>
    </w:p>
    <w:tbl>
      <w:tblPr>
        <w:tblStyle w:val="30"/>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58"/>
        <w:gridCol w:w="8623"/>
      </w:tblGrid>
      <w:tr w14:paraId="6D0885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358" w:type="dxa"/>
            <w:tcMar>
              <w:left w:w="28" w:type="dxa"/>
              <w:right w:w="28" w:type="dxa"/>
            </w:tcMar>
            <w:vAlign w:val="center"/>
          </w:tcPr>
          <w:p w14:paraId="2B7A22F0">
            <w:pPr>
              <w:pStyle w:val="27"/>
              <w:adjustRightInd w:val="0"/>
              <w:snapToGrid w:val="0"/>
              <w:spacing w:before="0" w:beforeAutospacing="0" w:after="0" w:afterAutospacing="0"/>
              <w:jc w:val="center"/>
              <w:rPr>
                <w:rFonts w:ascii="Times New Roman" w:hAnsi="Times New Roman"/>
                <w:color w:val="auto"/>
                <w:kern w:val="2"/>
                <w:szCs w:val="24"/>
              </w:rPr>
            </w:pPr>
            <w:r>
              <w:rPr>
                <w:rFonts w:ascii="Times New Roman" w:hAnsi="Times New Roman"/>
                <w:color w:val="auto"/>
                <w:kern w:val="2"/>
                <w:szCs w:val="24"/>
              </w:rPr>
              <w:t>施工</w:t>
            </w:r>
          </w:p>
          <w:p w14:paraId="72B21A32">
            <w:pPr>
              <w:pStyle w:val="27"/>
              <w:adjustRightInd w:val="0"/>
              <w:snapToGrid w:val="0"/>
              <w:spacing w:before="0" w:beforeAutospacing="0" w:after="0" w:afterAutospacing="0"/>
              <w:jc w:val="center"/>
              <w:rPr>
                <w:rFonts w:ascii="Times New Roman" w:hAnsi="Times New Roman"/>
                <w:color w:val="auto"/>
                <w:kern w:val="2"/>
                <w:szCs w:val="24"/>
              </w:rPr>
            </w:pPr>
            <w:r>
              <w:rPr>
                <w:rFonts w:ascii="Times New Roman" w:hAnsi="Times New Roman"/>
                <w:color w:val="auto"/>
                <w:kern w:val="2"/>
                <w:szCs w:val="24"/>
              </w:rPr>
              <w:t>期环</w:t>
            </w:r>
          </w:p>
          <w:p w14:paraId="59B96024">
            <w:pPr>
              <w:pStyle w:val="27"/>
              <w:adjustRightInd w:val="0"/>
              <w:snapToGrid w:val="0"/>
              <w:spacing w:before="0" w:beforeAutospacing="0" w:after="0" w:afterAutospacing="0"/>
              <w:jc w:val="center"/>
              <w:rPr>
                <w:rFonts w:ascii="Times New Roman" w:hAnsi="Times New Roman"/>
                <w:color w:val="auto"/>
                <w:kern w:val="2"/>
                <w:szCs w:val="24"/>
              </w:rPr>
            </w:pPr>
            <w:r>
              <w:rPr>
                <w:rFonts w:ascii="Times New Roman" w:hAnsi="Times New Roman"/>
                <w:color w:val="auto"/>
                <w:kern w:val="2"/>
                <w:szCs w:val="24"/>
              </w:rPr>
              <w:t>境保</w:t>
            </w:r>
          </w:p>
          <w:p w14:paraId="59703166">
            <w:pPr>
              <w:pStyle w:val="27"/>
              <w:adjustRightInd w:val="0"/>
              <w:snapToGrid w:val="0"/>
              <w:spacing w:before="0" w:beforeAutospacing="0" w:after="0" w:afterAutospacing="0"/>
              <w:jc w:val="center"/>
              <w:rPr>
                <w:rFonts w:ascii="Times New Roman" w:hAnsi="Times New Roman"/>
                <w:color w:val="auto"/>
                <w:kern w:val="2"/>
                <w:szCs w:val="24"/>
              </w:rPr>
            </w:pPr>
            <w:r>
              <w:rPr>
                <w:rFonts w:ascii="Times New Roman" w:hAnsi="Times New Roman"/>
                <w:color w:val="auto"/>
                <w:kern w:val="2"/>
                <w:szCs w:val="24"/>
              </w:rPr>
              <w:t>护措</w:t>
            </w:r>
          </w:p>
          <w:p w14:paraId="28B76B8D">
            <w:pPr>
              <w:pStyle w:val="27"/>
              <w:adjustRightInd w:val="0"/>
              <w:snapToGrid w:val="0"/>
              <w:spacing w:before="0" w:beforeAutospacing="0" w:after="0" w:afterAutospacing="0"/>
              <w:jc w:val="center"/>
              <w:rPr>
                <w:rFonts w:ascii="Times New Roman" w:hAnsi="Times New Roman"/>
                <w:bCs/>
                <w:color w:val="auto"/>
                <w:kern w:val="2"/>
                <w:sz w:val="21"/>
                <w:szCs w:val="21"/>
              </w:rPr>
            </w:pPr>
            <w:r>
              <w:rPr>
                <w:rFonts w:ascii="Times New Roman" w:hAnsi="Times New Roman"/>
                <w:color w:val="auto"/>
                <w:kern w:val="2"/>
                <w:szCs w:val="24"/>
              </w:rPr>
              <w:t>施</w:t>
            </w:r>
          </w:p>
        </w:tc>
        <w:tc>
          <w:tcPr>
            <w:tcW w:w="8623" w:type="dxa"/>
            <w:vAlign w:val="center"/>
          </w:tcPr>
          <w:p w14:paraId="277BAE45">
            <w:pPr>
              <w:shd w:val="clea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iCs/>
                <w:color w:val="auto"/>
                <w:sz w:val="24"/>
                <w:highlight w:val="none"/>
              </w:rPr>
              <w:t>本</w:t>
            </w:r>
            <w:r>
              <w:rPr>
                <w:color w:val="auto"/>
                <w:sz w:val="24"/>
              </w:rPr>
              <w:t>项目</w:t>
            </w:r>
            <w:r>
              <w:rPr>
                <w:rFonts w:hint="eastAsia"/>
                <w:color w:val="auto"/>
                <w:sz w:val="24"/>
              </w:rPr>
              <w:t>租用已建标准</w:t>
            </w:r>
            <w:r>
              <w:rPr>
                <w:color w:val="auto"/>
                <w:sz w:val="24"/>
              </w:rPr>
              <w:t>厂房进行建设，施工期仅在现有厂房内进行装修改造</w:t>
            </w:r>
            <w:r>
              <w:rPr>
                <w:rFonts w:hint="eastAsia"/>
                <w:color w:val="auto"/>
                <w:sz w:val="24"/>
              </w:rPr>
              <w:t>、</w:t>
            </w:r>
            <w:r>
              <w:rPr>
                <w:color w:val="auto"/>
                <w:sz w:val="24"/>
              </w:rPr>
              <w:t>设备安装</w:t>
            </w:r>
            <w:r>
              <w:rPr>
                <w:rFonts w:hint="eastAsia"/>
                <w:color w:val="auto"/>
                <w:sz w:val="24"/>
                <w:lang w:eastAsia="zh-CN"/>
              </w:rPr>
              <w:t>、环保设施建设</w:t>
            </w:r>
            <w:r>
              <w:rPr>
                <w:rFonts w:hint="eastAsia"/>
                <w:color w:val="auto"/>
                <w:sz w:val="24"/>
              </w:rPr>
              <w:t>等</w:t>
            </w:r>
            <w:r>
              <w:rPr>
                <w:color w:val="auto"/>
                <w:sz w:val="24"/>
              </w:rPr>
              <w:t>。施工期主要产生的污染物</w:t>
            </w:r>
            <w:r>
              <w:rPr>
                <w:rFonts w:hint="default" w:ascii="Times New Roman" w:hAnsi="Times New Roman" w:eastAsia="宋体" w:cs="Times New Roman"/>
                <w:b w:val="0"/>
                <w:bCs w:val="0"/>
                <w:color w:val="auto"/>
                <w:sz w:val="24"/>
                <w:szCs w:val="24"/>
                <w:highlight w:val="none"/>
                <w:lang w:val="en-US" w:eastAsia="zh-CN"/>
              </w:rPr>
              <w:t>废气、废水、噪声、固废等。</w:t>
            </w:r>
          </w:p>
          <w:p w14:paraId="131A46B8">
            <w:pPr>
              <w:pStyle w:val="29"/>
              <w:keepNext w:val="0"/>
              <w:keepLines w:val="0"/>
              <w:pageBreakBefore w:val="0"/>
              <w:widowControl w:val="0"/>
              <w:shd w:val="clear"/>
              <w:kinsoku/>
              <w:wordWrap/>
              <w:overflowPunct/>
              <w:topLinePunct w:val="0"/>
              <w:autoSpaceDE/>
              <w:autoSpaceDN/>
              <w:bidi w:val="0"/>
              <w:adjustRightInd/>
              <w:snapToGrid/>
              <w:spacing w:after="0" w:line="360" w:lineRule="auto"/>
              <w:ind w:left="0" w:leftChars="0" w:firstLine="480"/>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sz w:val="24"/>
                <w:highlight w:val="none"/>
              </w:rPr>
              <w:t>1、施工期废气影响分析</w:t>
            </w:r>
          </w:p>
          <w:p w14:paraId="0662ECF8">
            <w:pPr>
              <w:pStyle w:val="28"/>
              <w:keepNext w:val="0"/>
              <w:keepLines w:val="0"/>
              <w:pageBreakBefore w:val="0"/>
              <w:kinsoku/>
              <w:wordWrap/>
              <w:overflowPunct/>
              <w:topLinePunct w:val="0"/>
              <w:autoSpaceDE/>
              <w:autoSpaceDN/>
              <w:bidi w:val="0"/>
              <w:spacing w:after="0" w:afterLines="0" w:line="360" w:lineRule="auto"/>
              <w:ind w:firstLine="480" w:firstLineChars="200"/>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施工期废气主要为施工粉尘、焊接烟尘</w:t>
            </w:r>
            <w:r>
              <w:rPr>
                <w:rFonts w:hint="eastAsia" w:cs="Times New Roman"/>
                <w:color w:val="auto"/>
                <w:kern w:val="0"/>
                <w:sz w:val="24"/>
                <w:szCs w:val="24"/>
                <w:highlight w:val="none"/>
                <w:lang w:val="en-US" w:eastAsia="zh-CN" w:bidi="ar"/>
              </w:rPr>
              <w:t>、装修废气</w:t>
            </w:r>
            <w:r>
              <w:rPr>
                <w:rFonts w:hint="default" w:ascii="Times New Roman" w:hAnsi="Times New Roman" w:eastAsia="宋体" w:cs="Times New Roman"/>
                <w:color w:val="auto"/>
                <w:kern w:val="0"/>
                <w:sz w:val="24"/>
                <w:szCs w:val="24"/>
                <w:highlight w:val="none"/>
                <w:lang w:val="en-US" w:eastAsia="zh-CN" w:bidi="ar"/>
              </w:rPr>
              <w:t>、施工机械及车辆燃油废气等。</w:t>
            </w:r>
          </w:p>
          <w:p w14:paraId="669915E8">
            <w:pPr>
              <w:keepNext w:val="0"/>
              <w:keepLines w:val="0"/>
              <w:pageBreakBefore w:val="0"/>
              <w:shd w:val="clear"/>
              <w:kinsoku/>
              <w:wordWrap/>
              <w:overflowPunct/>
              <w:topLinePunct w:val="0"/>
              <w:autoSpaceDE/>
              <w:autoSpaceDN/>
              <w:bidi w:val="0"/>
              <w:spacing w:line="360" w:lineRule="auto"/>
              <w:ind w:firstLine="482" w:firstLineChars="200"/>
              <w:textAlignment w:val="auto"/>
              <w:rPr>
                <w:rFonts w:hint="default" w:ascii="Times New Roman" w:hAnsi="Times New Roman" w:eastAsia="宋体" w:cs="Times New Roman"/>
                <w:b/>
                <w:bCs w:val="0"/>
                <w:color w:val="auto"/>
                <w:kern w:val="2"/>
                <w:sz w:val="24"/>
                <w:szCs w:val="24"/>
                <w:highlight w:val="none"/>
                <w:lang w:val="zh-CN" w:eastAsia="zh-CN" w:bidi="ar-SA"/>
              </w:rPr>
            </w:pPr>
            <w:r>
              <w:rPr>
                <w:rFonts w:hint="default" w:ascii="Times New Roman" w:hAnsi="Times New Roman" w:eastAsia="宋体" w:cs="Times New Roman"/>
                <w:b/>
                <w:bCs w:val="0"/>
                <w:color w:val="auto"/>
                <w:kern w:val="2"/>
                <w:sz w:val="24"/>
                <w:szCs w:val="24"/>
                <w:highlight w:val="none"/>
                <w:lang w:val="zh-CN" w:eastAsia="zh-CN" w:bidi="ar-SA"/>
              </w:rPr>
              <w:t>（1）施工粉尘影响</w:t>
            </w:r>
          </w:p>
          <w:p w14:paraId="7AA3E482">
            <w:pPr>
              <w:shd w:val="clear"/>
              <w:adjustRightInd w:val="0"/>
              <w:snapToGrid w:val="0"/>
              <w:spacing w:afterLines="0" w:line="360" w:lineRule="auto"/>
              <w:ind w:firstLine="480" w:firstLineChars="200"/>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val="en-US" w:eastAsia="zh-CN" w:bidi="ar"/>
              </w:rPr>
              <w:t>项目施工扬尘主要来自施工建筑材料装卸、运输，施工垃圾堆放，施工车辆的扬尘等。</w:t>
            </w:r>
            <w:r>
              <w:rPr>
                <w:rFonts w:hint="default" w:ascii="Times New Roman" w:hAnsi="Times New Roman" w:eastAsia="宋体" w:cs="Times New Roman"/>
                <w:color w:val="auto"/>
                <w:kern w:val="0"/>
                <w:sz w:val="24"/>
                <w:szCs w:val="24"/>
                <w:highlight w:val="none"/>
                <w:lang w:bidi="ar"/>
              </w:rPr>
              <w:t>为降低施工粉尘对周边大气环境的影响，应采取如下防治措施：</w:t>
            </w:r>
          </w:p>
          <w:p w14:paraId="6EDBDA02">
            <w:pPr>
              <w:shd w:val="clea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①</w:t>
            </w:r>
            <w:r>
              <w:rPr>
                <w:rFonts w:hint="default" w:ascii="Times New Roman" w:hAnsi="Times New Roman" w:eastAsia="宋体" w:cs="Times New Roman"/>
                <w:color w:val="auto"/>
                <w:sz w:val="24"/>
                <w:szCs w:val="24"/>
                <w:highlight w:val="none"/>
              </w:rPr>
              <w:t>施工场地定期洒水，有效防止扬尘，在风速大于四级风速气象条件下加大洒水量及洒水频次；</w:t>
            </w:r>
          </w:p>
          <w:p w14:paraId="7F5BB7EF">
            <w:pPr>
              <w:shd w:val="clea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②</w:t>
            </w:r>
            <w:r>
              <w:rPr>
                <w:rFonts w:hint="default" w:ascii="Times New Roman" w:hAnsi="Times New Roman" w:eastAsia="宋体" w:cs="Times New Roman"/>
                <w:color w:val="auto"/>
                <w:sz w:val="24"/>
                <w:szCs w:val="24"/>
                <w:highlight w:val="none"/>
              </w:rPr>
              <w:t>施工建筑材料定点堆放，在大风天气对散料堆场采用水喷淋防尘，用蓬布遮盖建筑材料，尽量按量购进建筑材料，避免在场内长时间堆放；</w:t>
            </w:r>
          </w:p>
          <w:p w14:paraId="1FBF9BED">
            <w:pPr>
              <w:shd w:val="clea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③</w:t>
            </w:r>
            <w:r>
              <w:rPr>
                <w:rFonts w:hint="default" w:ascii="Times New Roman" w:hAnsi="Times New Roman" w:eastAsia="宋体" w:cs="Times New Roman"/>
                <w:color w:val="auto"/>
                <w:sz w:val="24"/>
                <w:szCs w:val="24"/>
                <w:highlight w:val="none"/>
              </w:rPr>
              <w:t>施工场地清理阶段做到先洒水，后清扫，施工后期建筑垃圾及时清理；</w:t>
            </w:r>
          </w:p>
          <w:p w14:paraId="59995056">
            <w:pPr>
              <w:shd w:val="clear"/>
              <w:spacing w:line="360" w:lineRule="auto"/>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④</w:t>
            </w:r>
            <w:r>
              <w:rPr>
                <w:rFonts w:hint="default" w:ascii="Times New Roman" w:hAnsi="Times New Roman" w:eastAsia="宋体" w:cs="Times New Roman"/>
                <w:color w:val="auto"/>
                <w:sz w:val="24"/>
                <w:szCs w:val="24"/>
                <w:highlight w:val="none"/>
                <w:lang w:eastAsia="ja-JP"/>
              </w:rPr>
              <w:t>加强施工现场运输车辆管理，运输车辆必须车身整洁，装载车厢完好、严密，装载货物堆码整齐，严禁在装运过程中沿途抛、洒、滴、漏</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ja-JP"/>
              </w:rPr>
              <w:t>不得污染道路</w:t>
            </w:r>
            <w:r>
              <w:rPr>
                <w:rFonts w:hint="default" w:ascii="Times New Roman" w:hAnsi="Times New Roman" w:eastAsia="宋体" w:cs="Times New Roman"/>
                <w:color w:val="auto"/>
                <w:sz w:val="24"/>
                <w:szCs w:val="24"/>
                <w:highlight w:val="none"/>
                <w:lang w:eastAsia="zh-CN"/>
              </w:rPr>
              <w:t>；</w:t>
            </w:r>
          </w:p>
          <w:p w14:paraId="6AD065AD">
            <w:pPr>
              <w:shd w:val="clear"/>
              <w:spacing w:line="360" w:lineRule="auto"/>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⑤</w:t>
            </w:r>
            <w:r>
              <w:rPr>
                <w:rFonts w:hint="default" w:ascii="Times New Roman" w:hAnsi="Times New Roman" w:eastAsia="宋体" w:cs="Times New Roman"/>
                <w:color w:val="auto"/>
                <w:sz w:val="24"/>
                <w:szCs w:val="24"/>
                <w:highlight w:val="none"/>
              </w:rPr>
              <w:t>优化施工期间运输车辆的出入场路径</w:t>
            </w:r>
            <w:r>
              <w:rPr>
                <w:rFonts w:hint="default" w:ascii="Times New Roman" w:hAnsi="Times New Roman" w:eastAsia="宋体" w:cs="Times New Roman"/>
                <w:color w:val="auto"/>
                <w:sz w:val="24"/>
                <w:szCs w:val="24"/>
                <w:highlight w:val="none"/>
                <w:lang w:eastAsia="zh-CN"/>
              </w:rPr>
              <w:t>；</w:t>
            </w:r>
          </w:p>
          <w:p w14:paraId="5F85E28C">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color w:val="auto"/>
                <w:sz w:val="28"/>
                <w:highlight w:val="none"/>
              </w:rPr>
            </w:pPr>
            <w:r>
              <w:rPr>
                <w:rFonts w:hint="default" w:ascii="Times New Roman" w:hAnsi="Times New Roman" w:eastAsia="宋体" w:cs="Times New Roman"/>
                <w:color w:val="auto"/>
                <w:sz w:val="24"/>
                <w:szCs w:val="24"/>
                <w:highlight w:val="none"/>
                <w:lang w:val="en-US" w:eastAsia="zh-CN"/>
              </w:rPr>
              <w:t>⑥</w:t>
            </w:r>
            <w:r>
              <w:rPr>
                <w:rFonts w:hint="default" w:ascii="Times New Roman" w:hAnsi="Times New Roman" w:eastAsia="宋体" w:cs="Times New Roman"/>
                <w:color w:val="auto"/>
                <w:sz w:val="24"/>
                <w:szCs w:val="24"/>
                <w:highlight w:val="none"/>
              </w:rPr>
              <w:t>在施工中合理组织施工，缩短施工时间，尽量减少施工污染。</w:t>
            </w:r>
          </w:p>
          <w:p w14:paraId="2E3F77AB">
            <w:pPr>
              <w:shd w:val="clear"/>
              <w:spacing w:afterLines="0"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施工期产生的粉尘污染是短期的，随着施工活动的结束，施工扬尘对环境空气的影响也就随之结束，因此施工期粉尘对评价区域的空气环境质量影响较小。</w:t>
            </w:r>
            <w:r>
              <w:rPr>
                <w:rFonts w:hint="eastAsia" w:ascii="Times New Roman" w:hAnsi="Times New Roman" w:eastAsia="宋体" w:cs="Times New Roman"/>
                <w:color w:val="auto"/>
                <w:sz w:val="24"/>
                <w:szCs w:val="24"/>
                <w:highlight w:val="none"/>
                <w:lang w:val="en-US" w:eastAsia="zh-CN"/>
              </w:rPr>
              <w:t xml:space="preserve">   </w:t>
            </w:r>
          </w:p>
          <w:p w14:paraId="0A52089A">
            <w:pPr>
              <w:shd w:val="clear"/>
              <w:spacing w:afterLines="0" w:line="360" w:lineRule="auto"/>
              <w:ind w:firstLine="482" w:firstLineChars="200"/>
              <w:rPr>
                <w:rFonts w:hint="default" w:ascii="Times New Roman" w:hAnsi="Times New Roman" w:eastAsia="宋体" w:cs="Times New Roman"/>
                <w:b/>
                <w:bCs/>
                <w:color w:val="auto"/>
                <w:sz w:val="24"/>
                <w:szCs w:val="24"/>
                <w:highlight w:val="none"/>
                <w:lang w:val="zh-CN"/>
              </w:rPr>
            </w:pPr>
            <w:r>
              <w:rPr>
                <w:rFonts w:hint="default" w:ascii="Times New Roman" w:hAnsi="Times New Roman" w:eastAsia="宋体" w:cs="Times New Roman"/>
                <w:b/>
                <w:bCs/>
                <w:color w:val="auto"/>
                <w:sz w:val="24"/>
                <w:szCs w:val="24"/>
                <w:highlight w:val="none"/>
                <w:lang w:val="zh-CN"/>
              </w:rPr>
              <w:t>（</w:t>
            </w:r>
            <w:r>
              <w:rPr>
                <w:rFonts w:hint="default"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zh-CN"/>
              </w:rPr>
              <w:t>）焊接烟尘影响</w:t>
            </w:r>
          </w:p>
          <w:p w14:paraId="3D1A4672">
            <w:pPr>
              <w:shd w:val="clear"/>
              <w:spacing w:afterLines="0" w:line="360" w:lineRule="auto"/>
              <w:ind w:firstLine="480" w:firstLineChars="200"/>
              <w:rPr>
                <w:rFonts w:hint="default" w:ascii="Times New Roman" w:hAnsi="Times New Roman" w:eastAsia="宋体" w:cs="Times New Roman"/>
                <w:color w:val="auto"/>
                <w:sz w:val="24"/>
                <w:szCs w:val="24"/>
                <w:highlight w:val="none"/>
                <w:lang w:val="zh-CN"/>
              </w:rPr>
            </w:pPr>
            <w:r>
              <w:rPr>
                <w:rFonts w:hint="default" w:ascii="Times New Roman" w:hAnsi="Times New Roman" w:eastAsia="宋体" w:cs="Times New Roman"/>
                <w:color w:val="auto"/>
                <w:sz w:val="24"/>
                <w:highlight w:val="none"/>
              </w:rPr>
              <w:t>根据工程规模，项目焊接工程量较小，焊接过程烟尘</w:t>
            </w:r>
            <w:r>
              <w:rPr>
                <w:rFonts w:hint="default" w:ascii="Times New Roman" w:hAnsi="Times New Roman" w:eastAsia="宋体" w:cs="Times New Roman"/>
                <w:color w:val="auto"/>
                <w:sz w:val="24"/>
                <w:highlight w:val="none"/>
                <w:lang w:eastAsia="zh-CN"/>
              </w:rPr>
              <w:t>量</w:t>
            </w:r>
            <w:r>
              <w:rPr>
                <w:rFonts w:hint="default" w:ascii="Times New Roman" w:hAnsi="Times New Roman" w:eastAsia="宋体" w:cs="Times New Roman"/>
                <w:color w:val="auto"/>
                <w:sz w:val="24"/>
                <w:highlight w:val="none"/>
                <w:lang w:val="en-US" w:eastAsia="zh-CN"/>
              </w:rPr>
              <w:t>不大</w:t>
            </w:r>
            <w:r>
              <w:rPr>
                <w:rFonts w:hint="default" w:ascii="Times New Roman" w:hAnsi="Times New Roman" w:eastAsia="宋体" w:cs="Times New Roman"/>
                <w:color w:val="auto"/>
                <w:sz w:val="24"/>
                <w:highlight w:val="none"/>
              </w:rPr>
              <w:t>，呈无组织排放。</w:t>
            </w:r>
            <w:r>
              <w:rPr>
                <w:rFonts w:hint="default" w:ascii="Times New Roman" w:hAnsi="Times New Roman" w:eastAsia="宋体" w:cs="Times New Roman"/>
                <w:color w:val="auto"/>
                <w:sz w:val="24"/>
                <w:szCs w:val="24"/>
                <w:highlight w:val="none"/>
              </w:rPr>
              <w:t>施工焊接烟尘具有间断性产生、产生量较小、产生点相对分散、易被稀释扩散等特点，焊接烟尘经自然扩散和稀释</w:t>
            </w:r>
            <w:r>
              <w:rPr>
                <w:rFonts w:hint="default" w:ascii="Times New Roman" w:hAnsi="Times New Roman" w:eastAsia="宋体" w:cs="Times New Roman"/>
                <w:color w:val="auto"/>
                <w:sz w:val="24"/>
                <w:szCs w:val="24"/>
                <w:highlight w:val="none"/>
                <w:lang w:val="zh-CN" w:eastAsia="zh-CN"/>
              </w:rPr>
              <w:t>后对周围环境影响很小。</w:t>
            </w:r>
          </w:p>
          <w:p w14:paraId="6930836D">
            <w:pPr>
              <w:pStyle w:val="29"/>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firstLine="482" w:firstLineChars="200"/>
              <w:jc w:val="both"/>
              <w:textAlignment w:val="auto"/>
              <w:rPr>
                <w:rFonts w:hint="default" w:ascii="Times New Roman" w:hAnsi="Times New Roman" w:eastAsia="宋体" w:cs="Times New Roman"/>
                <w:b/>
                <w:bCs w:val="0"/>
                <w:color w:val="auto"/>
                <w:sz w:val="24"/>
                <w:highlight w:val="none"/>
                <w:lang w:val="en-US" w:eastAsia="zh-CN"/>
              </w:rPr>
            </w:pPr>
            <w:r>
              <w:rPr>
                <w:rFonts w:hint="default" w:ascii="Times New Roman" w:hAnsi="Times New Roman" w:eastAsia="宋体" w:cs="Times New Roman"/>
                <w:b/>
                <w:bCs/>
                <w:color w:val="auto"/>
                <w:sz w:val="24"/>
                <w:szCs w:val="24"/>
                <w:highlight w:val="none"/>
                <w:lang w:val="zh-CN"/>
              </w:rPr>
              <w:t>（</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val="zh-CN"/>
              </w:rPr>
              <w:t>）</w:t>
            </w:r>
            <w:r>
              <w:rPr>
                <w:rFonts w:hint="eastAsia" w:cs="Times New Roman"/>
                <w:b/>
                <w:bCs w:val="0"/>
                <w:color w:val="auto"/>
                <w:sz w:val="24"/>
                <w:highlight w:val="none"/>
                <w:lang w:val="en-US" w:eastAsia="zh-CN"/>
              </w:rPr>
              <w:t>装修</w:t>
            </w:r>
            <w:r>
              <w:rPr>
                <w:rFonts w:hint="default" w:ascii="Times New Roman" w:hAnsi="Times New Roman" w:eastAsia="宋体" w:cs="Times New Roman"/>
                <w:b/>
                <w:bCs w:val="0"/>
                <w:color w:val="auto"/>
                <w:sz w:val="24"/>
                <w:highlight w:val="none"/>
                <w:lang w:val="en-US" w:eastAsia="zh-CN"/>
              </w:rPr>
              <w:t>废气</w:t>
            </w:r>
          </w:p>
          <w:p w14:paraId="607EF323">
            <w:pPr>
              <w:pStyle w:val="29"/>
              <w:keepNext w:val="0"/>
              <w:keepLines w:val="0"/>
              <w:pageBreakBefore w:val="0"/>
              <w:widowControl w:val="0"/>
              <w:kinsoku/>
              <w:wordWrap/>
              <w:overflowPunct/>
              <w:topLinePunct w:val="0"/>
              <w:autoSpaceDE/>
              <w:autoSpaceDN/>
              <w:bidi w:val="0"/>
              <w:spacing w:after="0" w:line="356" w:lineRule="auto"/>
              <w:ind w:left="0" w:leftChars="0" w:firstLine="480" w:firstLineChars="200"/>
              <w:textAlignment w:val="auto"/>
              <w:rPr>
                <w:rFonts w:hint="default" w:ascii="Times New Roman" w:hAnsi="Times New Roman" w:eastAsia="宋体" w:cs="Times New Roman"/>
                <w:b w:val="0"/>
                <w:bCs/>
                <w:color w:val="auto"/>
                <w:sz w:val="24"/>
                <w:lang w:val="en-US" w:eastAsia="zh-CN"/>
              </w:rPr>
            </w:pPr>
            <w:r>
              <w:rPr>
                <w:rFonts w:hint="default" w:ascii="Times New Roman" w:hAnsi="Times New Roman" w:eastAsia="宋体" w:cs="Times New Roman"/>
                <w:b w:val="0"/>
                <w:bCs/>
                <w:color w:val="auto"/>
                <w:sz w:val="24"/>
                <w:lang w:val="en-US" w:eastAsia="zh-CN"/>
              </w:rPr>
              <w:t>项目建筑在后期装修过程中产生的废气属无组织排放，主要污染因子为挥发性有机废气等。项目在装修过程中，产生的废气主要来源包括地板漆、墙面漆和内墙涂料等，由于使用的油漆组分不同，挥发系数也不相同，并且装修阶段随机性大，时间跨度较长，装修作业点分散，油漆废气的排放时间和部位尚不能明确，装修阶段的油漆废气排放周期相对较短。因此，环评提出本项目应</w:t>
            </w:r>
            <w:bookmarkStart w:id="22" w:name="_Hlk141364638"/>
            <w:r>
              <w:rPr>
                <w:rFonts w:hint="default" w:ascii="Times New Roman" w:hAnsi="Times New Roman" w:eastAsia="宋体" w:cs="Times New Roman"/>
                <w:bCs/>
                <w:color w:val="auto"/>
                <w:sz w:val="24"/>
              </w:rPr>
              <w:t>使用环保型装修材料</w:t>
            </w:r>
            <w:bookmarkEnd w:id="22"/>
            <w:r>
              <w:rPr>
                <w:rFonts w:hint="default" w:ascii="Times New Roman" w:hAnsi="Times New Roman" w:eastAsia="宋体" w:cs="Times New Roman"/>
                <w:bCs/>
                <w:color w:val="auto"/>
                <w:sz w:val="24"/>
                <w:lang w:eastAsia="zh-CN"/>
              </w:rPr>
              <w:t>；</w:t>
            </w:r>
            <w:r>
              <w:rPr>
                <w:rFonts w:hint="default" w:ascii="Times New Roman" w:hAnsi="Times New Roman" w:eastAsia="宋体" w:cs="Times New Roman"/>
                <w:b w:val="0"/>
                <w:bCs/>
                <w:color w:val="auto"/>
                <w:sz w:val="24"/>
                <w:lang w:val="en-US" w:eastAsia="zh-CN"/>
              </w:rPr>
              <w:t>装修期间涂刷油漆时，应加强室内的通风换气，再之由于装修时废气中含有的有机废气等影响环境质量的有毒有害物质挥发时间长，应特别注意室内空气的流畅。</w:t>
            </w:r>
          </w:p>
          <w:p w14:paraId="6B116929">
            <w:pPr>
              <w:spacing w:afterLines="0"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zh-CN"/>
              </w:rPr>
              <w:t>（</w:t>
            </w:r>
            <w:r>
              <w:rPr>
                <w:rFonts w:hint="eastAsia"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lang w:val="zh-CN"/>
              </w:rPr>
              <w:t>）</w:t>
            </w:r>
            <w:r>
              <w:rPr>
                <w:rFonts w:hint="default" w:ascii="Times New Roman" w:hAnsi="Times New Roman" w:eastAsia="宋体" w:cs="Times New Roman"/>
                <w:b/>
                <w:bCs/>
                <w:color w:val="auto"/>
                <w:sz w:val="24"/>
              </w:rPr>
              <w:t>施工机械及车辆燃油废气</w:t>
            </w:r>
            <w:r>
              <w:rPr>
                <w:rFonts w:hint="default" w:ascii="Times New Roman" w:hAnsi="Times New Roman" w:eastAsia="宋体" w:cs="Times New Roman"/>
                <w:b/>
                <w:bCs/>
                <w:color w:val="auto"/>
                <w:sz w:val="24"/>
                <w:szCs w:val="24"/>
                <w:highlight w:val="none"/>
                <w:lang w:val="zh-CN"/>
              </w:rPr>
              <w:t>影响</w:t>
            </w:r>
          </w:p>
          <w:p w14:paraId="2B6F43A3">
            <w:pPr>
              <w:pStyle w:val="29"/>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480" w:firstLineChars="200"/>
              <w:jc w:val="both"/>
              <w:textAlignment w:val="auto"/>
              <w:rPr>
                <w:rFonts w:hint="default"/>
                <w:color w:val="auto"/>
              </w:rPr>
            </w:pPr>
            <w:r>
              <w:rPr>
                <w:rFonts w:hint="default" w:ascii="Times New Roman" w:hAnsi="Times New Roman" w:eastAsia="宋体" w:cs="Times New Roman"/>
                <w:color w:val="auto"/>
                <w:sz w:val="24"/>
                <w:szCs w:val="24"/>
                <w:highlight w:val="none"/>
                <w:lang w:val="zh-CN"/>
              </w:rPr>
              <w:t>项目施工车辆运输过程及施工机械使用过程中产生的尾气将对沿路居民生活及环境空气产生一定的影响。因此，建设单位应在施工期间加强对车辆及施工机械的维修，尽量减少尾气的排放。</w:t>
            </w:r>
            <w:r>
              <w:rPr>
                <w:rFonts w:hint="default" w:ascii="Times New Roman" w:hAnsi="Times New Roman" w:eastAsia="宋体" w:cs="Times New Roman"/>
                <w:color w:val="auto"/>
                <w:sz w:val="24"/>
                <w:szCs w:val="24"/>
              </w:rPr>
              <w:t>施工机械和运输车辆所产生的废气经自然扩散和稀释</w:t>
            </w:r>
            <w:r>
              <w:rPr>
                <w:rFonts w:hint="default" w:ascii="Times New Roman" w:hAnsi="Times New Roman" w:eastAsia="宋体" w:cs="Times New Roman"/>
                <w:color w:val="auto"/>
                <w:sz w:val="24"/>
                <w:szCs w:val="24"/>
                <w:lang w:eastAsia="zh-CN"/>
              </w:rPr>
              <w:t>后对周围环境影响较小</w:t>
            </w:r>
            <w:r>
              <w:rPr>
                <w:rFonts w:hint="default" w:ascii="Times New Roman" w:hAnsi="Times New Roman" w:eastAsia="宋体" w:cs="Times New Roman"/>
                <w:color w:val="auto"/>
                <w:sz w:val="24"/>
                <w:szCs w:val="24"/>
              </w:rPr>
              <w:t>。</w:t>
            </w:r>
          </w:p>
          <w:p w14:paraId="5FCA413C">
            <w:pPr>
              <w:pStyle w:val="29"/>
              <w:shd w:val="clear"/>
              <w:spacing w:after="0" w:line="360" w:lineRule="auto"/>
              <w:ind w:left="0" w:leftChars="0"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2、施工期废水影响分析</w:t>
            </w:r>
          </w:p>
          <w:p w14:paraId="2E2508E6">
            <w:pPr>
              <w:keepNext w:val="0"/>
              <w:keepLines w:val="0"/>
              <w:pageBreakBefore w:val="0"/>
              <w:widowControl w:val="0"/>
              <w:kinsoku/>
              <w:wordWrap/>
              <w:overflowPunct/>
              <w:topLinePunct w:val="0"/>
              <w:autoSpaceDE/>
              <w:autoSpaceDN/>
              <w:bidi w:val="0"/>
              <w:spacing w:line="356" w:lineRule="auto"/>
              <w:ind w:firstLine="480" w:firstLineChars="200"/>
              <w:textAlignment w:val="auto"/>
              <w:rPr>
                <w:rFonts w:hint="default" w:ascii="Times New Roman" w:hAnsi="Times New Roman" w:eastAsia="宋体" w:cs="Times New Roman"/>
                <w:color w:val="auto"/>
                <w:sz w:val="24"/>
                <w:szCs w:val="24"/>
                <w:lang w:val="zh-CN" w:eastAsia="zh-CN"/>
              </w:rPr>
            </w:pPr>
            <w:r>
              <w:rPr>
                <w:rFonts w:hint="default" w:ascii="Times New Roman" w:hAnsi="Times New Roman" w:eastAsia="宋体" w:cs="Times New Roman"/>
                <w:color w:val="auto"/>
                <w:sz w:val="24"/>
                <w:szCs w:val="24"/>
                <w:lang w:val="zh-CN" w:eastAsia="zh-CN"/>
              </w:rPr>
              <w:t>施工期产生的废水主要是施工废水</w:t>
            </w:r>
            <w:r>
              <w:rPr>
                <w:rFonts w:hint="default" w:ascii="Times New Roman" w:hAnsi="Times New Roman" w:eastAsia="宋体" w:cs="Times New Roman"/>
                <w:color w:val="auto"/>
                <w:sz w:val="24"/>
                <w:szCs w:val="24"/>
                <w:lang w:val="en-US" w:eastAsia="zh-CN"/>
              </w:rPr>
              <w:t>及施工人员</w:t>
            </w:r>
            <w:r>
              <w:rPr>
                <w:rFonts w:hint="default" w:ascii="Times New Roman" w:hAnsi="Times New Roman" w:eastAsia="宋体" w:cs="Times New Roman"/>
                <w:color w:val="auto"/>
                <w:sz w:val="24"/>
                <w:szCs w:val="24"/>
                <w:lang w:val="zh-CN" w:eastAsia="zh-CN"/>
              </w:rPr>
              <w:t>生活污水。</w:t>
            </w:r>
          </w:p>
          <w:p w14:paraId="621B67D0">
            <w:pPr>
              <w:keepNext w:val="0"/>
              <w:keepLines w:val="0"/>
              <w:pageBreakBefore w:val="0"/>
              <w:widowControl w:val="0"/>
              <w:kinsoku/>
              <w:wordWrap/>
              <w:overflowPunct/>
              <w:topLinePunct w:val="0"/>
              <w:autoSpaceDE/>
              <w:autoSpaceDN/>
              <w:bidi w:val="0"/>
              <w:spacing w:line="356"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lang w:val="en-US" w:eastAsia="zh-CN"/>
              </w:rPr>
              <w:t>施工废水</w:t>
            </w:r>
          </w:p>
          <w:p w14:paraId="5671D7EF">
            <w:pPr>
              <w:keepNext w:val="0"/>
              <w:keepLines w:val="0"/>
              <w:pageBreakBefore w:val="0"/>
              <w:widowControl w:val="0"/>
              <w:kinsoku/>
              <w:wordWrap/>
              <w:overflowPunct/>
              <w:topLinePunct w:val="0"/>
              <w:autoSpaceDE/>
              <w:autoSpaceDN/>
              <w:bidi w:val="0"/>
              <w:spacing w:line="356" w:lineRule="auto"/>
              <w:ind w:firstLine="480" w:firstLineChars="200"/>
              <w:textAlignment w:val="auto"/>
              <w:rPr>
                <w:rFonts w:hint="default" w:ascii="Times New Roman" w:hAnsi="Times New Roman" w:eastAsia="宋体" w:cs="Times New Roman"/>
                <w:color w:val="auto"/>
                <w:sz w:val="24"/>
                <w:szCs w:val="24"/>
                <w:lang w:val="zh-CN" w:eastAsia="zh-CN"/>
              </w:rPr>
            </w:pPr>
            <w:r>
              <w:rPr>
                <w:rFonts w:hint="default" w:ascii="Times New Roman" w:hAnsi="Times New Roman" w:eastAsia="宋体" w:cs="Times New Roman"/>
                <w:color w:val="auto"/>
                <w:sz w:val="24"/>
                <w:szCs w:val="24"/>
                <w:lang w:val="zh-CN" w:eastAsia="zh-CN"/>
              </w:rPr>
              <w:t>项目施工过程中主要产生施工设备维修、清洗产生的废水，施工期废水</w:t>
            </w:r>
            <w:r>
              <w:rPr>
                <w:rFonts w:hint="eastAsia" w:cs="Times New Roman"/>
                <w:color w:val="auto"/>
                <w:sz w:val="24"/>
                <w:szCs w:val="24"/>
                <w:lang w:val="zh-CN" w:eastAsia="zh-CN"/>
              </w:rPr>
              <w:t>总</w:t>
            </w:r>
            <w:r>
              <w:rPr>
                <w:rFonts w:hint="default" w:ascii="Times New Roman" w:hAnsi="Times New Roman" w:eastAsia="宋体" w:cs="Times New Roman"/>
                <w:color w:val="auto"/>
                <w:sz w:val="24"/>
                <w:szCs w:val="24"/>
                <w:lang w:val="zh-CN" w:eastAsia="zh-CN"/>
              </w:rPr>
              <w:t>量约为</w:t>
            </w:r>
            <w:r>
              <w:rPr>
                <w:rFonts w:hint="eastAsia" w:cs="Times New Roman"/>
                <w:color w:val="auto"/>
                <w:sz w:val="24"/>
                <w:szCs w:val="24"/>
                <w:lang w:val="en-US" w:eastAsia="zh-CN"/>
              </w:rPr>
              <w:t>0.5</w:t>
            </w:r>
            <w:r>
              <w:rPr>
                <w:rFonts w:hint="default" w:ascii="Times New Roman" w:hAnsi="Times New Roman" w:eastAsia="宋体" w:cs="Times New Roman"/>
                <w:color w:val="auto"/>
                <w:sz w:val="24"/>
                <w:szCs w:val="24"/>
                <w:lang w:val="zh-CN" w:eastAsia="zh-CN"/>
              </w:rPr>
              <w:t>m</w:t>
            </w:r>
            <w:r>
              <w:rPr>
                <w:rFonts w:hint="default" w:ascii="Times New Roman" w:hAnsi="Times New Roman" w:eastAsia="宋体" w:cs="Times New Roman"/>
                <w:color w:val="auto"/>
                <w:sz w:val="24"/>
                <w:szCs w:val="24"/>
                <w:vertAlign w:val="superscript"/>
                <w:lang w:val="zh-CN" w:eastAsia="zh-CN"/>
              </w:rPr>
              <w:t>3</w:t>
            </w:r>
            <w:r>
              <w:rPr>
                <w:rFonts w:hint="default" w:ascii="Times New Roman" w:hAnsi="Times New Roman" w:eastAsia="宋体" w:cs="Times New Roman"/>
                <w:color w:val="auto"/>
                <w:sz w:val="24"/>
                <w:szCs w:val="24"/>
                <w:lang w:val="zh-CN" w:eastAsia="zh-CN"/>
              </w:rPr>
              <w:t>/d，主要污染物为SS，浓度约1000mg/L。</w:t>
            </w:r>
          </w:p>
          <w:p w14:paraId="5E48B12D">
            <w:pPr>
              <w:keepNext w:val="0"/>
              <w:keepLines w:val="0"/>
              <w:pageBreakBefore w:val="0"/>
              <w:widowControl w:val="0"/>
              <w:kinsoku/>
              <w:wordWrap/>
              <w:overflowPunct/>
              <w:topLinePunct w:val="0"/>
              <w:autoSpaceDE/>
              <w:autoSpaceDN/>
              <w:bidi w:val="0"/>
              <w:spacing w:line="356" w:lineRule="auto"/>
              <w:ind w:firstLine="480" w:firstLineChars="200"/>
              <w:textAlignment w:val="auto"/>
              <w:rPr>
                <w:rFonts w:hint="default" w:ascii="Times New Roman" w:hAnsi="Times New Roman" w:eastAsia="宋体" w:cs="Times New Roman"/>
                <w:color w:val="auto"/>
                <w:sz w:val="24"/>
                <w:szCs w:val="24"/>
                <w:lang w:val="zh-CN" w:eastAsia="zh-CN"/>
              </w:rPr>
            </w:pPr>
            <w:r>
              <w:rPr>
                <w:rFonts w:hint="default" w:ascii="Times New Roman" w:hAnsi="Times New Roman" w:eastAsia="宋体" w:cs="Times New Roman"/>
                <w:color w:val="auto"/>
                <w:sz w:val="24"/>
                <w:szCs w:val="24"/>
                <w:highlight w:val="none"/>
                <w:lang w:val="zh-CN" w:eastAsia="zh-CN"/>
              </w:rPr>
              <w:t>施工过程中施工废水</w:t>
            </w:r>
            <w:r>
              <w:rPr>
                <w:rFonts w:hint="default" w:ascii="Times New Roman" w:hAnsi="Times New Roman" w:eastAsia="宋体" w:cs="Times New Roman"/>
                <w:color w:val="auto"/>
                <w:sz w:val="24"/>
                <w:szCs w:val="24"/>
                <w:highlight w:val="none"/>
                <w:lang w:val="en-US" w:eastAsia="zh-CN"/>
              </w:rPr>
              <w:t>设置1个容积约为</w:t>
            </w:r>
            <w:r>
              <w:rPr>
                <w:rFonts w:hint="eastAsia" w:cs="Times New Roman"/>
                <w:color w:val="auto"/>
                <w:sz w:val="24"/>
                <w:szCs w:val="24"/>
                <w:highlight w:val="none"/>
                <w:lang w:val="en-US" w:eastAsia="zh-CN"/>
              </w:rPr>
              <w:t>0.6</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的临时沉淀池，施工废水收集处理后全部用于施工场地洒水降尘，不外排</w:t>
            </w:r>
            <w:r>
              <w:rPr>
                <w:rFonts w:hint="eastAsia" w:ascii="Times New Roman" w:hAnsi="Times New Roman" w:eastAsia="宋体" w:cs="Times New Roman"/>
                <w:color w:val="auto"/>
                <w:sz w:val="24"/>
                <w:szCs w:val="24"/>
                <w:highlight w:val="none"/>
                <w:lang w:val="en-US" w:eastAsia="zh-CN"/>
              </w:rPr>
              <w:t>。</w:t>
            </w:r>
          </w:p>
          <w:p w14:paraId="2A13F84C">
            <w:pPr>
              <w:keepNext w:val="0"/>
              <w:keepLines w:val="0"/>
              <w:pageBreakBefore w:val="0"/>
              <w:widowControl w:val="0"/>
              <w:kinsoku/>
              <w:wordWrap/>
              <w:overflowPunct/>
              <w:topLinePunct w:val="0"/>
              <w:autoSpaceDE/>
              <w:autoSpaceDN/>
              <w:bidi w:val="0"/>
              <w:spacing w:line="356" w:lineRule="auto"/>
              <w:ind w:firstLine="482" w:firstLineChars="200"/>
              <w:textAlignment w:val="auto"/>
              <w:rPr>
                <w:rFonts w:hint="default" w:ascii="Times New Roman" w:hAnsi="Times New Roman" w:eastAsia="宋体" w:cs="Times New Roman"/>
                <w:b/>
                <w:bCs/>
                <w:color w:val="auto"/>
                <w:sz w:val="24"/>
                <w:szCs w:val="24"/>
                <w:highlight w:val="none"/>
                <w:lang w:val="zh-CN" w:eastAsia="zh-CN"/>
              </w:rPr>
            </w:pPr>
            <w:r>
              <w:rPr>
                <w:rFonts w:hint="eastAsia"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施工人员生活污水</w:t>
            </w:r>
          </w:p>
          <w:p w14:paraId="7E0D29B5">
            <w:pPr>
              <w:shd w:val="clear"/>
              <w:spacing w:line="360" w:lineRule="auto"/>
              <w:ind w:firstLine="480" w:firstLineChars="200"/>
              <w:rPr>
                <w:rFonts w:hint="default" w:ascii="Times New Roman" w:hAnsi="Times New Roman" w:eastAsia="宋体" w:cs="Times New Roman"/>
                <w:color w:val="auto"/>
                <w:sz w:val="24"/>
                <w:szCs w:val="24"/>
                <w:highlight w:val="none"/>
                <w:lang w:val="zh-CN" w:eastAsia="zh-CN"/>
              </w:rPr>
            </w:pPr>
            <w:r>
              <w:rPr>
                <w:rFonts w:hint="default" w:ascii="Times New Roman" w:hAnsi="Times New Roman" w:eastAsia="宋体" w:cs="Times New Roman"/>
                <w:color w:val="auto"/>
                <w:sz w:val="24"/>
                <w:szCs w:val="24"/>
                <w:highlight w:val="none"/>
                <w:lang w:val="zh-CN" w:eastAsia="zh-CN"/>
              </w:rPr>
              <w:t>项目施工期不设施工营地，施工人员均不在项目区食宿。项目施工总周期为</w:t>
            </w:r>
            <w:r>
              <w:rPr>
                <w:rFonts w:hint="eastAsia"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个月</w:t>
            </w:r>
            <w:r>
              <w:rPr>
                <w:rFonts w:hint="default" w:ascii="Times New Roman" w:hAnsi="Times New Roman" w:eastAsia="宋体" w:cs="Times New Roman"/>
                <w:color w:val="auto"/>
                <w:sz w:val="24"/>
                <w:szCs w:val="24"/>
                <w:highlight w:val="none"/>
                <w:lang w:val="zh-CN" w:eastAsia="zh-CN"/>
              </w:rPr>
              <w:t>，施工高峰期人员</w:t>
            </w:r>
            <w:r>
              <w:rPr>
                <w:rFonts w:hint="default" w:ascii="Times New Roman" w:hAnsi="Times New Roman" w:eastAsia="宋体" w:cs="Times New Roman"/>
                <w:color w:val="auto"/>
                <w:sz w:val="24"/>
                <w:szCs w:val="24"/>
                <w:highlight w:val="none"/>
                <w:lang w:val="en-US" w:eastAsia="zh-CN"/>
              </w:rPr>
              <w:t>约</w:t>
            </w:r>
            <w:r>
              <w:rPr>
                <w:rFonts w:hint="eastAsia"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val="zh-CN" w:eastAsia="zh-CN"/>
              </w:rPr>
              <w:t>人计，根据《云南省地方标准 用水定额》</w:t>
            </w:r>
            <w:r>
              <w:rPr>
                <w:rFonts w:hint="eastAsia" w:cs="Times New Roman"/>
                <w:color w:val="auto"/>
                <w:sz w:val="24"/>
                <w:szCs w:val="24"/>
                <w:highlight w:val="none"/>
                <w:lang w:val="zh-CN" w:eastAsia="zh-CN"/>
              </w:rPr>
              <w:t>（</w:t>
            </w:r>
            <w:r>
              <w:rPr>
                <w:rFonts w:hint="default" w:ascii="Times New Roman" w:hAnsi="Times New Roman" w:eastAsia="宋体" w:cs="Times New Roman"/>
                <w:color w:val="auto"/>
                <w:sz w:val="24"/>
                <w:szCs w:val="24"/>
                <w:highlight w:val="none"/>
                <w:lang w:val="zh-CN" w:eastAsia="zh-CN"/>
              </w:rPr>
              <w:t>DB53/T168-20</w:t>
            </w:r>
            <w:r>
              <w:rPr>
                <w:rFonts w:hint="eastAsia" w:ascii="Times New Roman" w:hAnsi="Times New Roman" w:eastAsia="宋体" w:cs="Times New Roman"/>
                <w:color w:val="auto"/>
                <w:sz w:val="24"/>
                <w:szCs w:val="24"/>
                <w:highlight w:val="none"/>
                <w:lang w:val="en-US" w:eastAsia="zh-CN"/>
              </w:rPr>
              <w:t>26</w:t>
            </w:r>
            <w:r>
              <w:rPr>
                <w:rFonts w:hint="eastAsia" w:cs="Times New Roman"/>
                <w:color w:val="auto"/>
                <w:sz w:val="24"/>
                <w:szCs w:val="24"/>
                <w:highlight w:val="none"/>
                <w:lang w:val="zh-CN" w:eastAsia="zh-CN"/>
              </w:rPr>
              <w:t>）</w:t>
            </w:r>
            <w:r>
              <w:rPr>
                <w:rFonts w:hint="default" w:ascii="Times New Roman" w:hAnsi="Times New Roman" w:eastAsia="宋体" w:cs="Times New Roman"/>
                <w:color w:val="auto"/>
                <w:sz w:val="24"/>
                <w:szCs w:val="24"/>
                <w:highlight w:val="none"/>
                <w:lang w:val="zh-CN" w:eastAsia="zh-CN"/>
              </w:rPr>
              <w:t>表1</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zh-CN" w:eastAsia="zh-CN"/>
              </w:rPr>
              <w:t>城镇公共服务用水定额中市内公厕</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zh-CN" w:eastAsia="zh-CN"/>
              </w:rPr>
              <w:t>L</w:t>
            </w:r>
            <w:r>
              <w:rPr>
                <w:rFonts w:hint="eastAsia" w:cs="Times New Roman"/>
                <w:color w:val="auto"/>
                <w:sz w:val="24"/>
                <w:szCs w:val="24"/>
                <w:highlight w:val="none"/>
                <w:lang w:val="zh-CN" w:eastAsia="zh-CN"/>
              </w:rPr>
              <w:t>（</w:t>
            </w:r>
            <w:r>
              <w:rPr>
                <w:rFonts w:hint="default" w:ascii="Times New Roman" w:hAnsi="Times New Roman" w:eastAsia="宋体" w:cs="Times New Roman"/>
                <w:color w:val="auto"/>
                <w:sz w:val="24"/>
                <w:szCs w:val="24"/>
                <w:highlight w:val="none"/>
                <w:lang w:val="zh-CN" w:eastAsia="zh-CN"/>
              </w:rPr>
              <w:t>人·次</w:t>
            </w:r>
            <w:r>
              <w:rPr>
                <w:rFonts w:hint="eastAsia" w:cs="Times New Roman"/>
                <w:color w:val="auto"/>
                <w:sz w:val="24"/>
                <w:szCs w:val="24"/>
                <w:highlight w:val="none"/>
                <w:lang w:val="zh-CN" w:eastAsia="zh-CN"/>
              </w:rPr>
              <w:t>）</w:t>
            </w:r>
            <w:r>
              <w:rPr>
                <w:rFonts w:hint="default" w:ascii="Times New Roman" w:hAnsi="Times New Roman" w:eastAsia="宋体" w:cs="Times New Roman"/>
                <w:color w:val="auto"/>
                <w:sz w:val="24"/>
                <w:szCs w:val="24"/>
                <w:highlight w:val="none"/>
                <w:lang w:val="zh-CN" w:eastAsia="zh-CN"/>
              </w:rPr>
              <w:t>。项目施工人员按照平均每天卫生间使用3次计算</w:t>
            </w:r>
            <w:r>
              <w:rPr>
                <w:rFonts w:hint="eastAsia" w:cs="Times New Roman"/>
                <w:color w:val="auto"/>
                <w:sz w:val="24"/>
                <w:szCs w:val="24"/>
                <w:highlight w:val="none"/>
                <w:lang w:val="zh-CN" w:eastAsia="zh-CN"/>
              </w:rPr>
              <w:t>，</w:t>
            </w:r>
            <w:r>
              <w:rPr>
                <w:rFonts w:hint="default" w:ascii="Times New Roman" w:hAnsi="Times New Roman" w:eastAsia="宋体" w:cs="Times New Roman"/>
                <w:color w:val="auto"/>
                <w:sz w:val="24"/>
                <w:szCs w:val="24"/>
                <w:highlight w:val="none"/>
                <w:lang w:val="en-US" w:eastAsia="zh-CN"/>
              </w:rPr>
              <w:t>施工人员</w:t>
            </w:r>
            <w:r>
              <w:rPr>
                <w:rFonts w:hint="default" w:ascii="Times New Roman" w:hAnsi="Times New Roman" w:eastAsia="宋体" w:cs="Times New Roman"/>
                <w:color w:val="auto"/>
                <w:sz w:val="24"/>
                <w:szCs w:val="24"/>
                <w:highlight w:val="none"/>
                <w:lang w:val="zh-CN" w:eastAsia="zh-CN"/>
              </w:rPr>
              <w:t>用水量为</w:t>
            </w:r>
            <w:r>
              <w:rPr>
                <w:rFonts w:hint="eastAsia" w:cs="Times New Roman"/>
                <w:color w:val="auto"/>
                <w:sz w:val="24"/>
                <w:szCs w:val="24"/>
                <w:highlight w:val="none"/>
                <w:lang w:val="en-US" w:eastAsia="zh-CN"/>
              </w:rPr>
              <w:t>21.6</w:t>
            </w:r>
            <w:r>
              <w:rPr>
                <w:rFonts w:hint="default" w:ascii="Times New Roman" w:hAnsi="Times New Roman" w:eastAsia="宋体" w:cs="Times New Roman"/>
                <w:color w:val="auto"/>
                <w:sz w:val="24"/>
                <w:szCs w:val="24"/>
                <w:highlight w:val="none"/>
                <w:lang w:val="zh-CN" w:eastAsia="zh-CN"/>
              </w:rPr>
              <w:t>m</w:t>
            </w:r>
            <w:r>
              <w:rPr>
                <w:rFonts w:hint="default" w:ascii="Times New Roman" w:hAnsi="Times New Roman" w:eastAsia="宋体" w:cs="Times New Roman"/>
                <w:color w:val="auto"/>
                <w:sz w:val="24"/>
                <w:szCs w:val="24"/>
                <w:highlight w:val="none"/>
                <w:vertAlign w:val="superscript"/>
                <w:lang w:val="zh-CN" w:eastAsia="zh-CN"/>
              </w:rPr>
              <w:t>3</w:t>
            </w:r>
            <w:r>
              <w:rPr>
                <w:rFonts w:hint="default" w:ascii="Times New Roman" w:hAnsi="Times New Roman" w:eastAsia="宋体" w:cs="Times New Roman"/>
                <w:color w:val="auto"/>
                <w:sz w:val="24"/>
                <w:szCs w:val="24"/>
                <w:highlight w:val="none"/>
                <w:lang w:val="en-US" w:eastAsia="zh-CN"/>
              </w:rPr>
              <w:t>/施工期</w:t>
            </w:r>
            <w:r>
              <w:rPr>
                <w:rFonts w:hint="default" w:ascii="Times New Roman" w:hAnsi="Times New Roman" w:eastAsia="宋体" w:cs="Times New Roman"/>
                <w:color w:val="auto"/>
                <w:sz w:val="24"/>
                <w:szCs w:val="24"/>
                <w:highlight w:val="none"/>
                <w:lang w:val="zh-CN" w:eastAsia="zh-CN"/>
              </w:rPr>
              <w:t>，</w:t>
            </w:r>
            <w:r>
              <w:rPr>
                <w:rFonts w:hint="default" w:ascii="Times New Roman" w:hAnsi="Times New Roman" w:eastAsia="宋体" w:cs="Times New Roman"/>
                <w:color w:val="auto"/>
                <w:sz w:val="24"/>
                <w:szCs w:val="24"/>
                <w:highlight w:val="none"/>
                <w:lang w:val="en-US" w:eastAsia="zh-CN"/>
              </w:rPr>
              <w:t>平均0.</w:t>
            </w:r>
            <w:r>
              <w:rPr>
                <w:rFonts w:hint="eastAsia" w:cs="Times New Roman"/>
                <w:color w:val="auto"/>
                <w:sz w:val="24"/>
                <w:szCs w:val="24"/>
                <w:highlight w:val="none"/>
                <w:lang w:val="en-US" w:eastAsia="zh-CN"/>
              </w:rPr>
              <w:t>18</w:t>
            </w:r>
            <w:r>
              <w:rPr>
                <w:rFonts w:hint="default" w:ascii="Times New Roman" w:hAnsi="Times New Roman" w:eastAsia="宋体" w:cs="Times New Roman"/>
                <w:color w:val="auto"/>
                <w:sz w:val="24"/>
                <w:szCs w:val="24"/>
                <w:highlight w:val="none"/>
                <w:lang w:val="zh-CN" w:eastAsia="zh-CN"/>
              </w:rPr>
              <w:t>m</w:t>
            </w:r>
            <w:r>
              <w:rPr>
                <w:rFonts w:hint="default" w:ascii="Times New Roman" w:hAnsi="Times New Roman" w:eastAsia="宋体" w:cs="Times New Roman"/>
                <w:color w:val="auto"/>
                <w:sz w:val="24"/>
                <w:szCs w:val="24"/>
                <w:highlight w:val="none"/>
                <w:vertAlign w:val="superscript"/>
                <w:lang w:val="zh-CN" w:eastAsia="zh-CN"/>
              </w:rPr>
              <w:t>3</w:t>
            </w:r>
            <w:r>
              <w:rPr>
                <w:rFonts w:hint="default" w:ascii="Times New Roman" w:hAnsi="Times New Roman" w:eastAsia="宋体" w:cs="Times New Roman"/>
                <w:color w:val="auto"/>
                <w:sz w:val="24"/>
                <w:szCs w:val="24"/>
                <w:highlight w:val="none"/>
                <w:lang w:val="zh-CN" w:eastAsia="zh-CN"/>
              </w:rPr>
              <w:t>/d，排水系数按80%计算，则施工人员洗手清洁废水产生量为</w:t>
            </w:r>
            <w:r>
              <w:rPr>
                <w:rFonts w:hint="eastAsia" w:cs="Times New Roman"/>
                <w:color w:val="auto"/>
                <w:sz w:val="24"/>
                <w:szCs w:val="24"/>
                <w:highlight w:val="none"/>
                <w:lang w:val="en-US" w:eastAsia="zh-CN"/>
              </w:rPr>
              <w:t>17.28</w:t>
            </w:r>
            <w:r>
              <w:rPr>
                <w:rFonts w:hint="default" w:ascii="Times New Roman" w:hAnsi="Times New Roman" w:eastAsia="宋体" w:cs="Times New Roman"/>
                <w:color w:val="auto"/>
                <w:sz w:val="24"/>
                <w:szCs w:val="24"/>
                <w:highlight w:val="none"/>
                <w:lang w:val="zh-CN" w:eastAsia="zh-CN"/>
              </w:rPr>
              <w:t>m</w:t>
            </w:r>
            <w:r>
              <w:rPr>
                <w:rFonts w:hint="default" w:ascii="Times New Roman" w:hAnsi="Times New Roman" w:eastAsia="宋体" w:cs="Times New Roman"/>
                <w:color w:val="auto"/>
                <w:sz w:val="24"/>
                <w:szCs w:val="24"/>
                <w:highlight w:val="none"/>
                <w:vertAlign w:val="superscript"/>
                <w:lang w:val="zh-CN" w:eastAsia="zh-CN"/>
              </w:rPr>
              <w:t>3</w:t>
            </w:r>
            <w:r>
              <w:rPr>
                <w:rFonts w:hint="default" w:ascii="Times New Roman" w:hAnsi="Times New Roman" w:eastAsia="宋体" w:cs="Times New Roman"/>
                <w:color w:val="auto"/>
                <w:sz w:val="24"/>
                <w:szCs w:val="24"/>
                <w:highlight w:val="none"/>
                <w:lang w:val="en-US" w:eastAsia="zh-CN"/>
              </w:rPr>
              <w:t>/施工期</w:t>
            </w:r>
            <w:r>
              <w:rPr>
                <w:rFonts w:hint="default" w:ascii="Times New Roman" w:hAnsi="Times New Roman" w:eastAsia="宋体" w:cs="Times New Roman"/>
                <w:color w:val="auto"/>
                <w:sz w:val="24"/>
                <w:szCs w:val="24"/>
                <w:highlight w:val="none"/>
                <w:lang w:val="zh-CN" w:eastAsia="zh-CN"/>
              </w:rPr>
              <w:t>，</w:t>
            </w:r>
            <w:r>
              <w:rPr>
                <w:rFonts w:hint="default" w:ascii="Times New Roman" w:hAnsi="Times New Roman" w:eastAsia="宋体" w:cs="Times New Roman"/>
                <w:color w:val="auto"/>
                <w:sz w:val="24"/>
                <w:szCs w:val="24"/>
                <w:highlight w:val="none"/>
                <w:lang w:val="en-US" w:eastAsia="zh-CN"/>
              </w:rPr>
              <w:t>平均</w:t>
            </w:r>
            <w:r>
              <w:rPr>
                <w:rFonts w:hint="eastAsia" w:cs="Times New Roman"/>
                <w:color w:val="auto"/>
                <w:sz w:val="24"/>
                <w:szCs w:val="24"/>
                <w:highlight w:val="none"/>
                <w:lang w:val="en-US" w:eastAsia="zh-CN"/>
              </w:rPr>
              <w:t>0.144</w:t>
            </w:r>
            <w:r>
              <w:rPr>
                <w:rFonts w:hint="default" w:ascii="Times New Roman" w:hAnsi="Times New Roman" w:eastAsia="宋体" w:cs="Times New Roman"/>
                <w:color w:val="auto"/>
                <w:sz w:val="24"/>
                <w:szCs w:val="24"/>
                <w:highlight w:val="none"/>
                <w:lang w:val="zh-CN" w:eastAsia="zh-CN"/>
              </w:rPr>
              <w:t>m</w:t>
            </w:r>
            <w:r>
              <w:rPr>
                <w:rFonts w:hint="default" w:ascii="Times New Roman" w:hAnsi="Times New Roman" w:eastAsia="宋体" w:cs="Times New Roman"/>
                <w:color w:val="auto"/>
                <w:sz w:val="24"/>
                <w:szCs w:val="24"/>
                <w:highlight w:val="none"/>
                <w:vertAlign w:val="superscript"/>
                <w:lang w:val="zh-CN" w:eastAsia="zh-CN"/>
              </w:rPr>
              <w:t>3</w:t>
            </w:r>
            <w:r>
              <w:rPr>
                <w:rFonts w:hint="default" w:ascii="Times New Roman" w:hAnsi="Times New Roman" w:eastAsia="宋体" w:cs="Times New Roman"/>
                <w:color w:val="auto"/>
                <w:sz w:val="24"/>
                <w:szCs w:val="24"/>
                <w:highlight w:val="none"/>
                <w:lang w:val="zh-CN" w:eastAsia="zh-CN"/>
              </w:rPr>
              <w:t>/d。</w:t>
            </w:r>
          </w:p>
          <w:p w14:paraId="5FC49D85">
            <w:pPr>
              <w:pStyle w:val="29"/>
              <w:keepNext w:val="0"/>
              <w:keepLines w:val="0"/>
              <w:pageBreakBefore w:val="0"/>
              <w:widowControl w:val="0"/>
              <w:kinsoku/>
              <w:wordWrap/>
              <w:overflowPunct/>
              <w:topLinePunct w:val="0"/>
              <w:autoSpaceDE/>
              <w:autoSpaceDN/>
              <w:bidi w:val="0"/>
              <w:adjustRightInd w:val="0"/>
              <w:snapToGrid w:val="0"/>
              <w:spacing w:after="0"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lang w:val="zh-CN" w:eastAsia="zh-CN"/>
              </w:rPr>
            </w:pPr>
            <w:r>
              <w:rPr>
                <w:rFonts w:hint="eastAsia" w:ascii="Times New Roman" w:hAnsi="Times New Roman" w:eastAsia="宋体" w:cs="Times New Roman"/>
                <w:color w:val="auto"/>
                <w:sz w:val="24"/>
                <w:szCs w:val="24"/>
                <w:highlight w:val="none"/>
                <w:lang w:val="zh-CN" w:eastAsia="zh-CN"/>
              </w:rPr>
              <w:t>施工人员</w:t>
            </w:r>
            <w:r>
              <w:rPr>
                <w:rFonts w:hint="default" w:ascii="Times New Roman" w:hAnsi="Times New Roman" w:eastAsia="宋体" w:cs="Times New Roman"/>
                <w:color w:val="auto"/>
                <w:sz w:val="24"/>
                <w:szCs w:val="24"/>
                <w:highlight w:val="none"/>
                <w:lang w:val="zh-CN" w:eastAsia="zh-CN"/>
              </w:rPr>
              <w:t>生活污水</w:t>
            </w:r>
            <w:r>
              <w:rPr>
                <w:rFonts w:hint="eastAsia"/>
                <w:color w:val="auto"/>
                <w:sz w:val="24"/>
                <w:szCs w:val="24"/>
              </w:rPr>
              <w:t>依托</w:t>
            </w:r>
            <w:r>
              <w:rPr>
                <w:rFonts w:hint="eastAsia"/>
                <w:color w:val="auto"/>
                <w:sz w:val="24"/>
                <w:szCs w:val="24"/>
                <w:lang w:eastAsia="zh-CN"/>
              </w:rPr>
              <w:t>项目场地</w:t>
            </w:r>
            <w:r>
              <w:rPr>
                <w:rFonts w:hint="eastAsia"/>
                <w:color w:val="auto"/>
                <w:sz w:val="24"/>
                <w:szCs w:val="24"/>
              </w:rPr>
              <w:t>现有的卫生间，产生的废水依托其现有的化粪池处理</w:t>
            </w:r>
            <w:r>
              <w:rPr>
                <w:rFonts w:hint="eastAsia"/>
                <w:color w:val="auto"/>
                <w:sz w:val="24"/>
                <w:szCs w:val="24"/>
                <w:lang w:eastAsia="zh-CN"/>
              </w:rPr>
              <w:t>后排入</w:t>
            </w:r>
            <w:r>
              <w:rPr>
                <w:rFonts w:hint="eastAsia"/>
                <w:bCs/>
                <w:color w:val="auto"/>
                <w:sz w:val="24"/>
                <w:highlight w:val="none"/>
                <w:lang w:eastAsia="zh-CN"/>
              </w:rPr>
              <w:t>云</w:t>
            </w:r>
            <w:r>
              <w:rPr>
                <w:rFonts w:hint="eastAsia"/>
                <w:color w:val="auto"/>
                <w:sz w:val="24"/>
                <w:highlight w:val="none"/>
                <w:lang w:val="en-US" w:eastAsia="zh-CN"/>
              </w:rPr>
              <w:t>南宝泰轻化机械</w:t>
            </w:r>
            <w:r>
              <w:rPr>
                <w:rFonts w:hint="eastAsia"/>
                <w:color w:val="auto"/>
                <w:sz w:val="24"/>
                <w:highlight w:val="none"/>
                <w:lang w:eastAsia="zh-CN"/>
              </w:rPr>
              <w:t>有限公司</w:t>
            </w:r>
            <w:r>
              <w:rPr>
                <w:rFonts w:hint="eastAsia"/>
                <w:bCs/>
                <w:color w:val="auto"/>
                <w:sz w:val="24"/>
                <w:highlight w:val="none"/>
              </w:rPr>
              <w:t>已建成一体化生活污水处理设备</w:t>
            </w:r>
            <w:r>
              <w:rPr>
                <w:rFonts w:hint="eastAsia"/>
                <w:bCs/>
                <w:color w:val="auto"/>
                <w:sz w:val="24"/>
                <w:highlight w:val="none"/>
                <w:lang w:eastAsia="zh-CN"/>
              </w:rPr>
              <w:t>处理后回用于绿化，</w:t>
            </w:r>
            <w:r>
              <w:rPr>
                <w:rFonts w:hint="default" w:ascii="Times New Roman" w:hAnsi="Times New Roman" w:eastAsia="宋体" w:cs="Times New Roman"/>
                <w:color w:val="auto"/>
                <w:sz w:val="24"/>
                <w:szCs w:val="24"/>
                <w:highlight w:val="none"/>
                <w:lang w:val="zh-CN" w:eastAsia="zh-CN"/>
              </w:rPr>
              <w:t>对周围地表水影响较小。</w:t>
            </w:r>
          </w:p>
          <w:p w14:paraId="1175B8EA">
            <w:pPr>
              <w:pStyle w:val="29"/>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3、噪声</w:t>
            </w:r>
          </w:p>
          <w:p w14:paraId="4B93B5AC">
            <w:pPr>
              <w:adjustRightInd w:val="0"/>
              <w:snapToGrid w:val="0"/>
              <w:spacing w:line="360" w:lineRule="auto"/>
              <w:ind w:firstLine="480" w:firstLineChars="200"/>
              <w:rPr>
                <w:color w:val="auto"/>
                <w:sz w:val="24"/>
              </w:rPr>
            </w:pPr>
            <w:r>
              <w:rPr>
                <w:color w:val="auto"/>
                <w:sz w:val="24"/>
              </w:rPr>
              <w:t>为保护周边声环境质量，项目应采取以下施工噪声防治措施：</w:t>
            </w:r>
          </w:p>
          <w:p w14:paraId="59B1AA24">
            <w:pPr>
              <w:adjustRightInd w:val="0"/>
              <w:snapToGrid w:val="0"/>
              <w:spacing w:line="360" w:lineRule="auto"/>
              <w:ind w:firstLine="480" w:firstLineChars="200"/>
              <w:rPr>
                <w:color w:val="auto"/>
                <w:sz w:val="24"/>
              </w:rPr>
            </w:pPr>
            <w:r>
              <w:rPr>
                <w:color w:val="auto"/>
                <w:sz w:val="24"/>
              </w:rPr>
              <w:t>①从声源上控制：项目施工使用的主要机械设备为低噪声机械设备。</w:t>
            </w:r>
          </w:p>
          <w:p w14:paraId="4971ED62">
            <w:pPr>
              <w:adjustRightInd w:val="0"/>
              <w:snapToGrid w:val="0"/>
              <w:spacing w:line="360" w:lineRule="auto"/>
              <w:ind w:firstLine="480" w:firstLineChars="200"/>
              <w:rPr>
                <w:color w:val="auto"/>
                <w:sz w:val="24"/>
              </w:rPr>
            </w:pPr>
            <w:r>
              <w:rPr>
                <w:color w:val="auto"/>
                <w:sz w:val="24"/>
              </w:rPr>
              <w:t>②严禁夜间施工，若必须进行夜间作业，需按要求提前向主管部门申请，并在将施工信息告知周边住户及单位。</w:t>
            </w:r>
          </w:p>
          <w:p w14:paraId="65F67C93">
            <w:pPr>
              <w:adjustRightInd w:val="0"/>
              <w:snapToGrid w:val="0"/>
              <w:spacing w:line="360" w:lineRule="auto"/>
              <w:ind w:firstLine="480" w:firstLineChars="200"/>
              <w:rPr>
                <w:color w:val="auto"/>
                <w:sz w:val="24"/>
              </w:rPr>
            </w:pPr>
            <w:r>
              <w:rPr>
                <w:color w:val="auto"/>
                <w:sz w:val="24"/>
              </w:rPr>
              <w:t>③施工场地内可固定设备应尽量设置在设备专用房或操作间内，避免露天作业。</w:t>
            </w:r>
          </w:p>
          <w:p w14:paraId="70FE7384">
            <w:pPr>
              <w:adjustRightInd w:val="0"/>
              <w:snapToGrid w:val="0"/>
              <w:spacing w:line="360" w:lineRule="auto"/>
              <w:ind w:firstLine="480" w:firstLineChars="200"/>
              <w:rPr>
                <w:color w:val="auto"/>
                <w:sz w:val="24"/>
              </w:rPr>
            </w:pPr>
            <w:r>
              <w:rPr>
                <w:rFonts w:hint="eastAsia"/>
                <w:color w:val="auto"/>
                <w:sz w:val="24"/>
              </w:rPr>
              <w:t>④</w:t>
            </w:r>
            <w:r>
              <w:rPr>
                <w:color w:val="auto"/>
                <w:sz w:val="24"/>
              </w:rPr>
              <w:t>施工企业应对施工噪声进行自律，合理安排工期，缩短施工的施工时间。</w:t>
            </w:r>
          </w:p>
          <w:p w14:paraId="2F85E918">
            <w:pPr>
              <w:adjustRightInd w:val="0"/>
              <w:snapToGrid w:val="0"/>
              <w:spacing w:line="360" w:lineRule="auto"/>
              <w:ind w:firstLine="480" w:firstLineChars="200"/>
              <w:rPr>
                <w:color w:val="auto"/>
                <w:sz w:val="24"/>
              </w:rPr>
            </w:pPr>
            <w:r>
              <w:rPr>
                <w:rFonts w:hint="eastAsia" w:ascii="宋体" w:hAnsi="宋体" w:cs="宋体"/>
                <w:color w:val="auto"/>
                <w:sz w:val="24"/>
              </w:rPr>
              <w:t>通过以上措施的实施，可以最大限度的减小施工期机械噪声对环境的影响。项目</w:t>
            </w:r>
            <w:r>
              <w:rPr>
                <w:color w:val="auto"/>
                <w:sz w:val="24"/>
              </w:rPr>
              <w:t>施工期较短，施工期噪声的影响</w:t>
            </w:r>
            <w:r>
              <w:rPr>
                <w:rFonts w:hint="eastAsia"/>
                <w:color w:val="auto"/>
                <w:sz w:val="24"/>
              </w:rPr>
              <w:t>符合</w:t>
            </w:r>
            <w:r>
              <w:rPr>
                <w:rFonts w:hint="default" w:ascii="Times New Roman" w:hAnsi="Times New Roman" w:eastAsia="宋体" w:cs="Times New Roman"/>
                <w:color w:val="auto"/>
                <w:kern w:val="0"/>
                <w:sz w:val="24"/>
                <w:highlight w:val="none"/>
              </w:rPr>
              <w:t>《建筑施工噪声排放标准》</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GB12523-</w:t>
            </w:r>
            <w:r>
              <w:rPr>
                <w:rFonts w:hint="eastAsia" w:cs="Times New Roman"/>
                <w:color w:val="auto"/>
                <w:kern w:val="0"/>
                <w:sz w:val="24"/>
                <w:highlight w:val="none"/>
                <w:lang w:val="en-US" w:eastAsia="zh-CN"/>
              </w:rPr>
              <w:t>2025</w:t>
            </w:r>
            <w:r>
              <w:rPr>
                <w:rFonts w:hint="default" w:ascii="Times New Roman" w:hAnsi="Times New Roman" w:eastAsia="宋体" w:cs="Times New Roman"/>
                <w:color w:val="auto"/>
                <w:kern w:val="0"/>
                <w:sz w:val="24"/>
                <w:highlight w:val="none"/>
                <w:lang w:eastAsia="zh-CN"/>
              </w:rPr>
              <w:t>）</w:t>
            </w:r>
            <w:r>
              <w:rPr>
                <w:rFonts w:hint="eastAsia"/>
                <w:color w:val="auto"/>
                <w:sz w:val="24"/>
                <w:lang w:bidi="ar"/>
              </w:rPr>
              <w:t>要求</w:t>
            </w:r>
            <w:r>
              <w:rPr>
                <w:rFonts w:hint="eastAsia"/>
                <w:color w:val="auto"/>
                <w:sz w:val="24"/>
                <w:lang w:eastAsia="zh-CN" w:bidi="ar"/>
              </w:rPr>
              <w:t>，</w:t>
            </w:r>
            <w:r>
              <w:rPr>
                <w:color w:val="auto"/>
                <w:sz w:val="24"/>
              </w:rPr>
              <w:t>对周围声环境影响较小。</w:t>
            </w:r>
          </w:p>
          <w:p w14:paraId="2F57BF95">
            <w:pPr>
              <w:adjustRightInd w:val="0"/>
              <w:snapToGrid w:val="0"/>
              <w:spacing w:line="360" w:lineRule="auto"/>
              <w:ind w:firstLine="482" w:firstLineChars="200"/>
              <w:rPr>
                <w:b/>
                <w:bCs/>
                <w:color w:val="auto"/>
                <w:sz w:val="24"/>
                <w:lang w:val="zh-CN"/>
              </w:rPr>
            </w:pPr>
            <w:bookmarkStart w:id="23" w:name="_Toc14957238"/>
            <w:r>
              <w:rPr>
                <w:b/>
                <w:bCs/>
                <w:color w:val="auto"/>
                <w:sz w:val="24"/>
                <w:lang w:val="zh-CN"/>
              </w:rPr>
              <w:t>4</w:t>
            </w:r>
            <w:r>
              <w:rPr>
                <w:b/>
                <w:bCs/>
                <w:color w:val="auto"/>
                <w:sz w:val="24"/>
              </w:rPr>
              <w:t>、固体废物环境</w:t>
            </w:r>
            <w:bookmarkEnd w:id="23"/>
            <w:r>
              <w:rPr>
                <w:b/>
                <w:bCs/>
                <w:color w:val="auto"/>
                <w:sz w:val="24"/>
              </w:rPr>
              <w:t>保护措施</w:t>
            </w:r>
          </w:p>
          <w:p w14:paraId="178A4E43">
            <w:pPr>
              <w:keepNext w:val="0"/>
              <w:keepLines w:val="0"/>
              <w:pageBreakBefore w:val="0"/>
              <w:widowControl w:val="0"/>
              <w:kinsoku/>
              <w:wordWrap/>
              <w:overflowPunct/>
              <w:topLinePunct w:val="0"/>
              <w:autoSpaceDE/>
              <w:autoSpaceDN/>
              <w:bidi w:val="0"/>
              <w:spacing w:line="356" w:lineRule="auto"/>
              <w:ind w:firstLine="480"/>
              <w:textAlignment w:val="auto"/>
              <w:rPr>
                <w:bCs/>
                <w:color w:val="auto"/>
                <w:sz w:val="24"/>
                <w:szCs w:val="28"/>
              </w:rPr>
            </w:pPr>
            <w:r>
              <w:rPr>
                <w:bCs/>
                <w:color w:val="auto"/>
                <w:sz w:val="24"/>
                <w:szCs w:val="28"/>
              </w:rPr>
              <w:t>项目施工期固体废弃物主要为建筑垃圾以及生活垃圾。</w:t>
            </w:r>
            <w:bookmarkStart w:id="24" w:name="_Toc30528"/>
          </w:p>
          <w:p w14:paraId="269AC8E0">
            <w:pPr>
              <w:keepNext w:val="0"/>
              <w:keepLines w:val="0"/>
              <w:pageBreakBefore w:val="0"/>
              <w:widowControl w:val="0"/>
              <w:kinsoku/>
              <w:wordWrap/>
              <w:overflowPunct/>
              <w:topLinePunct w:val="0"/>
              <w:autoSpaceDE/>
              <w:autoSpaceDN/>
              <w:bidi w:val="0"/>
              <w:spacing w:line="356" w:lineRule="auto"/>
              <w:ind w:firstLine="480"/>
              <w:textAlignment w:val="auto"/>
              <w:rPr>
                <w:rFonts w:hint="eastAsia" w:eastAsia="宋体"/>
                <w:color w:val="auto"/>
                <w:sz w:val="24"/>
                <w:lang w:eastAsia="zh-CN"/>
              </w:rPr>
            </w:pPr>
            <w:r>
              <w:rPr>
                <w:rFonts w:hint="eastAsia"/>
                <w:bCs/>
                <w:color w:val="auto"/>
                <w:sz w:val="24"/>
                <w:szCs w:val="28"/>
                <w:lang w:eastAsia="zh-CN"/>
              </w:rPr>
              <w:t>（</w:t>
            </w:r>
            <w:r>
              <w:rPr>
                <w:rFonts w:hint="eastAsia"/>
                <w:bCs/>
                <w:color w:val="auto"/>
                <w:sz w:val="24"/>
                <w:szCs w:val="28"/>
                <w:lang w:val="en-US" w:eastAsia="zh-CN"/>
              </w:rPr>
              <w:t>1</w:t>
            </w:r>
            <w:r>
              <w:rPr>
                <w:rFonts w:hint="eastAsia"/>
                <w:bCs/>
                <w:color w:val="auto"/>
                <w:sz w:val="24"/>
                <w:szCs w:val="28"/>
                <w:lang w:eastAsia="zh-CN"/>
              </w:rPr>
              <w:t>）</w:t>
            </w:r>
            <w:bookmarkEnd w:id="24"/>
            <w:r>
              <w:rPr>
                <w:rFonts w:hint="eastAsia"/>
                <w:color w:val="auto"/>
                <w:sz w:val="24"/>
                <w:lang w:eastAsia="zh-CN"/>
              </w:rPr>
              <w:t>建筑垃圾、生活垃圾</w:t>
            </w:r>
          </w:p>
          <w:p w14:paraId="7F6D53E9">
            <w:pPr>
              <w:adjustRightInd w:val="0"/>
              <w:snapToGrid w:val="0"/>
              <w:spacing w:line="360" w:lineRule="auto"/>
              <w:ind w:firstLine="480" w:firstLineChars="200"/>
              <w:rPr>
                <w:color w:val="auto"/>
                <w:sz w:val="24"/>
              </w:rPr>
            </w:pPr>
            <w:r>
              <w:rPr>
                <w:color w:val="auto"/>
                <w:sz w:val="24"/>
              </w:rPr>
              <w:t>厂房内部装修过程中会产生少量的建筑垃圾，建筑垃圾中可以回收利用的回收利用，不能利用的运至政府部门指定的建筑垃圾堆放场处置。项目施工人员均不在项目区食宿，</w:t>
            </w:r>
            <w:r>
              <w:rPr>
                <w:bCs/>
                <w:color w:val="auto"/>
                <w:sz w:val="24"/>
              </w:rPr>
              <w:t>生活垃圾产生量按0.2kg/d·人计，则</w:t>
            </w:r>
            <w:r>
              <w:rPr>
                <w:color w:val="auto"/>
                <w:sz w:val="24"/>
              </w:rPr>
              <w:t>产生量约</w:t>
            </w:r>
            <w:r>
              <w:rPr>
                <w:rFonts w:hint="eastAsia"/>
                <w:color w:val="auto"/>
                <w:sz w:val="24"/>
                <w:lang w:val="en-US" w:eastAsia="zh-CN"/>
              </w:rPr>
              <w:t>2.0</w:t>
            </w:r>
            <w:r>
              <w:rPr>
                <w:color w:val="auto"/>
                <w:sz w:val="24"/>
              </w:rPr>
              <w:t>kg/d，生活垃圾</w:t>
            </w:r>
            <w:r>
              <w:rPr>
                <w:rFonts w:hint="eastAsia"/>
                <w:color w:val="auto"/>
                <w:sz w:val="24"/>
              </w:rPr>
              <w:t>经垃圾桶收集后委托</w:t>
            </w:r>
            <w:r>
              <w:rPr>
                <w:rFonts w:hint="eastAsia"/>
                <w:color w:val="auto"/>
                <w:sz w:val="24"/>
                <w:lang w:val="en-US" w:eastAsia="zh-CN"/>
              </w:rPr>
              <w:t>当地</w:t>
            </w:r>
            <w:r>
              <w:rPr>
                <w:rFonts w:hint="eastAsia"/>
                <w:color w:val="auto"/>
                <w:sz w:val="24"/>
              </w:rPr>
              <w:t>环卫</w:t>
            </w:r>
            <w:r>
              <w:rPr>
                <w:rFonts w:hint="eastAsia"/>
                <w:color w:val="auto"/>
                <w:sz w:val="24"/>
                <w:lang w:val="en-US" w:eastAsia="zh-CN"/>
              </w:rPr>
              <w:t>部门</w:t>
            </w:r>
            <w:r>
              <w:rPr>
                <w:rFonts w:hint="eastAsia"/>
                <w:color w:val="auto"/>
                <w:sz w:val="24"/>
              </w:rPr>
              <w:t>清运</w:t>
            </w:r>
            <w:r>
              <w:rPr>
                <w:color w:val="auto"/>
                <w:sz w:val="24"/>
              </w:rPr>
              <w:t>。</w:t>
            </w:r>
          </w:p>
          <w:p w14:paraId="254433BA">
            <w:pPr>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rPr>
                <w:rFonts w:hint="default"/>
                <w:color w:val="auto"/>
                <w:lang w:val="en-US" w:eastAsia="zh-CN"/>
              </w:rPr>
            </w:pPr>
            <w:r>
              <w:rPr>
                <w:rFonts w:hint="default" w:ascii="Times New Roman" w:hAnsi="Times New Roman" w:eastAsia="宋体" w:cs="Times New Roman"/>
                <w:color w:val="auto"/>
                <w:sz w:val="24"/>
                <w:highlight w:val="none"/>
              </w:rPr>
              <w:t>综上，在各项环保措施得到切实实施的情况下，项目施工期产生的环境影响较小，且为暂时的，随着施工期的结束而消失，对周围环境影响较小。</w:t>
            </w:r>
          </w:p>
        </w:tc>
      </w:tr>
      <w:tr w14:paraId="730DE2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358" w:type="dxa"/>
            <w:tcMar>
              <w:left w:w="28" w:type="dxa"/>
              <w:right w:w="28" w:type="dxa"/>
            </w:tcMar>
            <w:vAlign w:val="center"/>
          </w:tcPr>
          <w:p w14:paraId="128D5240">
            <w:pPr>
              <w:adjustRightInd w:val="0"/>
              <w:snapToGrid w:val="0"/>
              <w:jc w:val="center"/>
              <w:rPr>
                <w:bCs/>
                <w:color w:val="auto"/>
                <w:sz w:val="24"/>
              </w:rPr>
            </w:pPr>
            <w:r>
              <w:rPr>
                <w:bCs/>
                <w:color w:val="auto"/>
                <w:sz w:val="24"/>
              </w:rPr>
              <w:t>运营</w:t>
            </w:r>
          </w:p>
          <w:p w14:paraId="6CE95E34">
            <w:pPr>
              <w:adjustRightInd w:val="0"/>
              <w:snapToGrid w:val="0"/>
              <w:jc w:val="center"/>
              <w:rPr>
                <w:bCs/>
                <w:color w:val="auto"/>
                <w:sz w:val="24"/>
              </w:rPr>
            </w:pPr>
            <w:r>
              <w:rPr>
                <w:bCs/>
                <w:color w:val="auto"/>
                <w:sz w:val="24"/>
              </w:rPr>
              <w:t>期环</w:t>
            </w:r>
          </w:p>
          <w:p w14:paraId="6AF1744B">
            <w:pPr>
              <w:adjustRightInd w:val="0"/>
              <w:snapToGrid w:val="0"/>
              <w:jc w:val="center"/>
              <w:rPr>
                <w:bCs/>
                <w:color w:val="auto"/>
                <w:sz w:val="24"/>
              </w:rPr>
            </w:pPr>
            <w:r>
              <w:rPr>
                <w:bCs/>
                <w:color w:val="auto"/>
                <w:sz w:val="24"/>
              </w:rPr>
              <w:t>境影</w:t>
            </w:r>
          </w:p>
          <w:p w14:paraId="53B956E9">
            <w:pPr>
              <w:adjustRightInd w:val="0"/>
              <w:snapToGrid w:val="0"/>
              <w:jc w:val="center"/>
              <w:rPr>
                <w:bCs/>
                <w:color w:val="auto"/>
                <w:sz w:val="24"/>
              </w:rPr>
            </w:pPr>
            <w:r>
              <w:rPr>
                <w:bCs/>
                <w:color w:val="auto"/>
                <w:sz w:val="24"/>
              </w:rPr>
              <w:t>响和</w:t>
            </w:r>
          </w:p>
          <w:p w14:paraId="2252BFF0">
            <w:pPr>
              <w:adjustRightInd w:val="0"/>
              <w:snapToGrid w:val="0"/>
              <w:jc w:val="center"/>
              <w:rPr>
                <w:bCs/>
                <w:color w:val="auto"/>
                <w:sz w:val="24"/>
              </w:rPr>
            </w:pPr>
            <w:r>
              <w:rPr>
                <w:bCs/>
                <w:color w:val="auto"/>
                <w:sz w:val="24"/>
              </w:rPr>
              <w:t>保护</w:t>
            </w:r>
          </w:p>
          <w:p w14:paraId="3DCF2E5B">
            <w:pPr>
              <w:adjustRightInd w:val="0"/>
              <w:snapToGrid w:val="0"/>
              <w:jc w:val="center"/>
              <w:rPr>
                <w:bCs/>
                <w:color w:val="auto"/>
                <w:sz w:val="24"/>
              </w:rPr>
            </w:pPr>
            <w:r>
              <w:rPr>
                <w:bCs/>
                <w:color w:val="auto"/>
                <w:sz w:val="24"/>
              </w:rPr>
              <w:t>措施</w:t>
            </w:r>
          </w:p>
        </w:tc>
        <w:tc>
          <w:tcPr>
            <w:tcW w:w="8623" w:type="dxa"/>
          </w:tcPr>
          <w:p w14:paraId="05495689">
            <w:pPr>
              <w:adjustRightInd w:val="0"/>
              <w:snapToGrid w:val="0"/>
              <w:spacing w:line="360" w:lineRule="auto"/>
              <w:ind w:firstLine="482" w:firstLineChars="200"/>
              <w:rPr>
                <w:b/>
                <w:color w:val="auto"/>
                <w:sz w:val="24"/>
              </w:rPr>
            </w:pPr>
            <w:r>
              <w:rPr>
                <w:b/>
                <w:color w:val="auto"/>
                <w:sz w:val="24"/>
              </w:rPr>
              <w:t>一、废气源强核算及影响分析</w:t>
            </w:r>
          </w:p>
          <w:p w14:paraId="22DBF6A1">
            <w:pPr>
              <w:pStyle w:val="17"/>
              <w:adjustRightInd w:val="0"/>
              <w:snapToGrid w:val="0"/>
              <w:spacing w:line="360" w:lineRule="auto"/>
              <w:ind w:firstLine="480" w:firstLineChars="200"/>
              <w:rPr>
                <w:rFonts w:ascii="Times New Roman" w:hAnsi="Times New Roman"/>
                <w:color w:val="auto"/>
                <w:sz w:val="24"/>
              </w:rPr>
            </w:pPr>
            <w:r>
              <w:rPr>
                <w:rFonts w:hint="eastAsia" w:ascii="Times New Roman" w:hAnsi="Times New Roman"/>
                <w:color w:val="auto"/>
                <w:sz w:val="24"/>
              </w:rPr>
              <w:t>项目</w:t>
            </w:r>
            <w:r>
              <w:rPr>
                <w:rFonts w:ascii="Times New Roman" w:hAnsi="Times New Roman"/>
                <w:color w:val="auto"/>
                <w:sz w:val="24"/>
              </w:rPr>
              <w:t>运营期废气主要为</w:t>
            </w:r>
            <w:r>
              <w:rPr>
                <w:rFonts w:hint="eastAsia" w:ascii="Times New Roman" w:hAnsi="Times New Roman"/>
                <w:color w:val="auto"/>
                <w:sz w:val="24"/>
                <w:lang w:val="en-US" w:eastAsia="zh-CN"/>
              </w:rPr>
              <w:t>投料废气、注塑</w:t>
            </w:r>
            <w:r>
              <w:rPr>
                <w:rFonts w:ascii="Times New Roman" w:hAnsi="Times New Roman"/>
                <w:color w:val="auto"/>
                <w:sz w:val="24"/>
              </w:rPr>
              <w:t>废气</w:t>
            </w:r>
            <w:r>
              <w:rPr>
                <w:rFonts w:hint="eastAsia" w:ascii="Times New Roman" w:hAnsi="Times New Roman"/>
                <w:color w:val="auto"/>
                <w:sz w:val="24"/>
              </w:rPr>
              <w:t>、</w:t>
            </w:r>
            <w:r>
              <w:rPr>
                <w:rFonts w:hint="eastAsia" w:ascii="Times New Roman" w:hAnsi="Times New Roman"/>
                <w:color w:val="auto"/>
                <w:sz w:val="24"/>
                <w:lang w:val="en-US" w:eastAsia="zh-CN"/>
              </w:rPr>
              <w:t>破碎</w:t>
            </w:r>
            <w:r>
              <w:rPr>
                <w:rFonts w:hint="eastAsia" w:ascii="Times New Roman" w:hAnsi="Times New Roman"/>
                <w:color w:val="auto"/>
                <w:sz w:val="24"/>
              </w:rPr>
              <w:t>废气及异味、食堂油烟</w:t>
            </w:r>
            <w:r>
              <w:rPr>
                <w:rFonts w:ascii="Times New Roman" w:hAnsi="Times New Roman"/>
                <w:color w:val="auto"/>
                <w:sz w:val="24"/>
              </w:rPr>
              <w:t>等。</w:t>
            </w:r>
          </w:p>
          <w:p w14:paraId="06DC2CF1">
            <w:pPr>
              <w:pStyle w:val="17"/>
              <w:adjustRightInd w:val="0"/>
              <w:snapToGrid w:val="0"/>
              <w:spacing w:line="360" w:lineRule="auto"/>
              <w:ind w:firstLine="482" w:firstLineChars="200"/>
              <w:rPr>
                <w:rFonts w:ascii="Times New Roman" w:hAnsi="Times New Roman"/>
                <w:b/>
                <w:bCs/>
                <w:color w:val="auto"/>
                <w:sz w:val="24"/>
              </w:rPr>
            </w:pPr>
            <w:r>
              <w:rPr>
                <w:rFonts w:ascii="Times New Roman" w:hAnsi="Times New Roman"/>
                <w:b/>
                <w:bCs/>
                <w:color w:val="auto"/>
                <w:sz w:val="24"/>
              </w:rPr>
              <w:t>1、染物源强核算</w:t>
            </w:r>
          </w:p>
          <w:p w14:paraId="7C51E4EB">
            <w:pPr>
              <w:pStyle w:val="17"/>
              <w:adjustRightInd w:val="0"/>
              <w:snapToGrid w:val="0"/>
              <w:spacing w:line="360" w:lineRule="auto"/>
              <w:ind w:firstLine="480" w:firstLineChars="200"/>
              <w:rPr>
                <w:rFonts w:ascii="Times New Roman" w:hAnsi="Times New Roman"/>
                <w:b/>
                <w:bCs/>
                <w:color w:val="auto"/>
                <w:szCs w:val="21"/>
              </w:rPr>
            </w:pPr>
            <w:r>
              <w:rPr>
                <w:rFonts w:ascii="Times New Roman" w:hAnsi="Times New Roman"/>
                <w:color w:val="auto"/>
                <w:sz w:val="24"/>
              </w:rPr>
              <w:t>项目运营期废气排放源见表4-1。</w:t>
            </w:r>
          </w:p>
          <w:p w14:paraId="7E51E693">
            <w:pPr>
              <w:pStyle w:val="17"/>
              <w:adjustRightInd w:val="0"/>
              <w:snapToGrid w:val="0"/>
              <w:jc w:val="center"/>
              <w:rPr>
                <w:rFonts w:ascii="Times New Roman" w:hAnsi="Times New Roman"/>
                <w:b/>
                <w:bCs/>
                <w:color w:val="auto"/>
                <w:szCs w:val="21"/>
              </w:rPr>
            </w:pPr>
          </w:p>
          <w:p w14:paraId="0A9EA3CC">
            <w:pPr>
              <w:pStyle w:val="17"/>
              <w:adjustRightInd w:val="0"/>
              <w:snapToGrid w:val="0"/>
              <w:jc w:val="center"/>
              <w:rPr>
                <w:rFonts w:ascii="Times New Roman" w:hAnsi="Times New Roman"/>
                <w:b/>
                <w:bCs/>
                <w:color w:val="auto"/>
                <w:szCs w:val="21"/>
              </w:rPr>
            </w:pPr>
          </w:p>
          <w:p w14:paraId="25592D9B">
            <w:pPr>
              <w:pStyle w:val="17"/>
              <w:adjustRightInd w:val="0"/>
              <w:snapToGrid w:val="0"/>
              <w:jc w:val="center"/>
              <w:rPr>
                <w:rFonts w:ascii="Times New Roman" w:hAnsi="Times New Roman"/>
                <w:b/>
                <w:bCs/>
                <w:color w:val="auto"/>
                <w:szCs w:val="21"/>
              </w:rPr>
            </w:pPr>
          </w:p>
          <w:p w14:paraId="39EEFDA2">
            <w:pPr>
              <w:pStyle w:val="17"/>
              <w:adjustRightInd w:val="0"/>
              <w:snapToGrid w:val="0"/>
              <w:jc w:val="center"/>
              <w:rPr>
                <w:rFonts w:ascii="Times New Roman" w:hAnsi="Times New Roman"/>
                <w:color w:val="auto"/>
                <w:spacing w:val="-10"/>
                <w:szCs w:val="21"/>
              </w:rPr>
            </w:pPr>
            <w:r>
              <w:rPr>
                <w:rFonts w:ascii="Times New Roman" w:hAnsi="Times New Roman"/>
                <w:b/>
                <w:bCs/>
                <w:color w:val="auto"/>
                <w:szCs w:val="21"/>
              </w:rPr>
              <w:t>表4-1  项目运营期废气排放源一览表</w:t>
            </w:r>
          </w:p>
          <w:tbl>
            <w:tblPr>
              <w:tblStyle w:val="31"/>
              <w:tblW w:w="84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
              <w:gridCol w:w="1100"/>
              <w:gridCol w:w="944"/>
              <w:gridCol w:w="840"/>
              <w:gridCol w:w="960"/>
              <w:gridCol w:w="750"/>
              <w:gridCol w:w="885"/>
              <w:gridCol w:w="840"/>
              <w:gridCol w:w="973"/>
              <w:gridCol w:w="812"/>
            </w:tblGrid>
            <w:tr w14:paraId="7556A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871" w:type="pct"/>
                  <w:gridSpan w:val="2"/>
                  <w:vAlign w:val="center"/>
                </w:tcPr>
                <w:p w14:paraId="5387578D">
                  <w:pPr>
                    <w:adjustRightInd w:val="0"/>
                    <w:snapToGrid w:val="0"/>
                    <w:jc w:val="center"/>
                    <w:rPr>
                      <w:color w:val="auto"/>
                      <w:spacing w:val="-10"/>
                      <w:szCs w:val="21"/>
                    </w:rPr>
                  </w:pPr>
                  <w:r>
                    <w:rPr>
                      <w:color w:val="auto"/>
                      <w:spacing w:val="-10"/>
                      <w:szCs w:val="21"/>
                    </w:rPr>
                    <w:t>产污排污环节</w:t>
                  </w:r>
                </w:p>
              </w:tc>
              <w:tc>
                <w:tcPr>
                  <w:tcW w:w="2059" w:type="pct"/>
                  <w:gridSpan w:val="4"/>
                  <w:vAlign w:val="center"/>
                </w:tcPr>
                <w:p w14:paraId="5F74F59B">
                  <w:pPr>
                    <w:adjustRightInd w:val="0"/>
                    <w:snapToGrid w:val="0"/>
                    <w:jc w:val="center"/>
                    <w:rPr>
                      <w:color w:val="auto"/>
                      <w:spacing w:val="-10"/>
                      <w:szCs w:val="21"/>
                    </w:rPr>
                  </w:pPr>
                  <w:r>
                    <w:rPr>
                      <w:rFonts w:hint="eastAsia"/>
                      <w:color w:val="auto"/>
                      <w:spacing w:val="-10"/>
                      <w:szCs w:val="21"/>
                      <w:lang w:eastAsia="zh-CN"/>
                    </w:rPr>
                    <w:t>注塑</w:t>
                  </w:r>
                  <w:r>
                    <w:rPr>
                      <w:rFonts w:hint="eastAsia"/>
                      <w:color w:val="auto"/>
                      <w:spacing w:val="-10"/>
                      <w:szCs w:val="21"/>
                    </w:rPr>
                    <w:t>废气</w:t>
                  </w:r>
                </w:p>
              </w:tc>
              <w:tc>
                <w:tcPr>
                  <w:tcW w:w="1016" w:type="pct"/>
                  <w:gridSpan w:val="2"/>
                  <w:vAlign w:val="center"/>
                </w:tcPr>
                <w:p w14:paraId="18CBD082">
                  <w:pPr>
                    <w:adjustRightInd w:val="0"/>
                    <w:snapToGrid w:val="0"/>
                    <w:jc w:val="center"/>
                    <w:rPr>
                      <w:rFonts w:hint="eastAsia" w:eastAsia="宋体"/>
                      <w:color w:val="auto"/>
                      <w:spacing w:val="-10"/>
                      <w:szCs w:val="21"/>
                      <w:lang w:eastAsia="zh-CN"/>
                    </w:rPr>
                  </w:pPr>
                  <w:r>
                    <w:rPr>
                      <w:rFonts w:hint="eastAsia"/>
                      <w:color w:val="auto"/>
                      <w:spacing w:val="-10"/>
                      <w:szCs w:val="21"/>
                      <w:lang w:eastAsia="zh-CN"/>
                    </w:rPr>
                    <w:t>破碎废气</w:t>
                  </w:r>
                </w:p>
              </w:tc>
              <w:tc>
                <w:tcPr>
                  <w:tcW w:w="573" w:type="pct"/>
                  <w:vAlign w:val="center"/>
                </w:tcPr>
                <w:p w14:paraId="539465B5">
                  <w:pPr>
                    <w:adjustRightInd w:val="0"/>
                    <w:snapToGrid w:val="0"/>
                    <w:jc w:val="center"/>
                    <w:rPr>
                      <w:rFonts w:hint="eastAsia" w:eastAsia="宋体"/>
                      <w:color w:val="auto"/>
                      <w:spacing w:val="-10"/>
                      <w:szCs w:val="21"/>
                      <w:lang w:eastAsia="zh-CN"/>
                    </w:rPr>
                  </w:pPr>
                  <w:r>
                    <w:rPr>
                      <w:rFonts w:hint="eastAsia"/>
                      <w:color w:val="auto"/>
                      <w:spacing w:val="-10"/>
                      <w:szCs w:val="21"/>
                      <w:lang w:val="en-US" w:eastAsia="zh-CN"/>
                    </w:rPr>
                    <w:t>投料废气</w:t>
                  </w:r>
                </w:p>
              </w:tc>
              <w:tc>
                <w:tcPr>
                  <w:tcW w:w="478" w:type="pct"/>
                  <w:vAlign w:val="center"/>
                </w:tcPr>
                <w:p w14:paraId="3EE129AD">
                  <w:pPr>
                    <w:adjustRightInd w:val="0"/>
                    <w:snapToGrid w:val="0"/>
                    <w:jc w:val="center"/>
                    <w:rPr>
                      <w:rFonts w:hint="eastAsia"/>
                      <w:color w:val="auto"/>
                      <w:spacing w:val="-10"/>
                      <w:szCs w:val="21"/>
                      <w:lang w:eastAsia="zh-CN"/>
                    </w:rPr>
                  </w:pPr>
                  <w:r>
                    <w:rPr>
                      <w:rFonts w:hint="eastAsia"/>
                      <w:color w:val="auto"/>
                      <w:spacing w:val="-10"/>
                      <w:szCs w:val="21"/>
                      <w:lang w:eastAsia="zh-CN"/>
                    </w:rPr>
                    <w:t>食堂油烟</w:t>
                  </w:r>
                </w:p>
              </w:tc>
            </w:tr>
            <w:tr w14:paraId="1D99E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1" w:type="pct"/>
                  <w:gridSpan w:val="2"/>
                  <w:vAlign w:val="center"/>
                </w:tcPr>
                <w:p w14:paraId="6259ABCD">
                  <w:pPr>
                    <w:adjustRightInd w:val="0"/>
                    <w:snapToGrid w:val="0"/>
                    <w:jc w:val="center"/>
                    <w:rPr>
                      <w:b/>
                      <w:color w:val="auto"/>
                      <w:spacing w:val="-10"/>
                      <w:szCs w:val="21"/>
                    </w:rPr>
                  </w:pPr>
                  <w:r>
                    <w:rPr>
                      <w:b/>
                      <w:color w:val="auto"/>
                      <w:spacing w:val="-10"/>
                      <w:szCs w:val="21"/>
                    </w:rPr>
                    <w:t>污染物种类</w:t>
                  </w:r>
                </w:p>
              </w:tc>
              <w:tc>
                <w:tcPr>
                  <w:tcW w:w="1051" w:type="pct"/>
                  <w:gridSpan w:val="2"/>
                  <w:vAlign w:val="center"/>
                </w:tcPr>
                <w:p w14:paraId="71271BD0">
                  <w:pPr>
                    <w:adjustRightInd w:val="0"/>
                    <w:snapToGrid w:val="0"/>
                    <w:jc w:val="center"/>
                    <w:rPr>
                      <w:color w:val="auto"/>
                      <w:szCs w:val="21"/>
                    </w:rPr>
                  </w:pPr>
                  <w:r>
                    <w:rPr>
                      <w:rFonts w:hint="eastAsia"/>
                      <w:color w:val="auto"/>
                      <w:szCs w:val="21"/>
                    </w:rPr>
                    <w:t>非甲烷总烃</w:t>
                  </w:r>
                </w:p>
              </w:tc>
              <w:tc>
                <w:tcPr>
                  <w:tcW w:w="1008" w:type="pct"/>
                  <w:gridSpan w:val="2"/>
                  <w:vAlign w:val="center"/>
                </w:tcPr>
                <w:p w14:paraId="4B1A31AA">
                  <w:pPr>
                    <w:adjustRightInd w:val="0"/>
                    <w:snapToGrid w:val="0"/>
                    <w:jc w:val="center"/>
                    <w:rPr>
                      <w:color w:val="auto"/>
                      <w:spacing w:val="-10"/>
                      <w:szCs w:val="21"/>
                    </w:rPr>
                  </w:pPr>
                  <w:r>
                    <w:rPr>
                      <w:color w:val="auto"/>
                      <w:spacing w:val="-10"/>
                      <w:szCs w:val="21"/>
                    </w:rPr>
                    <w:t>臭气浓度</w:t>
                  </w:r>
                </w:p>
              </w:tc>
              <w:tc>
                <w:tcPr>
                  <w:tcW w:w="1016" w:type="pct"/>
                  <w:gridSpan w:val="2"/>
                  <w:vAlign w:val="center"/>
                </w:tcPr>
                <w:p w14:paraId="312DEB51">
                  <w:pPr>
                    <w:adjustRightInd w:val="0"/>
                    <w:snapToGrid w:val="0"/>
                    <w:jc w:val="center"/>
                    <w:rPr>
                      <w:color w:val="auto"/>
                      <w:spacing w:val="-10"/>
                      <w:szCs w:val="21"/>
                    </w:rPr>
                  </w:pPr>
                  <w:r>
                    <w:rPr>
                      <w:rFonts w:hint="eastAsia"/>
                      <w:color w:val="auto"/>
                      <w:spacing w:val="-10"/>
                      <w:szCs w:val="21"/>
                    </w:rPr>
                    <w:t>颗粒物</w:t>
                  </w:r>
                </w:p>
              </w:tc>
              <w:tc>
                <w:tcPr>
                  <w:tcW w:w="573" w:type="pct"/>
                  <w:vAlign w:val="center"/>
                </w:tcPr>
                <w:p w14:paraId="3C7A6AE0">
                  <w:pPr>
                    <w:adjustRightInd w:val="0"/>
                    <w:snapToGrid w:val="0"/>
                    <w:jc w:val="center"/>
                    <w:rPr>
                      <w:rFonts w:hint="eastAsia" w:eastAsia="宋体"/>
                      <w:color w:val="auto"/>
                      <w:spacing w:val="-10"/>
                      <w:szCs w:val="21"/>
                      <w:lang w:eastAsia="zh-CN"/>
                    </w:rPr>
                  </w:pPr>
                  <w:r>
                    <w:rPr>
                      <w:rFonts w:hint="eastAsia"/>
                      <w:color w:val="auto"/>
                      <w:spacing w:val="-10"/>
                      <w:szCs w:val="21"/>
                      <w:lang w:val="en-US" w:eastAsia="zh-CN"/>
                    </w:rPr>
                    <w:t>颗粒物</w:t>
                  </w:r>
                </w:p>
              </w:tc>
              <w:tc>
                <w:tcPr>
                  <w:tcW w:w="478" w:type="pct"/>
                  <w:vAlign w:val="center"/>
                </w:tcPr>
                <w:p w14:paraId="23630A2D">
                  <w:pPr>
                    <w:adjustRightInd w:val="0"/>
                    <w:snapToGrid w:val="0"/>
                    <w:jc w:val="center"/>
                    <w:rPr>
                      <w:rFonts w:hint="eastAsia"/>
                      <w:color w:val="auto"/>
                      <w:spacing w:val="-10"/>
                      <w:szCs w:val="21"/>
                      <w:lang w:eastAsia="zh-CN"/>
                    </w:rPr>
                  </w:pPr>
                  <w:r>
                    <w:rPr>
                      <w:rFonts w:hint="eastAsia"/>
                      <w:color w:val="auto"/>
                      <w:spacing w:val="-10"/>
                      <w:szCs w:val="21"/>
                      <w:lang w:eastAsia="zh-CN"/>
                    </w:rPr>
                    <w:t>食堂油烟</w:t>
                  </w:r>
                </w:p>
              </w:tc>
            </w:tr>
            <w:tr w14:paraId="0C5F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1" w:type="pct"/>
                  <w:gridSpan w:val="2"/>
                  <w:vAlign w:val="center"/>
                </w:tcPr>
                <w:p w14:paraId="13373097">
                  <w:pPr>
                    <w:adjustRightInd w:val="0"/>
                    <w:snapToGrid w:val="0"/>
                    <w:jc w:val="center"/>
                    <w:rPr>
                      <w:b/>
                      <w:color w:val="auto"/>
                      <w:spacing w:val="-10"/>
                      <w:szCs w:val="21"/>
                    </w:rPr>
                  </w:pPr>
                  <w:r>
                    <w:rPr>
                      <w:b/>
                      <w:color w:val="auto"/>
                      <w:spacing w:val="-10"/>
                      <w:szCs w:val="21"/>
                    </w:rPr>
                    <w:t>污染物产生量（t/a）</w:t>
                  </w:r>
                </w:p>
              </w:tc>
              <w:tc>
                <w:tcPr>
                  <w:tcW w:w="556" w:type="pct"/>
                  <w:vAlign w:val="center"/>
                </w:tcPr>
                <w:p w14:paraId="24B394F4">
                  <w:pPr>
                    <w:adjustRightInd w:val="0"/>
                    <w:snapToGrid w:val="0"/>
                    <w:jc w:val="center"/>
                    <w:rPr>
                      <w:rFonts w:hint="default" w:eastAsia="宋体"/>
                      <w:color w:val="auto"/>
                      <w:spacing w:val="-10"/>
                      <w:szCs w:val="21"/>
                      <w:lang w:val="en-US" w:eastAsia="zh-CN"/>
                    </w:rPr>
                  </w:pPr>
                  <w:r>
                    <w:rPr>
                      <w:rFonts w:hint="eastAsia"/>
                      <w:color w:val="auto"/>
                      <w:spacing w:val="-10"/>
                      <w:szCs w:val="21"/>
                      <w:lang w:val="en-US" w:eastAsia="zh-CN"/>
                    </w:rPr>
                    <w:t>18.7726</w:t>
                  </w:r>
                </w:p>
              </w:tc>
              <w:tc>
                <w:tcPr>
                  <w:tcW w:w="495" w:type="pct"/>
                  <w:vAlign w:val="center"/>
                </w:tcPr>
                <w:p w14:paraId="5E7B9048">
                  <w:pPr>
                    <w:adjustRightInd w:val="0"/>
                    <w:snapToGrid w:val="0"/>
                    <w:jc w:val="center"/>
                    <w:rPr>
                      <w:rFonts w:hint="default"/>
                      <w:color w:val="auto"/>
                      <w:spacing w:val="-10"/>
                      <w:szCs w:val="21"/>
                      <w:lang w:val="en-US"/>
                    </w:rPr>
                  </w:pPr>
                  <w:r>
                    <w:rPr>
                      <w:rFonts w:hint="eastAsia"/>
                      <w:color w:val="auto"/>
                      <w:spacing w:val="-10"/>
                      <w:szCs w:val="21"/>
                      <w:lang w:val="en-US" w:eastAsia="zh-CN"/>
                    </w:rPr>
                    <w:t>4.6931</w:t>
                  </w:r>
                </w:p>
              </w:tc>
              <w:tc>
                <w:tcPr>
                  <w:tcW w:w="565" w:type="pct"/>
                  <w:vAlign w:val="center"/>
                </w:tcPr>
                <w:p w14:paraId="4423824C">
                  <w:pPr>
                    <w:adjustRightInd w:val="0"/>
                    <w:snapToGrid w:val="0"/>
                    <w:jc w:val="center"/>
                    <w:rPr>
                      <w:color w:val="auto"/>
                      <w:spacing w:val="-10"/>
                      <w:szCs w:val="21"/>
                    </w:rPr>
                  </w:pPr>
                  <w:r>
                    <w:rPr>
                      <w:color w:val="auto"/>
                      <w:kern w:val="0"/>
                      <w:szCs w:val="21"/>
                      <w:lang w:bidi="ar"/>
                    </w:rPr>
                    <w:t>少量</w:t>
                  </w:r>
                </w:p>
              </w:tc>
              <w:tc>
                <w:tcPr>
                  <w:tcW w:w="442" w:type="pct"/>
                  <w:vAlign w:val="center"/>
                </w:tcPr>
                <w:p w14:paraId="06FC3FAE">
                  <w:pPr>
                    <w:adjustRightInd w:val="0"/>
                    <w:snapToGrid w:val="0"/>
                    <w:jc w:val="center"/>
                    <w:rPr>
                      <w:color w:val="auto"/>
                    </w:rPr>
                  </w:pPr>
                  <w:r>
                    <w:rPr>
                      <w:color w:val="auto"/>
                      <w:kern w:val="0"/>
                      <w:szCs w:val="21"/>
                      <w:lang w:bidi="ar"/>
                    </w:rPr>
                    <w:t>少量</w:t>
                  </w:r>
                </w:p>
              </w:tc>
              <w:tc>
                <w:tcPr>
                  <w:tcW w:w="521" w:type="pct"/>
                  <w:vAlign w:val="center"/>
                </w:tcPr>
                <w:p w14:paraId="089174E0">
                  <w:pPr>
                    <w:adjustRightInd w:val="0"/>
                    <w:snapToGrid w:val="0"/>
                    <w:jc w:val="center"/>
                    <w:rPr>
                      <w:rFonts w:hint="default" w:eastAsia="宋体"/>
                      <w:color w:val="auto"/>
                      <w:kern w:val="0"/>
                      <w:szCs w:val="21"/>
                      <w:highlight w:val="none"/>
                      <w:lang w:val="en-US" w:eastAsia="zh-CN" w:bidi="ar"/>
                    </w:rPr>
                  </w:pPr>
                  <w:r>
                    <w:rPr>
                      <w:rFonts w:hint="eastAsia"/>
                      <w:color w:val="auto"/>
                      <w:kern w:val="0"/>
                      <w:szCs w:val="21"/>
                      <w:highlight w:val="none"/>
                      <w:lang w:val="en-US" w:eastAsia="zh-CN" w:bidi="ar"/>
                    </w:rPr>
                    <w:t>0.0065</w:t>
                  </w:r>
                </w:p>
              </w:tc>
              <w:tc>
                <w:tcPr>
                  <w:tcW w:w="495" w:type="pct"/>
                  <w:vAlign w:val="center"/>
                </w:tcPr>
                <w:p w14:paraId="68782D03">
                  <w:pPr>
                    <w:adjustRightInd w:val="0"/>
                    <w:snapToGrid w:val="0"/>
                    <w:jc w:val="center"/>
                    <w:rPr>
                      <w:rFonts w:hint="default" w:eastAsia="宋体"/>
                      <w:color w:val="auto"/>
                      <w:kern w:val="0"/>
                      <w:szCs w:val="21"/>
                      <w:highlight w:val="none"/>
                      <w:lang w:val="en-US" w:eastAsia="zh-CN" w:bidi="ar"/>
                    </w:rPr>
                  </w:pPr>
                  <w:r>
                    <w:rPr>
                      <w:rFonts w:hint="eastAsia"/>
                      <w:color w:val="auto"/>
                      <w:kern w:val="0"/>
                      <w:szCs w:val="21"/>
                      <w:highlight w:val="none"/>
                      <w:lang w:val="en-US" w:eastAsia="zh-CN" w:bidi="ar"/>
                    </w:rPr>
                    <w:t>0.0016</w:t>
                  </w:r>
                </w:p>
              </w:tc>
              <w:tc>
                <w:tcPr>
                  <w:tcW w:w="573" w:type="pct"/>
                  <w:vAlign w:val="center"/>
                </w:tcPr>
                <w:p w14:paraId="63E99185">
                  <w:pPr>
                    <w:adjustRightInd w:val="0"/>
                    <w:snapToGrid w:val="0"/>
                    <w:jc w:val="center"/>
                    <w:rPr>
                      <w:rFonts w:hint="eastAsia" w:eastAsia="宋体"/>
                      <w:color w:val="auto"/>
                      <w:kern w:val="0"/>
                      <w:szCs w:val="21"/>
                      <w:lang w:val="en-US" w:eastAsia="zh-CN" w:bidi="ar"/>
                    </w:rPr>
                  </w:pPr>
                  <w:r>
                    <w:rPr>
                      <w:rFonts w:hint="eastAsia"/>
                      <w:color w:val="auto"/>
                      <w:kern w:val="0"/>
                      <w:szCs w:val="21"/>
                      <w:lang w:val="en-US" w:eastAsia="zh-CN" w:bidi="ar"/>
                    </w:rPr>
                    <w:t>少量</w:t>
                  </w:r>
                </w:p>
              </w:tc>
              <w:tc>
                <w:tcPr>
                  <w:tcW w:w="478" w:type="pct"/>
                  <w:vAlign w:val="center"/>
                </w:tcPr>
                <w:p w14:paraId="29C769EE">
                  <w:pPr>
                    <w:adjustRightInd w:val="0"/>
                    <w:snapToGrid w:val="0"/>
                    <w:jc w:val="center"/>
                    <w:rPr>
                      <w:rFonts w:hint="eastAsia"/>
                      <w:color w:val="auto"/>
                      <w:kern w:val="0"/>
                      <w:szCs w:val="21"/>
                      <w:lang w:bidi="ar"/>
                    </w:rPr>
                  </w:pPr>
                  <w:r>
                    <w:rPr>
                      <w:rFonts w:hint="eastAsia"/>
                      <w:color w:val="auto"/>
                      <w:kern w:val="0"/>
                      <w:szCs w:val="21"/>
                      <w:lang w:val="en-US" w:eastAsia="zh-CN" w:bidi="ar"/>
                    </w:rPr>
                    <w:t>0.0036</w:t>
                  </w:r>
                </w:p>
              </w:tc>
            </w:tr>
            <w:tr w14:paraId="29E90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gridSpan w:val="2"/>
                  <w:vAlign w:val="center"/>
                </w:tcPr>
                <w:p w14:paraId="5C19CFC5">
                  <w:pPr>
                    <w:adjustRightInd w:val="0"/>
                    <w:snapToGrid w:val="0"/>
                    <w:jc w:val="center"/>
                    <w:rPr>
                      <w:b/>
                      <w:color w:val="auto"/>
                      <w:spacing w:val="-10"/>
                      <w:szCs w:val="21"/>
                    </w:rPr>
                  </w:pPr>
                  <w:r>
                    <w:rPr>
                      <w:b/>
                      <w:color w:val="auto"/>
                      <w:spacing w:val="-10"/>
                      <w:szCs w:val="21"/>
                    </w:rPr>
                    <w:t>污染物产生浓度（mg/m</w:t>
                  </w:r>
                  <w:r>
                    <w:rPr>
                      <w:b/>
                      <w:color w:val="auto"/>
                      <w:spacing w:val="-10"/>
                      <w:szCs w:val="21"/>
                      <w:vertAlign w:val="superscript"/>
                    </w:rPr>
                    <w:t>3</w:t>
                  </w:r>
                  <w:r>
                    <w:rPr>
                      <w:b/>
                      <w:color w:val="auto"/>
                      <w:spacing w:val="-10"/>
                      <w:szCs w:val="21"/>
                    </w:rPr>
                    <w:t>）</w:t>
                  </w:r>
                </w:p>
              </w:tc>
              <w:tc>
                <w:tcPr>
                  <w:tcW w:w="556" w:type="pct"/>
                  <w:vAlign w:val="center"/>
                </w:tcPr>
                <w:p w14:paraId="52FFBAF2">
                  <w:pPr>
                    <w:adjustRightInd w:val="0"/>
                    <w:snapToGrid w:val="0"/>
                    <w:jc w:val="center"/>
                    <w:rPr>
                      <w:rFonts w:hint="default" w:eastAsia="宋体"/>
                      <w:color w:val="auto"/>
                      <w:spacing w:val="-10"/>
                      <w:szCs w:val="21"/>
                      <w:lang w:val="en-US" w:eastAsia="zh-CN"/>
                    </w:rPr>
                  </w:pPr>
                  <w:r>
                    <w:rPr>
                      <w:rFonts w:hint="eastAsia"/>
                      <w:color w:val="auto"/>
                      <w:spacing w:val="-10"/>
                      <w:szCs w:val="21"/>
                      <w:lang w:val="en-US" w:eastAsia="zh-CN"/>
                    </w:rPr>
                    <w:t>391.10</w:t>
                  </w:r>
                </w:p>
              </w:tc>
              <w:tc>
                <w:tcPr>
                  <w:tcW w:w="495" w:type="pct"/>
                  <w:vAlign w:val="center"/>
                </w:tcPr>
                <w:p w14:paraId="487A81F9">
                  <w:pPr>
                    <w:adjustRightInd w:val="0"/>
                    <w:snapToGrid w:val="0"/>
                    <w:jc w:val="center"/>
                    <w:rPr>
                      <w:color w:val="auto"/>
                      <w:spacing w:val="-10"/>
                      <w:szCs w:val="21"/>
                    </w:rPr>
                  </w:pPr>
                  <w:r>
                    <w:rPr>
                      <w:color w:val="auto"/>
                      <w:spacing w:val="-10"/>
                      <w:szCs w:val="21"/>
                    </w:rPr>
                    <w:t>/</w:t>
                  </w:r>
                </w:p>
              </w:tc>
              <w:tc>
                <w:tcPr>
                  <w:tcW w:w="565" w:type="pct"/>
                  <w:vAlign w:val="center"/>
                </w:tcPr>
                <w:p w14:paraId="5D802DDF">
                  <w:pPr>
                    <w:adjustRightInd w:val="0"/>
                    <w:snapToGrid w:val="0"/>
                    <w:jc w:val="center"/>
                    <w:rPr>
                      <w:color w:val="auto"/>
                      <w:spacing w:val="-10"/>
                      <w:szCs w:val="21"/>
                    </w:rPr>
                  </w:pPr>
                  <w:r>
                    <w:rPr>
                      <w:rFonts w:hint="eastAsia"/>
                      <w:color w:val="auto"/>
                      <w:spacing w:val="-10"/>
                      <w:szCs w:val="21"/>
                      <w:lang w:val="en-US" w:eastAsia="zh-CN"/>
                    </w:rPr>
                    <w:t>6975</w:t>
                  </w:r>
                  <w:r>
                    <w:rPr>
                      <w:color w:val="auto"/>
                      <w:spacing w:val="-10"/>
                      <w:szCs w:val="21"/>
                    </w:rPr>
                    <w:t>（无量纲）</w:t>
                  </w:r>
                </w:p>
              </w:tc>
              <w:tc>
                <w:tcPr>
                  <w:tcW w:w="442" w:type="pct"/>
                  <w:vAlign w:val="center"/>
                </w:tcPr>
                <w:p w14:paraId="12E9BA1F">
                  <w:pPr>
                    <w:adjustRightInd w:val="0"/>
                    <w:snapToGrid w:val="0"/>
                    <w:jc w:val="center"/>
                    <w:rPr>
                      <w:color w:val="auto"/>
                    </w:rPr>
                  </w:pPr>
                  <w:r>
                    <w:rPr>
                      <w:color w:val="auto"/>
                      <w:spacing w:val="-10"/>
                      <w:szCs w:val="21"/>
                    </w:rPr>
                    <w:t>/</w:t>
                  </w:r>
                </w:p>
              </w:tc>
              <w:tc>
                <w:tcPr>
                  <w:tcW w:w="521" w:type="pct"/>
                  <w:vAlign w:val="center"/>
                </w:tcPr>
                <w:p w14:paraId="43EB561A">
                  <w:pPr>
                    <w:adjustRightInd w:val="0"/>
                    <w:snapToGrid w:val="0"/>
                    <w:jc w:val="center"/>
                    <w:rPr>
                      <w:rFonts w:hint="default" w:eastAsia="宋体"/>
                      <w:color w:val="auto"/>
                      <w:spacing w:val="-10"/>
                      <w:szCs w:val="21"/>
                      <w:lang w:val="en-US" w:eastAsia="zh-CN"/>
                    </w:rPr>
                  </w:pPr>
                  <w:r>
                    <w:rPr>
                      <w:rFonts w:hint="eastAsia"/>
                      <w:color w:val="auto"/>
                      <w:spacing w:val="-10"/>
                      <w:szCs w:val="21"/>
                      <w:lang w:val="en-US" w:eastAsia="zh-CN"/>
                    </w:rPr>
                    <w:t>270.8</w:t>
                  </w:r>
                </w:p>
              </w:tc>
              <w:tc>
                <w:tcPr>
                  <w:tcW w:w="495" w:type="pct"/>
                  <w:vAlign w:val="center"/>
                </w:tcPr>
                <w:p w14:paraId="6EC2F104">
                  <w:pPr>
                    <w:adjustRightInd w:val="0"/>
                    <w:snapToGrid w:val="0"/>
                    <w:jc w:val="center"/>
                    <w:rPr>
                      <w:rFonts w:hint="eastAsia" w:eastAsia="宋体"/>
                      <w:color w:val="auto"/>
                      <w:spacing w:val="-10"/>
                      <w:szCs w:val="21"/>
                      <w:lang w:val="en-US" w:eastAsia="zh-CN"/>
                    </w:rPr>
                  </w:pPr>
                  <w:r>
                    <w:rPr>
                      <w:rFonts w:hint="eastAsia"/>
                      <w:color w:val="auto"/>
                      <w:spacing w:val="-10"/>
                      <w:szCs w:val="21"/>
                      <w:lang w:val="en-US" w:eastAsia="zh-CN"/>
                    </w:rPr>
                    <w:t>/</w:t>
                  </w:r>
                </w:p>
              </w:tc>
              <w:tc>
                <w:tcPr>
                  <w:tcW w:w="573" w:type="pct"/>
                  <w:vAlign w:val="center"/>
                </w:tcPr>
                <w:p w14:paraId="569D2EC8">
                  <w:pPr>
                    <w:adjustRightInd w:val="0"/>
                    <w:snapToGrid w:val="0"/>
                    <w:jc w:val="center"/>
                    <w:rPr>
                      <w:rFonts w:hint="default" w:eastAsia="宋体"/>
                      <w:color w:val="auto"/>
                      <w:spacing w:val="-10"/>
                      <w:szCs w:val="21"/>
                      <w:lang w:val="en-US" w:eastAsia="zh-CN"/>
                    </w:rPr>
                  </w:pPr>
                  <w:r>
                    <w:rPr>
                      <w:rFonts w:hint="eastAsia"/>
                      <w:color w:val="auto"/>
                      <w:spacing w:val="-10"/>
                      <w:szCs w:val="21"/>
                      <w:lang w:val="en-US" w:eastAsia="zh-CN"/>
                    </w:rPr>
                    <w:t>/</w:t>
                  </w:r>
                </w:p>
              </w:tc>
              <w:tc>
                <w:tcPr>
                  <w:tcW w:w="478" w:type="pct"/>
                  <w:vAlign w:val="center"/>
                </w:tcPr>
                <w:p w14:paraId="5616766D">
                  <w:pPr>
                    <w:adjustRightInd w:val="0"/>
                    <w:snapToGrid w:val="0"/>
                    <w:jc w:val="center"/>
                    <w:rPr>
                      <w:rFonts w:hint="eastAsia"/>
                      <w:color w:val="auto"/>
                      <w:spacing w:val="-10"/>
                      <w:szCs w:val="21"/>
                      <w:lang w:val="en-US" w:eastAsia="zh-CN"/>
                    </w:rPr>
                  </w:pPr>
                  <w:r>
                    <w:rPr>
                      <w:rFonts w:hint="eastAsia"/>
                      <w:color w:val="auto"/>
                      <w:spacing w:val="-10"/>
                      <w:szCs w:val="21"/>
                      <w:lang w:val="en-US" w:eastAsia="zh-CN"/>
                    </w:rPr>
                    <w:t>1.5</w:t>
                  </w:r>
                </w:p>
              </w:tc>
            </w:tr>
            <w:tr w14:paraId="51953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gridSpan w:val="2"/>
                  <w:vAlign w:val="center"/>
                </w:tcPr>
                <w:p w14:paraId="4F6E4F83">
                  <w:pPr>
                    <w:adjustRightInd w:val="0"/>
                    <w:snapToGrid w:val="0"/>
                    <w:jc w:val="center"/>
                    <w:rPr>
                      <w:b/>
                      <w:color w:val="auto"/>
                      <w:spacing w:val="-10"/>
                      <w:szCs w:val="21"/>
                    </w:rPr>
                  </w:pPr>
                  <w:r>
                    <w:rPr>
                      <w:b/>
                      <w:color w:val="auto"/>
                      <w:spacing w:val="-10"/>
                      <w:szCs w:val="21"/>
                    </w:rPr>
                    <w:t>排放形式</w:t>
                  </w:r>
                </w:p>
              </w:tc>
              <w:tc>
                <w:tcPr>
                  <w:tcW w:w="556" w:type="pct"/>
                  <w:vAlign w:val="center"/>
                </w:tcPr>
                <w:p w14:paraId="405CA6F3">
                  <w:pPr>
                    <w:adjustRightInd w:val="0"/>
                    <w:snapToGrid w:val="0"/>
                    <w:jc w:val="center"/>
                    <w:rPr>
                      <w:color w:val="auto"/>
                      <w:spacing w:val="-10"/>
                      <w:szCs w:val="21"/>
                    </w:rPr>
                  </w:pPr>
                  <w:r>
                    <w:rPr>
                      <w:rFonts w:hint="eastAsia"/>
                      <w:color w:val="auto"/>
                      <w:spacing w:val="-10"/>
                      <w:szCs w:val="21"/>
                    </w:rPr>
                    <w:t>有</w:t>
                  </w:r>
                  <w:r>
                    <w:rPr>
                      <w:color w:val="auto"/>
                      <w:spacing w:val="-10"/>
                      <w:szCs w:val="21"/>
                    </w:rPr>
                    <w:t>组织</w:t>
                  </w:r>
                </w:p>
              </w:tc>
              <w:tc>
                <w:tcPr>
                  <w:tcW w:w="495" w:type="pct"/>
                  <w:vAlign w:val="center"/>
                </w:tcPr>
                <w:p w14:paraId="71AD41A8">
                  <w:pPr>
                    <w:adjustRightInd w:val="0"/>
                    <w:snapToGrid w:val="0"/>
                    <w:jc w:val="center"/>
                    <w:rPr>
                      <w:color w:val="auto"/>
                      <w:spacing w:val="-10"/>
                      <w:szCs w:val="21"/>
                    </w:rPr>
                  </w:pPr>
                  <w:r>
                    <w:rPr>
                      <w:rFonts w:hint="eastAsia"/>
                      <w:color w:val="auto"/>
                      <w:spacing w:val="-10"/>
                      <w:szCs w:val="21"/>
                    </w:rPr>
                    <w:t>无组织</w:t>
                  </w:r>
                </w:p>
              </w:tc>
              <w:tc>
                <w:tcPr>
                  <w:tcW w:w="565" w:type="pct"/>
                  <w:vAlign w:val="center"/>
                </w:tcPr>
                <w:p w14:paraId="32C4F631">
                  <w:pPr>
                    <w:adjustRightInd w:val="0"/>
                    <w:snapToGrid w:val="0"/>
                    <w:jc w:val="center"/>
                    <w:rPr>
                      <w:color w:val="auto"/>
                      <w:spacing w:val="-10"/>
                      <w:szCs w:val="21"/>
                    </w:rPr>
                  </w:pPr>
                  <w:r>
                    <w:rPr>
                      <w:rFonts w:hint="eastAsia"/>
                      <w:color w:val="auto"/>
                      <w:spacing w:val="-10"/>
                      <w:szCs w:val="21"/>
                    </w:rPr>
                    <w:t>有</w:t>
                  </w:r>
                  <w:r>
                    <w:rPr>
                      <w:color w:val="auto"/>
                      <w:spacing w:val="-10"/>
                      <w:szCs w:val="21"/>
                    </w:rPr>
                    <w:t>组织</w:t>
                  </w:r>
                </w:p>
              </w:tc>
              <w:tc>
                <w:tcPr>
                  <w:tcW w:w="442" w:type="pct"/>
                  <w:vAlign w:val="center"/>
                </w:tcPr>
                <w:p w14:paraId="7F209E7E">
                  <w:pPr>
                    <w:adjustRightInd w:val="0"/>
                    <w:snapToGrid w:val="0"/>
                    <w:jc w:val="center"/>
                    <w:rPr>
                      <w:color w:val="auto"/>
                      <w:spacing w:val="-10"/>
                      <w:szCs w:val="21"/>
                    </w:rPr>
                  </w:pPr>
                  <w:r>
                    <w:rPr>
                      <w:rFonts w:hint="eastAsia"/>
                      <w:color w:val="auto"/>
                      <w:spacing w:val="-10"/>
                      <w:szCs w:val="21"/>
                    </w:rPr>
                    <w:t>无组织</w:t>
                  </w:r>
                </w:p>
              </w:tc>
              <w:tc>
                <w:tcPr>
                  <w:tcW w:w="521" w:type="pct"/>
                  <w:vAlign w:val="center"/>
                </w:tcPr>
                <w:p w14:paraId="09DE2A4A">
                  <w:pPr>
                    <w:adjustRightInd w:val="0"/>
                    <w:snapToGrid w:val="0"/>
                    <w:jc w:val="center"/>
                    <w:rPr>
                      <w:color w:val="auto"/>
                      <w:spacing w:val="-10"/>
                      <w:szCs w:val="21"/>
                    </w:rPr>
                  </w:pPr>
                  <w:r>
                    <w:rPr>
                      <w:rFonts w:hint="eastAsia"/>
                      <w:color w:val="auto"/>
                      <w:spacing w:val="-10"/>
                      <w:szCs w:val="21"/>
                      <w:lang w:val="en-US" w:eastAsia="zh-CN"/>
                    </w:rPr>
                    <w:t>有</w:t>
                  </w:r>
                  <w:r>
                    <w:rPr>
                      <w:rFonts w:hint="eastAsia"/>
                      <w:color w:val="auto"/>
                      <w:spacing w:val="-10"/>
                      <w:szCs w:val="21"/>
                    </w:rPr>
                    <w:t>组织</w:t>
                  </w:r>
                </w:p>
              </w:tc>
              <w:tc>
                <w:tcPr>
                  <w:tcW w:w="495" w:type="pct"/>
                  <w:vAlign w:val="center"/>
                </w:tcPr>
                <w:p w14:paraId="00BE0F67">
                  <w:pPr>
                    <w:adjustRightInd w:val="0"/>
                    <w:snapToGrid w:val="0"/>
                    <w:jc w:val="center"/>
                    <w:rPr>
                      <w:rFonts w:hint="eastAsia" w:eastAsia="宋体"/>
                      <w:color w:val="auto"/>
                      <w:spacing w:val="-10"/>
                      <w:szCs w:val="21"/>
                      <w:lang w:val="en-US" w:eastAsia="zh-CN"/>
                    </w:rPr>
                  </w:pPr>
                  <w:r>
                    <w:rPr>
                      <w:rFonts w:hint="eastAsia"/>
                      <w:color w:val="auto"/>
                      <w:spacing w:val="-10"/>
                      <w:szCs w:val="21"/>
                      <w:lang w:val="en-US" w:eastAsia="zh-CN"/>
                    </w:rPr>
                    <w:t>无组织</w:t>
                  </w:r>
                </w:p>
              </w:tc>
              <w:tc>
                <w:tcPr>
                  <w:tcW w:w="573" w:type="pct"/>
                  <w:vAlign w:val="center"/>
                </w:tcPr>
                <w:p w14:paraId="3FB2CDEE">
                  <w:pPr>
                    <w:adjustRightInd w:val="0"/>
                    <w:snapToGrid w:val="0"/>
                    <w:jc w:val="center"/>
                    <w:rPr>
                      <w:rFonts w:hint="default" w:eastAsia="宋体"/>
                      <w:color w:val="auto"/>
                      <w:spacing w:val="-10"/>
                      <w:szCs w:val="21"/>
                      <w:lang w:val="en-US" w:eastAsia="zh-CN"/>
                    </w:rPr>
                  </w:pPr>
                  <w:r>
                    <w:rPr>
                      <w:rFonts w:hint="eastAsia"/>
                      <w:color w:val="auto"/>
                      <w:spacing w:val="-10"/>
                      <w:szCs w:val="21"/>
                      <w:lang w:val="en-US" w:eastAsia="zh-CN"/>
                    </w:rPr>
                    <w:t>无组织</w:t>
                  </w:r>
                </w:p>
              </w:tc>
              <w:tc>
                <w:tcPr>
                  <w:tcW w:w="478" w:type="pct"/>
                  <w:vAlign w:val="center"/>
                </w:tcPr>
                <w:p w14:paraId="59A0F628">
                  <w:pPr>
                    <w:adjustRightInd w:val="0"/>
                    <w:snapToGrid w:val="0"/>
                    <w:jc w:val="center"/>
                    <w:rPr>
                      <w:rFonts w:hint="eastAsia"/>
                      <w:color w:val="auto"/>
                      <w:spacing w:val="-10"/>
                      <w:szCs w:val="21"/>
                      <w:lang w:val="en-US" w:eastAsia="zh-CN"/>
                    </w:rPr>
                  </w:pPr>
                  <w:r>
                    <w:rPr>
                      <w:rFonts w:hint="eastAsia"/>
                      <w:color w:val="auto"/>
                      <w:spacing w:val="-10"/>
                      <w:szCs w:val="21"/>
                      <w:lang w:val="en-US" w:eastAsia="zh-CN"/>
                    </w:rPr>
                    <w:t>无组织</w:t>
                  </w:r>
                </w:p>
              </w:tc>
            </w:tr>
            <w:tr w14:paraId="7B315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restart"/>
                  <w:vAlign w:val="center"/>
                </w:tcPr>
                <w:p w14:paraId="5174694D">
                  <w:pPr>
                    <w:adjustRightInd w:val="0"/>
                    <w:snapToGrid w:val="0"/>
                    <w:jc w:val="center"/>
                    <w:rPr>
                      <w:b/>
                      <w:color w:val="auto"/>
                      <w:spacing w:val="-10"/>
                      <w:szCs w:val="21"/>
                    </w:rPr>
                  </w:pPr>
                  <w:r>
                    <w:rPr>
                      <w:b/>
                      <w:color w:val="auto"/>
                      <w:spacing w:val="-10"/>
                      <w:szCs w:val="21"/>
                    </w:rPr>
                    <w:t>治理设施</w:t>
                  </w:r>
                </w:p>
              </w:tc>
              <w:tc>
                <w:tcPr>
                  <w:tcW w:w="648" w:type="pct"/>
                  <w:vAlign w:val="center"/>
                </w:tcPr>
                <w:p w14:paraId="752E6446">
                  <w:pPr>
                    <w:adjustRightInd w:val="0"/>
                    <w:snapToGrid w:val="0"/>
                    <w:jc w:val="center"/>
                    <w:rPr>
                      <w:b/>
                      <w:color w:val="auto"/>
                      <w:spacing w:val="-10"/>
                      <w:szCs w:val="21"/>
                    </w:rPr>
                  </w:pPr>
                  <w:r>
                    <w:rPr>
                      <w:b/>
                      <w:color w:val="auto"/>
                      <w:spacing w:val="-10"/>
                      <w:szCs w:val="21"/>
                    </w:rPr>
                    <w:t>处理能力</w:t>
                  </w:r>
                </w:p>
              </w:tc>
              <w:tc>
                <w:tcPr>
                  <w:tcW w:w="556" w:type="pct"/>
                  <w:vAlign w:val="center"/>
                </w:tcPr>
                <w:p w14:paraId="2870FE5A">
                  <w:pPr>
                    <w:adjustRightInd w:val="0"/>
                    <w:snapToGrid w:val="0"/>
                    <w:jc w:val="center"/>
                    <w:rPr>
                      <w:color w:val="auto"/>
                      <w:spacing w:val="-10"/>
                      <w:szCs w:val="21"/>
                    </w:rPr>
                  </w:pPr>
                  <w:r>
                    <w:rPr>
                      <w:rFonts w:hint="eastAsia"/>
                      <w:color w:val="auto"/>
                      <w:kern w:val="0"/>
                      <w:szCs w:val="21"/>
                      <w:lang w:val="en-US" w:eastAsia="zh-CN" w:bidi="ar"/>
                    </w:rPr>
                    <w:t>20000</w:t>
                  </w:r>
                  <w:r>
                    <w:rPr>
                      <w:color w:val="auto"/>
                      <w:kern w:val="0"/>
                      <w:szCs w:val="21"/>
                      <w:lang w:bidi="ar"/>
                    </w:rPr>
                    <w:t>m</w:t>
                  </w:r>
                  <w:r>
                    <w:rPr>
                      <w:color w:val="auto"/>
                      <w:kern w:val="0"/>
                      <w:szCs w:val="21"/>
                      <w:vertAlign w:val="superscript"/>
                      <w:lang w:bidi="ar"/>
                    </w:rPr>
                    <w:t>3</w:t>
                  </w:r>
                  <w:r>
                    <w:rPr>
                      <w:color w:val="auto"/>
                      <w:kern w:val="0"/>
                      <w:szCs w:val="21"/>
                      <w:lang w:bidi="ar"/>
                    </w:rPr>
                    <w:t>/h</w:t>
                  </w:r>
                </w:p>
              </w:tc>
              <w:tc>
                <w:tcPr>
                  <w:tcW w:w="495" w:type="pct"/>
                  <w:vAlign w:val="center"/>
                </w:tcPr>
                <w:p w14:paraId="10D532FC">
                  <w:pPr>
                    <w:adjustRightInd w:val="0"/>
                    <w:snapToGrid w:val="0"/>
                    <w:jc w:val="center"/>
                    <w:rPr>
                      <w:color w:val="auto"/>
                      <w:spacing w:val="-10"/>
                      <w:szCs w:val="21"/>
                    </w:rPr>
                  </w:pPr>
                  <w:r>
                    <w:rPr>
                      <w:rFonts w:hint="eastAsia"/>
                      <w:color w:val="auto"/>
                      <w:spacing w:val="-10"/>
                      <w:szCs w:val="21"/>
                    </w:rPr>
                    <w:t>/</w:t>
                  </w:r>
                </w:p>
              </w:tc>
              <w:tc>
                <w:tcPr>
                  <w:tcW w:w="565" w:type="pct"/>
                  <w:vAlign w:val="center"/>
                </w:tcPr>
                <w:p w14:paraId="77639C88">
                  <w:pPr>
                    <w:adjustRightInd w:val="0"/>
                    <w:snapToGrid w:val="0"/>
                    <w:jc w:val="center"/>
                    <w:rPr>
                      <w:color w:val="auto"/>
                      <w:szCs w:val="21"/>
                    </w:rPr>
                  </w:pPr>
                  <w:r>
                    <w:rPr>
                      <w:rFonts w:hint="eastAsia"/>
                      <w:color w:val="auto"/>
                      <w:kern w:val="0"/>
                      <w:szCs w:val="21"/>
                      <w:lang w:val="en-US" w:eastAsia="zh-CN" w:bidi="ar"/>
                    </w:rPr>
                    <w:t>20000</w:t>
                  </w:r>
                  <w:r>
                    <w:rPr>
                      <w:color w:val="auto"/>
                      <w:kern w:val="0"/>
                      <w:szCs w:val="21"/>
                      <w:lang w:bidi="ar"/>
                    </w:rPr>
                    <w:t>m</w:t>
                  </w:r>
                  <w:r>
                    <w:rPr>
                      <w:color w:val="auto"/>
                      <w:kern w:val="0"/>
                      <w:szCs w:val="21"/>
                      <w:vertAlign w:val="superscript"/>
                      <w:lang w:bidi="ar"/>
                    </w:rPr>
                    <w:t>3</w:t>
                  </w:r>
                  <w:r>
                    <w:rPr>
                      <w:color w:val="auto"/>
                      <w:kern w:val="0"/>
                      <w:szCs w:val="21"/>
                      <w:lang w:bidi="ar"/>
                    </w:rPr>
                    <w:t>/h</w:t>
                  </w:r>
                </w:p>
              </w:tc>
              <w:tc>
                <w:tcPr>
                  <w:tcW w:w="442" w:type="pct"/>
                  <w:vAlign w:val="center"/>
                </w:tcPr>
                <w:p w14:paraId="267485FC">
                  <w:pPr>
                    <w:adjustRightInd w:val="0"/>
                    <w:snapToGrid w:val="0"/>
                    <w:jc w:val="center"/>
                    <w:rPr>
                      <w:color w:val="auto"/>
                      <w:szCs w:val="21"/>
                      <w:highlight w:val="yellow"/>
                    </w:rPr>
                  </w:pPr>
                  <w:r>
                    <w:rPr>
                      <w:rFonts w:hint="eastAsia"/>
                      <w:color w:val="auto"/>
                      <w:spacing w:val="-10"/>
                      <w:szCs w:val="21"/>
                    </w:rPr>
                    <w:t>/</w:t>
                  </w:r>
                </w:p>
              </w:tc>
              <w:tc>
                <w:tcPr>
                  <w:tcW w:w="521" w:type="pct"/>
                  <w:vAlign w:val="center"/>
                </w:tcPr>
                <w:p w14:paraId="2D3D594C">
                  <w:pPr>
                    <w:adjustRightInd w:val="0"/>
                    <w:snapToGrid w:val="0"/>
                    <w:jc w:val="center"/>
                    <w:rPr>
                      <w:color w:val="auto"/>
                      <w:szCs w:val="21"/>
                      <w:highlight w:val="none"/>
                    </w:rPr>
                  </w:pPr>
                  <w:r>
                    <w:rPr>
                      <w:rFonts w:hint="eastAsia"/>
                      <w:color w:val="auto"/>
                      <w:kern w:val="0"/>
                      <w:szCs w:val="21"/>
                      <w:highlight w:val="none"/>
                      <w:lang w:val="en-US" w:eastAsia="zh-CN" w:bidi="ar"/>
                    </w:rPr>
                    <w:t>1000</w:t>
                  </w:r>
                  <w:r>
                    <w:rPr>
                      <w:color w:val="auto"/>
                      <w:kern w:val="0"/>
                      <w:szCs w:val="21"/>
                      <w:highlight w:val="none"/>
                      <w:lang w:bidi="ar"/>
                    </w:rPr>
                    <w:t>m</w:t>
                  </w:r>
                  <w:r>
                    <w:rPr>
                      <w:color w:val="auto"/>
                      <w:kern w:val="0"/>
                      <w:szCs w:val="21"/>
                      <w:highlight w:val="none"/>
                      <w:vertAlign w:val="superscript"/>
                      <w:lang w:bidi="ar"/>
                    </w:rPr>
                    <w:t>3</w:t>
                  </w:r>
                  <w:r>
                    <w:rPr>
                      <w:color w:val="auto"/>
                      <w:kern w:val="0"/>
                      <w:szCs w:val="21"/>
                      <w:highlight w:val="none"/>
                      <w:lang w:bidi="ar"/>
                    </w:rPr>
                    <w:t>/h</w:t>
                  </w:r>
                </w:p>
              </w:tc>
              <w:tc>
                <w:tcPr>
                  <w:tcW w:w="495" w:type="pct"/>
                  <w:vAlign w:val="center"/>
                </w:tcPr>
                <w:p w14:paraId="3898C4C2">
                  <w:pPr>
                    <w:adjustRightInd w:val="0"/>
                    <w:snapToGrid w:val="0"/>
                    <w:jc w:val="center"/>
                    <w:rPr>
                      <w:rFonts w:hint="eastAsia" w:eastAsia="宋体"/>
                      <w:color w:val="auto"/>
                      <w:kern w:val="0"/>
                      <w:szCs w:val="21"/>
                      <w:lang w:val="en-US" w:eastAsia="zh-CN" w:bidi="ar"/>
                    </w:rPr>
                  </w:pPr>
                  <w:r>
                    <w:rPr>
                      <w:rFonts w:hint="eastAsia"/>
                      <w:color w:val="auto"/>
                      <w:spacing w:val="-10"/>
                      <w:szCs w:val="21"/>
                    </w:rPr>
                    <w:t>/</w:t>
                  </w:r>
                </w:p>
              </w:tc>
              <w:tc>
                <w:tcPr>
                  <w:tcW w:w="573" w:type="pct"/>
                  <w:vAlign w:val="center"/>
                </w:tcPr>
                <w:p w14:paraId="74BFA718">
                  <w:pPr>
                    <w:adjustRightInd w:val="0"/>
                    <w:snapToGrid w:val="0"/>
                    <w:jc w:val="center"/>
                    <w:rPr>
                      <w:color w:val="auto"/>
                      <w:szCs w:val="21"/>
                      <w:highlight w:val="yellow"/>
                    </w:rPr>
                  </w:pPr>
                  <w:r>
                    <w:rPr>
                      <w:rFonts w:hint="eastAsia"/>
                      <w:color w:val="auto"/>
                      <w:kern w:val="0"/>
                      <w:szCs w:val="21"/>
                      <w:lang w:val="en-US" w:eastAsia="zh-CN" w:bidi="ar"/>
                    </w:rPr>
                    <w:t>/</w:t>
                  </w:r>
                </w:p>
              </w:tc>
              <w:tc>
                <w:tcPr>
                  <w:tcW w:w="478" w:type="pct"/>
                  <w:vAlign w:val="center"/>
                </w:tcPr>
                <w:p w14:paraId="755ADF8A">
                  <w:pPr>
                    <w:adjustRightInd w:val="0"/>
                    <w:snapToGrid w:val="0"/>
                    <w:jc w:val="center"/>
                    <w:rPr>
                      <w:rFonts w:hint="eastAsia"/>
                      <w:color w:val="auto"/>
                      <w:kern w:val="0"/>
                      <w:szCs w:val="21"/>
                      <w:lang w:val="en-US" w:eastAsia="zh-CN" w:bidi="ar"/>
                    </w:rPr>
                  </w:pPr>
                  <w:r>
                    <w:rPr>
                      <w:rFonts w:hint="eastAsia"/>
                      <w:color w:val="auto"/>
                      <w:kern w:val="0"/>
                      <w:szCs w:val="21"/>
                      <w:lang w:val="en-US" w:eastAsia="zh-CN" w:bidi="ar"/>
                    </w:rPr>
                    <w:t>2000</w:t>
                  </w:r>
                  <w:r>
                    <w:rPr>
                      <w:color w:val="auto"/>
                      <w:kern w:val="0"/>
                      <w:szCs w:val="21"/>
                      <w:lang w:bidi="ar"/>
                    </w:rPr>
                    <w:t>m</w:t>
                  </w:r>
                  <w:r>
                    <w:rPr>
                      <w:color w:val="auto"/>
                      <w:kern w:val="0"/>
                      <w:szCs w:val="21"/>
                      <w:vertAlign w:val="superscript"/>
                      <w:lang w:bidi="ar"/>
                    </w:rPr>
                    <w:t>3</w:t>
                  </w:r>
                  <w:r>
                    <w:rPr>
                      <w:color w:val="auto"/>
                      <w:kern w:val="0"/>
                      <w:szCs w:val="21"/>
                      <w:lang w:bidi="ar"/>
                    </w:rPr>
                    <w:t>/h</w:t>
                  </w:r>
                </w:p>
              </w:tc>
            </w:tr>
            <w:tr w14:paraId="363A2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continue"/>
                  <w:vAlign w:val="center"/>
                </w:tcPr>
                <w:p w14:paraId="2DCC4659">
                  <w:pPr>
                    <w:adjustRightInd w:val="0"/>
                    <w:snapToGrid w:val="0"/>
                    <w:jc w:val="center"/>
                    <w:rPr>
                      <w:b/>
                      <w:color w:val="auto"/>
                      <w:spacing w:val="-10"/>
                      <w:szCs w:val="21"/>
                    </w:rPr>
                  </w:pPr>
                </w:p>
              </w:tc>
              <w:tc>
                <w:tcPr>
                  <w:tcW w:w="648" w:type="pct"/>
                  <w:vAlign w:val="center"/>
                </w:tcPr>
                <w:p w14:paraId="6755B0C5">
                  <w:pPr>
                    <w:adjustRightInd w:val="0"/>
                    <w:snapToGrid w:val="0"/>
                    <w:jc w:val="center"/>
                    <w:rPr>
                      <w:b/>
                      <w:color w:val="auto"/>
                      <w:spacing w:val="-10"/>
                      <w:szCs w:val="21"/>
                    </w:rPr>
                  </w:pPr>
                  <w:r>
                    <w:rPr>
                      <w:b/>
                      <w:color w:val="auto"/>
                      <w:spacing w:val="-10"/>
                      <w:szCs w:val="21"/>
                    </w:rPr>
                    <w:t>收集效率</w:t>
                  </w:r>
                </w:p>
              </w:tc>
              <w:tc>
                <w:tcPr>
                  <w:tcW w:w="556" w:type="pct"/>
                  <w:vAlign w:val="center"/>
                </w:tcPr>
                <w:p w14:paraId="6D8D904A">
                  <w:pPr>
                    <w:adjustRightInd w:val="0"/>
                    <w:snapToGrid w:val="0"/>
                    <w:jc w:val="center"/>
                    <w:rPr>
                      <w:color w:val="auto"/>
                      <w:spacing w:val="-10"/>
                      <w:szCs w:val="21"/>
                    </w:rPr>
                  </w:pPr>
                  <w:r>
                    <w:rPr>
                      <w:rFonts w:hint="eastAsia"/>
                      <w:color w:val="auto"/>
                      <w:spacing w:val="-10"/>
                      <w:szCs w:val="21"/>
                    </w:rPr>
                    <w:t>80%</w:t>
                  </w:r>
                </w:p>
              </w:tc>
              <w:tc>
                <w:tcPr>
                  <w:tcW w:w="495" w:type="pct"/>
                  <w:vAlign w:val="center"/>
                </w:tcPr>
                <w:p w14:paraId="49B9D7CB">
                  <w:pPr>
                    <w:adjustRightInd w:val="0"/>
                    <w:snapToGrid w:val="0"/>
                    <w:jc w:val="center"/>
                    <w:rPr>
                      <w:color w:val="auto"/>
                      <w:spacing w:val="-10"/>
                      <w:szCs w:val="21"/>
                    </w:rPr>
                  </w:pPr>
                  <w:r>
                    <w:rPr>
                      <w:rFonts w:hint="eastAsia"/>
                      <w:color w:val="auto"/>
                      <w:spacing w:val="-10"/>
                      <w:szCs w:val="21"/>
                    </w:rPr>
                    <w:t>/</w:t>
                  </w:r>
                </w:p>
              </w:tc>
              <w:tc>
                <w:tcPr>
                  <w:tcW w:w="565" w:type="pct"/>
                  <w:vAlign w:val="center"/>
                </w:tcPr>
                <w:p w14:paraId="3AF616D6">
                  <w:pPr>
                    <w:adjustRightInd w:val="0"/>
                    <w:snapToGrid w:val="0"/>
                    <w:jc w:val="center"/>
                    <w:rPr>
                      <w:color w:val="auto"/>
                      <w:spacing w:val="-10"/>
                      <w:szCs w:val="21"/>
                    </w:rPr>
                  </w:pPr>
                  <w:r>
                    <w:rPr>
                      <w:rFonts w:hint="eastAsia"/>
                      <w:color w:val="auto"/>
                      <w:spacing w:val="-10"/>
                      <w:szCs w:val="21"/>
                    </w:rPr>
                    <w:t>80%</w:t>
                  </w:r>
                </w:p>
              </w:tc>
              <w:tc>
                <w:tcPr>
                  <w:tcW w:w="442" w:type="pct"/>
                  <w:vAlign w:val="center"/>
                </w:tcPr>
                <w:p w14:paraId="4765A703">
                  <w:pPr>
                    <w:adjustRightInd w:val="0"/>
                    <w:snapToGrid w:val="0"/>
                    <w:jc w:val="center"/>
                    <w:rPr>
                      <w:color w:val="auto"/>
                      <w:spacing w:val="-10"/>
                      <w:szCs w:val="21"/>
                    </w:rPr>
                  </w:pPr>
                  <w:r>
                    <w:rPr>
                      <w:rFonts w:hint="eastAsia"/>
                      <w:color w:val="auto"/>
                      <w:spacing w:val="-10"/>
                      <w:szCs w:val="21"/>
                    </w:rPr>
                    <w:t>/</w:t>
                  </w:r>
                </w:p>
              </w:tc>
              <w:tc>
                <w:tcPr>
                  <w:tcW w:w="521" w:type="pct"/>
                  <w:vAlign w:val="center"/>
                </w:tcPr>
                <w:p w14:paraId="536AA23F">
                  <w:pPr>
                    <w:adjustRightInd w:val="0"/>
                    <w:snapToGrid w:val="0"/>
                    <w:jc w:val="center"/>
                    <w:rPr>
                      <w:rFonts w:hint="default" w:eastAsia="宋体"/>
                      <w:color w:val="auto"/>
                      <w:spacing w:val="-10"/>
                      <w:szCs w:val="21"/>
                      <w:lang w:val="en-US" w:eastAsia="zh-CN"/>
                    </w:rPr>
                  </w:pPr>
                  <w:r>
                    <w:rPr>
                      <w:rFonts w:hint="eastAsia"/>
                      <w:color w:val="auto"/>
                      <w:spacing w:val="-10"/>
                      <w:szCs w:val="21"/>
                      <w:lang w:val="en-US" w:eastAsia="zh-CN"/>
                    </w:rPr>
                    <w:t>80%</w:t>
                  </w:r>
                </w:p>
              </w:tc>
              <w:tc>
                <w:tcPr>
                  <w:tcW w:w="495" w:type="pct"/>
                  <w:vAlign w:val="center"/>
                </w:tcPr>
                <w:p w14:paraId="4EB61FC2">
                  <w:pPr>
                    <w:adjustRightInd w:val="0"/>
                    <w:snapToGrid w:val="0"/>
                    <w:jc w:val="center"/>
                    <w:rPr>
                      <w:rFonts w:hint="eastAsia" w:eastAsia="宋体"/>
                      <w:color w:val="auto"/>
                      <w:spacing w:val="-10"/>
                      <w:szCs w:val="21"/>
                      <w:lang w:eastAsia="zh-CN"/>
                    </w:rPr>
                  </w:pPr>
                  <w:r>
                    <w:rPr>
                      <w:rFonts w:hint="eastAsia"/>
                      <w:color w:val="auto"/>
                      <w:spacing w:val="-10"/>
                      <w:szCs w:val="21"/>
                    </w:rPr>
                    <w:t>/</w:t>
                  </w:r>
                </w:p>
              </w:tc>
              <w:tc>
                <w:tcPr>
                  <w:tcW w:w="573" w:type="pct"/>
                  <w:vAlign w:val="center"/>
                </w:tcPr>
                <w:p w14:paraId="74DAD3BD">
                  <w:pPr>
                    <w:adjustRightInd w:val="0"/>
                    <w:snapToGrid w:val="0"/>
                    <w:jc w:val="center"/>
                    <w:rPr>
                      <w:rFonts w:hint="eastAsia" w:eastAsia="宋体"/>
                      <w:color w:val="auto"/>
                      <w:spacing w:val="-10"/>
                      <w:szCs w:val="21"/>
                      <w:lang w:val="en-US" w:eastAsia="zh-CN"/>
                    </w:rPr>
                  </w:pPr>
                  <w:r>
                    <w:rPr>
                      <w:rFonts w:hint="eastAsia"/>
                      <w:color w:val="auto"/>
                      <w:spacing w:val="-10"/>
                      <w:szCs w:val="21"/>
                      <w:lang w:val="en-US" w:eastAsia="zh-CN"/>
                    </w:rPr>
                    <w:t>/</w:t>
                  </w:r>
                </w:p>
              </w:tc>
              <w:tc>
                <w:tcPr>
                  <w:tcW w:w="478" w:type="pct"/>
                  <w:vAlign w:val="center"/>
                </w:tcPr>
                <w:p w14:paraId="1823A2FC">
                  <w:pPr>
                    <w:adjustRightInd w:val="0"/>
                    <w:snapToGrid w:val="0"/>
                    <w:jc w:val="center"/>
                    <w:rPr>
                      <w:rFonts w:hint="eastAsia"/>
                      <w:color w:val="auto"/>
                      <w:spacing w:val="-10"/>
                      <w:szCs w:val="21"/>
                      <w:lang w:val="en-US" w:eastAsia="zh-CN"/>
                    </w:rPr>
                  </w:pPr>
                  <w:r>
                    <w:rPr>
                      <w:rFonts w:hint="eastAsia"/>
                      <w:color w:val="auto"/>
                      <w:spacing w:val="-10"/>
                      <w:szCs w:val="21"/>
                      <w:lang w:val="en-US" w:eastAsia="zh-CN"/>
                    </w:rPr>
                    <w:t>/</w:t>
                  </w:r>
                </w:p>
              </w:tc>
            </w:tr>
            <w:tr w14:paraId="707A3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continue"/>
                  <w:vAlign w:val="center"/>
                </w:tcPr>
                <w:p w14:paraId="2741D620">
                  <w:pPr>
                    <w:adjustRightInd w:val="0"/>
                    <w:snapToGrid w:val="0"/>
                    <w:jc w:val="center"/>
                    <w:rPr>
                      <w:b/>
                      <w:color w:val="auto"/>
                      <w:spacing w:val="-10"/>
                      <w:szCs w:val="21"/>
                    </w:rPr>
                  </w:pPr>
                </w:p>
              </w:tc>
              <w:tc>
                <w:tcPr>
                  <w:tcW w:w="648" w:type="pct"/>
                  <w:vAlign w:val="center"/>
                </w:tcPr>
                <w:p w14:paraId="5445445A">
                  <w:pPr>
                    <w:adjustRightInd w:val="0"/>
                    <w:snapToGrid w:val="0"/>
                    <w:jc w:val="center"/>
                    <w:rPr>
                      <w:b/>
                      <w:color w:val="auto"/>
                      <w:spacing w:val="-10"/>
                      <w:szCs w:val="21"/>
                    </w:rPr>
                  </w:pPr>
                  <w:r>
                    <w:rPr>
                      <w:b/>
                      <w:color w:val="auto"/>
                      <w:spacing w:val="-10"/>
                      <w:szCs w:val="21"/>
                    </w:rPr>
                    <w:t>治理工艺</w:t>
                  </w:r>
                </w:p>
              </w:tc>
              <w:tc>
                <w:tcPr>
                  <w:tcW w:w="556" w:type="pct"/>
                  <w:vAlign w:val="center"/>
                </w:tcPr>
                <w:p w14:paraId="3E02921F">
                  <w:pPr>
                    <w:adjustRightInd w:val="0"/>
                    <w:snapToGrid w:val="0"/>
                    <w:jc w:val="center"/>
                    <w:rPr>
                      <w:color w:val="auto"/>
                      <w:spacing w:val="-10"/>
                      <w:szCs w:val="21"/>
                    </w:rPr>
                  </w:pPr>
                  <w:r>
                    <w:rPr>
                      <w:rFonts w:hint="eastAsia"/>
                      <w:color w:val="auto"/>
                      <w:kern w:val="0"/>
                      <w:szCs w:val="21"/>
                      <w:lang w:val="zh-CN" w:bidi="ar"/>
                    </w:rPr>
                    <w:t>三级活性炭吸附装置</w:t>
                  </w:r>
                </w:p>
              </w:tc>
              <w:tc>
                <w:tcPr>
                  <w:tcW w:w="495" w:type="pct"/>
                  <w:vAlign w:val="center"/>
                </w:tcPr>
                <w:p w14:paraId="6EEBD9C9">
                  <w:pPr>
                    <w:adjustRightInd w:val="0"/>
                    <w:snapToGrid w:val="0"/>
                    <w:jc w:val="center"/>
                    <w:rPr>
                      <w:color w:val="auto"/>
                      <w:spacing w:val="-10"/>
                      <w:szCs w:val="21"/>
                    </w:rPr>
                  </w:pPr>
                  <w:r>
                    <w:rPr>
                      <w:color w:val="auto"/>
                      <w:spacing w:val="-10"/>
                      <w:szCs w:val="21"/>
                    </w:rPr>
                    <w:t>自然稀释扩散</w:t>
                  </w:r>
                </w:p>
              </w:tc>
              <w:tc>
                <w:tcPr>
                  <w:tcW w:w="565" w:type="pct"/>
                  <w:vAlign w:val="center"/>
                </w:tcPr>
                <w:p w14:paraId="0114D5F0">
                  <w:pPr>
                    <w:adjustRightInd w:val="0"/>
                    <w:snapToGrid w:val="0"/>
                    <w:jc w:val="center"/>
                    <w:rPr>
                      <w:color w:val="auto"/>
                      <w:szCs w:val="21"/>
                    </w:rPr>
                  </w:pPr>
                  <w:r>
                    <w:rPr>
                      <w:rFonts w:hint="eastAsia"/>
                      <w:color w:val="auto"/>
                      <w:kern w:val="0"/>
                      <w:szCs w:val="21"/>
                      <w:lang w:val="zh-CN" w:bidi="ar"/>
                    </w:rPr>
                    <w:t>三级活性炭吸附装置</w:t>
                  </w:r>
                </w:p>
              </w:tc>
              <w:tc>
                <w:tcPr>
                  <w:tcW w:w="442" w:type="pct"/>
                  <w:vAlign w:val="center"/>
                </w:tcPr>
                <w:p w14:paraId="302D8F44">
                  <w:pPr>
                    <w:adjustRightInd w:val="0"/>
                    <w:snapToGrid w:val="0"/>
                    <w:jc w:val="center"/>
                    <w:rPr>
                      <w:color w:val="auto"/>
                      <w:szCs w:val="21"/>
                    </w:rPr>
                  </w:pPr>
                  <w:r>
                    <w:rPr>
                      <w:color w:val="auto"/>
                      <w:spacing w:val="-10"/>
                      <w:szCs w:val="21"/>
                    </w:rPr>
                    <w:t>自然稀释扩散</w:t>
                  </w:r>
                </w:p>
              </w:tc>
              <w:tc>
                <w:tcPr>
                  <w:tcW w:w="521" w:type="pct"/>
                  <w:vAlign w:val="center"/>
                </w:tcPr>
                <w:p w14:paraId="697938B0">
                  <w:pPr>
                    <w:adjustRightInd w:val="0"/>
                    <w:snapToGrid w:val="0"/>
                    <w:jc w:val="center"/>
                    <w:rPr>
                      <w:rFonts w:hint="eastAsia" w:eastAsia="宋体"/>
                      <w:color w:val="auto"/>
                      <w:szCs w:val="21"/>
                      <w:lang w:eastAsia="zh-CN"/>
                    </w:rPr>
                  </w:pPr>
                  <w:r>
                    <w:rPr>
                      <w:rFonts w:hint="eastAsia"/>
                      <w:color w:val="auto"/>
                      <w:kern w:val="0"/>
                      <w:szCs w:val="21"/>
                      <w:lang w:val="en-US" w:eastAsia="zh-CN" w:bidi="ar"/>
                    </w:rPr>
                    <w:t>布袋除尘器</w:t>
                  </w:r>
                </w:p>
              </w:tc>
              <w:tc>
                <w:tcPr>
                  <w:tcW w:w="495" w:type="pct"/>
                  <w:vAlign w:val="center"/>
                </w:tcPr>
                <w:p w14:paraId="77B5A960">
                  <w:pPr>
                    <w:adjustRightInd w:val="0"/>
                    <w:snapToGrid w:val="0"/>
                    <w:jc w:val="center"/>
                    <w:rPr>
                      <w:rFonts w:hint="eastAsia"/>
                      <w:color w:val="auto"/>
                      <w:kern w:val="0"/>
                      <w:szCs w:val="21"/>
                      <w:lang w:bidi="ar"/>
                    </w:rPr>
                  </w:pPr>
                  <w:r>
                    <w:rPr>
                      <w:color w:val="auto"/>
                      <w:spacing w:val="-10"/>
                      <w:szCs w:val="21"/>
                    </w:rPr>
                    <w:t>自然稀释扩散</w:t>
                  </w:r>
                </w:p>
              </w:tc>
              <w:tc>
                <w:tcPr>
                  <w:tcW w:w="573" w:type="pct"/>
                  <w:vAlign w:val="center"/>
                </w:tcPr>
                <w:p w14:paraId="721D95ED">
                  <w:pPr>
                    <w:adjustRightInd w:val="0"/>
                    <w:snapToGrid w:val="0"/>
                    <w:jc w:val="center"/>
                    <w:rPr>
                      <w:rFonts w:hint="default" w:eastAsia="宋体"/>
                      <w:color w:val="auto"/>
                      <w:spacing w:val="-10"/>
                      <w:szCs w:val="21"/>
                      <w:lang w:val="en-US" w:eastAsia="zh-CN"/>
                    </w:rPr>
                  </w:pPr>
                  <w:r>
                    <w:rPr>
                      <w:rFonts w:hint="eastAsia"/>
                      <w:color w:val="auto"/>
                      <w:spacing w:val="-10"/>
                      <w:szCs w:val="21"/>
                      <w:lang w:val="en-US" w:eastAsia="zh-CN"/>
                    </w:rPr>
                    <w:t>自然沉降</w:t>
                  </w:r>
                </w:p>
              </w:tc>
              <w:tc>
                <w:tcPr>
                  <w:tcW w:w="478" w:type="pct"/>
                  <w:vAlign w:val="center"/>
                </w:tcPr>
                <w:p w14:paraId="2BBB8F28">
                  <w:pPr>
                    <w:adjustRightInd w:val="0"/>
                    <w:snapToGrid w:val="0"/>
                    <w:jc w:val="center"/>
                    <w:rPr>
                      <w:rFonts w:hint="eastAsia"/>
                      <w:color w:val="auto"/>
                      <w:kern w:val="0"/>
                      <w:szCs w:val="21"/>
                      <w:lang w:bidi="ar"/>
                    </w:rPr>
                  </w:pPr>
                  <w:r>
                    <w:rPr>
                      <w:rFonts w:hint="eastAsia"/>
                      <w:color w:val="auto"/>
                      <w:kern w:val="0"/>
                      <w:szCs w:val="21"/>
                      <w:lang w:bidi="ar"/>
                    </w:rPr>
                    <w:t>油烟净化设施</w:t>
                  </w:r>
                </w:p>
              </w:tc>
            </w:tr>
            <w:tr w14:paraId="69AB0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222" w:type="pct"/>
                  <w:vMerge w:val="continue"/>
                  <w:vAlign w:val="center"/>
                </w:tcPr>
                <w:p w14:paraId="257BC431">
                  <w:pPr>
                    <w:adjustRightInd w:val="0"/>
                    <w:snapToGrid w:val="0"/>
                    <w:jc w:val="center"/>
                    <w:rPr>
                      <w:b/>
                      <w:color w:val="auto"/>
                      <w:spacing w:val="-10"/>
                      <w:szCs w:val="21"/>
                    </w:rPr>
                  </w:pPr>
                </w:p>
              </w:tc>
              <w:tc>
                <w:tcPr>
                  <w:tcW w:w="648" w:type="pct"/>
                  <w:vAlign w:val="center"/>
                </w:tcPr>
                <w:p w14:paraId="7790C630">
                  <w:pPr>
                    <w:adjustRightInd w:val="0"/>
                    <w:snapToGrid w:val="0"/>
                    <w:jc w:val="center"/>
                    <w:rPr>
                      <w:b/>
                      <w:color w:val="auto"/>
                      <w:spacing w:val="-10"/>
                      <w:szCs w:val="21"/>
                    </w:rPr>
                  </w:pPr>
                  <w:r>
                    <w:rPr>
                      <w:b/>
                      <w:color w:val="auto"/>
                      <w:spacing w:val="-10"/>
                      <w:szCs w:val="21"/>
                    </w:rPr>
                    <w:t>治理工艺去除率</w:t>
                  </w:r>
                </w:p>
              </w:tc>
              <w:tc>
                <w:tcPr>
                  <w:tcW w:w="556" w:type="pct"/>
                  <w:vAlign w:val="center"/>
                </w:tcPr>
                <w:p w14:paraId="67C7D2BC">
                  <w:pPr>
                    <w:adjustRightInd w:val="0"/>
                    <w:snapToGrid w:val="0"/>
                    <w:jc w:val="center"/>
                    <w:rPr>
                      <w:color w:val="auto"/>
                      <w:spacing w:val="-10"/>
                      <w:szCs w:val="21"/>
                    </w:rPr>
                  </w:pPr>
                  <w:r>
                    <w:rPr>
                      <w:rFonts w:hint="eastAsia"/>
                      <w:color w:val="auto"/>
                      <w:spacing w:val="-10"/>
                      <w:szCs w:val="21"/>
                    </w:rPr>
                    <w:t>80</w:t>
                  </w:r>
                  <w:r>
                    <w:rPr>
                      <w:color w:val="auto"/>
                      <w:spacing w:val="-10"/>
                      <w:szCs w:val="21"/>
                    </w:rPr>
                    <w:t>%</w:t>
                  </w:r>
                </w:p>
              </w:tc>
              <w:tc>
                <w:tcPr>
                  <w:tcW w:w="495" w:type="pct"/>
                  <w:vAlign w:val="center"/>
                </w:tcPr>
                <w:p w14:paraId="21E7D241">
                  <w:pPr>
                    <w:adjustRightInd w:val="0"/>
                    <w:snapToGrid w:val="0"/>
                    <w:jc w:val="center"/>
                    <w:rPr>
                      <w:color w:val="auto"/>
                      <w:spacing w:val="-10"/>
                      <w:szCs w:val="21"/>
                    </w:rPr>
                  </w:pPr>
                  <w:r>
                    <w:rPr>
                      <w:rFonts w:hint="eastAsia"/>
                      <w:color w:val="auto"/>
                      <w:spacing w:val="-10"/>
                      <w:szCs w:val="21"/>
                    </w:rPr>
                    <w:t>/</w:t>
                  </w:r>
                </w:p>
              </w:tc>
              <w:tc>
                <w:tcPr>
                  <w:tcW w:w="565" w:type="pct"/>
                  <w:vAlign w:val="center"/>
                </w:tcPr>
                <w:p w14:paraId="54EE8E1A">
                  <w:pPr>
                    <w:adjustRightInd w:val="0"/>
                    <w:snapToGrid w:val="0"/>
                    <w:jc w:val="center"/>
                    <w:rPr>
                      <w:color w:val="auto"/>
                      <w:spacing w:val="-10"/>
                      <w:szCs w:val="21"/>
                    </w:rPr>
                  </w:pPr>
                  <w:r>
                    <w:rPr>
                      <w:rFonts w:hint="eastAsia"/>
                      <w:color w:val="auto"/>
                      <w:spacing w:val="-10"/>
                      <w:szCs w:val="21"/>
                    </w:rPr>
                    <w:t>80</w:t>
                  </w:r>
                  <w:r>
                    <w:rPr>
                      <w:color w:val="auto"/>
                      <w:spacing w:val="-10"/>
                      <w:szCs w:val="21"/>
                    </w:rPr>
                    <w:t>%</w:t>
                  </w:r>
                </w:p>
              </w:tc>
              <w:tc>
                <w:tcPr>
                  <w:tcW w:w="442" w:type="pct"/>
                  <w:vAlign w:val="center"/>
                </w:tcPr>
                <w:p w14:paraId="1C0496A8">
                  <w:pPr>
                    <w:adjustRightInd w:val="0"/>
                    <w:snapToGrid w:val="0"/>
                    <w:jc w:val="center"/>
                    <w:rPr>
                      <w:color w:val="auto"/>
                      <w:spacing w:val="-10"/>
                      <w:szCs w:val="21"/>
                    </w:rPr>
                  </w:pPr>
                  <w:r>
                    <w:rPr>
                      <w:rFonts w:hint="eastAsia"/>
                      <w:color w:val="auto"/>
                      <w:spacing w:val="-10"/>
                      <w:szCs w:val="21"/>
                    </w:rPr>
                    <w:t>/</w:t>
                  </w:r>
                </w:p>
              </w:tc>
              <w:tc>
                <w:tcPr>
                  <w:tcW w:w="521" w:type="pct"/>
                  <w:vAlign w:val="center"/>
                </w:tcPr>
                <w:p w14:paraId="3A24A081">
                  <w:pPr>
                    <w:adjustRightInd w:val="0"/>
                    <w:snapToGrid w:val="0"/>
                    <w:jc w:val="center"/>
                    <w:rPr>
                      <w:color w:val="auto"/>
                      <w:spacing w:val="-10"/>
                      <w:szCs w:val="21"/>
                    </w:rPr>
                  </w:pPr>
                  <w:r>
                    <w:rPr>
                      <w:rFonts w:hint="eastAsia"/>
                      <w:color w:val="auto"/>
                      <w:spacing w:val="-10"/>
                      <w:szCs w:val="21"/>
                      <w:lang w:val="en-US" w:eastAsia="zh-CN"/>
                    </w:rPr>
                    <w:t>95</w:t>
                  </w:r>
                  <w:r>
                    <w:rPr>
                      <w:color w:val="auto"/>
                      <w:spacing w:val="-10"/>
                      <w:szCs w:val="21"/>
                    </w:rPr>
                    <w:t>%</w:t>
                  </w:r>
                </w:p>
              </w:tc>
              <w:tc>
                <w:tcPr>
                  <w:tcW w:w="495" w:type="pct"/>
                  <w:vAlign w:val="center"/>
                </w:tcPr>
                <w:p w14:paraId="170FBBEB">
                  <w:pPr>
                    <w:adjustRightInd w:val="0"/>
                    <w:snapToGrid w:val="0"/>
                    <w:jc w:val="center"/>
                    <w:rPr>
                      <w:rFonts w:hint="eastAsia"/>
                      <w:color w:val="auto"/>
                      <w:spacing w:val="-10"/>
                      <w:szCs w:val="21"/>
                    </w:rPr>
                  </w:pPr>
                  <w:r>
                    <w:rPr>
                      <w:rFonts w:hint="eastAsia"/>
                      <w:color w:val="auto"/>
                      <w:spacing w:val="-10"/>
                      <w:szCs w:val="21"/>
                    </w:rPr>
                    <w:t>/</w:t>
                  </w:r>
                </w:p>
              </w:tc>
              <w:tc>
                <w:tcPr>
                  <w:tcW w:w="573" w:type="pct"/>
                  <w:vAlign w:val="center"/>
                </w:tcPr>
                <w:p w14:paraId="507F24DE">
                  <w:pPr>
                    <w:adjustRightInd w:val="0"/>
                    <w:snapToGrid w:val="0"/>
                    <w:jc w:val="center"/>
                    <w:rPr>
                      <w:color w:val="auto"/>
                      <w:spacing w:val="-10"/>
                      <w:szCs w:val="21"/>
                    </w:rPr>
                  </w:pPr>
                  <w:r>
                    <w:rPr>
                      <w:rFonts w:hint="eastAsia"/>
                      <w:color w:val="auto"/>
                      <w:spacing w:val="-10"/>
                      <w:szCs w:val="21"/>
                      <w:lang w:val="en-US" w:eastAsia="zh-CN"/>
                    </w:rPr>
                    <w:t>/</w:t>
                  </w:r>
                </w:p>
              </w:tc>
              <w:tc>
                <w:tcPr>
                  <w:tcW w:w="478" w:type="pct"/>
                  <w:vAlign w:val="center"/>
                </w:tcPr>
                <w:p w14:paraId="14B9C170">
                  <w:pPr>
                    <w:adjustRightInd w:val="0"/>
                    <w:snapToGrid w:val="0"/>
                    <w:jc w:val="center"/>
                    <w:rPr>
                      <w:rFonts w:hint="eastAsia"/>
                      <w:color w:val="auto"/>
                      <w:spacing w:val="-10"/>
                      <w:szCs w:val="21"/>
                      <w:lang w:val="en-US" w:eastAsia="zh-CN"/>
                    </w:rPr>
                  </w:pPr>
                  <w:r>
                    <w:rPr>
                      <w:rFonts w:hint="eastAsia"/>
                      <w:color w:val="auto"/>
                      <w:spacing w:val="-10"/>
                      <w:szCs w:val="21"/>
                      <w:lang w:val="en-US" w:eastAsia="zh-CN"/>
                    </w:rPr>
                    <w:t>6</w:t>
                  </w:r>
                  <w:r>
                    <w:rPr>
                      <w:rFonts w:hint="eastAsia"/>
                      <w:color w:val="auto"/>
                      <w:spacing w:val="-10"/>
                      <w:szCs w:val="21"/>
                    </w:rPr>
                    <w:t>0%</w:t>
                  </w:r>
                </w:p>
              </w:tc>
            </w:tr>
            <w:tr w14:paraId="56DEB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continue"/>
                  <w:vAlign w:val="center"/>
                </w:tcPr>
                <w:p w14:paraId="1E202B94">
                  <w:pPr>
                    <w:adjustRightInd w:val="0"/>
                    <w:snapToGrid w:val="0"/>
                    <w:jc w:val="center"/>
                    <w:rPr>
                      <w:b/>
                      <w:color w:val="auto"/>
                      <w:spacing w:val="-10"/>
                      <w:szCs w:val="21"/>
                    </w:rPr>
                  </w:pPr>
                </w:p>
              </w:tc>
              <w:tc>
                <w:tcPr>
                  <w:tcW w:w="648" w:type="pct"/>
                  <w:vAlign w:val="center"/>
                </w:tcPr>
                <w:p w14:paraId="1842FEA3">
                  <w:pPr>
                    <w:adjustRightInd w:val="0"/>
                    <w:snapToGrid w:val="0"/>
                    <w:jc w:val="center"/>
                    <w:rPr>
                      <w:b/>
                      <w:color w:val="auto"/>
                      <w:spacing w:val="-10"/>
                      <w:szCs w:val="21"/>
                    </w:rPr>
                  </w:pPr>
                  <w:r>
                    <w:rPr>
                      <w:b/>
                      <w:color w:val="auto"/>
                      <w:spacing w:val="-10"/>
                      <w:szCs w:val="21"/>
                    </w:rPr>
                    <w:t>是否为可行技术</w:t>
                  </w:r>
                </w:p>
              </w:tc>
              <w:tc>
                <w:tcPr>
                  <w:tcW w:w="556" w:type="pct"/>
                  <w:vAlign w:val="center"/>
                </w:tcPr>
                <w:p w14:paraId="5B16C48C">
                  <w:pPr>
                    <w:adjustRightInd w:val="0"/>
                    <w:snapToGrid w:val="0"/>
                    <w:jc w:val="center"/>
                    <w:rPr>
                      <w:color w:val="auto"/>
                      <w:spacing w:val="-10"/>
                      <w:szCs w:val="21"/>
                    </w:rPr>
                  </w:pPr>
                  <w:r>
                    <w:rPr>
                      <w:rFonts w:hint="eastAsia"/>
                      <w:color w:val="auto"/>
                      <w:spacing w:val="-10"/>
                      <w:szCs w:val="21"/>
                    </w:rPr>
                    <w:t>是</w:t>
                  </w:r>
                </w:p>
              </w:tc>
              <w:tc>
                <w:tcPr>
                  <w:tcW w:w="495" w:type="pct"/>
                  <w:vAlign w:val="center"/>
                </w:tcPr>
                <w:p w14:paraId="28B6DF57">
                  <w:pPr>
                    <w:adjustRightInd w:val="0"/>
                    <w:snapToGrid w:val="0"/>
                    <w:jc w:val="center"/>
                    <w:rPr>
                      <w:color w:val="auto"/>
                      <w:spacing w:val="-10"/>
                      <w:szCs w:val="21"/>
                    </w:rPr>
                  </w:pPr>
                  <w:r>
                    <w:rPr>
                      <w:rFonts w:hint="eastAsia"/>
                      <w:color w:val="auto"/>
                      <w:spacing w:val="-10"/>
                      <w:szCs w:val="21"/>
                    </w:rPr>
                    <w:t>/</w:t>
                  </w:r>
                </w:p>
              </w:tc>
              <w:tc>
                <w:tcPr>
                  <w:tcW w:w="565" w:type="pct"/>
                  <w:vAlign w:val="center"/>
                </w:tcPr>
                <w:p w14:paraId="5902698B">
                  <w:pPr>
                    <w:adjustRightInd w:val="0"/>
                    <w:snapToGrid w:val="0"/>
                    <w:jc w:val="center"/>
                    <w:rPr>
                      <w:color w:val="auto"/>
                      <w:spacing w:val="-10"/>
                      <w:szCs w:val="21"/>
                    </w:rPr>
                  </w:pPr>
                  <w:r>
                    <w:rPr>
                      <w:rFonts w:hint="eastAsia"/>
                      <w:color w:val="auto"/>
                      <w:spacing w:val="-10"/>
                      <w:szCs w:val="21"/>
                    </w:rPr>
                    <w:t>是</w:t>
                  </w:r>
                </w:p>
              </w:tc>
              <w:tc>
                <w:tcPr>
                  <w:tcW w:w="442" w:type="pct"/>
                  <w:vAlign w:val="center"/>
                </w:tcPr>
                <w:p w14:paraId="3976BF12">
                  <w:pPr>
                    <w:adjustRightInd w:val="0"/>
                    <w:snapToGrid w:val="0"/>
                    <w:jc w:val="center"/>
                    <w:rPr>
                      <w:color w:val="auto"/>
                      <w:spacing w:val="-10"/>
                      <w:szCs w:val="21"/>
                    </w:rPr>
                  </w:pPr>
                  <w:r>
                    <w:rPr>
                      <w:rFonts w:hint="eastAsia"/>
                      <w:color w:val="auto"/>
                      <w:spacing w:val="-10"/>
                      <w:szCs w:val="21"/>
                    </w:rPr>
                    <w:t>/</w:t>
                  </w:r>
                </w:p>
              </w:tc>
              <w:tc>
                <w:tcPr>
                  <w:tcW w:w="521" w:type="pct"/>
                  <w:vAlign w:val="center"/>
                </w:tcPr>
                <w:p w14:paraId="1DC5DD72">
                  <w:pPr>
                    <w:adjustRightInd w:val="0"/>
                    <w:snapToGrid w:val="0"/>
                    <w:jc w:val="center"/>
                    <w:rPr>
                      <w:rFonts w:hint="default" w:eastAsia="宋体"/>
                      <w:color w:val="auto"/>
                      <w:spacing w:val="-10"/>
                      <w:szCs w:val="21"/>
                      <w:lang w:val="en-US" w:eastAsia="zh-CN"/>
                    </w:rPr>
                  </w:pPr>
                  <w:r>
                    <w:rPr>
                      <w:rFonts w:hint="eastAsia"/>
                      <w:color w:val="auto"/>
                      <w:spacing w:val="-10"/>
                      <w:szCs w:val="21"/>
                      <w:lang w:val="en-US" w:eastAsia="zh-CN"/>
                    </w:rPr>
                    <w:t>是</w:t>
                  </w:r>
                </w:p>
              </w:tc>
              <w:tc>
                <w:tcPr>
                  <w:tcW w:w="495" w:type="pct"/>
                  <w:vAlign w:val="center"/>
                </w:tcPr>
                <w:p w14:paraId="2E7FEAE9">
                  <w:pPr>
                    <w:adjustRightInd w:val="0"/>
                    <w:snapToGrid w:val="0"/>
                    <w:jc w:val="center"/>
                    <w:rPr>
                      <w:rFonts w:hint="eastAsia"/>
                      <w:color w:val="auto"/>
                      <w:spacing w:val="-10"/>
                      <w:szCs w:val="21"/>
                    </w:rPr>
                  </w:pPr>
                  <w:r>
                    <w:rPr>
                      <w:rFonts w:hint="eastAsia"/>
                      <w:color w:val="auto"/>
                      <w:spacing w:val="-10"/>
                      <w:szCs w:val="21"/>
                    </w:rPr>
                    <w:t>/</w:t>
                  </w:r>
                </w:p>
              </w:tc>
              <w:tc>
                <w:tcPr>
                  <w:tcW w:w="573" w:type="pct"/>
                  <w:vAlign w:val="center"/>
                </w:tcPr>
                <w:p w14:paraId="23B52AFD">
                  <w:pPr>
                    <w:adjustRightInd w:val="0"/>
                    <w:snapToGrid w:val="0"/>
                    <w:jc w:val="center"/>
                    <w:rPr>
                      <w:rFonts w:hint="eastAsia" w:eastAsia="宋体"/>
                      <w:color w:val="auto"/>
                      <w:spacing w:val="-10"/>
                      <w:szCs w:val="21"/>
                      <w:lang w:eastAsia="zh-CN"/>
                    </w:rPr>
                  </w:pPr>
                  <w:r>
                    <w:rPr>
                      <w:rFonts w:hint="eastAsia"/>
                      <w:color w:val="auto"/>
                      <w:spacing w:val="-10"/>
                      <w:szCs w:val="21"/>
                      <w:lang w:eastAsia="zh-CN"/>
                    </w:rPr>
                    <w:t>是</w:t>
                  </w:r>
                </w:p>
              </w:tc>
              <w:tc>
                <w:tcPr>
                  <w:tcW w:w="478" w:type="pct"/>
                  <w:vAlign w:val="center"/>
                </w:tcPr>
                <w:p w14:paraId="72AC64E7">
                  <w:pPr>
                    <w:adjustRightInd w:val="0"/>
                    <w:snapToGrid w:val="0"/>
                    <w:jc w:val="center"/>
                    <w:rPr>
                      <w:rFonts w:hint="eastAsia"/>
                      <w:color w:val="auto"/>
                      <w:spacing w:val="-10"/>
                      <w:szCs w:val="21"/>
                      <w:lang w:eastAsia="zh-CN"/>
                    </w:rPr>
                  </w:pPr>
                  <w:r>
                    <w:rPr>
                      <w:rFonts w:hint="eastAsia"/>
                      <w:color w:val="auto"/>
                      <w:spacing w:val="-10"/>
                      <w:szCs w:val="21"/>
                      <w:lang w:eastAsia="zh-CN"/>
                    </w:rPr>
                    <w:t>是</w:t>
                  </w:r>
                </w:p>
              </w:tc>
            </w:tr>
            <w:tr w14:paraId="34186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871" w:type="pct"/>
                  <w:gridSpan w:val="2"/>
                  <w:vAlign w:val="center"/>
                </w:tcPr>
                <w:p w14:paraId="2C3FB95D">
                  <w:pPr>
                    <w:adjustRightInd w:val="0"/>
                    <w:snapToGrid w:val="0"/>
                    <w:jc w:val="center"/>
                    <w:rPr>
                      <w:b/>
                      <w:color w:val="auto"/>
                      <w:spacing w:val="-10"/>
                      <w:szCs w:val="21"/>
                    </w:rPr>
                  </w:pPr>
                  <w:r>
                    <w:rPr>
                      <w:b/>
                      <w:color w:val="auto"/>
                      <w:spacing w:val="-10"/>
                      <w:szCs w:val="21"/>
                    </w:rPr>
                    <w:t>污染物排放浓度（mg/m</w:t>
                  </w:r>
                  <w:r>
                    <w:rPr>
                      <w:b/>
                      <w:color w:val="auto"/>
                      <w:spacing w:val="-10"/>
                      <w:szCs w:val="21"/>
                      <w:vertAlign w:val="superscript"/>
                    </w:rPr>
                    <w:t>3</w:t>
                  </w:r>
                  <w:r>
                    <w:rPr>
                      <w:b/>
                      <w:color w:val="auto"/>
                      <w:spacing w:val="-10"/>
                      <w:szCs w:val="21"/>
                    </w:rPr>
                    <w:t>）</w:t>
                  </w:r>
                </w:p>
              </w:tc>
              <w:tc>
                <w:tcPr>
                  <w:tcW w:w="556" w:type="pct"/>
                  <w:vAlign w:val="center"/>
                </w:tcPr>
                <w:p w14:paraId="4D9554BD">
                  <w:pPr>
                    <w:adjustRightInd w:val="0"/>
                    <w:snapToGrid w:val="0"/>
                    <w:jc w:val="center"/>
                    <w:rPr>
                      <w:rFonts w:hint="default" w:eastAsia="宋体"/>
                      <w:color w:val="auto"/>
                      <w:spacing w:val="-10"/>
                      <w:szCs w:val="21"/>
                      <w:lang w:val="en-US" w:eastAsia="zh-CN"/>
                    </w:rPr>
                  </w:pPr>
                  <w:r>
                    <w:rPr>
                      <w:rFonts w:hint="eastAsia"/>
                      <w:color w:val="auto"/>
                      <w:spacing w:val="-10"/>
                      <w:szCs w:val="21"/>
                      <w:lang w:val="en-US" w:eastAsia="zh-CN"/>
                    </w:rPr>
                    <w:t>78.22</w:t>
                  </w:r>
                </w:p>
              </w:tc>
              <w:tc>
                <w:tcPr>
                  <w:tcW w:w="495" w:type="pct"/>
                  <w:vAlign w:val="center"/>
                </w:tcPr>
                <w:p w14:paraId="40AB0A2D">
                  <w:pPr>
                    <w:adjustRightInd w:val="0"/>
                    <w:snapToGrid w:val="0"/>
                    <w:jc w:val="center"/>
                    <w:rPr>
                      <w:color w:val="auto"/>
                      <w:spacing w:val="-10"/>
                      <w:szCs w:val="21"/>
                    </w:rPr>
                  </w:pPr>
                  <w:r>
                    <w:rPr>
                      <w:color w:val="auto"/>
                      <w:spacing w:val="-10"/>
                      <w:szCs w:val="21"/>
                    </w:rPr>
                    <w:t>/</w:t>
                  </w:r>
                </w:p>
              </w:tc>
              <w:tc>
                <w:tcPr>
                  <w:tcW w:w="565" w:type="pct"/>
                  <w:vAlign w:val="center"/>
                </w:tcPr>
                <w:p w14:paraId="35FCFF0F">
                  <w:pPr>
                    <w:adjustRightInd w:val="0"/>
                    <w:snapToGrid w:val="0"/>
                    <w:jc w:val="center"/>
                    <w:rPr>
                      <w:color w:val="auto"/>
                      <w:spacing w:val="-10"/>
                      <w:szCs w:val="21"/>
                    </w:rPr>
                  </w:pPr>
                  <w:r>
                    <w:rPr>
                      <w:rFonts w:hint="eastAsia"/>
                      <w:color w:val="auto"/>
                      <w:szCs w:val="21"/>
                      <w:lang w:val="en-US" w:eastAsia="zh-CN"/>
                    </w:rPr>
                    <w:t>1395</w:t>
                  </w:r>
                  <w:r>
                    <w:rPr>
                      <w:rFonts w:hint="eastAsia"/>
                      <w:color w:val="auto"/>
                      <w:szCs w:val="21"/>
                    </w:rPr>
                    <w:t>（无量纲）</w:t>
                  </w:r>
                </w:p>
              </w:tc>
              <w:tc>
                <w:tcPr>
                  <w:tcW w:w="442" w:type="pct"/>
                  <w:vAlign w:val="center"/>
                </w:tcPr>
                <w:p w14:paraId="1AC7D3A7">
                  <w:pPr>
                    <w:adjustRightInd w:val="0"/>
                    <w:snapToGrid w:val="0"/>
                    <w:jc w:val="center"/>
                    <w:rPr>
                      <w:color w:val="auto"/>
                    </w:rPr>
                  </w:pPr>
                  <w:r>
                    <w:rPr>
                      <w:color w:val="auto"/>
                      <w:spacing w:val="-10"/>
                      <w:szCs w:val="21"/>
                    </w:rPr>
                    <w:t>/</w:t>
                  </w:r>
                </w:p>
              </w:tc>
              <w:tc>
                <w:tcPr>
                  <w:tcW w:w="521" w:type="pct"/>
                  <w:vAlign w:val="center"/>
                </w:tcPr>
                <w:p w14:paraId="304851C4">
                  <w:pPr>
                    <w:adjustRightInd w:val="0"/>
                    <w:snapToGrid w:val="0"/>
                    <w:jc w:val="center"/>
                    <w:rPr>
                      <w:rFonts w:hint="default" w:eastAsia="宋体"/>
                      <w:color w:val="auto"/>
                      <w:spacing w:val="-10"/>
                      <w:szCs w:val="21"/>
                      <w:lang w:val="en-US" w:eastAsia="zh-CN"/>
                    </w:rPr>
                  </w:pPr>
                  <w:r>
                    <w:rPr>
                      <w:rFonts w:hint="eastAsia"/>
                      <w:color w:val="auto"/>
                      <w:spacing w:val="-10"/>
                      <w:szCs w:val="21"/>
                      <w:lang w:val="en-US" w:eastAsia="zh-CN"/>
                    </w:rPr>
                    <w:t>12.5</w:t>
                  </w:r>
                </w:p>
              </w:tc>
              <w:tc>
                <w:tcPr>
                  <w:tcW w:w="495" w:type="pct"/>
                  <w:vAlign w:val="center"/>
                </w:tcPr>
                <w:p w14:paraId="425B1761">
                  <w:pPr>
                    <w:adjustRightInd w:val="0"/>
                    <w:snapToGrid w:val="0"/>
                    <w:jc w:val="center"/>
                    <w:rPr>
                      <w:rFonts w:hint="eastAsia"/>
                      <w:color w:val="auto"/>
                      <w:spacing w:val="-10"/>
                      <w:szCs w:val="21"/>
                    </w:rPr>
                  </w:pPr>
                  <w:r>
                    <w:rPr>
                      <w:color w:val="auto"/>
                      <w:spacing w:val="-10"/>
                      <w:szCs w:val="21"/>
                    </w:rPr>
                    <w:t>/</w:t>
                  </w:r>
                </w:p>
              </w:tc>
              <w:tc>
                <w:tcPr>
                  <w:tcW w:w="573" w:type="pct"/>
                  <w:vAlign w:val="center"/>
                </w:tcPr>
                <w:p w14:paraId="2CC4B934">
                  <w:pPr>
                    <w:adjustRightInd w:val="0"/>
                    <w:snapToGrid w:val="0"/>
                    <w:jc w:val="center"/>
                    <w:rPr>
                      <w:rFonts w:hint="default" w:eastAsia="宋体"/>
                      <w:color w:val="auto"/>
                      <w:spacing w:val="-10"/>
                      <w:szCs w:val="21"/>
                      <w:lang w:val="en-US" w:eastAsia="zh-CN"/>
                    </w:rPr>
                  </w:pPr>
                  <w:r>
                    <w:rPr>
                      <w:rFonts w:hint="eastAsia"/>
                      <w:color w:val="auto"/>
                      <w:spacing w:val="-10"/>
                      <w:szCs w:val="21"/>
                      <w:lang w:val="en-US" w:eastAsia="zh-CN"/>
                    </w:rPr>
                    <w:t>/</w:t>
                  </w:r>
                </w:p>
              </w:tc>
              <w:tc>
                <w:tcPr>
                  <w:tcW w:w="478" w:type="pct"/>
                  <w:vAlign w:val="center"/>
                </w:tcPr>
                <w:p w14:paraId="57866221">
                  <w:pPr>
                    <w:adjustRightInd w:val="0"/>
                    <w:snapToGrid w:val="0"/>
                    <w:jc w:val="center"/>
                    <w:rPr>
                      <w:rFonts w:hint="eastAsia"/>
                      <w:color w:val="auto"/>
                      <w:spacing w:val="-10"/>
                      <w:szCs w:val="21"/>
                      <w:lang w:val="en-US" w:eastAsia="zh-CN"/>
                    </w:rPr>
                  </w:pPr>
                  <w:r>
                    <w:rPr>
                      <w:rFonts w:hint="eastAsia"/>
                      <w:color w:val="auto"/>
                      <w:spacing w:val="-10"/>
                      <w:szCs w:val="21"/>
                      <w:lang w:val="en-US" w:eastAsia="zh-CN"/>
                    </w:rPr>
                    <w:t>0.60</w:t>
                  </w:r>
                </w:p>
              </w:tc>
            </w:tr>
            <w:tr w14:paraId="7C197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71" w:type="pct"/>
                  <w:gridSpan w:val="2"/>
                  <w:vAlign w:val="center"/>
                </w:tcPr>
                <w:p w14:paraId="295FA959">
                  <w:pPr>
                    <w:adjustRightInd w:val="0"/>
                    <w:snapToGrid w:val="0"/>
                    <w:jc w:val="center"/>
                    <w:rPr>
                      <w:b/>
                      <w:color w:val="auto"/>
                      <w:spacing w:val="-10"/>
                      <w:szCs w:val="21"/>
                    </w:rPr>
                  </w:pPr>
                  <w:r>
                    <w:rPr>
                      <w:b/>
                      <w:color w:val="auto"/>
                      <w:spacing w:val="-10"/>
                      <w:szCs w:val="21"/>
                    </w:rPr>
                    <w:t>污染物排放速率（kg/h）</w:t>
                  </w:r>
                </w:p>
              </w:tc>
              <w:tc>
                <w:tcPr>
                  <w:tcW w:w="556" w:type="pct"/>
                  <w:vAlign w:val="center"/>
                </w:tcPr>
                <w:p w14:paraId="23B8E56C">
                  <w:pPr>
                    <w:adjustRightInd w:val="0"/>
                    <w:snapToGrid w:val="0"/>
                    <w:jc w:val="center"/>
                    <w:rPr>
                      <w:rFonts w:hint="default" w:eastAsia="宋体"/>
                      <w:color w:val="auto"/>
                      <w:spacing w:val="-10"/>
                      <w:szCs w:val="21"/>
                      <w:lang w:val="en-US" w:eastAsia="zh-CN"/>
                    </w:rPr>
                  </w:pPr>
                  <w:r>
                    <w:rPr>
                      <w:rFonts w:hint="eastAsia"/>
                      <w:color w:val="auto"/>
                      <w:spacing w:val="-10"/>
                      <w:szCs w:val="21"/>
                      <w:lang w:val="en-US" w:eastAsia="zh-CN"/>
                    </w:rPr>
                    <w:t>1.5644</w:t>
                  </w:r>
                </w:p>
              </w:tc>
              <w:tc>
                <w:tcPr>
                  <w:tcW w:w="495" w:type="pct"/>
                  <w:vAlign w:val="center"/>
                </w:tcPr>
                <w:p w14:paraId="439A7C74">
                  <w:pPr>
                    <w:adjustRightInd w:val="0"/>
                    <w:snapToGrid w:val="0"/>
                    <w:jc w:val="center"/>
                    <w:rPr>
                      <w:rFonts w:hint="default" w:eastAsia="宋体"/>
                      <w:color w:val="auto"/>
                      <w:spacing w:val="-10"/>
                      <w:szCs w:val="21"/>
                      <w:lang w:val="en-US" w:eastAsia="zh-CN"/>
                    </w:rPr>
                  </w:pPr>
                  <w:r>
                    <w:rPr>
                      <w:rFonts w:hint="eastAsia"/>
                      <w:color w:val="auto"/>
                      <w:spacing w:val="-10"/>
                      <w:szCs w:val="21"/>
                      <w:lang w:val="en-US" w:eastAsia="zh-CN"/>
                    </w:rPr>
                    <w:t>1.9555</w:t>
                  </w:r>
                </w:p>
              </w:tc>
              <w:tc>
                <w:tcPr>
                  <w:tcW w:w="565" w:type="pct"/>
                  <w:vAlign w:val="center"/>
                </w:tcPr>
                <w:p w14:paraId="5A30B792">
                  <w:pPr>
                    <w:adjustRightInd w:val="0"/>
                    <w:snapToGrid w:val="0"/>
                    <w:jc w:val="center"/>
                    <w:rPr>
                      <w:color w:val="auto"/>
                      <w:spacing w:val="-10"/>
                      <w:szCs w:val="21"/>
                    </w:rPr>
                  </w:pPr>
                  <w:r>
                    <w:rPr>
                      <w:rFonts w:hint="eastAsia"/>
                      <w:color w:val="auto"/>
                      <w:spacing w:val="-10"/>
                      <w:szCs w:val="21"/>
                    </w:rPr>
                    <w:t>/</w:t>
                  </w:r>
                </w:p>
              </w:tc>
              <w:tc>
                <w:tcPr>
                  <w:tcW w:w="442" w:type="pct"/>
                  <w:vAlign w:val="center"/>
                </w:tcPr>
                <w:p w14:paraId="614091F1">
                  <w:pPr>
                    <w:adjustRightInd w:val="0"/>
                    <w:snapToGrid w:val="0"/>
                    <w:jc w:val="center"/>
                    <w:rPr>
                      <w:color w:val="auto"/>
                    </w:rPr>
                  </w:pPr>
                  <w:r>
                    <w:rPr>
                      <w:color w:val="auto"/>
                      <w:kern w:val="0"/>
                      <w:szCs w:val="21"/>
                      <w:lang w:bidi="ar"/>
                    </w:rPr>
                    <w:t>/</w:t>
                  </w:r>
                </w:p>
              </w:tc>
              <w:tc>
                <w:tcPr>
                  <w:tcW w:w="521" w:type="pct"/>
                  <w:vAlign w:val="center"/>
                </w:tcPr>
                <w:p w14:paraId="54759468">
                  <w:pPr>
                    <w:adjustRightInd w:val="0"/>
                    <w:snapToGrid w:val="0"/>
                    <w:jc w:val="center"/>
                    <w:rPr>
                      <w:rFonts w:hint="default" w:eastAsia="宋体"/>
                      <w:color w:val="auto"/>
                      <w:kern w:val="0"/>
                      <w:szCs w:val="21"/>
                      <w:highlight w:val="none"/>
                      <w:lang w:val="en-US" w:eastAsia="zh-CN" w:bidi="ar"/>
                    </w:rPr>
                  </w:pPr>
                  <w:r>
                    <w:rPr>
                      <w:rFonts w:hint="eastAsia"/>
                      <w:color w:val="auto"/>
                      <w:kern w:val="0"/>
                      <w:szCs w:val="21"/>
                      <w:highlight w:val="none"/>
                      <w:lang w:bidi="ar"/>
                    </w:rPr>
                    <w:t>0.</w:t>
                  </w:r>
                  <w:r>
                    <w:rPr>
                      <w:rFonts w:hint="eastAsia"/>
                      <w:color w:val="auto"/>
                      <w:kern w:val="0"/>
                      <w:szCs w:val="21"/>
                      <w:highlight w:val="none"/>
                      <w:lang w:val="en-US" w:eastAsia="zh-CN" w:bidi="ar"/>
                    </w:rPr>
                    <w:t>0125</w:t>
                  </w:r>
                </w:p>
              </w:tc>
              <w:tc>
                <w:tcPr>
                  <w:tcW w:w="495" w:type="pct"/>
                  <w:vAlign w:val="center"/>
                </w:tcPr>
                <w:p w14:paraId="40A0BF01">
                  <w:pPr>
                    <w:adjustRightInd w:val="0"/>
                    <w:snapToGrid w:val="0"/>
                    <w:jc w:val="center"/>
                    <w:rPr>
                      <w:rFonts w:hint="default"/>
                      <w:color w:val="auto"/>
                      <w:kern w:val="0"/>
                      <w:szCs w:val="21"/>
                      <w:highlight w:val="none"/>
                      <w:lang w:val="en-US" w:bidi="ar"/>
                    </w:rPr>
                  </w:pPr>
                  <w:r>
                    <w:rPr>
                      <w:rFonts w:hint="eastAsia"/>
                      <w:color w:val="auto"/>
                      <w:spacing w:val="-10"/>
                      <w:szCs w:val="21"/>
                      <w:highlight w:val="none"/>
                      <w:lang w:val="en-US" w:eastAsia="zh-CN"/>
                    </w:rPr>
                    <w:t>0.0667</w:t>
                  </w:r>
                </w:p>
              </w:tc>
              <w:tc>
                <w:tcPr>
                  <w:tcW w:w="573" w:type="pct"/>
                  <w:vAlign w:val="center"/>
                </w:tcPr>
                <w:p w14:paraId="53F536C6">
                  <w:pPr>
                    <w:adjustRightInd w:val="0"/>
                    <w:snapToGrid w:val="0"/>
                    <w:jc w:val="center"/>
                    <w:rPr>
                      <w:rFonts w:hint="eastAsia" w:eastAsia="宋体"/>
                      <w:color w:val="auto"/>
                      <w:kern w:val="0"/>
                      <w:szCs w:val="21"/>
                      <w:lang w:val="en-US" w:eastAsia="zh-CN" w:bidi="ar"/>
                    </w:rPr>
                  </w:pPr>
                  <w:r>
                    <w:rPr>
                      <w:rFonts w:hint="eastAsia"/>
                      <w:color w:val="auto"/>
                      <w:kern w:val="0"/>
                      <w:szCs w:val="21"/>
                      <w:lang w:val="en-US" w:eastAsia="zh-CN" w:bidi="ar"/>
                    </w:rPr>
                    <w:t>/</w:t>
                  </w:r>
                </w:p>
              </w:tc>
              <w:tc>
                <w:tcPr>
                  <w:tcW w:w="478" w:type="pct"/>
                  <w:vAlign w:val="center"/>
                </w:tcPr>
                <w:p w14:paraId="19BA957B">
                  <w:pPr>
                    <w:adjustRightInd w:val="0"/>
                    <w:snapToGrid w:val="0"/>
                    <w:jc w:val="center"/>
                    <w:rPr>
                      <w:rFonts w:hint="eastAsia"/>
                      <w:color w:val="auto"/>
                      <w:kern w:val="0"/>
                      <w:szCs w:val="21"/>
                      <w:lang w:bidi="ar"/>
                    </w:rPr>
                  </w:pPr>
                  <w:r>
                    <w:rPr>
                      <w:rFonts w:hint="eastAsia"/>
                      <w:color w:val="auto"/>
                      <w:kern w:val="0"/>
                      <w:szCs w:val="21"/>
                      <w:lang w:bidi="ar"/>
                    </w:rPr>
                    <w:t>0.0</w:t>
                  </w:r>
                  <w:r>
                    <w:rPr>
                      <w:rFonts w:hint="eastAsia"/>
                      <w:color w:val="auto"/>
                      <w:kern w:val="0"/>
                      <w:szCs w:val="21"/>
                      <w:lang w:val="en-US" w:eastAsia="zh-CN" w:bidi="ar"/>
                    </w:rPr>
                    <w:t>012</w:t>
                  </w:r>
                </w:p>
              </w:tc>
            </w:tr>
            <w:tr w14:paraId="2F8F6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gridSpan w:val="2"/>
                  <w:vAlign w:val="center"/>
                </w:tcPr>
                <w:p w14:paraId="6DD75D6D">
                  <w:pPr>
                    <w:adjustRightInd w:val="0"/>
                    <w:snapToGrid w:val="0"/>
                    <w:jc w:val="center"/>
                    <w:rPr>
                      <w:b/>
                      <w:color w:val="auto"/>
                      <w:spacing w:val="-10"/>
                      <w:szCs w:val="21"/>
                    </w:rPr>
                  </w:pPr>
                  <w:r>
                    <w:rPr>
                      <w:b/>
                      <w:color w:val="auto"/>
                      <w:spacing w:val="-10"/>
                      <w:szCs w:val="21"/>
                    </w:rPr>
                    <w:t>污染物排放量（t/a）</w:t>
                  </w:r>
                </w:p>
              </w:tc>
              <w:tc>
                <w:tcPr>
                  <w:tcW w:w="556" w:type="pct"/>
                  <w:vAlign w:val="center"/>
                </w:tcPr>
                <w:p w14:paraId="0B754731">
                  <w:pPr>
                    <w:adjustRightInd w:val="0"/>
                    <w:snapToGrid w:val="0"/>
                    <w:jc w:val="center"/>
                    <w:rPr>
                      <w:rFonts w:hint="default" w:eastAsia="宋体"/>
                      <w:color w:val="auto"/>
                      <w:spacing w:val="-10"/>
                      <w:szCs w:val="21"/>
                      <w:lang w:val="en-US" w:eastAsia="zh-CN"/>
                    </w:rPr>
                  </w:pPr>
                  <w:r>
                    <w:rPr>
                      <w:rFonts w:hint="eastAsia"/>
                      <w:color w:val="auto"/>
                      <w:spacing w:val="-10"/>
                      <w:szCs w:val="21"/>
                      <w:lang w:val="en-US" w:eastAsia="zh-CN"/>
                    </w:rPr>
                    <w:t>3.7545</w:t>
                  </w:r>
                </w:p>
              </w:tc>
              <w:tc>
                <w:tcPr>
                  <w:tcW w:w="495" w:type="pct"/>
                  <w:vAlign w:val="center"/>
                </w:tcPr>
                <w:p w14:paraId="6F65CCB3">
                  <w:pPr>
                    <w:adjustRightInd w:val="0"/>
                    <w:snapToGrid w:val="0"/>
                    <w:jc w:val="center"/>
                    <w:rPr>
                      <w:rFonts w:hint="default" w:eastAsia="宋体"/>
                      <w:color w:val="auto"/>
                      <w:spacing w:val="-10"/>
                      <w:szCs w:val="21"/>
                      <w:lang w:val="en-US" w:eastAsia="zh-CN"/>
                    </w:rPr>
                  </w:pPr>
                  <w:r>
                    <w:rPr>
                      <w:rFonts w:hint="eastAsia"/>
                      <w:color w:val="auto"/>
                      <w:spacing w:val="-10"/>
                      <w:szCs w:val="21"/>
                      <w:lang w:val="en-US" w:eastAsia="zh-CN"/>
                    </w:rPr>
                    <w:t>4.6931</w:t>
                  </w:r>
                </w:p>
              </w:tc>
              <w:tc>
                <w:tcPr>
                  <w:tcW w:w="565" w:type="pct"/>
                  <w:vAlign w:val="center"/>
                </w:tcPr>
                <w:p w14:paraId="7898D6B4">
                  <w:pPr>
                    <w:adjustRightInd w:val="0"/>
                    <w:snapToGrid w:val="0"/>
                    <w:jc w:val="center"/>
                    <w:rPr>
                      <w:color w:val="auto"/>
                      <w:spacing w:val="-10"/>
                      <w:szCs w:val="21"/>
                    </w:rPr>
                  </w:pPr>
                  <w:r>
                    <w:rPr>
                      <w:rFonts w:hint="eastAsia"/>
                      <w:color w:val="auto"/>
                      <w:spacing w:val="-10"/>
                      <w:szCs w:val="21"/>
                    </w:rPr>
                    <w:t>少量</w:t>
                  </w:r>
                </w:p>
              </w:tc>
              <w:tc>
                <w:tcPr>
                  <w:tcW w:w="442" w:type="pct"/>
                  <w:vAlign w:val="center"/>
                </w:tcPr>
                <w:p w14:paraId="61742223">
                  <w:pPr>
                    <w:adjustRightInd w:val="0"/>
                    <w:snapToGrid w:val="0"/>
                    <w:jc w:val="center"/>
                    <w:rPr>
                      <w:color w:val="auto"/>
                    </w:rPr>
                  </w:pPr>
                  <w:r>
                    <w:rPr>
                      <w:color w:val="auto"/>
                      <w:kern w:val="0"/>
                      <w:szCs w:val="21"/>
                      <w:lang w:bidi="ar"/>
                    </w:rPr>
                    <w:t>少量</w:t>
                  </w:r>
                </w:p>
              </w:tc>
              <w:tc>
                <w:tcPr>
                  <w:tcW w:w="521" w:type="pct"/>
                  <w:vAlign w:val="center"/>
                </w:tcPr>
                <w:p w14:paraId="07A446FA">
                  <w:pPr>
                    <w:adjustRightInd w:val="0"/>
                    <w:snapToGrid w:val="0"/>
                    <w:jc w:val="center"/>
                    <w:rPr>
                      <w:rFonts w:hint="default" w:eastAsia="宋体"/>
                      <w:color w:val="auto"/>
                      <w:kern w:val="0"/>
                      <w:szCs w:val="21"/>
                      <w:highlight w:val="none"/>
                      <w:lang w:val="en-US" w:eastAsia="zh-CN" w:bidi="ar"/>
                    </w:rPr>
                  </w:pPr>
                  <w:r>
                    <w:rPr>
                      <w:rFonts w:hint="eastAsia"/>
                      <w:color w:val="auto"/>
                      <w:kern w:val="0"/>
                      <w:szCs w:val="21"/>
                      <w:highlight w:val="none"/>
                      <w:lang w:bidi="ar"/>
                    </w:rPr>
                    <w:t>0.0</w:t>
                  </w:r>
                  <w:r>
                    <w:rPr>
                      <w:rFonts w:hint="eastAsia"/>
                      <w:color w:val="auto"/>
                      <w:kern w:val="0"/>
                      <w:szCs w:val="21"/>
                      <w:highlight w:val="none"/>
                      <w:lang w:val="en-US" w:eastAsia="zh-CN" w:bidi="ar"/>
                    </w:rPr>
                    <w:t>003</w:t>
                  </w:r>
                </w:p>
              </w:tc>
              <w:tc>
                <w:tcPr>
                  <w:tcW w:w="495" w:type="pct"/>
                  <w:vAlign w:val="center"/>
                </w:tcPr>
                <w:p w14:paraId="478F3E3F">
                  <w:pPr>
                    <w:adjustRightInd w:val="0"/>
                    <w:snapToGrid w:val="0"/>
                    <w:jc w:val="center"/>
                    <w:rPr>
                      <w:rFonts w:hint="default"/>
                      <w:color w:val="auto"/>
                      <w:kern w:val="0"/>
                      <w:szCs w:val="21"/>
                      <w:highlight w:val="none"/>
                      <w:lang w:val="en-US" w:bidi="ar"/>
                    </w:rPr>
                  </w:pPr>
                  <w:r>
                    <w:rPr>
                      <w:rFonts w:hint="eastAsia"/>
                      <w:color w:val="auto"/>
                      <w:spacing w:val="-10"/>
                      <w:szCs w:val="21"/>
                      <w:highlight w:val="none"/>
                      <w:lang w:val="en-US" w:eastAsia="zh-CN"/>
                    </w:rPr>
                    <w:t>0.0016</w:t>
                  </w:r>
                </w:p>
              </w:tc>
              <w:tc>
                <w:tcPr>
                  <w:tcW w:w="573" w:type="pct"/>
                  <w:vAlign w:val="center"/>
                </w:tcPr>
                <w:p w14:paraId="0505C192">
                  <w:pPr>
                    <w:adjustRightInd w:val="0"/>
                    <w:snapToGrid w:val="0"/>
                    <w:jc w:val="center"/>
                    <w:rPr>
                      <w:rFonts w:hint="default" w:eastAsia="宋体"/>
                      <w:color w:val="auto"/>
                      <w:kern w:val="0"/>
                      <w:szCs w:val="21"/>
                      <w:lang w:val="en-US" w:eastAsia="zh-CN" w:bidi="ar"/>
                    </w:rPr>
                  </w:pPr>
                  <w:r>
                    <w:rPr>
                      <w:rFonts w:hint="eastAsia"/>
                      <w:color w:val="auto"/>
                      <w:kern w:val="0"/>
                      <w:szCs w:val="21"/>
                      <w:lang w:val="en-US" w:eastAsia="zh-CN" w:bidi="ar"/>
                    </w:rPr>
                    <w:t>少量</w:t>
                  </w:r>
                </w:p>
              </w:tc>
              <w:tc>
                <w:tcPr>
                  <w:tcW w:w="478" w:type="pct"/>
                  <w:vAlign w:val="center"/>
                </w:tcPr>
                <w:p w14:paraId="20673886">
                  <w:pPr>
                    <w:adjustRightInd w:val="0"/>
                    <w:snapToGrid w:val="0"/>
                    <w:jc w:val="center"/>
                    <w:rPr>
                      <w:rFonts w:hint="eastAsia"/>
                      <w:color w:val="auto"/>
                      <w:kern w:val="0"/>
                      <w:szCs w:val="21"/>
                      <w:lang w:bidi="ar"/>
                    </w:rPr>
                  </w:pPr>
                  <w:r>
                    <w:rPr>
                      <w:rFonts w:hint="eastAsia"/>
                      <w:color w:val="auto"/>
                      <w:kern w:val="0"/>
                      <w:szCs w:val="21"/>
                      <w:lang w:bidi="ar"/>
                    </w:rPr>
                    <w:t>0.0</w:t>
                  </w:r>
                  <w:r>
                    <w:rPr>
                      <w:rFonts w:hint="eastAsia"/>
                      <w:color w:val="auto"/>
                      <w:kern w:val="0"/>
                      <w:szCs w:val="21"/>
                      <w:lang w:val="en-US" w:eastAsia="zh-CN" w:bidi="ar"/>
                    </w:rPr>
                    <w:t>014</w:t>
                  </w:r>
                </w:p>
              </w:tc>
            </w:tr>
            <w:tr w14:paraId="4539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restart"/>
                  <w:vAlign w:val="center"/>
                </w:tcPr>
                <w:p w14:paraId="70B347F6">
                  <w:pPr>
                    <w:adjustRightInd w:val="0"/>
                    <w:snapToGrid w:val="0"/>
                    <w:jc w:val="center"/>
                    <w:rPr>
                      <w:b/>
                      <w:color w:val="auto"/>
                      <w:spacing w:val="-10"/>
                      <w:szCs w:val="21"/>
                    </w:rPr>
                  </w:pPr>
                  <w:r>
                    <w:rPr>
                      <w:b/>
                      <w:color w:val="auto"/>
                      <w:spacing w:val="-10"/>
                      <w:szCs w:val="21"/>
                    </w:rPr>
                    <w:t>排放口基本情况</w:t>
                  </w:r>
                </w:p>
              </w:tc>
              <w:tc>
                <w:tcPr>
                  <w:tcW w:w="648" w:type="pct"/>
                  <w:vAlign w:val="center"/>
                </w:tcPr>
                <w:p w14:paraId="40F2DA05">
                  <w:pPr>
                    <w:adjustRightInd w:val="0"/>
                    <w:snapToGrid w:val="0"/>
                    <w:jc w:val="center"/>
                    <w:rPr>
                      <w:b/>
                      <w:color w:val="auto"/>
                      <w:spacing w:val="-10"/>
                      <w:szCs w:val="21"/>
                    </w:rPr>
                  </w:pPr>
                  <w:r>
                    <w:rPr>
                      <w:b/>
                      <w:color w:val="auto"/>
                      <w:spacing w:val="-10"/>
                      <w:szCs w:val="21"/>
                    </w:rPr>
                    <w:t>排气筒高度</w:t>
                  </w:r>
                </w:p>
              </w:tc>
              <w:tc>
                <w:tcPr>
                  <w:tcW w:w="556" w:type="pct"/>
                  <w:vAlign w:val="center"/>
                </w:tcPr>
                <w:p w14:paraId="46F63394">
                  <w:pPr>
                    <w:adjustRightInd w:val="0"/>
                    <w:snapToGrid w:val="0"/>
                    <w:jc w:val="center"/>
                    <w:rPr>
                      <w:color w:val="auto"/>
                      <w:spacing w:val="-10"/>
                      <w:szCs w:val="21"/>
                    </w:rPr>
                  </w:pPr>
                  <w:r>
                    <w:rPr>
                      <w:color w:val="auto"/>
                      <w:spacing w:val="-10"/>
                      <w:szCs w:val="21"/>
                    </w:rPr>
                    <w:t>15m</w:t>
                  </w:r>
                </w:p>
              </w:tc>
              <w:tc>
                <w:tcPr>
                  <w:tcW w:w="495" w:type="pct"/>
                  <w:vAlign w:val="center"/>
                </w:tcPr>
                <w:p w14:paraId="3FE9B1FA">
                  <w:pPr>
                    <w:adjustRightInd w:val="0"/>
                    <w:snapToGrid w:val="0"/>
                    <w:jc w:val="center"/>
                    <w:rPr>
                      <w:color w:val="auto"/>
                      <w:spacing w:val="-10"/>
                      <w:szCs w:val="21"/>
                    </w:rPr>
                  </w:pPr>
                  <w:r>
                    <w:rPr>
                      <w:rFonts w:hint="eastAsia"/>
                      <w:color w:val="auto"/>
                      <w:spacing w:val="-10"/>
                      <w:szCs w:val="21"/>
                    </w:rPr>
                    <w:t>/</w:t>
                  </w:r>
                </w:p>
              </w:tc>
              <w:tc>
                <w:tcPr>
                  <w:tcW w:w="565" w:type="pct"/>
                  <w:vAlign w:val="center"/>
                </w:tcPr>
                <w:p w14:paraId="6C4EB37B">
                  <w:pPr>
                    <w:adjustRightInd w:val="0"/>
                    <w:snapToGrid w:val="0"/>
                    <w:jc w:val="center"/>
                    <w:rPr>
                      <w:color w:val="auto"/>
                      <w:spacing w:val="-10"/>
                      <w:szCs w:val="21"/>
                    </w:rPr>
                  </w:pPr>
                  <w:r>
                    <w:rPr>
                      <w:color w:val="auto"/>
                      <w:spacing w:val="-10"/>
                      <w:szCs w:val="21"/>
                    </w:rPr>
                    <w:t>15m</w:t>
                  </w:r>
                </w:p>
              </w:tc>
              <w:tc>
                <w:tcPr>
                  <w:tcW w:w="442" w:type="pct"/>
                  <w:vAlign w:val="center"/>
                </w:tcPr>
                <w:p w14:paraId="234F1BD7">
                  <w:pPr>
                    <w:adjustRightInd w:val="0"/>
                    <w:snapToGrid w:val="0"/>
                    <w:jc w:val="center"/>
                    <w:rPr>
                      <w:color w:val="auto"/>
                    </w:rPr>
                  </w:pPr>
                  <w:r>
                    <w:rPr>
                      <w:rFonts w:hint="eastAsia"/>
                      <w:color w:val="auto"/>
                      <w:spacing w:val="-10"/>
                      <w:szCs w:val="21"/>
                    </w:rPr>
                    <w:t>/</w:t>
                  </w:r>
                </w:p>
              </w:tc>
              <w:tc>
                <w:tcPr>
                  <w:tcW w:w="521" w:type="pct"/>
                  <w:vAlign w:val="center"/>
                </w:tcPr>
                <w:p w14:paraId="76F1F25C">
                  <w:pPr>
                    <w:adjustRightInd w:val="0"/>
                    <w:snapToGrid w:val="0"/>
                    <w:jc w:val="center"/>
                    <w:rPr>
                      <w:color w:val="auto"/>
                      <w:spacing w:val="-10"/>
                      <w:szCs w:val="21"/>
                    </w:rPr>
                  </w:pPr>
                  <w:r>
                    <w:rPr>
                      <w:color w:val="auto"/>
                      <w:spacing w:val="-10"/>
                      <w:szCs w:val="21"/>
                    </w:rPr>
                    <w:t>15m</w:t>
                  </w:r>
                </w:p>
              </w:tc>
              <w:tc>
                <w:tcPr>
                  <w:tcW w:w="495" w:type="pct"/>
                  <w:vAlign w:val="center"/>
                </w:tcPr>
                <w:p w14:paraId="13841E03">
                  <w:pPr>
                    <w:adjustRightInd w:val="0"/>
                    <w:snapToGrid w:val="0"/>
                    <w:jc w:val="center"/>
                    <w:rPr>
                      <w:rFonts w:hint="eastAsia"/>
                      <w:color w:val="auto"/>
                      <w:spacing w:val="-10"/>
                      <w:szCs w:val="21"/>
                    </w:rPr>
                  </w:pPr>
                  <w:r>
                    <w:rPr>
                      <w:rFonts w:hint="eastAsia"/>
                      <w:color w:val="auto"/>
                      <w:spacing w:val="-10"/>
                      <w:szCs w:val="21"/>
                    </w:rPr>
                    <w:t>/</w:t>
                  </w:r>
                </w:p>
              </w:tc>
              <w:tc>
                <w:tcPr>
                  <w:tcW w:w="573" w:type="pct"/>
                  <w:vAlign w:val="center"/>
                </w:tcPr>
                <w:p w14:paraId="58FBCE62">
                  <w:pPr>
                    <w:adjustRightInd w:val="0"/>
                    <w:snapToGrid w:val="0"/>
                    <w:jc w:val="center"/>
                    <w:rPr>
                      <w:color w:val="auto"/>
                      <w:spacing w:val="-10"/>
                      <w:szCs w:val="21"/>
                    </w:rPr>
                  </w:pPr>
                  <w:r>
                    <w:rPr>
                      <w:rFonts w:hint="eastAsia"/>
                      <w:color w:val="auto"/>
                      <w:spacing w:val="-10"/>
                      <w:szCs w:val="21"/>
                    </w:rPr>
                    <w:t>/</w:t>
                  </w:r>
                </w:p>
              </w:tc>
              <w:tc>
                <w:tcPr>
                  <w:tcW w:w="478" w:type="pct"/>
                  <w:vAlign w:val="center"/>
                </w:tcPr>
                <w:p w14:paraId="393A35B5">
                  <w:pPr>
                    <w:adjustRightInd w:val="0"/>
                    <w:snapToGrid w:val="0"/>
                    <w:jc w:val="center"/>
                    <w:rPr>
                      <w:rFonts w:hint="eastAsia"/>
                      <w:color w:val="auto"/>
                      <w:spacing w:val="-10"/>
                      <w:szCs w:val="21"/>
                    </w:rPr>
                  </w:pPr>
                  <w:r>
                    <w:rPr>
                      <w:rFonts w:hint="eastAsia"/>
                      <w:color w:val="auto"/>
                      <w:spacing w:val="-10"/>
                      <w:szCs w:val="21"/>
                    </w:rPr>
                    <w:t>/</w:t>
                  </w:r>
                </w:p>
              </w:tc>
            </w:tr>
            <w:tr w14:paraId="0BFB5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continue"/>
                  <w:vAlign w:val="center"/>
                </w:tcPr>
                <w:p w14:paraId="1BB480B1">
                  <w:pPr>
                    <w:adjustRightInd w:val="0"/>
                    <w:snapToGrid w:val="0"/>
                    <w:jc w:val="center"/>
                    <w:rPr>
                      <w:b/>
                      <w:color w:val="auto"/>
                      <w:spacing w:val="-10"/>
                      <w:szCs w:val="21"/>
                    </w:rPr>
                  </w:pPr>
                </w:p>
              </w:tc>
              <w:tc>
                <w:tcPr>
                  <w:tcW w:w="648" w:type="pct"/>
                  <w:vAlign w:val="center"/>
                </w:tcPr>
                <w:p w14:paraId="75BED91B">
                  <w:pPr>
                    <w:adjustRightInd w:val="0"/>
                    <w:snapToGrid w:val="0"/>
                    <w:jc w:val="center"/>
                    <w:rPr>
                      <w:b/>
                      <w:color w:val="auto"/>
                      <w:spacing w:val="-10"/>
                      <w:szCs w:val="21"/>
                    </w:rPr>
                  </w:pPr>
                  <w:r>
                    <w:rPr>
                      <w:b/>
                      <w:color w:val="auto"/>
                      <w:spacing w:val="-10"/>
                      <w:szCs w:val="21"/>
                    </w:rPr>
                    <w:t>排气筒内径</w:t>
                  </w:r>
                </w:p>
              </w:tc>
              <w:tc>
                <w:tcPr>
                  <w:tcW w:w="556" w:type="pct"/>
                  <w:vAlign w:val="center"/>
                </w:tcPr>
                <w:p w14:paraId="4373F35B">
                  <w:pPr>
                    <w:adjustRightInd w:val="0"/>
                    <w:snapToGrid w:val="0"/>
                    <w:jc w:val="center"/>
                    <w:rPr>
                      <w:color w:val="auto"/>
                      <w:spacing w:val="-10"/>
                      <w:szCs w:val="21"/>
                    </w:rPr>
                  </w:pPr>
                  <w:r>
                    <w:rPr>
                      <w:color w:val="auto"/>
                      <w:spacing w:val="-10"/>
                      <w:szCs w:val="21"/>
                    </w:rPr>
                    <w:t>0.</w:t>
                  </w:r>
                  <w:r>
                    <w:rPr>
                      <w:rFonts w:hint="eastAsia"/>
                      <w:color w:val="auto"/>
                      <w:spacing w:val="-10"/>
                      <w:szCs w:val="21"/>
                      <w:lang w:val="en-US" w:eastAsia="zh-CN"/>
                    </w:rPr>
                    <w:t>6</w:t>
                  </w:r>
                  <w:r>
                    <w:rPr>
                      <w:color w:val="auto"/>
                      <w:spacing w:val="-10"/>
                      <w:szCs w:val="21"/>
                    </w:rPr>
                    <w:t>m</w:t>
                  </w:r>
                </w:p>
              </w:tc>
              <w:tc>
                <w:tcPr>
                  <w:tcW w:w="495" w:type="pct"/>
                  <w:vAlign w:val="center"/>
                </w:tcPr>
                <w:p w14:paraId="3EC73BB5">
                  <w:pPr>
                    <w:adjustRightInd w:val="0"/>
                    <w:snapToGrid w:val="0"/>
                    <w:jc w:val="center"/>
                    <w:rPr>
                      <w:color w:val="auto"/>
                      <w:spacing w:val="-10"/>
                      <w:szCs w:val="21"/>
                    </w:rPr>
                  </w:pPr>
                  <w:r>
                    <w:rPr>
                      <w:rFonts w:hint="eastAsia"/>
                      <w:color w:val="auto"/>
                      <w:spacing w:val="-10"/>
                      <w:szCs w:val="21"/>
                    </w:rPr>
                    <w:t>/</w:t>
                  </w:r>
                </w:p>
              </w:tc>
              <w:tc>
                <w:tcPr>
                  <w:tcW w:w="565" w:type="pct"/>
                  <w:vAlign w:val="center"/>
                </w:tcPr>
                <w:p w14:paraId="18A4C679">
                  <w:pPr>
                    <w:adjustRightInd w:val="0"/>
                    <w:snapToGrid w:val="0"/>
                    <w:jc w:val="center"/>
                    <w:rPr>
                      <w:color w:val="auto"/>
                      <w:spacing w:val="-10"/>
                      <w:szCs w:val="21"/>
                    </w:rPr>
                  </w:pPr>
                  <w:r>
                    <w:rPr>
                      <w:color w:val="auto"/>
                      <w:spacing w:val="-10"/>
                      <w:szCs w:val="21"/>
                    </w:rPr>
                    <w:t>0.</w:t>
                  </w:r>
                  <w:r>
                    <w:rPr>
                      <w:rFonts w:hint="eastAsia"/>
                      <w:color w:val="auto"/>
                      <w:spacing w:val="-10"/>
                      <w:szCs w:val="21"/>
                      <w:lang w:val="en-US" w:eastAsia="zh-CN"/>
                    </w:rPr>
                    <w:t>6</w:t>
                  </w:r>
                  <w:r>
                    <w:rPr>
                      <w:color w:val="auto"/>
                      <w:spacing w:val="-10"/>
                      <w:szCs w:val="21"/>
                    </w:rPr>
                    <w:t>m</w:t>
                  </w:r>
                </w:p>
              </w:tc>
              <w:tc>
                <w:tcPr>
                  <w:tcW w:w="442" w:type="pct"/>
                  <w:vAlign w:val="center"/>
                </w:tcPr>
                <w:p w14:paraId="40641157">
                  <w:pPr>
                    <w:adjustRightInd w:val="0"/>
                    <w:snapToGrid w:val="0"/>
                    <w:jc w:val="center"/>
                    <w:rPr>
                      <w:color w:val="auto"/>
                    </w:rPr>
                  </w:pPr>
                  <w:r>
                    <w:rPr>
                      <w:rFonts w:hint="eastAsia"/>
                      <w:color w:val="auto"/>
                      <w:spacing w:val="-10"/>
                      <w:szCs w:val="21"/>
                    </w:rPr>
                    <w:t>/</w:t>
                  </w:r>
                </w:p>
              </w:tc>
              <w:tc>
                <w:tcPr>
                  <w:tcW w:w="521" w:type="pct"/>
                  <w:vAlign w:val="center"/>
                </w:tcPr>
                <w:p w14:paraId="40A7056C">
                  <w:pPr>
                    <w:adjustRightInd w:val="0"/>
                    <w:snapToGrid w:val="0"/>
                    <w:jc w:val="center"/>
                    <w:rPr>
                      <w:color w:val="auto"/>
                      <w:spacing w:val="-10"/>
                      <w:szCs w:val="21"/>
                      <w:highlight w:val="none"/>
                    </w:rPr>
                  </w:pPr>
                  <w:r>
                    <w:rPr>
                      <w:color w:val="auto"/>
                      <w:spacing w:val="-10"/>
                      <w:szCs w:val="21"/>
                      <w:highlight w:val="none"/>
                    </w:rPr>
                    <w:t>0.</w:t>
                  </w:r>
                  <w:r>
                    <w:rPr>
                      <w:rFonts w:hint="eastAsia"/>
                      <w:color w:val="auto"/>
                      <w:spacing w:val="-10"/>
                      <w:szCs w:val="21"/>
                      <w:highlight w:val="none"/>
                      <w:lang w:val="en-US" w:eastAsia="zh-CN"/>
                    </w:rPr>
                    <w:t>15</w:t>
                  </w:r>
                  <w:r>
                    <w:rPr>
                      <w:color w:val="auto"/>
                      <w:spacing w:val="-10"/>
                      <w:szCs w:val="21"/>
                      <w:highlight w:val="none"/>
                    </w:rPr>
                    <w:t>m</w:t>
                  </w:r>
                </w:p>
              </w:tc>
              <w:tc>
                <w:tcPr>
                  <w:tcW w:w="495" w:type="pct"/>
                  <w:vAlign w:val="center"/>
                </w:tcPr>
                <w:p w14:paraId="62FFD869">
                  <w:pPr>
                    <w:adjustRightInd w:val="0"/>
                    <w:snapToGrid w:val="0"/>
                    <w:jc w:val="center"/>
                    <w:rPr>
                      <w:rFonts w:hint="eastAsia"/>
                      <w:color w:val="auto"/>
                      <w:spacing w:val="-10"/>
                      <w:szCs w:val="21"/>
                    </w:rPr>
                  </w:pPr>
                  <w:r>
                    <w:rPr>
                      <w:rFonts w:hint="eastAsia"/>
                      <w:color w:val="auto"/>
                      <w:spacing w:val="-10"/>
                      <w:szCs w:val="21"/>
                    </w:rPr>
                    <w:t>/</w:t>
                  </w:r>
                </w:p>
              </w:tc>
              <w:tc>
                <w:tcPr>
                  <w:tcW w:w="573" w:type="pct"/>
                  <w:vAlign w:val="center"/>
                </w:tcPr>
                <w:p w14:paraId="773097C7">
                  <w:pPr>
                    <w:adjustRightInd w:val="0"/>
                    <w:snapToGrid w:val="0"/>
                    <w:jc w:val="center"/>
                    <w:rPr>
                      <w:color w:val="auto"/>
                      <w:spacing w:val="-10"/>
                      <w:szCs w:val="21"/>
                    </w:rPr>
                  </w:pPr>
                  <w:r>
                    <w:rPr>
                      <w:rFonts w:hint="eastAsia"/>
                      <w:color w:val="auto"/>
                      <w:spacing w:val="-10"/>
                      <w:szCs w:val="21"/>
                    </w:rPr>
                    <w:t>/</w:t>
                  </w:r>
                </w:p>
              </w:tc>
              <w:tc>
                <w:tcPr>
                  <w:tcW w:w="478" w:type="pct"/>
                  <w:vAlign w:val="center"/>
                </w:tcPr>
                <w:p w14:paraId="23508B85">
                  <w:pPr>
                    <w:adjustRightInd w:val="0"/>
                    <w:snapToGrid w:val="0"/>
                    <w:jc w:val="center"/>
                    <w:rPr>
                      <w:rFonts w:hint="eastAsia"/>
                      <w:color w:val="auto"/>
                      <w:spacing w:val="-10"/>
                      <w:szCs w:val="21"/>
                    </w:rPr>
                  </w:pPr>
                  <w:r>
                    <w:rPr>
                      <w:rFonts w:hint="eastAsia"/>
                      <w:color w:val="auto"/>
                      <w:spacing w:val="-10"/>
                      <w:szCs w:val="21"/>
                    </w:rPr>
                    <w:t>/</w:t>
                  </w:r>
                </w:p>
              </w:tc>
            </w:tr>
            <w:tr w14:paraId="1696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continue"/>
                  <w:vAlign w:val="center"/>
                </w:tcPr>
                <w:p w14:paraId="3791B8BD">
                  <w:pPr>
                    <w:adjustRightInd w:val="0"/>
                    <w:snapToGrid w:val="0"/>
                    <w:jc w:val="center"/>
                    <w:rPr>
                      <w:b/>
                      <w:color w:val="auto"/>
                      <w:spacing w:val="-10"/>
                      <w:szCs w:val="21"/>
                    </w:rPr>
                  </w:pPr>
                </w:p>
              </w:tc>
              <w:tc>
                <w:tcPr>
                  <w:tcW w:w="648" w:type="pct"/>
                  <w:vAlign w:val="center"/>
                </w:tcPr>
                <w:p w14:paraId="69C9F294">
                  <w:pPr>
                    <w:adjustRightInd w:val="0"/>
                    <w:snapToGrid w:val="0"/>
                    <w:jc w:val="center"/>
                    <w:rPr>
                      <w:b/>
                      <w:color w:val="auto"/>
                      <w:spacing w:val="-10"/>
                      <w:szCs w:val="21"/>
                    </w:rPr>
                  </w:pPr>
                  <w:r>
                    <w:rPr>
                      <w:b/>
                      <w:color w:val="auto"/>
                      <w:spacing w:val="-10"/>
                      <w:szCs w:val="21"/>
                    </w:rPr>
                    <w:t>温度</w:t>
                  </w:r>
                </w:p>
              </w:tc>
              <w:tc>
                <w:tcPr>
                  <w:tcW w:w="556" w:type="pct"/>
                  <w:vAlign w:val="center"/>
                </w:tcPr>
                <w:p w14:paraId="657708CB">
                  <w:pPr>
                    <w:adjustRightInd w:val="0"/>
                    <w:snapToGrid w:val="0"/>
                    <w:jc w:val="center"/>
                    <w:rPr>
                      <w:color w:val="auto"/>
                      <w:spacing w:val="-10"/>
                      <w:szCs w:val="21"/>
                    </w:rPr>
                  </w:pPr>
                  <w:r>
                    <w:rPr>
                      <w:rFonts w:hint="eastAsia"/>
                      <w:color w:val="auto"/>
                      <w:spacing w:val="-10"/>
                      <w:szCs w:val="21"/>
                    </w:rPr>
                    <w:t>25</w:t>
                  </w:r>
                  <w:r>
                    <w:rPr>
                      <w:color w:val="auto"/>
                      <w:spacing w:val="-10"/>
                      <w:szCs w:val="21"/>
                    </w:rPr>
                    <w:t>℃</w:t>
                  </w:r>
                </w:p>
              </w:tc>
              <w:tc>
                <w:tcPr>
                  <w:tcW w:w="495" w:type="pct"/>
                  <w:vAlign w:val="center"/>
                </w:tcPr>
                <w:p w14:paraId="3CFBB286">
                  <w:pPr>
                    <w:adjustRightInd w:val="0"/>
                    <w:snapToGrid w:val="0"/>
                    <w:jc w:val="center"/>
                    <w:rPr>
                      <w:color w:val="auto"/>
                      <w:spacing w:val="-10"/>
                      <w:szCs w:val="21"/>
                    </w:rPr>
                  </w:pPr>
                  <w:r>
                    <w:rPr>
                      <w:rFonts w:hint="eastAsia"/>
                      <w:color w:val="auto"/>
                      <w:spacing w:val="-10"/>
                      <w:szCs w:val="21"/>
                    </w:rPr>
                    <w:t>/</w:t>
                  </w:r>
                </w:p>
              </w:tc>
              <w:tc>
                <w:tcPr>
                  <w:tcW w:w="565" w:type="pct"/>
                  <w:vAlign w:val="center"/>
                </w:tcPr>
                <w:p w14:paraId="1E740E49">
                  <w:pPr>
                    <w:adjustRightInd w:val="0"/>
                    <w:snapToGrid w:val="0"/>
                    <w:jc w:val="center"/>
                    <w:rPr>
                      <w:color w:val="auto"/>
                      <w:spacing w:val="-10"/>
                      <w:szCs w:val="21"/>
                    </w:rPr>
                  </w:pPr>
                  <w:r>
                    <w:rPr>
                      <w:rFonts w:hint="eastAsia"/>
                      <w:color w:val="auto"/>
                      <w:spacing w:val="-10"/>
                      <w:szCs w:val="21"/>
                    </w:rPr>
                    <w:t>25</w:t>
                  </w:r>
                  <w:r>
                    <w:rPr>
                      <w:color w:val="auto"/>
                      <w:spacing w:val="-10"/>
                      <w:szCs w:val="21"/>
                    </w:rPr>
                    <w:t>℃</w:t>
                  </w:r>
                </w:p>
              </w:tc>
              <w:tc>
                <w:tcPr>
                  <w:tcW w:w="442" w:type="pct"/>
                  <w:vAlign w:val="center"/>
                </w:tcPr>
                <w:p w14:paraId="1C8256D9">
                  <w:pPr>
                    <w:adjustRightInd w:val="0"/>
                    <w:snapToGrid w:val="0"/>
                    <w:jc w:val="center"/>
                    <w:rPr>
                      <w:color w:val="auto"/>
                    </w:rPr>
                  </w:pPr>
                  <w:r>
                    <w:rPr>
                      <w:rFonts w:hint="eastAsia"/>
                      <w:color w:val="auto"/>
                      <w:spacing w:val="-10"/>
                      <w:szCs w:val="21"/>
                    </w:rPr>
                    <w:t>/</w:t>
                  </w:r>
                </w:p>
              </w:tc>
              <w:tc>
                <w:tcPr>
                  <w:tcW w:w="521" w:type="pct"/>
                  <w:vAlign w:val="center"/>
                </w:tcPr>
                <w:p w14:paraId="6DA5796E">
                  <w:pPr>
                    <w:adjustRightInd w:val="0"/>
                    <w:snapToGrid w:val="0"/>
                    <w:jc w:val="center"/>
                    <w:rPr>
                      <w:color w:val="auto"/>
                      <w:spacing w:val="-10"/>
                      <w:szCs w:val="21"/>
                    </w:rPr>
                  </w:pPr>
                  <w:r>
                    <w:rPr>
                      <w:rFonts w:hint="eastAsia"/>
                      <w:color w:val="auto"/>
                      <w:spacing w:val="-10"/>
                      <w:szCs w:val="21"/>
                    </w:rPr>
                    <w:t>25</w:t>
                  </w:r>
                  <w:r>
                    <w:rPr>
                      <w:color w:val="auto"/>
                      <w:spacing w:val="-10"/>
                      <w:szCs w:val="21"/>
                    </w:rPr>
                    <w:t>℃</w:t>
                  </w:r>
                </w:p>
              </w:tc>
              <w:tc>
                <w:tcPr>
                  <w:tcW w:w="495" w:type="pct"/>
                  <w:vAlign w:val="center"/>
                </w:tcPr>
                <w:p w14:paraId="458AADCD">
                  <w:pPr>
                    <w:adjustRightInd w:val="0"/>
                    <w:snapToGrid w:val="0"/>
                    <w:jc w:val="center"/>
                    <w:rPr>
                      <w:rFonts w:hint="eastAsia"/>
                      <w:color w:val="auto"/>
                      <w:spacing w:val="-10"/>
                      <w:szCs w:val="21"/>
                    </w:rPr>
                  </w:pPr>
                  <w:r>
                    <w:rPr>
                      <w:rFonts w:hint="eastAsia"/>
                      <w:color w:val="auto"/>
                      <w:spacing w:val="-10"/>
                      <w:szCs w:val="21"/>
                    </w:rPr>
                    <w:t>/</w:t>
                  </w:r>
                </w:p>
              </w:tc>
              <w:tc>
                <w:tcPr>
                  <w:tcW w:w="573" w:type="pct"/>
                  <w:vAlign w:val="center"/>
                </w:tcPr>
                <w:p w14:paraId="2E79CB65">
                  <w:pPr>
                    <w:adjustRightInd w:val="0"/>
                    <w:snapToGrid w:val="0"/>
                    <w:jc w:val="center"/>
                    <w:rPr>
                      <w:color w:val="auto"/>
                      <w:spacing w:val="-10"/>
                      <w:szCs w:val="21"/>
                    </w:rPr>
                  </w:pPr>
                  <w:r>
                    <w:rPr>
                      <w:rFonts w:hint="eastAsia"/>
                      <w:color w:val="auto"/>
                      <w:spacing w:val="-10"/>
                      <w:szCs w:val="21"/>
                    </w:rPr>
                    <w:t>/</w:t>
                  </w:r>
                </w:p>
              </w:tc>
              <w:tc>
                <w:tcPr>
                  <w:tcW w:w="478" w:type="pct"/>
                  <w:vAlign w:val="center"/>
                </w:tcPr>
                <w:p w14:paraId="0D154E71">
                  <w:pPr>
                    <w:adjustRightInd w:val="0"/>
                    <w:snapToGrid w:val="0"/>
                    <w:jc w:val="center"/>
                    <w:rPr>
                      <w:rFonts w:hint="eastAsia"/>
                      <w:color w:val="auto"/>
                      <w:spacing w:val="-10"/>
                      <w:szCs w:val="21"/>
                    </w:rPr>
                  </w:pPr>
                  <w:r>
                    <w:rPr>
                      <w:rFonts w:hint="eastAsia"/>
                      <w:color w:val="auto"/>
                      <w:spacing w:val="-10"/>
                      <w:szCs w:val="21"/>
                    </w:rPr>
                    <w:t>/</w:t>
                  </w:r>
                </w:p>
              </w:tc>
            </w:tr>
            <w:tr w14:paraId="1B39E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continue"/>
                  <w:vAlign w:val="center"/>
                </w:tcPr>
                <w:p w14:paraId="6ED0B6D6">
                  <w:pPr>
                    <w:adjustRightInd w:val="0"/>
                    <w:snapToGrid w:val="0"/>
                    <w:jc w:val="center"/>
                    <w:rPr>
                      <w:b/>
                      <w:color w:val="auto"/>
                      <w:spacing w:val="-10"/>
                      <w:szCs w:val="21"/>
                    </w:rPr>
                  </w:pPr>
                </w:p>
              </w:tc>
              <w:tc>
                <w:tcPr>
                  <w:tcW w:w="648" w:type="pct"/>
                  <w:vAlign w:val="center"/>
                </w:tcPr>
                <w:p w14:paraId="5EE64474">
                  <w:pPr>
                    <w:adjustRightInd w:val="0"/>
                    <w:snapToGrid w:val="0"/>
                    <w:jc w:val="center"/>
                    <w:rPr>
                      <w:b/>
                      <w:color w:val="auto"/>
                      <w:spacing w:val="-10"/>
                      <w:szCs w:val="21"/>
                    </w:rPr>
                  </w:pPr>
                  <w:r>
                    <w:rPr>
                      <w:b/>
                      <w:color w:val="auto"/>
                      <w:spacing w:val="-10"/>
                      <w:szCs w:val="21"/>
                    </w:rPr>
                    <w:t>编号</w:t>
                  </w:r>
                </w:p>
              </w:tc>
              <w:tc>
                <w:tcPr>
                  <w:tcW w:w="556" w:type="pct"/>
                  <w:vAlign w:val="center"/>
                </w:tcPr>
                <w:p w14:paraId="2A898967">
                  <w:pPr>
                    <w:adjustRightInd w:val="0"/>
                    <w:snapToGrid w:val="0"/>
                    <w:jc w:val="center"/>
                    <w:rPr>
                      <w:rFonts w:hint="eastAsia" w:eastAsia="宋体"/>
                      <w:color w:val="auto"/>
                      <w:spacing w:val="-10"/>
                      <w:szCs w:val="21"/>
                      <w:lang w:eastAsia="zh-CN"/>
                    </w:rPr>
                  </w:pPr>
                  <w:r>
                    <w:rPr>
                      <w:color w:val="auto"/>
                      <w:spacing w:val="-10"/>
                      <w:szCs w:val="21"/>
                    </w:rPr>
                    <w:t>DA00</w:t>
                  </w:r>
                  <w:r>
                    <w:rPr>
                      <w:rFonts w:hint="eastAsia"/>
                      <w:color w:val="auto"/>
                      <w:spacing w:val="-10"/>
                      <w:szCs w:val="21"/>
                      <w:lang w:val="en-US" w:eastAsia="zh-CN"/>
                    </w:rPr>
                    <w:t>1</w:t>
                  </w:r>
                </w:p>
              </w:tc>
              <w:tc>
                <w:tcPr>
                  <w:tcW w:w="495" w:type="pct"/>
                  <w:vAlign w:val="center"/>
                </w:tcPr>
                <w:p w14:paraId="509484F6">
                  <w:pPr>
                    <w:adjustRightInd w:val="0"/>
                    <w:snapToGrid w:val="0"/>
                    <w:jc w:val="center"/>
                    <w:rPr>
                      <w:color w:val="auto"/>
                      <w:spacing w:val="-10"/>
                      <w:szCs w:val="21"/>
                    </w:rPr>
                  </w:pPr>
                  <w:r>
                    <w:rPr>
                      <w:rFonts w:hint="eastAsia"/>
                      <w:color w:val="auto"/>
                      <w:spacing w:val="-10"/>
                      <w:szCs w:val="21"/>
                    </w:rPr>
                    <w:t>/</w:t>
                  </w:r>
                </w:p>
              </w:tc>
              <w:tc>
                <w:tcPr>
                  <w:tcW w:w="565" w:type="pct"/>
                  <w:vAlign w:val="center"/>
                </w:tcPr>
                <w:p w14:paraId="6EFEA100">
                  <w:pPr>
                    <w:adjustRightInd w:val="0"/>
                    <w:snapToGrid w:val="0"/>
                    <w:jc w:val="center"/>
                    <w:rPr>
                      <w:rFonts w:hint="eastAsia" w:eastAsia="宋体"/>
                      <w:color w:val="auto"/>
                      <w:spacing w:val="-10"/>
                      <w:szCs w:val="21"/>
                      <w:lang w:eastAsia="zh-CN"/>
                    </w:rPr>
                  </w:pPr>
                  <w:r>
                    <w:rPr>
                      <w:color w:val="auto"/>
                      <w:spacing w:val="-10"/>
                      <w:szCs w:val="21"/>
                    </w:rPr>
                    <w:t>DA00</w:t>
                  </w:r>
                  <w:r>
                    <w:rPr>
                      <w:rFonts w:hint="eastAsia"/>
                      <w:color w:val="auto"/>
                      <w:spacing w:val="-10"/>
                      <w:szCs w:val="21"/>
                      <w:lang w:val="en-US" w:eastAsia="zh-CN"/>
                    </w:rPr>
                    <w:t>1</w:t>
                  </w:r>
                </w:p>
              </w:tc>
              <w:tc>
                <w:tcPr>
                  <w:tcW w:w="442" w:type="pct"/>
                  <w:vAlign w:val="center"/>
                </w:tcPr>
                <w:p w14:paraId="541B1957">
                  <w:pPr>
                    <w:adjustRightInd w:val="0"/>
                    <w:snapToGrid w:val="0"/>
                    <w:jc w:val="center"/>
                    <w:rPr>
                      <w:color w:val="auto"/>
                    </w:rPr>
                  </w:pPr>
                  <w:r>
                    <w:rPr>
                      <w:rFonts w:hint="eastAsia"/>
                      <w:color w:val="auto"/>
                      <w:spacing w:val="-10"/>
                      <w:szCs w:val="21"/>
                    </w:rPr>
                    <w:t>/</w:t>
                  </w:r>
                </w:p>
              </w:tc>
              <w:tc>
                <w:tcPr>
                  <w:tcW w:w="521" w:type="pct"/>
                  <w:vAlign w:val="center"/>
                </w:tcPr>
                <w:p w14:paraId="7D7253E5">
                  <w:pPr>
                    <w:adjustRightInd w:val="0"/>
                    <w:snapToGrid w:val="0"/>
                    <w:jc w:val="center"/>
                    <w:rPr>
                      <w:color w:val="auto"/>
                      <w:spacing w:val="-10"/>
                      <w:szCs w:val="21"/>
                    </w:rPr>
                  </w:pPr>
                  <w:r>
                    <w:rPr>
                      <w:color w:val="auto"/>
                      <w:spacing w:val="-10"/>
                      <w:szCs w:val="21"/>
                    </w:rPr>
                    <w:t>DA00</w:t>
                  </w:r>
                  <w:r>
                    <w:rPr>
                      <w:rFonts w:hint="eastAsia"/>
                      <w:color w:val="auto"/>
                      <w:spacing w:val="-10"/>
                      <w:szCs w:val="21"/>
                      <w:lang w:val="en-US" w:eastAsia="zh-CN"/>
                    </w:rPr>
                    <w:t>2</w:t>
                  </w:r>
                </w:p>
              </w:tc>
              <w:tc>
                <w:tcPr>
                  <w:tcW w:w="495" w:type="pct"/>
                  <w:vAlign w:val="center"/>
                </w:tcPr>
                <w:p w14:paraId="657DB7AD">
                  <w:pPr>
                    <w:adjustRightInd w:val="0"/>
                    <w:snapToGrid w:val="0"/>
                    <w:jc w:val="center"/>
                    <w:rPr>
                      <w:rFonts w:hint="eastAsia"/>
                      <w:color w:val="auto"/>
                      <w:spacing w:val="-10"/>
                      <w:szCs w:val="21"/>
                    </w:rPr>
                  </w:pPr>
                  <w:r>
                    <w:rPr>
                      <w:rFonts w:hint="eastAsia"/>
                      <w:color w:val="auto"/>
                      <w:spacing w:val="-10"/>
                      <w:szCs w:val="21"/>
                    </w:rPr>
                    <w:t>/</w:t>
                  </w:r>
                </w:p>
              </w:tc>
              <w:tc>
                <w:tcPr>
                  <w:tcW w:w="573" w:type="pct"/>
                  <w:vAlign w:val="center"/>
                </w:tcPr>
                <w:p w14:paraId="499D3E6A">
                  <w:pPr>
                    <w:adjustRightInd w:val="0"/>
                    <w:snapToGrid w:val="0"/>
                    <w:jc w:val="center"/>
                    <w:rPr>
                      <w:color w:val="auto"/>
                      <w:spacing w:val="-10"/>
                      <w:szCs w:val="21"/>
                    </w:rPr>
                  </w:pPr>
                  <w:r>
                    <w:rPr>
                      <w:rFonts w:hint="eastAsia"/>
                      <w:color w:val="auto"/>
                      <w:spacing w:val="-10"/>
                      <w:szCs w:val="21"/>
                    </w:rPr>
                    <w:t>/</w:t>
                  </w:r>
                </w:p>
              </w:tc>
              <w:tc>
                <w:tcPr>
                  <w:tcW w:w="478" w:type="pct"/>
                  <w:vAlign w:val="center"/>
                </w:tcPr>
                <w:p w14:paraId="7BCBAB59">
                  <w:pPr>
                    <w:adjustRightInd w:val="0"/>
                    <w:snapToGrid w:val="0"/>
                    <w:jc w:val="center"/>
                    <w:rPr>
                      <w:rFonts w:hint="eastAsia"/>
                      <w:color w:val="auto"/>
                      <w:spacing w:val="-10"/>
                      <w:szCs w:val="21"/>
                    </w:rPr>
                  </w:pPr>
                  <w:r>
                    <w:rPr>
                      <w:rFonts w:hint="eastAsia"/>
                      <w:color w:val="auto"/>
                      <w:spacing w:val="-10"/>
                      <w:szCs w:val="21"/>
                    </w:rPr>
                    <w:t>/</w:t>
                  </w:r>
                </w:p>
              </w:tc>
            </w:tr>
            <w:tr w14:paraId="28ECB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continue"/>
                  <w:vAlign w:val="center"/>
                </w:tcPr>
                <w:p w14:paraId="41EB7598">
                  <w:pPr>
                    <w:adjustRightInd w:val="0"/>
                    <w:snapToGrid w:val="0"/>
                    <w:jc w:val="center"/>
                    <w:rPr>
                      <w:b/>
                      <w:color w:val="auto"/>
                      <w:spacing w:val="-10"/>
                      <w:szCs w:val="21"/>
                    </w:rPr>
                  </w:pPr>
                </w:p>
              </w:tc>
              <w:tc>
                <w:tcPr>
                  <w:tcW w:w="648" w:type="pct"/>
                  <w:vAlign w:val="center"/>
                </w:tcPr>
                <w:p w14:paraId="31FD87F3">
                  <w:pPr>
                    <w:adjustRightInd w:val="0"/>
                    <w:snapToGrid w:val="0"/>
                    <w:jc w:val="center"/>
                    <w:rPr>
                      <w:b/>
                      <w:color w:val="auto"/>
                      <w:spacing w:val="-10"/>
                      <w:szCs w:val="21"/>
                    </w:rPr>
                  </w:pPr>
                  <w:r>
                    <w:rPr>
                      <w:b/>
                      <w:color w:val="auto"/>
                      <w:spacing w:val="-10"/>
                      <w:szCs w:val="21"/>
                    </w:rPr>
                    <w:t>类型</w:t>
                  </w:r>
                </w:p>
              </w:tc>
              <w:tc>
                <w:tcPr>
                  <w:tcW w:w="556" w:type="pct"/>
                  <w:vAlign w:val="center"/>
                </w:tcPr>
                <w:p w14:paraId="16DAFD2D">
                  <w:pPr>
                    <w:adjustRightInd w:val="0"/>
                    <w:snapToGrid w:val="0"/>
                    <w:jc w:val="center"/>
                    <w:rPr>
                      <w:color w:val="auto"/>
                      <w:spacing w:val="-10"/>
                      <w:szCs w:val="21"/>
                    </w:rPr>
                  </w:pPr>
                  <w:r>
                    <w:rPr>
                      <w:color w:val="auto"/>
                      <w:spacing w:val="-10"/>
                      <w:szCs w:val="21"/>
                    </w:rPr>
                    <w:t>一般排放口</w:t>
                  </w:r>
                </w:p>
              </w:tc>
              <w:tc>
                <w:tcPr>
                  <w:tcW w:w="495" w:type="pct"/>
                  <w:vAlign w:val="center"/>
                </w:tcPr>
                <w:p w14:paraId="7B23EB6A">
                  <w:pPr>
                    <w:adjustRightInd w:val="0"/>
                    <w:snapToGrid w:val="0"/>
                    <w:jc w:val="center"/>
                    <w:rPr>
                      <w:color w:val="auto"/>
                      <w:spacing w:val="-10"/>
                      <w:szCs w:val="21"/>
                    </w:rPr>
                  </w:pPr>
                  <w:r>
                    <w:rPr>
                      <w:rFonts w:hint="eastAsia"/>
                      <w:color w:val="auto"/>
                      <w:spacing w:val="-10"/>
                      <w:szCs w:val="21"/>
                    </w:rPr>
                    <w:t>/</w:t>
                  </w:r>
                </w:p>
              </w:tc>
              <w:tc>
                <w:tcPr>
                  <w:tcW w:w="565" w:type="pct"/>
                  <w:vAlign w:val="center"/>
                </w:tcPr>
                <w:p w14:paraId="6C17A84A">
                  <w:pPr>
                    <w:adjustRightInd w:val="0"/>
                    <w:snapToGrid w:val="0"/>
                    <w:jc w:val="center"/>
                    <w:rPr>
                      <w:color w:val="auto"/>
                      <w:spacing w:val="-10"/>
                      <w:szCs w:val="21"/>
                    </w:rPr>
                  </w:pPr>
                  <w:r>
                    <w:rPr>
                      <w:color w:val="auto"/>
                      <w:spacing w:val="-10"/>
                      <w:szCs w:val="21"/>
                    </w:rPr>
                    <w:t>一般排放口</w:t>
                  </w:r>
                </w:p>
              </w:tc>
              <w:tc>
                <w:tcPr>
                  <w:tcW w:w="442" w:type="pct"/>
                  <w:vAlign w:val="center"/>
                </w:tcPr>
                <w:p w14:paraId="163027FD">
                  <w:pPr>
                    <w:adjustRightInd w:val="0"/>
                    <w:snapToGrid w:val="0"/>
                    <w:jc w:val="center"/>
                    <w:rPr>
                      <w:color w:val="auto"/>
                    </w:rPr>
                  </w:pPr>
                  <w:r>
                    <w:rPr>
                      <w:rFonts w:hint="eastAsia"/>
                      <w:color w:val="auto"/>
                      <w:spacing w:val="-10"/>
                      <w:szCs w:val="21"/>
                    </w:rPr>
                    <w:t>/</w:t>
                  </w:r>
                </w:p>
              </w:tc>
              <w:tc>
                <w:tcPr>
                  <w:tcW w:w="521" w:type="pct"/>
                  <w:vAlign w:val="center"/>
                </w:tcPr>
                <w:p w14:paraId="560EE360">
                  <w:pPr>
                    <w:adjustRightInd w:val="0"/>
                    <w:snapToGrid w:val="0"/>
                    <w:jc w:val="center"/>
                    <w:rPr>
                      <w:color w:val="auto"/>
                      <w:spacing w:val="-10"/>
                      <w:szCs w:val="21"/>
                    </w:rPr>
                  </w:pPr>
                  <w:r>
                    <w:rPr>
                      <w:color w:val="auto"/>
                      <w:spacing w:val="-10"/>
                      <w:szCs w:val="21"/>
                    </w:rPr>
                    <w:t>一般排放口</w:t>
                  </w:r>
                </w:p>
              </w:tc>
              <w:tc>
                <w:tcPr>
                  <w:tcW w:w="495" w:type="pct"/>
                  <w:vAlign w:val="center"/>
                </w:tcPr>
                <w:p w14:paraId="743329AB">
                  <w:pPr>
                    <w:adjustRightInd w:val="0"/>
                    <w:snapToGrid w:val="0"/>
                    <w:jc w:val="center"/>
                    <w:rPr>
                      <w:rFonts w:hint="eastAsia"/>
                      <w:color w:val="auto"/>
                      <w:spacing w:val="-10"/>
                      <w:szCs w:val="21"/>
                    </w:rPr>
                  </w:pPr>
                  <w:r>
                    <w:rPr>
                      <w:rFonts w:hint="eastAsia"/>
                      <w:color w:val="auto"/>
                      <w:spacing w:val="-10"/>
                      <w:szCs w:val="21"/>
                    </w:rPr>
                    <w:t>/</w:t>
                  </w:r>
                </w:p>
              </w:tc>
              <w:tc>
                <w:tcPr>
                  <w:tcW w:w="573" w:type="pct"/>
                  <w:vAlign w:val="center"/>
                </w:tcPr>
                <w:p w14:paraId="4ABB6776">
                  <w:pPr>
                    <w:adjustRightInd w:val="0"/>
                    <w:snapToGrid w:val="0"/>
                    <w:jc w:val="center"/>
                    <w:rPr>
                      <w:color w:val="auto"/>
                      <w:spacing w:val="-10"/>
                      <w:szCs w:val="21"/>
                    </w:rPr>
                  </w:pPr>
                  <w:r>
                    <w:rPr>
                      <w:rFonts w:hint="eastAsia"/>
                      <w:color w:val="auto"/>
                      <w:spacing w:val="-10"/>
                      <w:szCs w:val="21"/>
                    </w:rPr>
                    <w:t>/</w:t>
                  </w:r>
                </w:p>
              </w:tc>
              <w:tc>
                <w:tcPr>
                  <w:tcW w:w="478" w:type="pct"/>
                  <w:vAlign w:val="center"/>
                </w:tcPr>
                <w:p w14:paraId="446242AD">
                  <w:pPr>
                    <w:adjustRightInd w:val="0"/>
                    <w:snapToGrid w:val="0"/>
                    <w:jc w:val="center"/>
                    <w:rPr>
                      <w:rFonts w:hint="eastAsia"/>
                      <w:color w:val="auto"/>
                      <w:spacing w:val="-10"/>
                      <w:szCs w:val="21"/>
                    </w:rPr>
                  </w:pPr>
                  <w:r>
                    <w:rPr>
                      <w:rFonts w:hint="eastAsia"/>
                      <w:color w:val="auto"/>
                      <w:spacing w:val="-10"/>
                      <w:szCs w:val="21"/>
                    </w:rPr>
                    <w:t>/</w:t>
                  </w:r>
                </w:p>
              </w:tc>
            </w:tr>
            <w:tr w14:paraId="17E7E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2" w:type="pct"/>
                  <w:vMerge w:val="continue"/>
                  <w:vAlign w:val="center"/>
                </w:tcPr>
                <w:p w14:paraId="08109A44">
                  <w:pPr>
                    <w:adjustRightInd w:val="0"/>
                    <w:snapToGrid w:val="0"/>
                    <w:jc w:val="center"/>
                    <w:rPr>
                      <w:b/>
                      <w:color w:val="auto"/>
                      <w:spacing w:val="-10"/>
                      <w:szCs w:val="21"/>
                    </w:rPr>
                  </w:pPr>
                </w:p>
              </w:tc>
              <w:tc>
                <w:tcPr>
                  <w:tcW w:w="648" w:type="pct"/>
                  <w:vAlign w:val="center"/>
                </w:tcPr>
                <w:p w14:paraId="70AE3C76">
                  <w:pPr>
                    <w:adjustRightInd w:val="0"/>
                    <w:snapToGrid w:val="0"/>
                    <w:jc w:val="center"/>
                    <w:rPr>
                      <w:b/>
                      <w:color w:val="auto"/>
                      <w:spacing w:val="-10"/>
                      <w:szCs w:val="21"/>
                    </w:rPr>
                  </w:pPr>
                  <w:r>
                    <w:rPr>
                      <w:b/>
                      <w:color w:val="auto"/>
                      <w:spacing w:val="-10"/>
                      <w:szCs w:val="21"/>
                    </w:rPr>
                    <w:t>地理坐标</w:t>
                  </w:r>
                </w:p>
              </w:tc>
              <w:tc>
                <w:tcPr>
                  <w:tcW w:w="556" w:type="pct"/>
                  <w:vAlign w:val="center"/>
                </w:tcPr>
                <w:p w14:paraId="55461F96">
                  <w:pPr>
                    <w:adjustRightInd w:val="0"/>
                    <w:snapToGrid w:val="0"/>
                    <w:jc w:val="center"/>
                    <w:rPr>
                      <w:color w:val="auto"/>
                      <w:spacing w:val="-10"/>
                      <w:sz w:val="21"/>
                      <w:szCs w:val="21"/>
                    </w:rPr>
                  </w:pPr>
                  <w:r>
                    <w:rPr>
                      <w:color w:val="auto"/>
                      <w:spacing w:val="-10"/>
                      <w:sz w:val="21"/>
                      <w:szCs w:val="21"/>
                    </w:rPr>
                    <w:t>E：10</w:t>
                  </w:r>
                  <w:r>
                    <w:rPr>
                      <w:rFonts w:hint="eastAsia"/>
                      <w:color w:val="auto"/>
                      <w:spacing w:val="-10"/>
                      <w:sz w:val="21"/>
                      <w:szCs w:val="21"/>
                    </w:rPr>
                    <w:t>2</w:t>
                  </w:r>
                  <w:r>
                    <w:rPr>
                      <w:color w:val="auto"/>
                      <w:spacing w:val="-10"/>
                      <w:sz w:val="21"/>
                      <w:szCs w:val="21"/>
                    </w:rPr>
                    <w:t>°</w:t>
                  </w:r>
                  <w:r>
                    <w:rPr>
                      <w:rFonts w:hint="eastAsia"/>
                      <w:color w:val="auto"/>
                      <w:spacing w:val="-10"/>
                      <w:sz w:val="21"/>
                      <w:szCs w:val="21"/>
                      <w:lang w:val="en-US" w:eastAsia="zh-CN"/>
                    </w:rPr>
                    <w:t>51</w:t>
                  </w:r>
                  <w:r>
                    <w:rPr>
                      <w:color w:val="auto"/>
                      <w:spacing w:val="-10"/>
                      <w:sz w:val="21"/>
                      <w:szCs w:val="21"/>
                    </w:rPr>
                    <w:t>′</w:t>
                  </w:r>
                  <w:r>
                    <w:rPr>
                      <w:rFonts w:hint="eastAsia"/>
                      <w:color w:val="auto"/>
                      <w:spacing w:val="-10"/>
                      <w:sz w:val="21"/>
                      <w:szCs w:val="21"/>
                      <w:lang w:val="en-US" w:eastAsia="zh-CN"/>
                    </w:rPr>
                    <w:t>14.606</w:t>
                  </w:r>
                  <w:r>
                    <w:rPr>
                      <w:color w:val="auto"/>
                      <w:spacing w:val="-10"/>
                      <w:sz w:val="21"/>
                      <w:szCs w:val="21"/>
                    </w:rPr>
                    <w:t>″，N：2</w:t>
                  </w:r>
                  <w:r>
                    <w:rPr>
                      <w:rFonts w:hint="eastAsia"/>
                      <w:color w:val="auto"/>
                      <w:spacing w:val="-10"/>
                      <w:sz w:val="21"/>
                      <w:szCs w:val="21"/>
                    </w:rPr>
                    <w:t>4</w:t>
                  </w:r>
                  <w:r>
                    <w:rPr>
                      <w:color w:val="auto"/>
                      <w:spacing w:val="-10"/>
                      <w:sz w:val="21"/>
                      <w:szCs w:val="21"/>
                    </w:rPr>
                    <w:t>°</w:t>
                  </w:r>
                  <w:r>
                    <w:rPr>
                      <w:rFonts w:hint="eastAsia"/>
                      <w:color w:val="auto"/>
                      <w:spacing w:val="-10"/>
                      <w:sz w:val="21"/>
                      <w:szCs w:val="21"/>
                      <w:lang w:val="en-US" w:eastAsia="zh-CN"/>
                    </w:rPr>
                    <w:t>44</w:t>
                  </w:r>
                  <w:r>
                    <w:rPr>
                      <w:color w:val="auto"/>
                      <w:spacing w:val="-10"/>
                      <w:sz w:val="21"/>
                      <w:szCs w:val="21"/>
                    </w:rPr>
                    <w:t>′</w:t>
                  </w:r>
                  <w:r>
                    <w:rPr>
                      <w:rFonts w:hint="eastAsia"/>
                      <w:color w:val="auto"/>
                      <w:spacing w:val="-10"/>
                      <w:sz w:val="21"/>
                      <w:szCs w:val="21"/>
                      <w:lang w:val="en-US" w:eastAsia="zh-CN"/>
                    </w:rPr>
                    <w:t>28.268</w:t>
                  </w:r>
                  <w:r>
                    <w:rPr>
                      <w:color w:val="auto"/>
                      <w:spacing w:val="-10"/>
                      <w:sz w:val="21"/>
                      <w:szCs w:val="21"/>
                    </w:rPr>
                    <w:t>″</w:t>
                  </w:r>
                </w:p>
              </w:tc>
              <w:tc>
                <w:tcPr>
                  <w:tcW w:w="495" w:type="pct"/>
                  <w:vAlign w:val="center"/>
                </w:tcPr>
                <w:p w14:paraId="079A1C7E">
                  <w:pPr>
                    <w:adjustRightInd w:val="0"/>
                    <w:snapToGrid w:val="0"/>
                    <w:jc w:val="center"/>
                    <w:rPr>
                      <w:color w:val="auto"/>
                      <w:spacing w:val="-10"/>
                      <w:sz w:val="21"/>
                      <w:szCs w:val="21"/>
                    </w:rPr>
                  </w:pPr>
                  <w:r>
                    <w:rPr>
                      <w:rFonts w:hint="eastAsia"/>
                      <w:color w:val="auto"/>
                      <w:spacing w:val="-10"/>
                      <w:sz w:val="21"/>
                      <w:szCs w:val="21"/>
                    </w:rPr>
                    <w:t>/</w:t>
                  </w:r>
                </w:p>
              </w:tc>
              <w:tc>
                <w:tcPr>
                  <w:tcW w:w="565" w:type="pct"/>
                  <w:vAlign w:val="center"/>
                </w:tcPr>
                <w:p w14:paraId="10EE9960">
                  <w:pPr>
                    <w:adjustRightInd w:val="0"/>
                    <w:snapToGrid w:val="0"/>
                    <w:jc w:val="center"/>
                    <w:rPr>
                      <w:color w:val="auto"/>
                      <w:spacing w:val="-10"/>
                      <w:sz w:val="21"/>
                      <w:szCs w:val="21"/>
                    </w:rPr>
                  </w:pPr>
                  <w:r>
                    <w:rPr>
                      <w:color w:val="auto"/>
                      <w:spacing w:val="-10"/>
                      <w:sz w:val="21"/>
                      <w:szCs w:val="21"/>
                    </w:rPr>
                    <w:t>E：10</w:t>
                  </w:r>
                  <w:r>
                    <w:rPr>
                      <w:rFonts w:hint="eastAsia"/>
                      <w:color w:val="auto"/>
                      <w:spacing w:val="-10"/>
                      <w:sz w:val="21"/>
                      <w:szCs w:val="21"/>
                    </w:rPr>
                    <w:t>2</w:t>
                  </w:r>
                  <w:r>
                    <w:rPr>
                      <w:color w:val="auto"/>
                      <w:spacing w:val="-10"/>
                      <w:sz w:val="21"/>
                      <w:szCs w:val="21"/>
                    </w:rPr>
                    <w:t>°</w:t>
                  </w:r>
                  <w:r>
                    <w:rPr>
                      <w:rFonts w:hint="eastAsia"/>
                      <w:color w:val="auto"/>
                      <w:spacing w:val="-10"/>
                      <w:sz w:val="21"/>
                      <w:szCs w:val="21"/>
                      <w:lang w:val="en-US" w:eastAsia="zh-CN"/>
                    </w:rPr>
                    <w:t>51</w:t>
                  </w:r>
                  <w:r>
                    <w:rPr>
                      <w:color w:val="auto"/>
                      <w:spacing w:val="-10"/>
                      <w:sz w:val="21"/>
                      <w:szCs w:val="21"/>
                    </w:rPr>
                    <w:t>′</w:t>
                  </w:r>
                  <w:r>
                    <w:rPr>
                      <w:rFonts w:hint="eastAsia"/>
                      <w:color w:val="auto"/>
                      <w:spacing w:val="-10"/>
                      <w:sz w:val="21"/>
                      <w:szCs w:val="21"/>
                      <w:lang w:val="en-US" w:eastAsia="zh-CN"/>
                    </w:rPr>
                    <w:t>14.606</w:t>
                  </w:r>
                  <w:r>
                    <w:rPr>
                      <w:color w:val="auto"/>
                      <w:spacing w:val="-10"/>
                      <w:sz w:val="21"/>
                      <w:szCs w:val="21"/>
                    </w:rPr>
                    <w:t>″，N：2</w:t>
                  </w:r>
                  <w:r>
                    <w:rPr>
                      <w:rFonts w:hint="eastAsia"/>
                      <w:color w:val="auto"/>
                      <w:spacing w:val="-10"/>
                      <w:sz w:val="21"/>
                      <w:szCs w:val="21"/>
                    </w:rPr>
                    <w:t>4</w:t>
                  </w:r>
                  <w:r>
                    <w:rPr>
                      <w:color w:val="auto"/>
                      <w:spacing w:val="-10"/>
                      <w:sz w:val="21"/>
                      <w:szCs w:val="21"/>
                    </w:rPr>
                    <w:t>°</w:t>
                  </w:r>
                  <w:r>
                    <w:rPr>
                      <w:rFonts w:hint="eastAsia"/>
                      <w:color w:val="auto"/>
                      <w:spacing w:val="-10"/>
                      <w:sz w:val="21"/>
                      <w:szCs w:val="21"/>
                      <w:lang w:val="en-US" w:eastAsia="zh-CN"/>
                    </w:rPr>
                    <w:t>44</w:t>
                  </w:r>
                  <w:r>
                    <w:rPr>
                      <w:color w:val="auto"/>
                      <w:spacing w:val="-10"/>
                      <w:sz w:val="21"/>
                      <w:szCs w:val="21"/>
                    </w:rPr>
                    <w:t>′</w:t>
                  </w:r>
                  <w:r>
                    <w:rPr>
                      <w:rFonts w:hint="eastAsia"/>
                      <w:color w:val="auto"/>
                      <w:spacing w:val="-10"/>
                      <w:sz w:val="21"/>
                      <w:szCs w:val="21"/>
                      <w:lang w:val="en-US" w:eastAsia="zh-CN"/>
                    </w:rPr>
                    <w:t>28.268</w:t>
                  </w:r>
                  <w:r>
                    <w:rPr>
                      <w:color w:val="auto"/>
                      <w:spacing w:val="-10"/>
                      <w:sz w:val="21"/>
                      <w:szCs w:val="21"/>
                    </w:rPr>
                    <w:t>″</w:t>
                  </w:r>
                </w:p>
              </w:tc>
              <w:tc>
                <w:tcPr>
                  <w:tcW w:w="442" w:type="pct"/>
                  <w:vAlign w:val="center"/>
                </w:tcPr>
                <w:p w14:paraId="4F7BC3C8">
                  <w:pPr>
                    <w:adjustRightInd w:val="0"/>
                    <w:snapToGrid w:val="0"/>
                    <w:jc w:val="center"/>
                    <w:rPr>
                      <w:color w:val="auto"/>
                      <w:spacing w:val="-10"/>
                      <w:szCs w:val="21"/>
                    </w:rPr>
                  </w:pPr>
                  <w:r>
                    <w:rPr>
                      <w:rFonts w:hint="eastAsia"/>
                      <w:color w:val="auto"/>
                      <w:spacing w:val="-10"/>
                      <w:szCs w:val="21"/>
                    </w:rPr>
                    <w:t>/</w:t>
                  </w:r>
                </w:p>
              </w:tc>
              <w:tc>
                <w:tcPr>
                  <w:tcW w:w="521" w:type="pct"/>
                  <w:vAlign w:val="center"/>
                </w:tcPr>
                <w:p w14:paraId="7466A17D">
                  <w:pPr>
                    <w:adjustRightInd w:val="0"/>
                    <w:snapToGrid w:val="0"/>
                    <w:jc w:val="center"/>
                    <w:rPr>
                      <w:color w:val="auto"/>
                      <w:spacing w:val="-10"/>
                      <w:szCs w:val="21"/>
                    </w:rPr>
                  </w:pPr>
                  <w:r>
                    <w:rPr>
                      <w:color w:val="auto"/>
                      <w:spacing w:val="-10"/>
                      <w:sz w:val="21"/>
                      <w:szCs w:val="21"/>
                      <w:highlight w:val="none"/>
                    </w:rPr>
                    <w:t>E：10</w:t>
                  </w:r>
                  <w:r>
                    <w:rPr>
                      <w:rFonts w:hint="eastAsia"/>
                      <w:color w:val="auto"/>
                      <w:spacing w:val="-10"/>
                      <w:sz w:val="21"/>
                      <w:szCs w:val="21"/>
                      <w:highlight w:val="none"/>
                    </w:rPr>
                    <w:t>2</w:t>
                  </w:r>
                  <w:r>
                    <w:rPr>
                      <w:color w:val="auto"/>
                      <w:spacing w:val="-10"/>
                      <w:sz w:val="21"/>
                      <w:szCs w:val="21"/>
                      <w:highlight w:val="none"/>
                    </w:rPr>
                    <w:t>°</w:t>
                  </w:r>
                  <w:r>
                    <w:rPr>
                      <w:rFonts w:hint="eastAsia"/>
                      <w:color w:val="auto"/>
                      <w:spacing w:val="-10"/>
                      <w:sz w:val="21"/>
                      <w:szCs w:val="21"/>
                      <w:highlight w:val="none"/>
                      <w:lang w:val="en-US" w:eastAsia="zh-CN"/>
                    </w:rPr>
                    <w:t>51</w:t>
                  </w:r>
                  <w:r>
                    <w:rPr>
                      <w:color w:val="auto"/>
                      <w:spacing w:val="-10"/>
                      <w:sz w:val="21"/>
                      <w:szCs w:val="21"/>
                      <w:highlight w:val="none"/>
                    </w:rPr>
                    <w:t>′</w:t>
                  </w:r>
                  <w:r>
                    <w:rPr>
                      <w:rFonts w:hint="eastAsia"/>
                      <w:color w:val="auto"/>
                      <w:spacing w:val="-10"/>
                      <w:sz w:val="21"/>
                      <w:szCs w:val="21"/>
                      <w:highlight w:val="none"/>
                      <w:lang w:val="en-US" w:eastAsia="zh-CN"/>
                    </w:rPr>
                    <w:t>14.546</w:t>
                  </w:r>
                  <w:r>
                    <w:rPr>
                      <w:color w:val="auto"/>
                      <w:spacing w:val="-10"/>
                      <w:sz w:val="21"/>
                      <w:szCs w:val="21"/>
                      <w:highlight w:val="none"/>
                    </w:rPr>
                    <w:t>″，N：2</w:t>
                  </w:r>
                  <w:r>
                    <w:rPr>
                      <w:rFonts w:hint="eastAsia"/>
                      <w:color w:val="auto"/>
                      <w:spacing w:val="-10"/>
                      <w:sz w:val="21"/>
                      <w:szCs w:val="21"/>
                      <w:highlight w:val="none"/>
                    </w:rPr>
                    <w:t>4</w:t>
                  </w:r>
                  <w:r>
                    <w:rPr>
                      <w:color w:val="auto"/>
                      <w:spacing w:val="-10"/>
                      <w:sz w:val="21"/>
                      <w:szCs w:val="21"/>
                      <w:highlight w:val="none"/>
                    </w:rPr>
                    <w:t>°</w:t>
                  </w:r>
                  <w:r>
                    <w:rPr>
                      <w:rFonts w:hint="eastAsia"/>
                      <w:color w:val="auto"/>
                      <w:spacing w:val="-10"/>
                      <w:sz w:val="21"/>
                      <w:szCs w:val="21"/>
                      <w:highlight w:val="none"/>
                      <w:lang w:val="en-US" w:eastAsia="zh-CN"/>
                    </w:rPr>
                    <w:t>44</w:t>
                  </w:r>
                  <w:r>
                    <w:rPr>
                      <w:color w:val="auto"/>
                      <w:spacing w:val="-10"/>
                      <w:sz w:val="21"/>
                      <w:szCs w:val="21"/>
                      <w:highlight w:val="none"/>
                    </w:rPr>
                    <w:t>′</w:t>
                  </w:r>
                  <w:r>
                    <w:rPr>
                      <w:rFonts w:hint="eastAsia"/>
                      <w:color w:val="auto"/>
                      <w:spacing w:val="-10"/>
                      <w:sz w:val="21"/>
                      <w:szCs w:val="21"/>
                      <w:highlight w:val="none"/>
                      <w:lang w:val="en-US" w:eastAsia="zh-CN"/>
                    </w:rPr>
                    <w:t>28.441</w:t>
                  </w:r>
                  <w:r>
                    <w:rPr>
                      <w:color w:val="auto"/>
                      <w:spacing w:val="-10"/>
                      <w:sz w:val="21"/>
                      <w:szCs w:val="21"/>
                      <w:highlight w:val="none"/>
                    </w:rPr>
                    <w:t>″</w:t>
                  </w:r>
                </w:p>
              </w:tc>
              <w:tc>
                <w:tcPr>
                  <w:tcW w:w="495" w:type="pct"/>
                  <w:vAlign w:val="center"/>
                </w:tcPr>
                <w:p w14:paraId="2CB42B7A">
                  <w:pPr>
                    <w:adjustRightInd w:val="0"/>
                    <w:snapToGrid w:val="0"/>
                    <w:jc w:val="center"/>
                    <w:rPr>
                      <w:rFonts w:hint="eastAsia"/>
                      <w:color w:val="auto"/>
                      <w:spacing w:val="-10"/>
                      <w:szCs w:val="21"/>
                    </w:rPr>
                  </w:pPr>
                  <w:r>
                    <w:rPr>
                      <w:rFonts w:hint="eastAsia"/>
                      <w:color w:val="auto"/>
                      <w:spacing w:val="-10"/>
                      <w:sz w:val="21"/>
                      <w:szCs w:val="21"/>
                    </w:rPr>
                    <w:t>/</w:t>
                  </w:r>
                </w:p>
              </w:tc>
              <w:tc>
                <w:tcPr>
                  <w:tcW w:w="573" w:type="pct"/>
                  <w:vAlign w:val="center"/>
                </w:tcPr>
                <w:p w14:paraId="1CF18D04">
                  <w:pPr>
                    <w:adjustRightInd w:val="0"/>
                    <w:snapToGrid w:val="0"/>
                    <w:jc w:val="center"/>
                    <w:rPr>
                      <w:color w:val="auto"/>
                      <w:spacing w:val="-10"/>
                      <w:szCs w:val="21"/>
                    </w:rPr>
                  </w:pPr>
                  <w:r>
                    <w:rPr>
                      <w:rFonts w:hint="eastAsia"/>
                      <w:color w:val="auto"/>
                      <w:spacing w:val="-10"/>
                      <w:szCs w:val="21"/>
                    </w:rPr>
                    <w:t>/</w:t>
                  </w:r>
                </w:p>
              </w:tc>
              <w:tc>
                <w:tcPr>
                  <w:tcW w:w="478" w:type="pct"/>
                  <w:vAlign w:val="center"/>
                </w:tcPr>
                <w:p w14:paraId="49C3F224">
                  <w:pPr>
                    <w:adjustRightInd w:val="0"/>
                    <w:snapToGrid w:val="0"/>
                    <w:jc w:val="center"/>
                    <w:rPr>
                      <w:rFonts w:hint="eastAsia"/>
                      <w:color w:val="auto"/>
                      <w:spacing w:val="-10"/>
                      <w:szCs w:val="21"/>
                    </w:rPr>
                  </w:pPr>
                  <w:r>
                    <w:rPr>
                      <w:rFonts w:hint="eastAsia"/>
                      <w:color w:val="auto"/>
                      <w:spacing w:val="-10"/>
                      <w:szCs w:val="21"/>
                    </w:rPr>
                    <w:t>/</w:t>
                  </w:r>
                </w:p>
              </w:tc>
            </w:tr>
            <w:tr w14:paraId="3950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1" w:type="pct"/>
                  <w:gridSpan w:val="2"/>
                  <w:vAlign w:val="center"/>
                </w:tcPr>
                <w:p w14:paraId="10055845">
                  <w:pPr>
                    <w:adjustRightInd w:val="0"/>
                    <w:snapToGrid w:val="0"/>
                    <w:jc w:val="center"/>
                    <w:rPr>
                      <w:b/>
                      <w:color w:val="auto"/>
                      <w:spacing w:val="-10"/>
                      <w:szCs w:val="21"/>
                    </w:rPr>
                  </w:pPr>
                  <w:r>
                    <w:rPr>
                      <w:b/>
                      <w:color w:val="auto"/>
                      <w:spacing w:val="-10"/>
                      <w:szCs w:val="21"/>
                    </w:rPr>
                    <w:t>排放标准</w:t>
                  </w:r>
                </w:p>
              </w:tc>
              <w:tc>
                <w:tcPr>
                  <w:tcW w:w="2059" w:type="pct"/>
                  <w:gridSpan w:val="4"/>
                  <w:vAlign w:val="center"/>
                </w:tcPr>
                <w:p w14:paraId="505E209F">
                  <w:pPr>
                    <w:adjustRightInd w:val="0"/>
                    <w:snapToGrid w:val="0"/>
                    <w:jc w:val="center"/>
                    <w:rPr>
                      <w:color w:val="auto"/>
                      <w:sz w:val="21"/>
                      <w:szCs w:val="21"/>
                    </w:rPr>
                  </w:pPr>
                  <w:r>
                    <w:rPr>
                      <w:color w:val="auto"/>
                      <w:kern w:val="0"/>
                      <w:sz w:val="21"/>
                      <w:szCs w:val="21"/>
                      <w:lang w:bidi="ar"/>
                    </w:rPr>
                    <w:t>DA00</w:t>
                  </w:r>
                  <w:r>
                    <w:rPr>
                      <w:rFonts w:hint="eastAsia"/>
                      <w:color w:val="auto"/>
                      <w:kern w:val="0"/>
                      <w:sz w:val="21"/>
                      <w:szCs w:val="21"/>
                      <w:lang w:val="en-US" w:eastAsia="zh-CN" w:bidi="ar"/>
                    </w:rPr>
                    <w:t>1</w:t>
                  </w:r>
                  <w:r>
                    <w:rPr>
                      <w:color w:val="auto"/>
                      <w:kern w:val="0"/>
                      <w:sz w:val="21"/>
                      <w:szCs w:val="21"/>
                      <w:lang w:bidi="ar"/>
                    </w:rPr>
                    <w:t>排气筒</w:t>
                  </w:r>
                  <w:r>
                    <w:rPr>
                      <w:rFonts w:hint="eastAsia"/>
                      <w:color w:val="auto"/>
                      <w:kern w:val="0"/>
                      <w:sz w:val="21"/>
                      <w:szCs w:val="21"/>
                      <w:lang w:bidi="ar"/>
                    </w:rPr>
                    <w:t>执行</w:t>
                  </w:r>
                  <w:r>
                    <w:rPr>
                      <w:color w:val="auto"/>
                      <w:kern w:val="0"/>
                      <w:sz w:val="21"/>
                      <w:szCs w:val="21"/>
                      <w:lang w:bidi="ar"/>
                    </w:rPr>
                    <w:t>《合成树脂工业污染物排放标准》（GB31572-2015）</w:t>
                  </w:r>
                  <w:r>
                    <w:rPr>
                      <w:rFonts w:hint="default" w:ascii="Times New Roman" w:hAnsi="Times New Roman" w:eastAsia="宋体" w:cs="Times New Roman"/>
                      <w:color w:val="auto"/>
                      <w:sz w:val="21"/>
                      <w:szCs w:val="21"/>
                      <w:highlight w:val="none"/>
                      <w:lang w:val="en-US" w:eastAsia="zh-CN"/>
                    </w:rPr>
                    <w:t>及2024年修改单</w:t>
                  </w:r>
                  <w:r>
                    <w:rPr>
                      <w:color w:val="auto"/>
                      <w:kern w:val="0"/>
                      <w:sz w:val="21"/>
                      <w:szCs w:val="21"/>
                      <w:lang w:bidi="ar"/>
                    </w:rPr>
                    <w:t>中相关大气污染物排放限值要求；臭气浓度执行《恶臭污染物排放标准》（GB14554-93）中标准限值要求。</w:t>
                  </w:r>
                </w:p>
              </w:tc>
              <w:tc>
                <w:tcPr>
                  <w:tcW w:w="1016" w:type="pct"/>
                  <w:gridSpan w:val="2"/>
                  <w:vAlign w:val="center"/>
                </w:tcPr>
                <w:p w14:paraId="4854EE76">
                  <w:pPr>
                    <w:adjustRightInd w:val="0"/>
                    <w:snapToGrid w:val="0"/>
                    <w:jc w:val="center"/>
                    <w:rPr>
                      <w:color w:val="auto"/>
                      <w:kern w:val="0"/>
                      <w:sz w:val="21"/>
                      <w:szCs w:val="21"/>
                      <w:lang w:bidi="ar"/>
                    </w:rPr>
                  </w:pPr>
                  <w:r>
                    <w:rPr>
                      <w:rFonts w:hint="eastAsia"/>
                      <w:color w:val="auto"/>
                      <w:kern w:val="0"/>
                      <w:sz w:val="21"/>
                      <w:szCs w:val="21"/>
                      <w:lang w:val="en-US" w:eastAsia="zh-CN" w:bidi="ar"/>
                    </w:rPr>
                    <w:t>DA002排气筒执行</w:t>
                  </w:r>
                  <w:r>
                    <w:rPr>
                      <w:color w:val="auto"/>
                      <w:kern w:val="0"/>
                      <w:sz w:val="21"/>
                      <w:szCs w:val="21"/>
                      <w:lang w:bidi="ar"/>
                    </w:rPr>
                    <w:t>《合成树脂工业污染物排放标准》（GB31572-2015）</w:t>
                  </w:r>
                  <w:r>
                    <w:rPr>
                      <w:rFonts w:hint="default" w:ascii="Times New Roman" w:hAnsi="Times New Roman" w:eastAsia="宋体" w:cs="Times New Roman"/>
                      <w:color w:val="auto"/>
                      <w:sz w:val="21"/>
                      <w:szCs w:val="21"/>
                      <w:highlight w:val="none"/>
                      <w:lang w:val="en-US" w:eastAsia="zh-CN"/>
                    </w:rPr>
                    <w:t>及2024年修改单中</w:t>
                  </w:r>
                  <w:r>
                    <w:rPr>
                      <w:color w:val="auto"/>
                      <w:kern w:val="0"/>
                      <w:sz w:val="21"/>
                      <w:szCs w:val="21"/>
                      <w:lang w:bidi="ar"/>
                    </w:rPr>
                    <w:t>相关大气污染物排放限值要求</w:t>
                  </w:r>
                  <w:r>
                    <w:rPr>
                      <w:rFonts w:hint="eastAsia"/>
                      <w:color w:val="auto"/>
                      <w:kern w:val="0"/>
                      <w:sz w:val="21"/>
                      <w:szCs w:val="21"/>
                      <w:lang w:bidi="ar"/>
                    </w:rPr>
                    <w:t>。</w:t>
                  </w:r>
                </w:p>
              </w:tc>
              <w:tc>
                <w:tcPr>
                  <w:tcW w:w="573" w:type="pct"/>
                  <w:vAlign w:val="center"/>
                </w:tcPr>
                <w:p w14:paraId="07DA6DE5">
                  <w:pPr>
                    <w:adjustRightInd w:val="0"/>
                    <w:snapToGrid w:val="0"/>
                    <w:jc w:val="center"/>
                    <w:rPr>
                      <w:color w:val="auto"/>
                      <w:kern w:val="0"/>
                      <w:szCs w:val="21"/>
                      <w:lang w:bidi="ar"/>
                    </w:rPr>
                  </w:pPr>
                  <w:r>
                    <w:rPr>
                      <w:rFonts w:hint="default" w:ascii="Times New Roman" w:hAnsi="Times New Roman" w:eastAsia="宋体" w:cs="Times New Roman"/>
                      <w:color w:val="auto"/>
                      <w:sz w:val="21"/>
                      <w:szCs w:val="21"/>
                      <w:highlight w:val="none"/>
                      <w:lang w:val="en-US" w:eastAsia="zh-CN"/>
                    </w:rPr>
                    <w:t>《合成树脂工业污染物排放标准》（GB31572-2015）及2024年修改单中表9企业边界大气污染物浓度限值</w:t>
                  </w:r>
                </w:p>
              </w:tc>
              <w:tc>
                <w:tcPr>
                  <w:tcW w:w="478" w:type="pct"/>
                  <w:vAlign w:val="center"/>
                </w:tcPr>
                <w:p w14:paraId="73AC0F8D">
                  <w:pPr>
                    <w:adjustRightInd w:val="0"/>
                    <w:snapToGrid w:val="0"/>
                    <w:jc w:val="center"/>
                    <w:rPr>
                      <w:color w:val="auto"/>
                      <w:szCs w:val="21"/>
                    </w:rPr>
                  </w:pPr>
                  <w:r>
                    <w:rPr>
                      <w:color w:val="auto"/>
                      <w:szCs w:val="21"/>
                    </w:rPr>
                    <w:t>《饮食业油烟排放标准（试行）》（GB18483-2001）中的小型规模</w:t>
                  </w:r>
                </w:p>
              </w:tc>
            </w:tr>
            <w:tr w14:paraId="2C1E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restart"/>
                  <w:vAlign w:val="center"/>
                </w:tcPr>
                <w:p w14:paraId="6C38200C">
                  <w:pPr>
                    <w:adjustRightInd w:val="0"/>
                    <w:snapToGrid w:val="0"/>
                    <w:jc w:val="center"/>
                    <w:rPr>
                      <w:b/>
                      <w:color w:val="auto"/>
                      <w:spacing w:val="-10"/>
                      <w:szCs w:val="21"/>
                    </w:rPr>
                  </w:pPr>
                  <w:r>
                    <w:rPr>
                      <w:b/>
                      <w:color w:val="auto"/>
                      <w:spacing w:val="-10"/>
                      <w:szCs w:val="21"/>
                    </w:rPr>
                    <w:t>监测要求</w:t>
                  </w:r>
                </w:p>
              </w:tc>
              <w:tc>
                <w:tcPr>
                  <w:tcW w:w="648" w:type="pct"/>
                  <w:vAlign w:val="center"/>
                </w:tcPr>
                <w:p w14:paraId="6703D115">
                  <w:pPr>
                    <w:adjustRightInd w:val="0"/>
                    <w:snapToGrid w:val="0"/>
                    <w:jc w:val="center"/>
                    <w:rPr>
                      <w:b/>
                      <w:color w:val="auto"/>
                      <w:spacing w:val="-10"/>
                      <w:szCs w:val="21"/>
                    </w:rPr>
                  </w:pPr>
                  <w:r>
                    <w:rPr>
                      <w:b/>
                      <w:color w:val="auto"/>
                      <w:spacing w:val="-10"/>
                      <w:szCs w:val="21"/>
                    </w:rPr>
                    <w:t>监测点位</w:t>
                  </w:r>
                </w:p>
              </w:tc>
              <w:tc>
                <w:tcPr>
                  <w:tcW w:w="556" w:type="pct"/>
                  <w:vAlign w:val="center"/>
                </w:tcPr>
                <w:p w14:paraId="35CAF772">
                  <w:pPr>
                    <w:adjustRightInd w:val="0"/>
                    <w:snapToGrid w:val="0"/>
                    <w:jc w:val="center"/>
                    <w:rPr>
                      <w:color w:val="auto"/>
                      <w:spacing w:val="-10"/>
                      <w:szCs w:val="21"/>
                    </w:rPr>
                  </w:pPr>
                  <w:r>
                    <w:rPr>
                      <w:color w:val="auto"/>
                      <w:spacing w:val="-10"/>
                      <w:szCs w:val="21"/>
                    </w:rPr>
                    <w:t>DA0</w:t>
                  </w:r>
                  <w:r>
                    <w:rPr>
                      <w:rFonts w:hint="eastAsia"/>
                      <w:color w:val="auto"/>
                      <w:spacing w:val="-10"/>
                      <w:szCs w:val="21"/>
                    </w:rPr>
                    <w:t>0</w:t>
                  </w:r>
                  <w:r>
                    <w:rPr>
                      <w:rFonts w:hint="eastAsia"/>
                      <w:color w:val="auto"/>
                      <w:spacing w:val="-10"/>
                      <w:szCs w:val="21"/>
                      <w:lang w:val="en-US" w:eastAsia="zh-CN"/>
                    </w:rPr>
                    <w:t>1</w:t>
                  </w:r>
                  <w:r>
                    <w:rPr>
                      <w:color w:val="auto"/>
                      <w:spacing w:val="-10"/>
                      <w:szCs w:val="21"/>
                    </w:rPr>
                    <w:t>排气筒出口</w:t>
                  </w:r>
                </w:p>
              </w:tc>
              <w:tc>
                <w:tcPr>
                  <w:tcW w:w="495" w:type="pct"/>
                  <w:vAlign w:val="center"/>
                </w:tcPr>
                <w:p w14:paraId="38E8D614">
                  <w:pPr>
                    <w:adjustRightInd w:val="0"/>
                    <w:snapToGrid w:val="0"/>
                    <w:jc w:val="center"/>
                    <w:rPr>
                      <w:color w:val="auto"/>
                      <w:spacing w:val="-10"/>
                      <w:szCs w:val="21"/>
                    </w:rPr>
                  </w:pPr>
                  <w:r>
                    <w:rPr>
                      <w:color w:val="auto"/>
                      <w:spacing w:val="-10"/>
                      <w:szCs w:val="21"/>
                    </w:rPr>
                    <w:t>厂界上风向及下风向</w:t>
                  </w:r>
                </w:p>
              </w:tc>
              <w:tc>
                <w:tcPr>
                  <w:tcW w:w="565" w:type="pct"/>
                  <w:vAlign w:val="center"/>
                </w:tcPr>
                <w:p w14:paraId="5BA4E76A">
                  <w:pPr>
                    <w:adjustRightInd w:val="0"/>
                    <w:snapToGrid w:val="0"/>
                    <w:jc w:val="center"/>
                    <w:rPr>
                      <w:color w:val="auto"/>
                      <w:spacing w:val="-10"/>
                      <w:szCs w:val="21"/>
                    </w:rPr>
                  </w:pPr>
                  <w:r>
                    <w:rPr>
                      <w:color w:val="auto"/>
                      <w:spacing w:val="-10"/>
                      <w:szCs w:val="21"/>
                    </w:rPr>
                    <w:t>DA0</w:t>
                  </w:r>
                  <w:r>
                    <w:rPr>
                      <w:rFonts w:hint="eastAsia"/>
                      <w:color w:val="auto"/>
                      <w:spacing w:val="-10"/>
                      <w:szCs w:val="21"/>
                    </w:rPr>
                    <w:t>0</w:t>
                  </w:r>
                  <w:r>
                    <w:rPr>
                      <w:rFonts w:hint="eastAsia"/>
                      <w:color w:val="auto"/>
                      <w:spacing w:val="-10"/>
                      <w:szCs w:val="21"/>
                      <w:lang w:val="en-US" w:eastAsia="zh-CN"/>
                    </w:rPr>
                    <w:t>1</w:t>
                  </w:r>
                  <w:r>
                    <w:rPr>
                      <w:color w:val="auto"/>
                      <w:spacing w:val="-10"/>
                      <w:szCs w:val="21"/>
                    </w:rPr>
                    <w:t>排气筒出口</w:t>
                  </w:r>
                </w:p>
              </w:tc>
              <w:tc>
                <w:tcPr>
                  <w:tcW w:w="442" w:type="pct"/>
                  <w:vAlign w:val="center"/>
                </w:tcPr>
                <w:p w14:paraId="5EADFCC5">
                  <w:pPr>
                    <w:adjustRightInd w:val="0"/>
                    <w:snapToGrid w:val="0"/>
                    <w:jc w:val="center"/>
                    <w:rPr>
                      <w:color w:val="auto"/>
                      <w:spacing w:val="-10"/>
                      <w:szCs w:val="21"/>
                    </w:rPr>
                  </w:pPr>
                  <w:r>
                    <w:rPr>
                      <w:color w:val="auto"/>
                      <w:spacing w:val="-10"/>
                      <w:szCs w:val="21"/>
                    </w:rPr>
                    <w:t>厂界上风向及下风向</w:t>
                  </w:r>
                </w:p>
              </w:tc>
              <w:tc>
                <w:tcPr>
                  <w:tcW w:w="521" w:type="pct"/>
                  <w:vAlign w:val="center"/>
                </w:tcPr>
                <w:p w14:paraId="40006C0C">
                  <w:pPr>
                    <w:adjustRightInd w:val="0"/>
                    <w:snapToGrid w:val="0"/>
                    <w:jc w:val="center"/>
                    <w:rPr>
                      <w:color w:val="auto"/>
                      <w:spacing w:val="-10"/>
                      <w:szCs w:val="21"/>
                    </w:rPr>
                  </w:pPr>
                  <w:r>
                    <w:rPr>
                      <w:color w:val="auto"/>
                      <w:spacing w:val="-10"/>
                      <w:szCs w:val="21"/>
                    </w:rPr>
                    <w:t>DA0</w:t>
                  </w:r>
                  <w:r>
                    <w:rPr>
                      <w:rFonts w:hint="eastAsia"/>
                      <w:color w:val="auto"/>
                      <w:spacing w:val="-10"/>
                      <w:szCs w:val="21"/>
                    </w:rPr>
                    <w:t>0</w:t>
                  </w:r>
                  <w:r>
                    <w:rPr>
                      <w:rFonts w:hint="eastAsia"/>
                      <w:color w:val="auto"/>
                      <w:spacing w:val="-10"/>
                      <w:szCs w:val="21"/>
                      <w:lang w:val="en-US" w:eastAsia="zh-CN"/>
                    </w:rPr>
                    <w:t>2</w:t>
                  </w:r>
                  <w:r>
                    <w:rPr>
                      <w:color w:val="auto"/>
                      <w:spacing w:val="-10"/>
                      <w:szCs w:val="21"/>
                    </w:rPr>
                    <w:t>排气筒出口</w:t>
                  </w:r>
                </w:p>
              </w:tc>
              <w:tc>
                <w:tcPr>
                  <w:tcW w:w="495" w:type="pct"/>
                  <w:vAlign w:val="center"/>
                </w:tcPr>
                <w:p w14:paraId="7C966AED">
                  <w:pPr>
                    <w:adjustRightInd w:val="0"/>
                    <w:snapToGrid w:val="0"/>
                    <w:jc w:val="center"/>
                    <w:rPr>
                      <w:color w:val="auto"/>
                      <w:spacing w:val="-10"/>
                      <w:szCs w:val="21"/>
                    </w:rPr>
                  </w:pPr>
                  <w:r>
                    <w:rPr>
                      <w:color w:val="auto"/>
                      <w:spacing w:val="-10"/>
                      <w:szCs w:val="21"/>
                    </w:rPr>
                    <w:t>厂界上风向及下风向</w:t>
                  </w:r>
                </w:p>
              </w:tc>
              <w:tc>
                <w:tcPr>
                  <w:tcW w:w="573" w:type="pct"/>
                  <w:vAlign w:val="center"/>
                </w:tcPr>
                <w:p w14:paraId="3C32CA25">
                  <w:pPr>
                    <w:adjustRightInd w:val="0"/>
                    <w:snapToGrid w:val="0"/>
                    <w:jc w:val="center"/>
                    <w:rPr>
                      <w:color w:val="auto"/>
                      <w:spacing w:val="-10"/>
                      <w:szCs w:val="21"/>
                    </w:rPr>
                  </w:pPr>
                  <w:r>
                    <w:rPr>
                      <w:color w:val="auto"/>
                      <w:spacing w:val="-10"/>
                      <w:szCs w:val="21"/>
                    </w:rPr>
                    <w:t>厂界上风向及下风向</w:t>
                  </w:r>
                </w:p>
              </w:tc>
              <w:tc>
                <w:tcPr>
                  <w:tcW w:w="478" w:type="pct"/>
                  <w:vAlign w:val="center"/>
                </w:tcPr>
                <w:p w14:paraId="690C30E0">
                  <w:pPr>
                    <w:adjustRightInd w:val="0"/>
                    <w:snapToGrid w:val="0"/>
                    <w:jc w:val="center"/>
                    <w:rPr>
                      <w:color w:val="auto"/>
                      <w:spacing w:val="-10"/>
                      <w:szCs w:val="21"/>
                    </w:rPr>
                  </w:pPr>
                  <w:r>
                    <w:rPr>
                      <w:color w:val="auto"/>
                      <w:spacing w:val="-10"/>
                      <w:szCs w:val="21"/>
                    </w:rPr>
                    <w:t>/</w:t>
                  </w:r>
                </w:p>
              </w:tc>
            </w:tr>
            <w:tr w14:paraId="5A46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continue"/>
                  <w:vAlign w:val="center"/>
                </w:tcPr>
                <w:p w14:paraId="46E536B7">
                  <w:pPr>
                    <w:adjustRightInd w:val="0"/>
                    <w:snapToGrid w:val="0"/>
                    <w:jc w:val="center"/>
                    <w:rPr>
                      <w:b/>
                      <w:color w:val="auto"/>
                      <w:spacing w:val="-10"/>
                      <w:szCs w:val="21"/>
                    </w:rPr>
                  </w:pPr>
                </w:p>
              </w:tc>
              <w:tc>
                <w:tcPr>
                  <w:tcW w:w="648" w:type="pct"/>
                  <w:vAlign w:val="center"/>
                </w:tcPr>
                <w:p w14:paraId="15A649D4">
                  <w:pPr>
                    <w:adjustRightInd w:val="0"/>
                    <w:snapToGrid w:val="0"/>
                    <w:jc w:val="center"/>
                    <w:rPr>
                      <w:b/>
                      <w:color w:val="auto"/>
                      <w:spacing w:val="-10"/>
                      <w:szCs w:val="21"/>
                    </w:rPr>
                  </w:pPr>
                  <w:r>
                    <w:rPr>
                      <w:b/>
                      <w:color w:val="auto"/>
                      <w:spacing w:val="-10"/>
                      <w:szCs w:val="21"/>
                    </w:rPr>
                    <w:t>监测因子</w:t>
                  </w:r>
                </w:p>
              </w:tc>
              <w:tc>
                <w:tcPr>
                  <w:tcW w:w="1051" w:type="pct"/>
                  <w:gridSpan w:val="2"/>
                  <w:vAlign w:val="center"/>
                </w:tcPr>
                <w:p w14:paraId="19047B98">
                  <w:pPr>
                    <w:adjustRightInd w:val="0"/>
                    <w:snapToGrid w:val="0"/>
                    <w:jc w:val="center"/>
                    <w:rPr>
                      <w:color w:val="auto"/>
                      <w:spacing w:val="-10"/>
                      <w:szCs w:val="21"/>
                    </w:rPr>
                  </w:pPr>
                  <w:r>
                    <w:rPr>
                      <w:rFonts w:hint="eastAsia"/>
                      <w:color w:val="auto"/>
                      <w:szCs w:val="21"/>
                    </w:rPr>
                    <w:t>非甲烷总烃</w:t>
                  </w:r>
                </w:p>
              </w:tc>
              <w:tc>
                <w:tcPr>
                  <w:tcW w:w="1008" w:type="pct"/>
                  <w:gridSpan w:val="2"/>
                  <w:vAlign w:val="center"/>
                </w:tcPr>
                <w:p w14:paraId="3121A0DD">
                  <w:pPr>
                    <w:adjustRightInd w:val="0"/>
                    <w:snapToGrid w:val="0"/>
                    <w:jc w:val="center"/>
                    <w:rPr>
                      <w:color w:val="auto"/>
                      <w:spacing w:val="-10"/>
                      <w:szCs w:val="21"/>
                    </w:rPr>
                  </w:pPr>
                  <w:r>
                    <w:rPr>
                      <w:color w:val="auto"/>
                      <w:spacing w:val="-10"/>
                      <w:szCs w:val="21"/>
                    </w:rPr>
                    <w:t>臭气浓度</w:t>
                  </w:r>
                </w:p>
              </w:tc>
              <w:tc>
                <w:tcPr>
                  <w:tcW w:w="1016" w:type="pct"/>
                  <w:gridSpan w:val="2"/>
                  <w:vAlign w:val="center"/>
                </w:tcPr>
                <w:p w14:paraId="3AD3A49B">
                  <w:pPr>
                    <w:adjustRightInd w:val="0"/>
                    <w:snapToGrid w:val="0"/>
                    <w:jc w:val="center"/>
                    <w:rPr>
                      <w:rFonts w:hint="eastAsia"/>
                      <w:color w:val="auto"/>
                      <w:spacing w:val="-10"/>
                      <w:szCs w:val="21"/>
                    </w:rPr>
                  </w:pPr>
                  <w:r>
                    <w:rPr>
                      <w:rFonts w:hint="eastAsia"/>
                      <w:color w:val="auto"/>
                      <w:spacing w:val="-10"/>
                      <w:szCs w:val="21"/>
                    </w:rPr>
                    <w:t>颗粒物</w:t>
                  </w:r>
                </w:p>
              </w:tc>
              <w:tc>
                <w:tcPr>
                  <w:tcW w:w="973" w:type="dxa"/>
                  <w:vAlign w:val="center"/>
                </w:tcPr>
                <w:p w14:paraId="370E9F66">
                  <w:pPr>
                    <w:adjustRightInd w:val="0"/>
                    <w:snapToGrid w:val="0"/>
                    <w:jc w:val="center"/>
                    <w:rPr>
                      <w:rFonts w:hint="eastAsia"/>
                      <w:color w:val="auto"/>
                      <w:spacing w:val="-10"/>
                      <w:szCs w:val="21"/>
                    </w:rPr>
                  </w:pPr>
                  <w:r>
                    <w:rPr>
                      <w:rFonts w:hint="eastAsia"/>
                      <w:color w:val="auto"/>
                      <w:spacing w:val="-10"/>
                      <w:szCs w:val="21"/>
                    </w:rPr>
                    <w:t>颗粒物</w:t>
                  </w:r>
                </w:p>
              </w:tc>
              <w:tc>
                <w:tcPr>
                  <w:tcW w:w="478" w:type="pct"/>
                  <w:vAlign w:val="center"/>
                </w:tcPr>
                <w:p w14:paraId="78CB3FB8">
                  <w:pPr>
                    <w:adjustRightInd w:val="0"/>
                    <w:snapToGrid w:val="0"/>
                    <w:jc w:val="center"/>
                    <w:rPr>
                      <w:bCs/>
                      <w:color w:val="auto"/>
                      <w:szCs w:val="21"/>
                    </w:rPr>
                  </w:pPr>
                  <w:r>
                    <w:rPr>
                      <w:bCs/>
                      <w:color w:val="auto"/>
                      <w:szCs w:val="21"/>
                    </w:rPr>
                    <w:t>油烟</w:t>
                  </w:r>
                </w:p>
              </w:tc>
            </w:tr>
            <w:tr w14:paraId="4EE6F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2" w:type="pct"/>
                  <w:vMerge w:val="continue"/>
                  <w:vAlign w:val="center"/>
                </w:tcPr>
                <w:p w14:paraId="59C57EC1">
                  <w:pPr>
                    <w:adjustRightInd w:val="0"/>
                    <w:snapToGrid w:val="0"/>
                    <w:jc w:val="center"/>
                    <w:rPr>
                      <w:b/>
                      <w:color w:val="auto"/>
                      <w:spacing w:val="-10"/>
                      <w:szCs w:val="21"/>
                    </w:rPr>
                  </w:pPr>
                </w:p>
              </w:tc>
              <w:tc>
                <w:tcPr>
                  <w:tcW w:w="648" w:type="pct"/>
                  <w:vAlign w:val="center"/>
                </w:tcPr>
                <w:p w14:paraId="6C70DCD9">
                  <w:pPr>
                    <w:adjustRightInd w:val="0"/>
                    <w:snapToGrid w:val="0"/>
                    <w:jc w:val="center"/>
                    <w:rPr>
                      <w:b/>
                      <w:color w:val="auto"/>
                      <w:spacing w:val="-10"/>
                      <w:szCs w:val="21"/>
                    </w:rPr>
                  </w:pPr>
                  <w:r>
                    <w:rPr>
                      <w:b/>
                      <w:color w:val="auto"/>
                      <w:spacing w:val="-10"/>
                      <w:szCs w:val="21"/>
                    </w:rPr>
                    <w:t>监测频次</w:t>
                  </w:r>
                </w:p>
              </w:tc>
              <w:tc>
                <w:tcPr>
                  <w:tcW w:w="556" w:type="pct"/>
                  <w:vAlign w:val="center"/>
                </w:tcPr>
                <w:p w14:paraId="68536CDC">
                  <w:pPr>
                    <w:adjustRightInd w:val="0"/>
                    <w:snapToGrid w:val="0"/>
                    <w:jc w:val="center"/>
                    <w:rPr>
                      <w:color w:val="auto"/>
                      <w:szCs w:val="21"/>
                    </w:rPr>
                  </w:pPr>
                  <w:r>
                    <w:rPr>
                      <w:color w:val="auto"/>
                      <w:szCs w:val="21"/>
                    </w:rPr>
                    <w:t>1次/</w:t>
                  </w:r>
                  <w:r>
                    <w:rPr>
                      <w:rFonts w:hint="eastAsia"/>
                      <w:color w:val="auto"/>
                      <w:szCs w:val="21"/>
                    </w:rPr>
                    <w:t>半</w:t>
                  </w:r>
                  <w:r>
                    <w:rPr>
                      <w:color w:val="auto"/>
                      <w:szCs w:val="21"/>
                    </w:rPr>
                    <w:t>年</w:t>
                  </w:r>
                </w:p>
              </w:tc>
              <w:tc>
                <w:tcPr>
                  <w:tcW w:w="495" w:type="pct"/>
                  <w:vAlign w:val="center"/>
                </w:tcPr>
                <w:p w14:paraId="68DC3C7A">
                  <w:pPr>
                    <w:adjustRightInd w:val="0"/>
                    <w:snapToGrid w:val="0"/>
                    <w:jc w:val="center"/>
                    <w:rPr>
                      <w:color w:val="auto"/>
                      <w:szCs w:val="21"/>
                    </w:rPr>
                  </w:pPr>
                  <w:r>
                    <w:rPr>
                      <w:color w:val="auto"/>
                      <w:szCs w:val="21"/>
                    </w:rPr>
                    <w:t>1次/年</w:t>
                  </w:r>
                </w:p>
              </w:tc>
              <w:tc>
                <w:tcPr>
                  <w:tcW w:w="1008" w:type="pct"/>
                  <w:gridSpan w:val="2"/>
                  <w:vAlign w:val="center"/>
                </w:tcPr>
                <w:p w14:paraId="383A4704">
                  <w:pPr>
                    <w:adjustRightInd w:val="0"/>
                    <w:snapToGrid w:val="0"/>
                    <w:jc w:val="center"/>
                    <w:rPr>
                      <w:color w:val="auto"/>
                      <w:szCs w:val="21"/>
                    </w:rPr>
                  </w:pPr>
                  <w:r>
                    <w:rPr>
                      <w:color w:val="auto"/>
                      <w:szCs w:val="21"/>
                    </w:rPr>
                    <w:t>1次/年</w:t>
                  </w:r>
                </w:p>
              </w:tc>
              <w:tc>
                <w:tcPr>
                  <w:tcW w:w="1016" w:type="pct"/>
                  <w:gridSpan w:val="2"/>
                  <w:vAlign w:val="center"/>
                </w:tcPr>
                <w:p w14:paraId="64006AE4">
                  <w:pPr>
                    <w:adjustRightInd w:val="0"/>
                    <w:snapToGrid w:val="0"/>
                    <w:jc w:val="center"/>
                    <w:rPr>
                      <w:color w:val="auto"/>
                      <w:szCs w:val="21"/>
                    </w:rPr>
                  </w:pPr>
                  <w:r>
                    <w:rPr>
                      <w:color w:val="auto"/>
                      <w:szCs w:val="21"/>
                    </w:rPr>
                    <w:t>1次/年</w:t>
                  </w:r>
                </w:p>
              </w:tc>
              <w:tc>
                <w:tcPr>
                  <w:tcW w:w="973" w:type="dxa"/>
                  <w:vAlign w:val="center"/>
                </w:tcPr>
                <w:p w14:paraId="18BE961F">
                  <w:pPr>
                    <w:adjustRightInd w:val="0"/>
                    <w:snapToGrid w:val="0"/>
                    <w:jc w:val="center"/>
                    <w:rPr>
                      <w:color w:val="auto"/>
                      <w:szCs w:val="21"/>
                    </w:rPr>
                  </w:pPr>
                  <w:r>
                    <w:rPr>
                      <w:color w:val="auto"/>
                      <w:szCs w:val="21"/>
                    </w:rPr>
                    <w:t>1次/年</w:t>
                  </w:r>
                </w:p>
              </w:tc>
              <w:tc>
                <w:tcPr>
                  <w:tcW w:w="478" w:type="pct"/>
                  <w:vAlign w:val="center"/>
                </w:tcPr>
                <w:p w14:paraId="20868070">
                  <w:pPr>
                    <w:adjustRightInd w:val="0"/>
                    <w:snapToGrid w:val="0"/>
                    <w:jc w:val="center"/>
                    <w:rPr>
                      <w:color w:val="auto"/>
                      <w:szCs w:val="21"/>
                      <w:lang w:bidi="ar"/>
                    </w:rPr>
                  </w:pPr>
                  <w:r>
                    <w:rPr>
                      <w:color w:val="auto"/>
                      <w:szCs w:val="21"/>
                      <w:lang w:bidi="ar"/>
                    </w:rPr>
                    <w:t>/</w:t>
                  </w:r>
                </w:p>
              </w:tc>
            </w:tr>
          </w:tbl>
          <w:p w14:paraId="3F2AC89D">
            <w:pPr>
              <w:keepNext w:val="0"/>
              <w:keepLines w:val="0"/>
              <w:pageBreakBefore w:val="0"/>
              <w:kinsoku/>
              <w:wordWrap/>
              <w:overflowPunct/>
              <w:topLinePunct w:val="0"/>
              <w:autoSpaceDE/>
              <w:autoSpaceDN/>
              <w:bidi w:val="0"/>
              <w:adjustRightInd w:val="0"/>
              <w:snapToGrid w:val="0"/>
              <w:spacing w:line="348" w:lineRule="auto"/>
              <w:ind w:firstLine="482" w:firstLineChars="200"/>
              <w:textAlignment w:val="auto"/>
              <w:rPr>
                <w:rFonts w:hint="eastAsia" w:ascii="Times New Roman" w:hAnsi="Times New Roman" w:eastAsia="宋体" w:cs="Times New Roman"/>
                <w:b/>
                <w:bCs/>
                <w:color w:val="auto"/>
                <w:sz w:val="24"/>
                <w:highlight w:val="none"/>
                <w:lang w:eastAsia="zh-CN"/>
              </w:rPr>
            </w:pPr>
            <w:r>
              <w:rPr>
                <w:rFonts w:hint="eastAsia"/>
                <w:b/>
                <w:bCs/>
                <w:color w:val="auto"/>
                <w:sz w:val="24"/>
                <w:highlight w:val="none"/>
              </w:rPr>
              <w:t>（1）</w:t>
            </w:r>
            <w:r>
              <w:rPr>
                <w:rFonts w:hint="eastAsia" w:cs="Times New Roman"/>
                <w:b/>
                <w:bCs/>
                <w:color w:val="auto"/>
                <w:sz w:val="24"/>
                <w:highlight w:val="none"/>
                <w:lang w:val="en-US" w:eastAsia="zh-CN"/>
              </w:rPr>
              <w:t>投料废气</w:t>
            </w:r>
          </w:p>
          <w:p w14:paraId="652F5DC0">
            <w:pPr>
              <w:adjustRightInd w:val="0"/>
              <w:snapToGrid w:val="0"/>
              <w:spacing w:line="360" w:lineRule="auto"/>
              <w:ind w:firstLine="482"/>
              <w:rPr>
                <w:rFonts w:hint="eastAsia"/>
                <w:b/>
                <w:bCs/>
                <w:color w:val="auto"/>
                <w:sz w:val="24"/>
                <w:lang w:val="en-US" w:eastAsia="zh-CN"/>
              </w:rPr>
            </w:pPr>
            <w:r>
              <w:rPr>
                <w:rFonts w:hint="default" w:ascii="Times New Roman" w:hAnsi="Times New Roman" w:eastAsia="宋体" w:cs="Times New Roman"/>
                <w:color w:val="auto"/>
                <w:sz w:val="24"/>
                <w:highlight w:val="none"/>
              </w:rPr>
              <w:t>本项目</w:t>
            </w:r>
            <w:r>
              <w:rPr>
                <w:rFonts w:hint="eastAsia" w:ascii="Times New Roman" w:hAnsi="Times New Roman" w:eastAsia="宋体" w:cs="Times New Roman"/>
                <w:color w:val="auto"/>
                <w:sz w:val="24"/>
                <w:szCs w:val="24"/>
                <w:highlight w:val="none"/>
                <w:lang w:val="en-US" w:eastAsia="zh-CN"/>
              </w:rPr>
              <w:t>各类塑料包装箱及容器</w:t>
            </w:r>
            <w:r>
              <w:rPr>
                <w:rFonts w:hint="default" w:ascii="Times New Roman" w:hAnsi="Times New Roman" w:eastAsia="宋体" w:cs="Times New Roman"/>
                <w:color w:val="auto"/>
                <w:sz w:val="24"/>
                <w:highlight w:val="none"/>
              </w:rPr>
              <w:t>生产使用的原辅料中</w:t>
            </w:r>
            <w:r>
              <w:rPr>
                <w:rFonts w:hint="default" w:ascii="Times New Roman" w:hAnsi="Times New Roman" w:eastAsia="宋体" w:cs="Times New Roman"/>
                <w:color w:val="auto"/>
                <w:sz w:val="24"/>
                <w:highlight w:val="none"/>
                <w:lang w:val="en-US" w:eastAsia="zh-CN"/>
              </w:rPr>
              <w:t>PP、</w:t>
            </w:r>
            <w:r>
              <w:rPr>
                <w:rFonts w:hint="default" w:ascii="Times New Roman" w:hAnsi="Times New Roman" w:eastAsia="宋体" w:cs="Times New Roman"/>
                <w:color w:val="auto"/>
                <w:sz w:val="24"/>
                <w:highlight w:val="none"/>
              </w:rPr>
              <w:t>P</w:t>
            </w:r>
            <w:r>
              <w:rPr>
                <w:rFonts w:hint="default" w:ascii="Times New Roman" w:hAnsi="Times New Roman" w:eastAsia="宋体" w:cs="Times New Roman"/>
                <w:color w:val="auto"/>
                <w:sz w:val="24"/>
                <w:highlight w:val="none"/>
                <w:lang w:val="en-US" w:eastAsia="zh-CN"/>
              </w:rPr>
              <w:t>E</w:t>
            </w:r>
            <w:r>
              <w:rPr>
                <w:rFonts w:hint="default" w:ascii="Times New Roman" w:hAnsi="Times New Roman" w:eastAsia="宋体" w:cs="Times New Roman"/>
                <w:color w:val="auto"/>
                <w:sz w:val="24"/>
                <w:highlight w:val="none"/>
              </w:rPr>
              <w:t>新料塑料颗粒</w:t>
            </w:r>
            <w:r>
              <w:rPr>
                <w:rFonts w:hint="eastAsia" w:cs="Times New Roman"/>
                <w:color w:val="auto"/>
                <w:sz w:val="24"/>
                <w:highlight w:val="none"/>
                <w:lang w:val="en-US" w:eastAsia="zh-CN"/>
              </w:rPr>
              <w:t>及</w:t>
            </w:r>
            <w:r>
              <w:rPr>
                <w:rFonts w:hint="default" w:ascii="Times New Roman" w:hAnsi="Times New Roman" w:eastAsia="宋体" w:cs="Times New Roman"/>
                <w:color w:val="auto"/>
                <w:sz w:val="24"/>
                <w:highlight w:val="none"/>
              </w:rPr>
              <w:t>色母粒均为颗粒状物料，</w:t>
            </w:r>
            <w:r>
              <w:rPr>
                <w:rFonts w:hint="eastAsia" w:cs="Times New Roman"/>
                <w:color w:val="auto"/>
                <w:sz w:val="24"/>
                <w:highlight w:val="none"/>
                <w:lang w:val="en-US" w:eastAsia="zh-CN"/>
              </w:rPr>
              <w:t>投料过程中产生的粉尘主要来源于颗粒料表面浮尘</w:t>
            </w:r>
            <w:r>
              <w:rPr>
                <w:rFonts w:hint="eastAsia" w:cs="Times New Roman"/>
                <w:color w:val="auto"/>
                <w:sz w:val="24"/>
                <w:highlight w:val="none"/>
                <w:lang w:eastAsia="zh-CN"/>
              </w:rPr>
              <w:t>，</w:t>
            </w:r>
            <w:r>
              <w:rPr>
                <w:rFonts w:hint="eastAsia" w:cs="Times New Roman"/>
                <w:color w:val="auto"/>
                <w:sz w:val="24"/>
                <w:highlight w:val="none"/>
                <w:lang w:val="en-US" w:eastAsia="zh-CN"/>
              </w:rPr>
              <w:t>产生量较少，</w:t>
            </w:r>
            <w:r>
              <w:rPr>
                <w:rFonts w:hint="eastAsia"/>
                <w:color w:val="auto"/>
                <w:sz w:val="24"/>
                <w:highlight w:val="none"/>
              </w:rPr>
              <w:t>粉尘基本沉降在</w:t>
            </w:r>
            <w:r>
              <w:rPr>
                <w:rFonts w:hint="eastAsia"/>
                <w:color w:val="auto"/>
                <w:sz w:val="24"/>
                <w:highlight w:val="none"/>
                <w:lang w:val="en-US" w:eastAsia="zh-CN"/>
              </w:rPr>
              <w:t>料仓</w:t>
            </w:r>
            <w:r>
              <w:rPr>
                <w:rFonts w:hint="eastAsia"/>
                <w:color w:val="auto"/>
                <w:sz w:val="24"/>
                <w:highlight w:val="none"/>
              </w:rPr>
              <w:t>内及车间地面</w:t>
            </w:r>
            <w:r>
              <w:rPr>
                <w:rFonts w:hint="eastAsia"/>
                <w:color w:val="auto"/>
                <w:sz w:val="24"/>
                <w:highlight w:val="none"/>
                <w:lang w:eastAsia="zh-CN"/>
              </w:rPr>
              <w:t>，</w:t>
            </w:r>
            <w:r>
              <w:rPr>
                <w:rFonts w:hint="eastAsia"/>
                <w:color w:val="auto"/>
                <w:sz w:val="24"/>
                <w:highlight w:val="none"/>
              </w:rPr>
              <w:t>因此产生的少量投料粉尘对周围环境影响较小。</w:t>
            </w:r>
          </w:p>
          <w:p w14:paraId="652794E7">
            <w:pPr>
              <w:adjustRightInd w:val="0"/>
              <w:snapToGrid w:val="0"/>
              <w:spacing w:line="360" w:lineRule="auto"/>
              <w:ind w:firstLine="482" w:firstLineChars="200"/>
              <w:rPr>
                <w:b/>
                <w:bCs/>
                <w:color w:val="auto"/>
                <w:sz w:val="24"/>
              </w:rPr>
            </w:pPr>
            <w:r>
              <w:rPr>
                <w:rFonts w:hint="eastAsia"/>
                <w:b/>
                <w:bCs/>
                <w:color w:val="auto"/>
                <w:sz w:val="24"/>
                <w:lang w:val="en-US" w:eastAsia="zh-CN"/>
              </w:rPr>
              <w:t>（2）注塑</w:t>
            </w:r>
            <w:r>
              <w:rPr>
                <w:rFonts w:hint="eastAsia"/>
                <w:b/>
                <w:bCs/>
                <w:color w:val="auto"/>
                <w:sz w:val="24"/>
              </w:rPr>
              <w:t>废气</w:t>
            </w:r>
          </w:p>
          <w:p w14:paraId="571374D4">
            <w:pPr>
              <w:pStyle w:val="29"/>
              <w:spacing w:line="360" w:lineRule="auto"/>
              <w:ind w:firstLine="480"/>
              <w:jc w:val="left"/>
              <w:rPr>
                <w:color w:val="auto"/>
                <w:sz w:val="24"/>
              </w:rPr>
            </w:pPr>
            <w:r>
              <w:rPr>
                <w:color w:val="auto"/>
                <w:sz w:val="24"/>
              </w:rPr>
              <w:t>本项目</w:t>
            </w:r>
            <w:r>
              <w:rPr>
                <w:rFonts w:hint="eastAsia"/>
                <w:color w:val="auto"/>
                <w:sz w:val="24"/>
                <w:lang w:eastAsia="zh-CN"/>
              </w:rPr>
              <w:t>注</w:t>
            </w:r>
            <w:r>
              <w:rPr>
                <w:rFonts w:hint="eastAsia"/>
                <w:color w:val="auto"/>
                <w:sz w:val="24"/>
              </w:rPr>
              <w:t>塑过程产生有机废气（以非甲烷总烃计）、臭气浓度。</w:t>
            </w:r>
          </w:p>
          <w:p w14:paraId="5DE96281">
            <w:pPr>
              <w:pStyle w:val="29"/>
              <w:spacing w:line="360" w:lineRule="auto"/>
              <w:ind w:firstLine="482"/>
              <w:jc w:val="left"/>
              <w:rPr>
                <w:b/>
                <w:bCs/>
                <w:color w:val="auto"/>
                <w:sz w:val="24"/>
              </w:rPr>
            </w:pPr>
            <w:r>
              <w:rPr>
                <w:rFonts w:hint="eastAsia"/>
                <w:b/>
                <w:bCs/>
                <w:color w:val="auto"/>
                <w:sz w:val="24"/>
              </w:rPr>
              <w:t>A、非甲烷总烃</w:t>
            </w:r>
          </w:p>
          <w:p w14:paraId="30E733F6">
            <w:pPr>
              <w:pStyle w:val="29"/>
              <w:spacing w:line="360" w:lineRule="auto"/>
              <w:ind w:firstLine="480"/>
              <w:jc w:val="left"/>
              <w:rPr>
                <w:b/>
                <w:bCs/>
                <w:color w:val="auto"/>
                <w:szCs w:val="21"/>
                <w:highlight w:val="none"/>
              </w:rPr>
            </w:pPr>
            <w:r>
              <w:rPr>
                <w:color w:val="auto"/>
                <w:sz w:val="24"/>
                <w:highlight w:val="none"/>
              </w:rPr>
              <w:t>此过程</w:t>
            </w:r>
            <w:r>
              <w:rPr>
                <w:rFonts w:hint="eastAsia"/>
                <w:color w:val="auto"/>
                <w:sz w:val="24"/>
                <w:highlight w:val="none"/>
              </w:rPr>
              <w:t>有机废气（非甲烷总烃）废气</w:t>
            </w:r>
            <w:r>
              <w:rPr>
                <w:color w:val="auto"/>
                <w:sz w:val="24"/>
                <w:highlight w:val="none"/>
              </w:rPr>
              <w:t>产生量参照中华人民共和国生态环境部2021年6月11日发布的《排放源统计调查产排污核算方法和系数手册》的公告（公告2021年第24号）中《</w:t>
            </w:r>
            <w:r>
              <w:rPr>
                <w:rFonts w:hint="eastAsia"/>
                <w:color w:val="auto"/>
                <w:sz w:val="24"/>
                <w:highlight w:val="none"/>
              </w:rPr>
              <w:t>292塑料</w:t>
            </w:r>
            <w:r>
              <w:rPr>
                <w:color w:val="auto"/>
                <w:sz w:val="24"/>
                <w:highlight w:val="none"/>
              </w:rPr>
              <w:t>制品业行业系数手册》</w:t>
            </w:r>
            <w:r>
              <w:rPr>
                <w:rFonts w:hint="eastAsia"/>
                <w:color w:val="auto"/>
                <w:sz w:val="24"/>
                <w:highlight w:val="none"/>
              </w:rPr>
              <w:t>2926塑料包装箱及容器制造行业系数</w:t>
            </w:r>
            <w:r>
              <w:rPr>
                <w:color w:val="auto"/>
                <w:sz w:val="24"/>
                <w:highlight w:val="none"/>
              </w:rPr>
              <w:t>表中的产排污系数进行计算</w:t>
            </w:r>
            <w:r>
              <w:rPr>
                <w:rFonts w:hint="eastAsia"/>
                <w:color w:val="auto"/>
                <w:sz w:val="24"/>
                <w:highlight w:val="none"/>
              </w:rPr>
              <w:t>。</w:t>
            </w:r>
            <w:r>
              <w:rPr>
                <w:bCs/>
                <w:color w:val="auto"/>
                <w:spacing w:val="6"/>
                <w:sz w:val="24"/>
                <w:highlight w:val="none"/>
              </w:rPr>
              <w:t>产排污系数见</w:t>
            </w:r>
            <w:r>
              <w:rPr>
                <w:color w:val="auto"/>
                <w:sz w:val="24"/>
                <w:highlight w:val="none"/>
              </w:rPr>
              <w:t>表4-</w:t>
            </w:r>
            <w:r>
              <w:rPr>
                <w:rFonts w:hint="eastAsia"/>
                <w:color w:val="auto"/>
                <w:sz w:val="24"/>
                <w:highlight w:val="none"/>
                <w:lang w:val="en-US" w:eastAsia="zh-CN"/>
              </w:rPr>
              <w:t>2</w:t>
            </w:r>
            <w:r>
              <w:rPr>
                <w:color w:val="auto"/>
                <w:sz w:val="24"/>
                <w:highlight w:val="none"/>
              </w:rPr>
              <w:t>。</w:t>
            </w:r>
          </w:p>
          <w:p w14:paraId="59EBFBCA">
            <w:pPr>
              <w:snapToGrid w:val="0"/>
              <w:ind w:firstLine="422" w:firstLineChars="200"/>
              <w:jc w:val="center"/>
              <w:rPr>
                <w:b/>
                <w:bCs/>
                <w:color w:val="auto"/>
                <w:szCs w:val="21"/>
                <w:highlight w:val="none"/>
              </w:rPr>
            </w:pPr>
            <w:r>
              <w:rPr>
                <w:rFonts w:hint="eastAsia"/>
                <w:b/>
                <w:bCs/>
                <w:color w:val="auto"/>
                <w:szCs w:val="21"/>
                <w:highlight w:val="none"/>
              </w:rPr>
              <w:t>表4-</w:t>
            </w:r>
            <w:r>
              <w:rPr>
                <w:rFonts w:hint="eastAsia"/>
                <w:b/>
                <w:bCs/>
                <w:color w:val="auto"/>
                <w:szCs w:val="21"/>
                <w:highlight w:val="none"/>
                <w:lang w:val="en-US" w:eastAsia="zh-CN"/>
              </w:rPr>
              <w:t>2</w:t>
            </w:r>
            <w:r>
              <w:rPr>
                <w:rFonts w:hint="eastAsia"/>
                <w:b/>
                <w:bCs/>
                <w:color w:val="auto"/>
                <w:szCs w:val="21"/>
                <w:highlight w:val="none"/>
              </w:rPr>
              <w:t xml:space="preserve">  塑料包装箱及容器制造行业系数</w:t>
            </w:r>
            <w:r>
              <w:rPr>
                <w:b/>
                <w:bCs/>
                <w:color w:val="auto"/>
                <w:szCs w:val="21"/>
                <w:highlight w:val="none"/>
              </w:rPr>
              <w:t>表</w:t>
            </w:r>
          </w:p>
          <w:tbl>
            <w:tblPr>
              <w:tblStyle w:val="3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1059"/>
              <w:gridCol w:w="1109"/>
              <w:gridCol w:w="1072"/>
              <w:gridCol w:w="727"/>
              <w:gridCol w:w="935"/>
              <w:gridCol w:w="1380"/>
              <w:gridCol w:w="1153"/>
            </w:tblGrid>
            <w:tr w14:paraId="30354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1" w:type="pct"/>
                  <w:vAlign w:val="center"/>
                </w:tcPr>
                <w:p w14:paraId="475C126F">
                  <w:pPr>
                    <w:pStyle w:val="14"/>
                    <w:tabs>
                      <w:tab w:val="left" w:pos="0"/>
                      <w:tab w:val="left" w:pos="1260"/>
                    </w:tabs>
                    <w:snapToGrid w:val="0"/>
                    <w:spacing w:after="0"/>
                    <w:jc w:val="center"/>
                    <w:rPr>
                      <w:b/>
                      <w:bCs/>
                      <w:iCs/>
                      <w:color w:val="auto"/>
                      <w:szCs w:val="21"/>
                      <w:highlight w:val="none"/>
                    </w:rPr>
                  </w:pPr>
                  <w:r>
                    <w:rPr>
                      <w:rFonts w:hint="eastAsia"/>
                      <w:b/>
                      <w:bCs/>
                      <w:iCs/>
                      <w:color w:val="auto"/>
                      <w:szCs w:val="21"/>
                      <w:highlight w:val="none"/>
                    </w:rPr>
                    <w:t>产品</w:t>
                  </w:r>
                  <w:r>
                    <w:rPr>
                      <w:b/>
                      <w:bCs/>
                      <w:iCs/>
                      <w:color w:val="auto"/>
                      <w:szCs w:val="21"/>
                      <w:highlight w:val="none"/>
                    </w:rPr>
                    <w:t>名称</w:t>
                  </w:r>
                </w:p>
              </w:tc>
              <w:tc>
                <w:tcPr>
                  <w:tcW w:w="630" w:type="pct"/>
                  <w:vAlign w:val="center"/>
                </w:tcPr>
                <w:p w14:paraId="78C5689D">
                  <w:pPr>
                    <w:pStyle w:val="14"/>
                    <w:tabs>
                      <w:tab w:val="left" w:pos="0"/>
                      <w:tab w:val="left" w:pos="1260"/>
                    </w:tabs>
                    <w:snapToGrid w:val="0"/>
                    <w:spacing w:after="0"/>
                    <w:jc w:val="center"/>
                    <w:rPr>
                      <w:b/>
                      <w:bCs/>
                      <w:iCs/>
                      <w:color w:val="auto"/>
                      <w:szCs w:val="21"/>
                      <w:highlight w:val="none"/>
                    </w:rPr>
                  </w:pPr>
                  <w:r>
                    <w:rPr>
                      <w:rFonts w:hint="eastAsia"/>
                      <w:b/>
                      <w:bCs/>
                      <w:iCs/>
                      <w:color w:val="auto"/>
                      <w:szCs w:val="21"/>
                      <w:highlight w:val="none"/>
                    </w:rPr>
                    <w:t>原料</w:t>
                  </w:r>
                  <w:r>
                    <w:rPr>
                      <w:b/>
                      <w:bCs/>
                      <w:iCs/>
                      <w:color w:val="auto"/>
                      <w:szCs w:val="21"/>
                      <w:highlight w:val="none"/>
                    </w:rPr>
                    <w:t>名称</w:t>
                  </w:r>
                </w:p>
              </w:tc>
              <w:tc>
                <w:tcPr>
                  <w:tcW w:w="660" w:type="pct"/>
                  <w:vAlign w:val="center"/>
                </w:tcPr>
                <w:p w14:paraId="1FE7F5A8">
                  <w:pPr>
                    <w:pStyle w:val="14"/>
                    <w:tabs>
                      <w:tab w:val="left" w:pos="0"/>
                      <w:tab w:val="left" w:pos="1260"/>
                    </w:tabs>
                    <w:snapToGrid w:val="0"/>
                    <w:spacing w:after="0"/>
                    <w:jc w:val="center"/>
                    <w:rPr>
                      <w:b/>
                      <w:bCs/>
                      <w:iCs/>
                      <w:color w:val="auto"/>
                      <w:szCs w:val="21"/>
                      <w:highlight w:val="none"/>
                    </w:rPr>
                  </w:pPr>
                  <w:r>
                    <w:rPr>
                      <w:rFonts w:hint="eastAsia"/>
                      <w:b/>
                      <w:bCs/>
                      <w:iCs/>
                      <w:color w:val="auto"/>
                      <w:szCs w:val="21"/>
                      <w:highlight w:val="none"/>
                    </w:rPr>
                    <w:t>工艺名称</w:t>
                  </w:r>
                </w:p>
              </w:tc>
              <w:tc>
                <w:tcPr>
                  <w:tcW w:w="638" w:type="pct"/>
                  <w:vAlign w:val="center"/>
                </w:tcPr>
                <w:p w14:paraId="22F45D15">
                  <w:pPr>
                    <w:pStyle w:val="14"/>
                    <w:tabs>
                      <w:tab w:val="left" w:pos="0"/>
                      <w:tab w:val="left" w:pos="1260"/>
                    </w:tabs>
                    <w:snapToGrid w:val="0"/>
                    <w:spacing w:after="0"/>
                    <w:jc w:val="center"/>
                    <w:rPr>
                      <w:b/>
                      <w:bCs/>
                      <w:iCs/>
                      <w:color w:val="auto"/>
                      <w:szCs w:val="21"/>
                      <w:highlight w:val="none"/>
                    </w:rPr>
                  </w:pPr>
                  <w:r>
                    <w:rPr>
                      <w:rFonts w:hint="eastAsia"/>
                      <w:b/>
                      <w:bCs/>
                      <w:iCs/>
                      <w:color w:val="auto"/>
                      <w:szCs w:val="21"/>
                      <w:highlight w:val="none"/>
                    </w:rPr>
                    <w:t>规模等级</w:t>
                  </w:r>
                </w:p>
              </w:tc>
              <w:tc>
                <w:tcPr>
                  <w:tcW w:w="990" w:type="pct"/>
                  <w:gridSpan w:val="2"/>
                  <w:vAlign w:val="center"/>
                </w:tcPr>
                <w:p w14:paraId="38C2377A">
                  <w:pPr>
                    <w:pStyle w:val="14"/>
                    <w:tabs>
                      <w:tab w:val="left" w:pos="0"/>
                      <w:tab w:val="left" w:pos="1260"/>
                    </w:tabs>
                    <w:snapToGrid w:val="0"/>
                    <w:spacing w:after="0"/>
                    <w:jc w:val="center"/>
                    <w:rPr>
                      <w:b/>
                      <w:bCs/>
                      <w:iCs/>
                      <w:color w:val="auto"/>
                      <w:szCs w:val="21"/>
                      <w:highlight w:val="none"/>
                    </w:rPr>
                  </w:pPr>
                  <w:r>
                    <w:rPr>
                      <w:rFonts w:hint="eastAsia"/>
                      <w:b/>
                      <w:bCs/>
                      <w:iCs/>
                      <w:color w:val="auto"/>
                      <w:szCs w:val="21"/>
                      <w:highlight w:val="none"/>
                    </w:rPr>
                    <w:t>污染物指标</w:t>
                  </w:r>
                </w:p>
              </w:tc>
              <w:tc>
                <w:tcPr>
                  <w:tcW w:w="821" w:type="pct"/>
                  <w:vAlign w:val="center"/>
                </w:tcPr>
                <w:p w14:paraId="5C962D20">
                  <w:pPr>
                    <w:pStyle w:val="14"/>
                    <w:tabs>
                      <w:tab w:val="left" w:pos="0"/>
                      <w:tab w:val="left" w:pos="1260"/>
                    </w:tabs>
                    <w:snapToGrid w:val="0"/>
                    <w:spacing w:after="0"/>
                    <w:jc w:val="center"/>
                    <w:rPr>
                      <w:b/>
                      <w:color w:val="auto"/>
                      <w:szCs w:val="21"/>
                      <w:highlight w:val="none"/>
                    </w:rPr>
                  </w:pPr>
                  <w:r>
                    <w:rPr>
                      <w:rFonts w:hint="eastAsia"/>
                      <w:b/>
                      <w:color w:val="auto"/>
                      <w:szCs w:val="21"/>
                      <w:highlight w:val="none"/>
                    </w:rPr>
                    <w:t>单位</w:t>
                  </w:r>
                </w:p>
              </w:tc>
              <w:tc>
                <w:tcPr>
                  <w:tcW w:w="686" w:type="pct"/>
                  <w:vAlign w:val="center"/>
                </w:tcPr>
                <w:p w14:paraId="0104622F">
                  <w:pPr>
                    <w:pStyle w:val="14"/>
                    <w:tabs>
                      <w:tab w:val="left" w:pos="0"/>
                      <w:tab w:val="left" w:pos="1260"/>
                    </w:tabs>
                    <w:snapToGrid w:val="0"/>
                    <w:spacing w:after="0"/>
                    <w:jc w:val="center"/>
                    <w:rPr>
                      <w:b/>
                      <w:color w:val="auto"/>
                      <w:szCs w:val="21"/>
                      <w:highlight w:val="none"/>
                    </w:rPr>
                  </w:pPr>
                  <w:r>
                    <w:rPr>
                      <w:rFonts w:hint="eastAsia"/>
                      <w:b/>
                      <w:color w:val="auto"/>
                      <w:szCs w:val="21"/>
                      <w:highlight w:val="none"/>
                    </w:rPr>
                    <w:t>产污系数</w:t>
                  </w:r>
                </w:p>
              </w:tc>
            </w:tr>
            <w:tr w14:paraId="28DBA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71" w:type="pct"/>
                  <w:vAlign w:val="center"/>
                </w:tcPr>
                <w:p w14:paraId="4DA0A362">
                  <w:pPr>
                    <w:pStyle w:val="14"/>
                    <w:tabs>
                      <w:tab w:val="left" w:pos="0"/>
                      <w:tab w:val="left" w:pos="1260"/>
                    </w:tabs>
                    <w:snapToGrid w:val="0"/>
                    <w:spacing w:after="0"/>
                    <w:jc w:val="center"/>
                    <w:rPr>
                      <w:iCs/>
                      <w:color w:val="auto"/>
                      <w:szCs w:val="21"/>
                      <w:highlight w:val="none"/>
                    </w:rPr>
                  </w:pPr>
                  <w:r>
                    <w:rPr>
                      <w:rFonts w:hint="eastAsia"/>
                      <w:iCs/>
                      <w:color w:val="auto"/>
                      <w:szCs w:val="21"/>
                      <w:highlight w:val="none"/>
                    </w:rPr>
                    <w:t>塑料包装箱及容器</w:t>
                  </w:r>
                </w:p>
              </w:tc>
              <w:tc>
                <w:tcPr>
                  <w:tcW w:w="630" w:type="pct"/>
                  <w:vAlign w:val="center"/>
                </w:tcPr>
                <w:p w14:paraId="0536BC29">
                  <w:pPr>
                    <w:pStyle w:val="14"/>
                    <w:tabs>
                      <w:tab w:val="left" w:pos="0"/>
                      <w:tab w:val="left" w:pos="1260"/>
                    </w:tabs>
                    <w:snapToGrid w:val="0"/>
                    <w:spacing w:after="0"/>
                    <w:jc w:val="center"/>
                    <w:rPr>
                      <w:iCs/>
                      <w:color w:val="auto"/>
                      <w:szCs w:val="21"/>
                      <w:highlight w:val="none"/>
                    </w:rPr>
                  </w:pPr>
                  <w:r>
                    <w:rPr>
                      <w:rFonts w:hint="eastAsia"/>
                      <w:iCs/>
                      <w:color w:val="auto"/>
                      <w:szCs w:val="21"/>
                      <w:highlight w:val="none"/>
                    </w:rPr>
                    <w:t>树脂、助剂</w:t>
                  </w:r>
                </w:p>
              </w:tc>
              <w:tc>
                <w:tcPr>
                  <w:tcW w:w="660" w:type="pct"/>
                  <w:vAlign w:val="center"/>
                </w:tcPr>
                <w:p w14:paraId="15D3B6B7">
                  <w:pPr>
                    <w:pStyle w:val="14"/>
                    <w:tabs>
                      <w:tab w:val="left" w:pos="0"/>
                      <w:tab w:val="left" w:pos="1260"/>
                    </w:tabs>
                    <w:snapToGrid w:val="0"/>
                    <w:spacing w:after="0"/>
                    <w:jc w:val="center"/>
                    <w:rPr>
                      <w:iCs/>
                      <w:color w:val="auto"/>
                      <w:szCs w:val="21"/>
                      <w:highlight w:val="none"/>
                    </w:rPr>
                  </w:pPr>
                  <w:r>
                    <w:rPr>
                      <w:rFonts w:hint="eastAsia"/>
                      <w:iCs/>
                      <w:color w:val="auto"/>
                      <w:szCs w:val="21"/>
                      <w:highlight w:val="none"/>
                    </w:rPr>
                    <w:t>配料-混合-挤出/注（吹）塑</w:t>
                  </w:r>
                </w:p>
              </w:tc>
              <w:tc>
                <w:tcPr>
                  <w:tcW w:w="638" w:type="pct"/>
                </w:tcPr>
                <w:p w14:paraId="0D862FE9">
                  <w:pPr>
                    <w:pStyle w:val="14"/>
                    <w:tabs>
                      <w:tab w:val="left" w:pos="0"/>
                      <w:tab w:val="left" w:pos="1260"/>
                    </w:tabs>
                    <w:snapToGrid w:val="0"/>
                    <w:spacing w:after="0"/>
                    <w:jc w:val="center"/>
                    <w:rPr>
                      <w:iCs/>
                      <w:color w:val="auto"/>
                      <w:szCs w:val="21"/>
                      <w:highlight w:val="none"/>
                    </w:rPr>
                  </w:pPr>
                </w:p>
                <w:p w14:paraId="224C12C3">
                  <w:pPr>
                    <w:pStyle w:val="14"/>
                    <w:tabs>
                      <w:tab w:val="left" w:pos="0"/>
                      <w:tab w:val="left" w:pos="1260"/>
                    </w:tabs>
                    <w:snapToGrid w:val="0"/>
                    <w:spacing w:after="0"/>
                    <w:rPr>
                      <w:iCs/>
                      <w:color w:val="auto"/>
                      <w:szCs w:val="21"/>
                      <w:highlight w:val="none"/>
                    </w:rPr>
                  </w:pPr>
                  <w:r>
                    <w:rPr>
                      <w:rFonts w:hint="eastAsia"/>
                      <w:iCs/>
                      <w:color w:val="auto"/>
                      <w:szCs w:val="21"/>
                      <w:highlight w:val="none"/>
                    </w:rPr>
                    <w:t>所有规模</w:t>
                  </w:r>
                </w:p>
              </w:tc>
              <w:tc>
                <w:tcPr>
                  <w:tcW w:w="433" w:type="pct"/>
                  <w:vAlign w:val="center"/>
                </w:tcPr>
                <w:p w14:paraId="4D221121">
                  <w:pPr>
                    <w:pStyle w:val="14"/>
                    <w:tabs>
                      <w:tab w:val="left" w:pos="0"/>
                      <w:tab w:val="left" w:pos="1260"/>
                    </w:tabs>
                    <w:snapToGrid w:val="0"/>
                    <w:spacing w:after="0"/>
                    <w:jc w:val="center"/>
                    <w:rPr>
                      <w:iCs/>
                      <w:color w:val="auto"/>
                      <w:szCs w:val="21"/>
                      <w:highlight w:val="none"/>
                    </w:rPr>
                  </w:pPr>
                  <w:r>
                    <w:rPr>
                      <w:rFonts w:hint="eastAsia"/>
                      <w:iCs/>
                      <w:color w:val="auto"/>
                      <w:szCs w:val="21"/>
                      <w:highlight w:val="none"/>
                    </w:rPr>
                    <w:t>废气</w:t>
                  </w:r>
                </w:p>
              </w:tc>
              <w:tc>
                <w:tcPr>
                  <w:tcW w:w="557" w:type="pct"/>
                  <w:vAlign w:val="center"/>
                </w:tcPr>
                <w:p w14:paraId="7CEF374C">
                  <w:pPr>
                    <w:pStyle w:val="14"/>
                    <w:tabs>
                      <w:tab w:val="left" w:pos="0"/>
                      <w:tab w:val="left" w:pos="1260"/>
                    </w:tabs>
                    <w:snapToGrid w:val="0"/>
                    <w:spacing w:after="0"/>
                    <w:jc w:val="center"/>
                    <w:rPr>
                      <w:iCs/>
                      <w:color w:val="auto"/>
                      <w:szCs w:val="21"/>
                      <w:highlight w:val="none"/>
                    </w:rPr>
                  </w:pPr>
                  <w:r>
                    <w:rPr>
                      <w:rFonts w:hint="eastAsia"/>
                      <w:iCs/>
                      <w:color w:val="auto"/>
                      <w:szCs w:val="21"/>
                      <w:highlight w:val="none"/>
                    </w:rPr>
                    <w:t>非甲烷总烃</w:t>
                  </w:r>
                </w:p>
              </w:tc>
              <w:tc>
                <w:tcPr>
                  <w:tcW w:w="821" w:type="pct"/>
                  <w:vAlign w:val="center"/>
                </w:tcPr>
                <w:p w14:paraId="4CB6EF25">
                  <w:pPr>
                    <w:pStyle w:val="14"/>
                    <w:tabs>
                      <w:tab w:val="left" w:pos="0"/>
                      <w:tab w:val="left" w:pos="1260"/>
                    </w:tabs>
                    <w:snapToGrid w:val="0"/>
                    <w:spacing w:after="0"/>
                    <w:jc w:val="center"/>
                    <w:rPr>
                      <w:bCs/>
                      <w:color w:val="auto"/>
                      <w:szCs w:val="21"/>
                      <w:highlight w:val="none"/>
                    </w:rPr>
                  </w:pPr>
                  <w:r>
                    <w:rPr>
                      <w:rFonts w:hint="eastAsia"/>
                      <w:bCs/>
                      <w:color w:val="auto"/>
                      <w:szCs w:val="21"/>
                      <w:highlight w:val="none"/>
                    </w:rPr>
                    <w:t>千克/吨-产品</w:t>
                  </w:r>
                </w:p>
              </w:tc>
              <w:tc>
                <w:tcPr>
                  <w:tcW w:w="686" w:type="pct"/>
                  <w:vAlign w:val="center"/>
                </w:tcPr>
                <w:p w14:paraId="70C08671">
                  <w:pPr>
                    <w:pStyle w:val="14"/>
                    <w:tabs>
                      <w:tab w:val="left" w:pos="0"/>
                      <w:tab w:val="left" w:pos="1260"/>
                    </w:tabs>
                    <w:snapToGrid w:val="0"/>
                    <w:spacing w:after="0"/>
                    <w:jc w:val="center"/>
                    <w:rPr>
                      <w:bCs/>
                      <w:color w:val="auto"/>
                      <w:szCs w:val="21"/>
                      <w:highlight w:val="none"/>
                      <w:vertAlign w:val="superscript"/>
                    </w:rPr>
                  </w:pPr>
                  <w:r>
                    <w:rPr>
                      <w:rFonts w:hint="eastAsia"/>
                      <w:bCs/>
                      <w:color w:val="auto"/>
                      <w:szCs w:val="21"/>
                      <w:highlight w:val="none"/>
                    </w:rPr>
                    <w:t>2.70</w:t>
                  </w:r>
                </w:p>
              </w:tc>
            </w:tr>
          </w:tbl>
          <w:p w14:paraId="6F2E107A">
            <w:pPr>
              <w:widowControl/>
              <w:adjustRightInd w:val="0"/>
              <w:snapToGrid w:val="0"/>
              <w:spacing w:line="360" w:lineRule="auto"/>
              <w:ind w:firstLine="480" w:firstLineChars="200"/>
              <w:jc w:val="left"/>
              <w:rPr>
                <w:color w:val="auto"/>
                <w:sz w:val="24"/>
                <w:highlight w:val="none"/>
              </w:rPr>
            </w:pPr>
            <w:r>
              <w:rPr>
                <w:color w:val="auto"/>
                <w:sz w:val="24"/>
                <w:highlight w:val="none"/>
              </w:rPr>
              <w:t>本项目建成后</w:t>
            </w:r>
            <w:r>
              <w:rPr>
                <w:rFonts w:hint="default" w:ascii="Times New Roman" w:hAnsi="Times New Roman" w:eastAsia="宋体" w:cs="Times New Roman"/>
                <w:color w:val="auto"/>
                <w:sz w:val="24"/>
                <w:szCs w:val="24"/>
                <w:highlight w:val="none"/>
                <w:lang w:val="en-US" w:eastAsia="zh-CN"/>
              </w:rPr>
              <w:t>年产</w:t>
            </w:r>
            <w:r>
              <w:rPr>
                <w:rFonts w:hint="eastAsia" w:ascii="Times New Roman" w:hAnsi="Times New Roman" w:eastAsia="宋体" w:cs="Times New Roman"/>
                <w:color w:val="auto"/>
                <w:sz w:val="24"/>
                <w:szCs w:val="24"/>
                <w:highlight w:val="none"/>
                <w:lang w:val="en-US" w:eastAsia="zh-CN"/>
              </w:rPr>
              <w:t>各类塑料包装箱及容器8691吨</w:t>
            </w:r>
            <w:r>
              <w:rPr>
                <w:rFonts w:hint="eastAsia"/>
                <w:color w:val="auto"/>
                <w:sz w:val="24"/>
                <w:highlight w:val="none"/>
              </w:rPr>
              <w:t>，则</w:t>
            </w:r>
            <w:r>
              <w:rPr>
                <w:rFonts w:hint="eastAsia"/>
                <w:color w:val="auto"/>
                <w:sz w:val="24"/>
                <w:highlight w:val="none"/>
                <w:lang w:eastAsia="zh-CN"/>
              </w:rPr>
              <w:t>注</w:t>
            </w:r>
            <w:r>
              <w:rPr>
                <w:rFonts w:hint="eastAsia"/>
                <w:color w:val="auto"/>
                <w:sz w:val="24"/>
                <w:highlight w:val="none"/>
              </w:rPr>
              <w:t>塑工序产生的非甲烷总烃为</w:t>
            </w:r>
            <w:r>
              <w:rPr>
                <w:rFonts w:hint="eastAsia"/>
                <w:color w:val="auto"/>
                <w:sz w:val="24"/>
                <w:highlight w:val="none"/>
                <w:lang w:val="en-US" w:eastAsia="zh-CN"/>
              </w:rPr>
              <w:t>23.4657</w:t>
            </w:r>
            <w:r>
              <w:rPr>
                <w:rFonts w:hint="eastAsia"/>
                <w:color w:val="auto"/>
                <w:sz w:val="24"/>
                <w:highlight w:val="none"/>
              </w:rPr>
              <w:t>t/a，产生速率为</w:t>
            </w:r>
            <w:r>
              <w:rPr>
                <w:rFonts w:hint="eastAsia"/>
                <w:color w:val="auto"/>
                <w:sz w:val="24"/>
                <w:highlight w:val="none"/>
                <w:lang w:val="en-US" w:eastAsia="zh-CN"/>
              </w:rPr>
              <w:t>9.7774</w:t>
            </w:r>
            <w:r>
              <w:rPr>
                <w:rFonts w:hint="eastAsia"/>
                <w:color w:val="auto"/>
                <w:sz w:val="24"/>
                <w:highlight w:val="none"/>
              </w:rPr>
              <w:t>kg/h。</w:t>
            </w:r>
          </w:p>
          <w:p w14:paraId="37E5444E">
            <w:pPr>
              <w:adjustRightInd w:val="0"/>
              <w:snapToGrid w:val="0"/>
              <w:spacing w:line="360" w:lineRule="auto"/>
              <w:ind w:firstLine="482" w:firstLineChars="200"/>
              <w:rPr>
                <w:b/>
                <w:bCs/>
                <w:color w:val="auto"/>
                <w:sz w:val="24"/>
              </w:rPr>
            </w:pPr>
            <w:r>
              <w:rPr>
                <w:rFonts w:hint="eastAsia"/>
                <w:b/>
                <w:bCs/>
                <w:color w:val="auto"/>
                <w:sz w:val="24"/>
              </w:rPr>
              <w:t>B、臭气浓度</w:t>
            </w:r>
          </w:p>
          <w:p w14:paraId="1D4035DC">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outlineLvl w:val="9"/>
              <w:rPr>
                <w:color w:val="auto"/>
                <w:sz w:val="24"/>
              </w:rPr>
            </w:pPr>
            <w:r>
              <w:rPr>
                <w:color w:val="auto"/>
                <w:kern w:val="0"/>
                <w:sz w:val="24"/>
                <w:lang w:val="zh-CN"/>
              </w:rPr>
              <w:t>本项目</w:t>
            </w:r>
            <w:r>
              <w:rPr>
                <w:rFonts w:hint="eastAsia"/>
                <w:color w:val="auto"/>
                <w:kern w:val="0"/>
                <w:sz w:val="24"/>
                <w:lang w:val="zh-CN"/>
              </w:rPr>
              <w:t>主要</w:t>
            </w:r>
            <w:r>
              <w:rPr>
                <w:rFonts w:hint="eastAsia"/>
                <w:color w:val="auto"/>
                <w:kern w:val="0"/>
                <w:sz w:val="24"/>
              </w:rPr>
              <w:t>使用</w:t>
            </w:r>
            <w:r>
              <w:rPr>
                <w:rFonts w:hint="eastAsia"/>
                <w:color w:val="auto"/>
                <w:kern w:val="0"/>
                <w:sz w:val="24"/>
                <w:lang w:val="en-US" w:eastAsia="zh-CN"/>
              </w:rPr>
              <w:t>PP、PE</w:t>
            </w:r>
            <w:r>
              <w:rPr>
                <w:rFonts w:hint="eastAsia"/>
                <w:color w:val="auto"/>
                <w:kern w:val="0"/>
                <w:sz w:val="24"/>
              </w:rPr>
              <w:t>树脂</w:t>
            </w:r>
            <w:r>
              <w:rPr>
                <w:color w:val="auto"/>
                <w:kern w:val="0"/>
                <w:sz w:val="24"/>
              </w:rPr>
              <w:t>生产</w:t>
            </w:r>
            <w:r>
              <w:rPr>
                <w:rFonts w:hint="eastAsia"/>
                <w:color w:val="auto"/>
                <w:kern w:val="0"/>
                <w:sz w:val="24"/>
              </w:rPr>
              <w:t>塑料</w:t>
            </w:r>
            <w:r>
              <w:rPr>
                <w:rFonts w:hint="eastAsia"/>
                <w:color w:val="auto"/>
                <w:kern w:val="0"/>
                <w:sz w:val="24"/>
                <w:lang w:eastAsia="zh-CN"/>
              </w:rPr>
              <w:t>注塑</w:t>
            </w:r>
            <w:r>
              <w:rPr>
                <w:rFonts w:hint="eastAsia"/>
                <w:color w:val="auto"/>
                <w:kern w:val="0"/>
                <w:sz w:val="24"/>
              </w:rPr>
              <w:t>产品</w:t>
            </w:r>
            <w:r>
              <w:rPr>
                <w:color w:val="auto"/>
                <w:kern w:val="0"/>
                <w:sz w:val="24"/>
              </w:rPr>
              <w:t>过程</w:t>
            </w:r>
            <w:r>
              <w:rPr>
                <w:color w:val="auto"/>
                <w:kern w:val="0"/>
                <w:sz w:val="24"/>
                <w:lang w:val="zh-CN"/>
              </w:rPr>
              <w:t>中除产生</w:t>
            </w:r>
            <w:r>
              <w:rPr>
                <w:color w:val="auto"/>
                <w:kern w:val="0"/>
                <w:sz w:val="24"/>
              </w:rPr>
              <w:t>挥发性有机物</w:t>
            </w:r>
            <w:r>
              <w:rPr>
                <w:color w:val="auto"/>
                <w:kern w:val="0"/>
                <w:sz w:val="24"/>
                <w:lang w:val="zh-CN"/>
              </w:rPr>
              <w:t>废气外，同时还会伴有轻微异味产生，以臭气浓度表征，</w:t>
            </w:r>
            <w:r>
              <w:rPr>
                <w:color w:val="auto"/>
                <w:kern w:val="0"/>
                <w:sz w:val="24"/>
              </w:rPr>
              <w:t>产生量较小</w:t>
            </w:r>
            <w:r>
              <w:rPr>
                <w:color w:val="auto"/>
                <w:kern w:val="0"/>
                <w:sz w:val="24"/>
                <w:lang w:val="zh-CN"/>
              </w:rPr>
              <w:t>。</w:t>
            </w:r>
            <w:r>
              <w:rPr>
                <w:color w:val="auto"/>
                <w:kern w:val="0"/>
                <w:sz w:val="24"/>
              </w:rPr>
              <w:t>生产车间臭气浓度大部分随有机废气一同收集为有组织排放，少量未收集部分为无组织排放。臭气浓度排放浓度参考《</w:t>
            </w:r>
            <w:r>
              <w:rPr>
                <w:rFonts w:ascii="Times New Roman" w:hAnsi="Times New Roman"/>
                <w:color w:val="auto"/>
                <w:sz w:val="24"/>
                <w:szCs w:val="24"/>
              </w:rPr>
              <w:t>元谋滇桂塑业有限公司年产400万只塑料筐生产项目</w:t>
            </w:r>
            <w:r>
              <w:rPr>
                <w:color w:val="auto"/>
                <w:kern w:val="0"/>
                <w:sz w:val="24"/>
              </w:rPr>
              <w:t>竣工环境保护验收报告</w:t>
            </w:r>
            <w:r>
              <w:rPr>
                <w:rFonts w:hint="eastAsia"/>
                <w:color w:val="auto"/>
                <w:kern w:val="0"/>
                <w:sz w:val="24"/>
                <w:lang w:eastAsia="zh-CN"/>
              </w:rPr>
              <w:t>书</w:t>
            </w:r>
            <w:r>
              <w:rPr>
                <w:color w:val="auto"/>
                <w:kern w:val="0"/>
                <w:sz w:val="24"/>
              </w:rPr>
              <w:t>》进行类比计算，</w:t>
            </w:r>
            <w:r>
              <w:rPr>
                <w:rFonts w:ascii="Times New Roman" w:hAnsi="Times New Roman"/>
                <w:color w:val="auto"/>
                <w:sz w:val="24"/>
                <w:szCs w:val="24"/>
              </w:rPr>
              <w:t>元谋滇桂塑业有限公司年产400万只塑料筐生产项</w:t>
            </w:r>
            <w:r>
              <w:rPr>
                <w:rFonts w:hint="eastAsia"/>
                <w:color w:val="auto"/>
                <w:kern w:val="0"/>
                <w:sz w:val="24"/>
              </w:rPr>
              <w:t>改扩建项目</w:t>
            </w:r>
            <w:r>
              <w:rPr>
                <w:color w:val="auto"/>
                <w:kern w:val="0"/>
                <w:sz w:val="24"/>
              </w:rPr>
              <w:t>使用的原料为</w:t>
            </w:r>
            <w:r>
              <w:rPr>
                <w:rFonts w:hint="eastAsia"/>
                <w:color w:val="auto"/>
                <w:kern w:val="0"/>
                <w:sz w:val="24"/>
                <w:lang w:val="en-US" w:eastAsia="zh-CN"/>
              </w:rPr>
              <w:t>PP树脂、</w:t>
            </w:r>
            <w:r>
              <w:rPr>
                <w:rFonts w:hint="eastAsia"/>
                <w:color w:val="auto"/>
                <w:kern w:val="0"/>
                <w:sz w:val="24"/>
              </w:rPr>
              <w:t>PE</w:t>
            </w:r>
            <w:r>
              <w:rPr>
                <w:color w:val="auto"/>
                <w:kern w:val="0"/>
                <w:sz w:val="24"/>
              </w:rPr>
              <w:t>树脂</w:t>
            </w:r>
            <w:r>
              <w:rPr>
                <w:rFonts w:hint="eastAsia"/>
                <w:color w:val="auto"/>
                <w:kern w:val="0"/>
                <w:sz w:val="24"/>
              </w:rPr>
              <w:t>、色母粒等</w:t>
            </w:r>
            <w:r>
              <w:rPr>
                <w:color w:val="auto"/>
                <w:kern w:val="0"/>
                <w:sz w:val="24"/>
              </w:rPr>
              <w:t>，生产工艺为</w:t>
            </w:r>
            <w:r>
              <w:rPr>
                <w:rFonts w:hint="eastAsia"/>
                <w:color w:val="auto"/>
                <w:kern w:val="0"/>
                <w:sz w:val="24"/>
                <w:lang w:eastAsia="zh-CN"/>
              </w:rPr>
              <w:t>上料</w:t>
            </w:r>
            <w:r>
              <w:rPr>
                <w:rFonts w:hint="eastAsia"/>
                <w:color w:val="auto"/>
                <w:kern w:val="0"/>
                <w:sz w:val="24"/>
              </w:rPr>
              <w:t>-</w:t>
            </w:r>
            <w:r>
              <w:rPr>
                <w:rFonts w:hint="eastAsia"/>
                <w:color w:val="auto"/>
                <w:kern w:val="0"/>
                <w:sz w:val="24"/>
                <w:lang w:eastAsia="zh-CN"/>
              </w:rPr>
              <w:t>注塑成型</w:t>
            </w:r>
            <w:r>
              <w:rPr>
                <w:color w:val="auto"/>
                <w:kern w:val="0"/>
                <w:sz w:val="24"/>
              </w:rPr>
              <w:t>-</w:t>
            </w:r>
            <w:r>
              <w:rPr>
                <w:rFonts w:hint="eastAsia"/>
                <w:color w:val="auto"/>
                <w:kern w:val="0"/>
                <w:sz w:val="24"/>
              </w:rPr>
              <w:t>冷却定型</w:t>
            </w:r>
            <w:r>
              <w:rPr>
                <w:color w:val="auto"/>
                <w:kern w:val="0"/>
                <w:sz w:val="24"/>
              </w:rPr>
              <w:t>-</w:t>
            </w:r>
            <w:r>
              <w:rPr>
                <w:rFonts w:hint="eastAsia"/>
                <w:color w:val="auto"/>
                <w:kern w:val="0"/>
                <w:sz w:val="24"/>
                <w:lang w:eastAsia="zh-CN"/>
              </w:rPr>
              <w:t>脱模</w:t>
            </w:r>
            <w:r>
              <w:rPr>
                <w:rFonts w:hint="eastAsia"/>
                <w:color w:val="auto"/>
                <w:kern w:val="0"/>
                <w:sz w:val="24"/>
              </w:rPr>
              <w:t>-</w:t>
            </w:r>
            <w:r>
              <w:rPr>
                <w:rFonts w:hint="eastAsia"/>
                <w:color w:val="auto"/>
                <w:kern w:val="0"/>
                <w:sz w:val="24"/>
                <w:lang w:eastAsia="zh-CN"/>
              </w:rPr>
              <w:t>修整</w:t>
            </w:r>
            <w:r>
              <w:rPr>
                <w:rFonts w:hint="eastAsia"/>
                <w:color w:val="auto"/>
                <w:kern w:val="0"/>
                <w:sz w:val="24"/>
                <w:lang w:val="en-US" w:eastAsia="zh-CN"/>
              </w:rPr>
              <w:t>-</w:t>
            </w:r>
            <w:r>
              <w:rPr>
                <w:color w:val="auto"/>
                <w:kern w:val="0"/>
                <w:sz w:val="24"/>
              </w:rPr>
              <w:t>成品，产品为</w:t>
            </w:r>
            <w:r>
              <w:rPr>
                <w:rFonts w:hint="eastAsia"/>
                <w:color w:val="auto"/>
                <w:kern w:val="0"/>
                <w:sz w:val="24"/>
                <w:lang w:eastAsia="zh-CN"/>
              </w:rPr>
              <w:t>塑料筐</w:t>
            </w:r>
            <w:r>
              <w:rPr>
                <w:color w:val="auto"/>
                <w:kern w:val="0"/>
                <w:sz w:val="24"/>
              </w:rPr>
              <w:t>，该项目所使用的主要原料、生产工艺及污染治理措施均与本项目类似，具有可类比性。</w:t>
            </w:r>
            <w:r>
              <w:rPr>
                <w:rFonts w:hint="default" w:ascii="Times New Roman" w:hAnsi="Times New Roman" w:eastAsia="宋体" w:cs="Times New Roman"/>
                <w:b w:val="0"/>
                <w:bCs/>
                <w:color w:val="auto"/>
                <w:spacing w:val="6"/>
                <w:sz w:val="24"/>
                <w:highlight w:val="none"/>
                <w:lang w:val="en-US" w:eastAsia="zh-CN"/>
              </w:rPr>
              <w:t>项目分期验收，第一期验收产品量为</w:t>
            </w:r>
            <w:r>
              <w:rPr>
                <w:rFonts w:hint="eastAsia" w:ascii="Times New Roman" w:hAnsi="Times New Roman" w:eastAsia="宋体" w:cs="Times New Roman"/>
                <w:b w:val="0"/>
                <w:bCs/>
                <w:color w:val="auto"/>
                <w:spacing w:val="6"/>
                <w:sz w:val="24"/>
                <w:highlight w:val="none"/>
                <w:lang w:val="en-US" w:eastAsia="zh-CN"/>
              </w:rPr>
              <w:t>448</w:t>
            </w:r>
            <w:r>
              <w:rPr>
                <w:rFonts w:hint="eastAsia" w:ascii="Times New Roman" w:hAnsi="Times New Roman" w:eastAsia="宋体" w:cs="Times New Roman"/>
                <w:color w:val="auto"/>
                <w:kern w:val="0"/>
                <w:sz w:val="24"/>
                <w:lang w:val="en-US" w:eastAsia="zh-CN"/>
              </w:rPr>
              <w:t>0</w:t>
            </w:r>
            <w:r>
              <w:rPr>
                <w:rFonts w:hint="default" w:ascii="Times New Roman" w:hAnsi="Times New Roman" w:eastAsia="宋体" w:cs="Times New Roman"/>
                <w:color w:val="auto"/>
                <w:kern w:val="0"/>
                <w:sz w:val="24"/>
                <w:lang w:val="en-US" w:eastAsia="zh-CN"/>
              </w:rPr>
              <w:t>t/a</w:t>
            </w:r>
            <w:r>
              <w:rPr>
                <w:rFonts w:hint="eastAsia" w:ascii="Times New Roman" w:hAnsi="Times New Roman" w:eastAsia="宋体" w:cs="Times New Roman"/>
                <w:color w:val="auto"/>
                <w:kern w:val="0"/>
                <w:sz w:val="24"/>
                <w:lang w:val="en-US" w:eastAsia="zh-CN"/>
              </w:rPr>
              <w:t>（224万只/a）</w:t>
            </w:r>
            <w:r>
              <w:rPr>
                <w:rFonts w:hint="default" w:ascii="Times New Roman" w:hAnsi="Times New Roman" w:eastAsia="宋体" w:cs="Times New Roman"/>
                <w:b w:val="0"/>
                <w:bCs/>
                <w:color w:val="auto"/>
                <w:spacing w:val="6"/>
                <w:sz w:val="24"/>
                <w:highlight w:val="none"/>
                <w:lang w:val="en-US" w:eastAsia="zh-CN"/>
              </w:rPr>
              <w:t>，根据检测报告，</w:t>
            </w:r>
            <w:r>
              <w:rPr>
                <w:rFonts w:hint="eastAsia" w:ascii="Times New Roman" w:hAnsi="Times New Roman" w:eastAsia="宋体" w:cs="Times New Roman"/>
                <w:b w:val="0"/>
                <w:bCs/>
                <w:color w:val="auto"/>
                <w:spacing w:val="6"/>
                <w:sz w:val="24"/>
                <w:highlight w:val="none"/>
                <w:lang w:val="en-US" w:eastAsia="zh-CN"/>
              </w:rPr>
              <w:t>注塑</w:t>
            </w:r>
            <w:r>
              <w:rPr>
                <w:rFonts w:hint="default" w:ascii="Times New Roman" w:hAnsi="Times New Roman" w:eastAsia="宋体" w:cs="Times New Roman"/>
                <w:b w:val="0"/>
                <w:bCs/>
                <w:color w:val="auto"/>
                <w:spacing w:val="6"/>
                <w:sz w:val="24"/>
                <w:highlight w:val="none"/>
                <w:lang w:val="en-US" w:eastAsia="zh-CN"/>
              </w:rPr>
              <w:t>工序废气</w:t>
            </w:r>
            <w:r>
              <w:rPr>
                <w:rFonts w:hint="eastAsia" w:cs="Times New Roman"/>
                <w:b w:val="0"/>
                <w:bCs/>
                <w:color w:val="auto"/>
                <w:spacing w:val="6"/>
                <w:sz w:val="24"/>
                <w:highlight w:val="none"/>
                <w:lang w:val="en-US" w:eastAsia="zh-CN"/>
              </w:rPr>
              <w:t>排气筒的臭气浓度为72（无量纲），风量为2002m</w:t>
            </w:r>
            <w:r>
              <w:rPr>
                <w:rFonts w:hint="eastAsia" w:cs="Times New Roman"/>
                <w:b w:val="0"/>
                <w:bCs/>
                <w:color w:val="auto"/>
                <w:spacing w:val="6"/>
                <w:sz w:val="24"/>
                <w:highlight w:val="none"/>
                <w:vertAlign w:val="superscript"/>
                <w:lang w:val="en-US" w:eastAsia="zh-CN"/>
              </w:rPr>
              <w:t>3</w:t>
            </w:r>
            <w:r>
              <w:rPr>
                <w:rFonts w:hint="eastAsia" w:cs="Times New Roman"/>
                <w:b w:val="0"/>
                <w:bCs/>
                <w:color w:val="auto"/>
                <w:spacing w:val="6"/>
                <w:sz w:val="24"/>
                <w:highlight w:val="none"/>
                <w:lang w:val="en-US" w:eastAsia="zh-CN"/>
              </w:rPr>
              <w:t>/h</w:t>
            </w:r>
            <w:r>
              <w:rPr>
                <w:rFonts w:hint="default" w:ascii="Times New Roman" w:hAnsi="Times New Roman" w:eastAsia="宋体" w:cs="Times New Roman"/>
                <w:b w:val="0"/>
                <w:bCs/>
                <w:color w:val="auto"/>
                <w:spacing w:val="6"/>
                <w:sz w:val="24"/>
                <w:highlight w:val="none"/>
                <w:lang w:val="en-US" w:eastAsia="zh-CN"/>
              </w:rPr>
              <w:t>；</w:t>
            </w:r>
            <w:r>
              <w:rPr>
                <w:rFonts w:hint="eastAsia" w:cs="Times New Roman"/>
                <w:b w:val="0"/>
                <w:bCs/>
                <w:color w:val="auto"/>
                <w:spacing w:val="6"/>
                <w:sz w:val="24"/>
                <w:highlight w:val="none"/>
                <w:lang w:val="en-US" w:eastAsia="zh-CN"/>
              </w:rPr>
              <w:t>本项目产品量为8691t/a，风量为</w:t>
            </w:r>
            <w:r>
              <w:rPr>
                <w:rFonts w:hint="eastAsia" w:cs="Times New Roman"/>
                <w:color w:val="auto"/>
                <w:kern w:val="0"/>
                <w:sz w:val="24"/>
                <w:szCs w:val="24"/>
                <w:highlight w:val="none"/>
                <w:lang w:val="en-US" w:eastAsia="zh-CN"/>
              </w:rPr>
              <w:t>20000</w:t>
            </w:r>
            <w:r>
              <w:rPr>
                <w:rFonts w:hint="default" w:ascii="Times New Roman" w:hAnsi="Times New Roman" w:eastAsia="宋体" w:cs="Times New Roman"/>
                <w:i w:val="0"/>
                <w:color w:val="auto"/>
                <w:kern w:val="0"/>
                <w:sz w:val="24"/>
                <w:szCs w:val="24"/>
                <w:highlight w:val="none"/>
                <w:u w:val="none"/>
                <w:lang w:val="en-US" w:eastAsia="zh-CN" w:bidi="ar"/>
              </w:rPr>
              <w:t>m</w:t>
            </w:r>
            <w:r>
              <w:rPr>
                <w:rFonts w:hint="default" w:ascii="Times New Roman" w:hAnsi="Times New Roman" w:eastAsia="宋体" w:cs="Times New Roman"/>
                <w:i w:val="0"/>
                <w:color w:val="auto"/>
                <w:kern w:val="0"/>
                <w:sz w:val="24"/>
                <w:szCs w:val="24"/>
                <w:highlight w:val="none"/>
                <w:u w:val="none"/>
                <w:vertAlign w:val="superscript"/>
                <w:lang w:val="en-US" w:eastAsia="zh-CN" w:bidi="ar"/>
              </w:rPr>
              <w:t>3</w:t>
            </w:r>
            <w:r>
              <w:rPr>
                <w:rFonts w:hint="default" w:ascii="Times New Roman" w:hAnsi="Times New Roman" w:eastAsia="宋体" w:cs="Times New Roman"/>
                <w:i w:val="0"/>
                <w:color w:val="auto"/>
                <w:kern w:val="0"/>
                <w:sz w:val="24"/>
                <w:szCs w:val="24"/>
                <w:highlight w:val="none"/>
                <w:u w:val="none"/>
                <w:lang w:val="en-US" w:eastAsia="zh-CN" w:bidi="ar"/>
              </w:rPr>
              <w:t>/h</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则类比折算</w:t>
            </w:r>
            <w:r>
              <w:rPr>
                <w:rFonts w:hint="eastAsia" w:cs="Times New Roman"/>
                <w:b w:val="0"/>
                <w:bCs/>
                <w:color w:val="auto"/>
                <w:spacing w:val="6"/>
                <w:sz w:val="24"/>
                <w:highlight w:val="none"/>
                <w:lang w:val="en-US" w:eastAsia="zh-CN"/>
              </w:rPr>
              <w:t>出本项目注塑</w:t>
            </w:r>
            <w:r>
              <w:rPr>
                <w:rFonts w:hint="default" w:cs="Times New Roman"/>
                <w:b w:val="0"/>
                <w:bCs/>
                <w:color w:val="auto"/>
                <w:spacing w:val="6"/>
                <w:sz w:val="24"/>
                <w:highlight w:val="none"/>
                <w:lang w:val="en-US" w:eastAsia="zh-CN"/>
              </w:rPr>
              <w:t>工序废气</w:t>
            </w:r>
            <w:r>
              <w:rPr>
                <w:rFonts w:hint="eastAsia" w:cs="Times New Roman"/>
                <w:b w:val="0"/>
                <w:bCs/>
                <w:color w:val="auto"/>
                <w:spacing w:val="6"/>
                <w:sz w:val="24"/>
                <w:highlight w:val="none"/>
                <w:lang w:val="en-US" w:eastAsia="zh-CN"/>
              </w:rPr>
              <w:t>有组织排放臭气浓度为1395（无量纲），满足</w:t>
            </w:r>
            <w:r>
              <w:rPr>
                <w:rFonts w:hint="default" w:cs="Times New Roman"/>
                <w:b w:val="0"/>
                <w:bCs/>
                <w:color w:val="auto"/>
                <w:spacing w:val="6"/>
                <w:sz w:val="24"/>
                <w:highlight w:val="none"/>
                <w:lang w:val="zh-CN" w:eastAsia="zh-CN"/>
              </w:rPr>
              <w:t>《恶臭污染物排放标准》（GB14554-93）表</w:t>
            </w:r>
            <w:r>
              <w:rPr>
                <w:rFonts w:hint="eastAsia" w:cs="Times New Roman"/>
                <w:b w:val="0"/>
                <w:bCs/>
                <w:color w:val="auto"/>
                <w:spacing w:val="6"/>
                <w:sz w:val="24"/>
                <w:highlight w:val="none"/>
                <w:lang w:val="en-US" w:eastAsia="zh-CN"/>
              </w:rPr>
              <w:t>2</w:t>
            </w:r>
            <w:r>
              <w:rPr>
                <w:rFonts w:hint="default" w:cs="Times New Roman"/>
                <w:b w:val="0"/>
                <w:bCs/>
                <w:color w:val="auto"/>
                <w:spacing w:val="6"/>
                <w:sz w:val="24"/>
                <w:highlight w:val="none"/>
                <w:lang w:val="en-US" w:eastAsia="zh-CN"/>
              </w:rPr>
              <w:t>中二级</w:t>
            </w:r>
            <w:r>
              <w:rPr>
                <w:rFonts w:hint="eastAsia" w:cs="Times New Roman"/>
                <w:b w:val="0"/>
                <w:bCs/>
                <w:color w:val="auto"/>
                <w:spacing w:val="6"/>
                <w:sz w:val="24"/>
                <w:highlight w:val="none"/>
                <w:lang w:val="en-US" w:eastAsia="zh-CN"/>
              </w:rPr>
              <w:t>恶臭污染物</w:t>
            </w:r>
            <w:r>
              <w:rPr>
                <w:rFonts w:hint="default" w:cs="Times New Roman"/>
                <w:b w:val="0"/>
                <w:bCs/>
                <w:color w:val="auto"/>
                <w:spacing w:val="6"/>
                <w:sz w:val="24"/>
                <w:highlight w:val="none"/>
                <w:lang w:val="zh-CN" w:eastAsia="zh-CN"/>
              </w:rPr>
              <w:t>排放标准</w:t>
            </w:r>
            <w:r>
              <w:rPr>
                <w:rFonts w:hint="eastAsia" w:cs="Times New Roman"/>
                <w:b w:val="0"/>
                <w:bCs/>
                <w:color w:val="auto"/>
                <w:spacing w:val="6"/>
                <w:sz w:val="24"/>
                <w:highlight w:val="none"/>
                <w:lang w:val="zh-CN" w:eastAsia="zh-CN"/>
              </w:rPr>
              <w:t>值要求（</w:t>
            </w:r>
            <w:r>
              <w:rPr>
                <w:rFonts w:hint="eastAsia" w:cs="Times New Roman"/>
                <w:b w:val="0"/>
                <w:bCs/>
                <w:color w:val="auto"/>
                <w:spacing w:val="6"/>
                <w:sz w:val="24"/>
                <w:highlight w:val="none"/>
                <w:lang w:val="en-US" w:eastAsia="zh-CN"/>
              </w:rPr>
              <w:t>2000（无量纲）</w:t>
            </w:r>
            <w:r>
              <w:rPr>
                <w:rFonts w:hint="eastAsia" w:cs="Times New Roman"/>
                <w:b w:val="0"/>
                <w:bCs/>
                <w:color w:val="auto"/>
                <w:spacing w:val="6"/>
                <w:sz w:val="24"/>
                <w:highlight w:val="none"/>
                <w:lang w:val="zh-CN" w:eastAsia="zh-CN"/>
              </w:rPr>
              <w:t>），</w:t>
            </w:r>
            <w:r>
              <w:rPr>
                <w:rFonts w:hint="default" w:ascii="Times New Roman" w:hAnsi="Times New Roman" w:eastAsia="宋体" w:cs="Times New Roman"/>
                <w:b w:val="0"/>
                <w:bCs/>
                <w:color w:val="auto"/>
                <w:spacing w:val="6"/>
                <w:sz w:val="24"/>
                <w:highlight w:val="none"/>
                <w:lang w:val="en-US" w:eastAsia="zh-CN"/>
              </w:rPr>
              <w:t>对外环境的影响较小。</w:t>
            </w:r>
          </w:p>
          <w:p w14:paraId="4E8AC964">
            <w:pPr>
              <w:pStyle w:val="91"/>
              <w:keepNext w:val="0"/>
              <w:keepLines w:val="0"/>
              <w:pageBreakBefore w:val="0"/>
              <w:kinsoku/>
              <w:wordWrap/>
              <w:overflowPunct/>
              <w:topLinePunct w:val="0"/>
              <w:autoSpaceDE/>
              <w:autoSpaceDN/>
              <w:bidi w:val="0"/>
              <w:spacing w:line="348" w:lineRule="auto"/>
              <w:textAlignment w:val="auto"/>
              <w:rPr>
                <w:color w:val="auto"/>
                <w:sz w:val="24"/>
              </w:rPr>
            </w:pPr>
            <w:r>
              <w:rPr>
                <w:rFonts w:hint="eastAsia"/>
                <w:color w:val="auto"/>
                <w:sz w:val="24"/>
              </w:rPr>
              <w:t>本项目</w:t>
            </w:r>
            <w:r>
              <w:rPr>
                <w:rFonts w:hint="default" w:ascii="Times New Roman" w:hAnsi="Times New Roman" w:eastAsia="宋体" w:cs="Times New Roman"/>
                <w:color w:val="auto"/>
                <w:spacing w:val="0"/>
                <w:sz w:val="24"/>
                <w:szCs w:val="24"/>
                <w:lang w:val="zh-CN" w:eastAsia="zh-CN" w:bidi="en-US"/>
              </w:rPr>
              <w:t>项目热熔</w:t>
            </w:r>
            <w:r>
              <w:rPr>
                <w:rFonts w:hint="default" w:ascii="Times New Roman" w:hAnsi="Times New Roman" w:eastAsia="宋体" w:cs="Times New Roman"/>
                <w:color w:val="auto"/>
                <w:spacing w:val="0"/>
                <w:sz w:val="24"/>
                <w:szCs w:val="24"/>
                <w:lang w:val="en-US" w:eastAsia="zh-CN" w:bidi="en-US"/>
              </w:rPr>
              <w:t>及注塑</w:t>
            </w:r>
            <w:r>
              <w:rPr>
                <w:rFonts w:hint="default" w:ascii="Times New Roman" w:hAnsi="Times New Roman" w:eastAsia="宋体" w:cs="Times New Roman"/>
                <w:color w:val="auto"/>
                <w:spacing w:val="0"/>
                <w:sz w:val="24"/>
                <w:szCs w:val="24"/>
                <w:lang w:val="zh-CN" w:eastAsia="zh-CN" w:bidi="en-US"/>
              </w:rPr>
              <w:t>工序为密闭式，热熔废气随着物料流动</w:t>
            </w:r>
            <w:r>
              <w:rPr>
                <w:rFonts w:hint="default" w:ascii="Times New Roman" w:hAnsi="Times New Roman" w:eastAsia="宋体" w:cs="Times New Roman"/>
                <w:color w:val="auto"/>
                <w:spacing w:val="0"/>
                <w:sz w:val="24"/>
                <w:szCs w:val="24"/>
                <w:lang w:val="en-US" w:eastAsia="zh-CN" w:bidi="en-US"/>
              </w:rPr>
              <w:t>进入</w:t>
            </w:r>
            <w:r>
              <w:rPr>
                <w:rFonts w:hint="default" w:ascii="Times New Roman" w:hAnsi="Times New Roman" w:eastAsia="宋体" w:cs="Times New Roman"/>
                <w:color w:val="auto"/>
                <w:spacing w:val="0"/>
                <w:sz w:val="24"/>
                <w:szCs w:val="24"/>
                <w:lang w:val="zh-CN" w:eastAsia="zh-CN" w:bidi="en-US"/>
              </w:rPr>
              <w:t>注塑</w:t>
            </w:r>
            <w:r>
              <w:rPr>
                <w:rFonts w:hint="default" w:ascii="Times New Roman" w:hAnsi="Times New Roman" w:eastAsia="宋体" w:cs="Times New Roman"/>
                <w:color w:val="auto"/>
                <w:spacing w:val="0"/>
                <w:sz w:val="24"/>
                <w:szCs w:val="24"/>
                <w:lang w:val="en-US" w:eastAsia="zh-CN" w:bidi="en-US"/>
              </w:rPr>
              <w:t>工序，然后进行冷却定型，因此整个热熔注塑过程废气随开模取件时</w:t>
            </w:r>
            <w:r>
              <w:rPr>
                <w:rFonts w:hint="default" w:ascii="Times New Roman" w:hAnsi="Times New Roman" w:eastAsia="宋体" w:cs="Times New Roman"/>
                <w:color w:val="auto"/>
                <w:spacing w:val="0"/>
                <w:sz w:val="24"/>
                <w:szCs w:val="24"/>
                <w:lang w:val="zh-CN" w:eastAsia="zh-CN" w:bidi="en-US"/>
              </w:rPr>
              <w:t>排出，本次环评提出在</w:t>
            </w:r>
            <w:r>
              <w:rPr>
                <w:rFonts w:hint="eastAsia" w:ascii="Times New Roman" w:hAnsi="Times New Roman" w:eastAsia="宋体" w:cs="Times New Roman"/>
                <w:color w:val="auto"/>
                <w:spacing w:val="0"/>
                <w:sz w:val="24"/>
                <w:szCs w:val="24"/>
                <w:lang w:val="en-US" w:eastAsia="zh-CN" w:bidi="en-US"/>
              </w:rPr>
              <w:t>1</w:t>
            </w:r>
            <w:r>
              <w:rPr>
                <w:rFonts w:hint="default" w:ascii="Times New Roman" w:hAnsi="Times New Roman" w:eastAsia="宋体" w:cs="Times New Roman"/>
                <w:color w:val="auto"/>
                <w:spacing w:val="0"/>
                <w:sz w:val="24"/>
                <w:szCs w:val="24"/>
                <w:lang w:val="zh-CN" w:eastAsia="zh-CN" w:bidi="en-US"/>
              </w:rPr>
              <w:t>台注塑机</w:t>
            </w:r>
            <w:r>
              <w:rPr>
                <w:rFonts w:hint="default" w:ascii="Times New Roman" w:hAnsi="Times New Roman" w:eastAsia="宋体" w:cs="Times New Roman"/>
                <w:color w:val="auto"/>
                <w:spacing w:val="0"/>
                <w:sz w:val="24"/>
                <w:szCs w:val="24"/>
                <w:lang w:val="en-US" w:eastAsia="zh-CN" w:bidi="en-US"/>
              </w:rPr>
              <w:t>开模取件</w:t>
            </w:r>
            <w:r>
              <w:rPr>
                <w:rFonts w:hint="default" w:ascii="Times New Roman" w:hAnsi="Times New Roman" w:eastAsia="宋体" w:cs="Times New Roman"/>
                <w:color w:val="auto"/>
                <w:spacing w:val="0"/>
                <w:sz w:val="24"/>
                <w:szCs w:val="24"/>
                <w:lang w:val="zh-CN" w:eastAsia="zh-CN" w:bidi="en-US"/>
              </w:rPr>
              <w:t>口上方设置</w:t>
            </w:r>
            <w:r>
              <w:rPr>
                <w:rFonts w:hint="eastAsia" w:ascii="Times New Roman" w:hAnsi="Times New Roman" w:eastAsia="宋体" w:cs="Times New Roman"/>
                <w:color w:val="auto"/>
                <w:spacing w:val="0"/>
                <w:sz w:val="24"/>
                <w:szCs w:val="24"/>
                <w:lang w:val="en-US" w:eastAsia="zh-CN" w:bidi="en-US"/>
              </w:rPr>
              <w:t>1</w:t>
            </w:r>
            <w:r>
              <w:rPr>
                <w:rFonts w:hint="default" w:ascii="Times New Roman" w:hAnsi="Times New Roman" w:eastAsia="宋体" w:cs="Times New Roman"/>
                <w:color w:val="auto"/>
                <w:spacing w:val="0"/>
                <w:sz w:val="24"/>
                <w:szCs w:val="24"/>
                <w:lang w:val="zh-CN" w:eastAsia="zh-CN" w:bidi="en-US"/>
              </w:rPr>
              <w:t>个集气罩</w:t>
            </w:r>
            <w:r>
              <w:rPr>
                <w:rFonts w:hint="eastAsia" w:ascii="Times New Roman" w:hAnsi="Times New Roman" w:eastAsia="宋体" w:cs="Times New Roman"/>
                <w:color w:val="auto"/>
                <w:spacing w:val="0"/>
                <w:sz w:val="24"/>
                <w:szCs w:val="24"/>
                <w:lang w:val="zh-CN" w:eastAsia="zh-CN" w:bidi="en-US"/>
              </w:rPr>
              <w:t>（本项目设有</w:t>
            </w:r>
            <w:r>
              <w:rPr>
                <w:rFonts w:hint="eastAsia" w:cs="Times New Roman"/>
                <w:color w:val="auto"/>
                <w:spacing w:val="0"/>
                <w:sz w:val="24"/>
                <w:szCs w:val="24"/>
                <w:lang w:val="en-US" w:eastAsia="zh-CN" w:bidi="en-US"/>
              </w:rPr>
              <w:t>20</w:t>
            </w:r>
            <w:r>
              <w:rPr>
                <w:rFonts w:hint="eastAsia" w:ascii="Times New Roman" w:hAnsi="Times New Roman" w:eastAsia="宋体" w:cs="Times New Roman"/>
                <w:color w:val="auto"/>
                <w:spacing w:val="0"/>
                <w:sz w:val="24"/>
                <w:szCs w:val="24"/>
                <w:lang w:val="en-US" w:eastAsia="zh-CN" w:bidi="en-US"/>
              </w:rPr>
              <w:t>台注塑机，则设置</w:t>
            </w:r>
            <w:r>
              <w:rPr>
                <w:rFonts w:hint="eastAsia" w:cs="Times New Roman"/>
                <w:color w:val="auto"/>
                <w:spacing w:val="0"/>
                <w:sz w:val="24"/>
                <w:szCs w:val="24"/>
                <w:lang w:val="en-US" w:eastAsia="zh-CN" w:bidi="en-US"/>
              </w:rPr>
              <w:t>20</w:t>
            </w:r>
            <w:r>
              <w:rPr>
                <w:rFonts w:hint="eastAsia" w:ascii="Times New Roman" w:hAnsi="Times New Roman" w:eastAsia="宋体" w:cs="Times New Roman"/>
                <w:color w:val="auto"/>
                <w:spacing w:val="0"/>
                <w:sz w:val="24"/>
                <w:szCs w:val="24"/>
                <w:lang w:val="en-US" w:eastAsia="zh-CN" w:bidi="en-US"/>
              </w:rPr>
              <w:t>个集气罩</w:t>
            </w:r>
            <w:r>
              <w:rPr>
                <w:rFonts w:hint="eastAsia" w:ascii="Times New Roman" w:hAnsi="Times New Roman" w:eastAsia="宋体" w:cs="Times New Roman"/>
                <w:color w:val="auto"/>
                <w:spacing w:val="0"/>
                <w:sz w:val="24"/>
                <w:szCs w:val="24"/>
                <w:lang w:val="zh-CN" w:eastAsia="zh-CN" w:bidi="en-US"/>
              </w:rPr>
              <w:t>）</w:t>
            </w:r>
            <w:r>
              <w:rPr>
                <w:rFonts w:hint="default" w:ascii="Times New Roman" w:hAnsi="Times New Roman" w:eastAsia="宋体" w:cs="Times New Roman"/>
                <w:color w:val="auto"/>
                <w:spacing w:val="0"/>
                <w:sz w:val="24"/>
                <w:szCs w:val="24"/>
                <w:lang w:val="zh-CN" w:eastAsia="zh-CN" w:bidi="en-US"/>
              </w:rPr>
              <w:t>对有机废气进行收集，</w:t>
            </w:r>
            <w:r>
              <w:rPr>
                <w:rFonts w:hint="default" w:ascii="Times New Roman" w:hAnsi="Times New Roman" w:eastAsia="宋体" w:cs="Times New Roman"/>
                <w:color w:val="auto"/>
                <w:sz w:val="24"/>
                <w:lang w:val="zh-CN"/>
              </w:rPr>
              <w:t>集气罩投影面积应大于有机废气排放</w:t>
            </w:r>
            <w:r>
              <w:rPr>
                <w:rFonts w:hint="default" w:ascii="Times New Roman" w:hAnsi="Times New Roman" w:eastAsia="宋体" w:cs="Times New Roman"/>
                <w:color w:val="auto"/>
                <w:sz w:val="24"/>
                <w:szCs w:val="24"/>
                <w:lang w:val="zh-CN"/>
              </w:rPr>
              <w:t>口的排放面积，</w:t>
            </w:r>
            <w:r>
              <w:rPr>
                <w:rFonts w:hint="default" w:ascii="Times New Roman" w:hAnsi="Times New Roman" w:eastAsia="宋体" w:cs="Times New Roman"/>
                <w:color w:val="auto"/>
                <w:sz w:val="24"/>
                <w:szCs w:val="24"/>
              </w:rPr>
              <w:t>废气经</w:t>
            </w:r>
            <w:r>
              <w:rPr>
                <w:rFonts w:hint="default" w:ascii="Times New Roman" w:hAnsi="Times New Roman" w:eastAsia="宋体" w:cs="Times New Roman"/>
                <w:color w:val="auto"/>
                <w:sz w:val="24"/>
                <w:szCs w:val="24"/>
                <w:lang w:val="en-US" w:eastAsia="zh-CN"/>
              </w:rPr>
              <w:t>集气罩统一</w:t>
            </w:r>
            <w:r>
              <w:rPr>
                <w:rFonts w:hint="default" w:ascii="Times New Roman" w:hAnsi="Times New Roman" w:eastAsia="宋体" w:cs="Times New Roman"/>
                <w:color w:val="auto"/>
                <w:sz w:val="24"/>
                <w:szCs w:val="24"/>
              </w:rPr>
              <w:t>收集后进入</w:t>
            </w:r>
            <w:r>
              <w:rPr>
                <w:rFonts w:hint="default" w:ascii="Times New Roman" w:hAnsi="Times New Roman" w:eastAsia="宋体" w:cs="Times New Roman"/>
                <w:color w:val="auto"/>
                <w:sz w:val="24"/>
                <w:szCs w:val="24"/>
                <w:lang w:eastAsia="zh-CN"/>
              </w:rPr>
              <w:t>“</w:t>
            </w:r>
            <w:r>
              <w:rPr>
                <w:rFonts w:hint="eastAsia"/>
                <w:color w:val="auto"/>
                <w:kern w:val="0"/>
                <w:szCs w:val="21"/>
                <w:lang w:val="zh-CN" w:bidi="ar"/>
              </w:rPr>
              <w:t>三级活性炭吸附装置</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rPr>
              <w:t>处理</w:t>
            </w:r>
            <w:r>
              <w:rPr>
                <w:rFonts w:hint="default" w:ascii="Times New Roman" w:hAnsi="Times New Roman" w:eastAsia="宋体" w:cs="Times New Roman"/>
                <w:color w:val="auto"/>
                <w:sz w:val="24"/>
                <w:szCs w:val="24"/>
                <w:lang w:val="en-US" w:eastAsia="zh-CN"/>
              </w:rPr>
              <w:t>达标后由1根</w:t>
            </w:r>
            <w:r>
              <w:rPr>
                <w:rFonts w:hint="default" w:ascii="Times New Roman" w:hAnsi="Times New Roman" w:eastAsia="宋体" w:cs="Times New Roman"/>
                <w:color w:val="auto"/>
                <w:sz w:val="24"/>
                <w:lang w:val="en-US" w:eastAsia="zh-CN"/>
              </w:rPr>
              <w:t>15m高的排气筒排放（DA00</w:t>
            </w:r>
            <w:r>
              <w:rPr>
                <w:rFonts w:hint="eastAsia" w:ascii="Times New Roman" w:hAnsi="Times New Roman" w:eastAsia="宋体" w:cs="Times New Roman"/>
                <w:color w:val="auto"/>
                <w:sz w:val="24"/>
                <w:lang w:val="en-US" w:eastAsia="zh-CN"/>
              </w:rPr>
              <w:t>1</w:t>
            </w:r>
            <w:r>
              <w:rPr>
                <w:rFonts w:hint="default" w:ascii="Times New Roman" w:hAnsi="Times New Roman" w:eastAsia="宋体" w:cs="Times New Roman"/>
                <w:color w:val="auto"/>
                <w:sz w:val="24"/>
                <w:lang w:val="en-US" w:eastAsia="zh-CN"/>
              </w:rPr>
              <w:t>）</w:t>
            </w:r>
            <w:r>
              <w:rPr>
                <w:rFonts w:hint="eastAsia"/>
                <w:color w:val="auto"/>
                <w:sz w:val="24"/>
              </w:rPr>
              <w:t>。</w:t>
            </w:r>
          </w:p>
          <w:p w14:paraId="1F4414AC">
            <w:pPr>
              <w:adjustRightInd w:val="0"/>
              <w:snapToGrid w:val="0"/>
              <w:spacing w:line="360" w:lineRule="auto"/>
              <w:ind w:firstLine="480" w:firstLineChars="200"/>
              <w:rPr>
                <w:color w:val="auto"/>
                <w:sz w:val="24"/>
              </w:rPr>
            </w:pPr>
            <w:r>
              <w:rPr>
                <w:color w:val="auto"/>
                <w:sz w:val="24"/>
              </w:rPr>
              <w:t xml:space="preserve">根据《挥发性有机物无组织排放控制标准》（GB37822-2019）中10.2废气收集系统要求—10.2.2 </w:t>
            </w:r>
            <w:r>
              <w:rPr>
                <w:color w:val="auto"/>
                <w:sz w:val="24"/>
                <w:lang w:bidi="ar"/>
              </w:rPr>
              <w:t>废气收集系统排风罩（集气罩）的设置应符合GB/T</w:t>
            </w:r>
            <w:r>
              <w:rPr>
                <w:rFonts w:hint="eastAsia"/>
                <w:color w:val="auto"/>
                <w:sz w:val="24"/>
                <w:lang w:bidi="ar"/>
              </w:rPr>
              <w:t xml:space="preserve"> </w:t>
            </w:r>
            <w:r>
              <w:rPr>
                <w:color w:val="auto"/>
                <w:sz w:val="24"/>
                <w:lang w:bidi="ar"/>
              </w:rPr>
              <w:t>16758的规定。采用外部排风罩的，应按GB/T 16758、AQ/T 4274—2016规定的方法测量控制风速，测量点应选取在距排风罩开口面最远处的VOCs无组织排放位置，控制风速不应低于0.3m/s。因此，</w:t>
            </w:r>
            <w:r>
              <w:rPr>
                <w:color w:val="auto"/>
                <w:sz w:val="24"/>
              </w:rPr>
              <w:t>本项目集气罩类型根据《排风罩的分类及技术条件》（GB/T 16758-2008）中进行确定，</w:t>
            </w:r>
            <w:r>
              <w:rPr>
                <w:rFonts w:hint="eastAsia"/>
                <w:color w:val="auto"/>
                <w:sz w:val="24"/>
              </w:rPr>
              <w:t>根据</w:t>
            </w:r>
            <w:r>
              <w:rPr>
                <w:color w:val="auto"/>
                <w:sz w:val="24"/>
              </w:rPr>
              <w:t>本项目生产工艺</w:t>
            </w:r>
            <w:r>
              <w:rPr>
                <w:rFonts w:hint="eastAsia"/>
                <w:color w:val="auto"/>
                <w:sz w:val="24"/>
              </w:rPr>
              <w:t>情况</w:t>
            </w:r>
            <w:r>
              <w:rPr>
                <w:color w:val="auto"/>
                <w:sz w:val="24"/>
              </w:rPr>
              <w:t>，本项目设置为</w:t>
            </w:r>
            <w:r>
              <w:rPr>
                <w:rFonts w:hint="eastAsia"/>
                <w:color w:val="auto"/>
                <w:sz w:val="24"/>
                <w:lang w:eastAsia="zh-CN"/>
              </w:rPr>
              <w:t>上</w:t>
            </w:r>
            <w:r>
              <w:rPr>
                <w:color w:val="auto"/>
                <w:sz w:val="24"/>
              </w:rPr>
              <w:t>吸式集气罩；集气罩收集控制风速限值根据《局部排风设施控制风速检测与评估技术规范》（AQ/T 4274-2016）表1中局部排风设施控制风速限值标准进行确定，本项目设置的外部排风罩为</w:t>
            </w:r>
            <w:r>
              <w:rPr>
                <w:rFonts w:hint="eastAsia"/>
                <w:color w:val="auto"/>
                <w:sz w:val="24"/>
                <w:lang w:eastAsia="zh-CN"/>
              </w:rPr>
              <w:t>上</w:t>
            </w:r>
            <w:r>
              <w:rPr>
                <w:color w:val="auto"/>
                <w:sz w:val="24"/>
              </w:rPr>
              <w:t>吸式集气罩，收集废气为有机废气（非甲烷总烃）及臭气浓度，为有毒气体，因此对应的气体控制风速应为1.0m/s，</w:t>
            </w:r>
            <w:r>
              <w:rPr>
                <w:color w:val="auto"/>
                <w:sz w:val="24"/>
                <w:lang w:bidi="ar"/>
              </w:rPr>
              <w:t>排风罩开口面最远处的VOCs无组织排放位置控制风速不应低于0.3m/s。满足上述条件</w:t>
            </w:r>
            <w:r>
              <w:rPr>
                <w:color w:val="auto"/>
                <w:sz w:val="24"/>
              </w:rPr>
              <w:t>废气收集效率可达80%，</w:t>
            </w:r>
            <w:r>
              <w:rPr>
                <w:color w:val="auto"/>
                <w:kern w:val="0"/>
                <w:sz w:val="24"/>
              </w:rPr>
              <w:t>剩余20%未收集的废气为无组织排放</w:t>
            </w:r>
            <w:r>
              <w:rPr>
                <w:color w:val="auto"/>
                <w:sz w:val="24"/>
              </w:rPr>
              <w:t>。</w:t>
            </w:r>
          </w:p>
          <w:p w14:paraId="633DAE65">
            <w:pPr>
              <w:adjustRightInd w:val="0"/>
              <w:snapToGrid w:val="0"/>
              <w:spacing w:line="360" w:lineRule="auto"/>
              <w:ind w:firstLine="480" w:firstLineChars="200"/>
              <w:rPr>
                <w:b/>
                <w:bCs/>
                <w:color w:val="auto"/>
                <w:szCs w:val="21"/>
              </w:rPr>
            </w:pPr>
            <w:r>
              <w:rPr>
                <w:color w:val="auto"/>
                <w:sz w:val="24"/>
                <w:lang w:val="zh-CN"/>
              </w:rPr>
              <w:t>集气罩投影面积应大于</w:t>
            </w:r>
            <w:r>
              <w:rPr>
                <w:color w:val="auto"/>
                <w:sz w:val="24"/>
              </w:rPr>
              <w:t>设备</w:t>
            </w:r>
            <w:r>
              <w:rPr>
                <w:color w:val="auto"/>
                <w:sz w:val="24"/>
                <w:lang w:val="zh-CN"/>
              </w:rPr>
              <w:t>有机废气</w:t>
            </w:r>
            <w:r>
              <w:rPr>
                <w:color w:val="auto"/>
                <w:sz w:val="24"/>
              </w:rPr>
              <w:t>扩散区</w:t>
            </w:r>
            <w:r>
              <w:rPr>
                <w:color w:val="auto"/>
                <w:sz w:val="24"/>
                <w:lang w:val="zh-CN"/>
              </w:rPr>
              <w:t>面积，</w:t>
            </w:r>
            <w:r>
              <w:rPr>
                <w:color w:val="auto"/>
                <w:sz w:val="24"/>
              </w:rPr>
              <w:t>根据本项目生产设备实际情况，</w:t>
            </w:r>
            <w:r>
              <w:rPr>
                <w:rFonts w:hint="eastAsia"/>
                <w:color w:val="auto"/>
                <w:sz w:val="24"/>
                <w:lang w:val="en-US" w:eastAsia="zh-CN"/>
              </w:rPr>
              <w:t>本项目产品最大尺寸面积为0.2204m</w:t>
            </w:r>
            <w:r>
              <w:rPr>
                <w:rFonts w:hint="eastAsia"/>
                <w:color w:val="auto"/>
                <w:sz w:val="24"/>
                <w:vertAlign w:val="superscript"/>
                <w:lang w:val="en-US" w:eastAsia="zh-CN"/>
              </w:rPr>
              <w:t>2</w:t>
            </w:r>
            <w:r>
              <w:rPr>
                <w:rFonts w:hint="eastAsia"/>
                <w:color w:val="auto"/>
                <w:sz w:val="24"/>
                <w:lang w:val="en-US" w:eastAsia="zh-CN"/>
              </w:rPr>
              <w:t>（0.58cm×0.38cm），本项目按最不利因素考虑，</w:t>
            </w:r>
            <w:r>
              <w:rPr>
                <w:color w:val="auto"/>
                <w:sz w:val="24"/>
              </w:rPr>
              <w:t>集气罩</w:t>
            </w:r>
            <w:r>
              <w:rPr>
                <w:color w:val="auto"/>
                <w:sz w:val="24"/>
                <w:lang w:val="zh-CN"/>
              </w:rPr>
              <w:t>投影面积</w:t>
            </w:r>
            <w:r>
              <w:rPr>
                <w:color w:val="auto"/>
                <w:sz w:val="24"/>
              </w:rPr>
              <w:t>按照设备废气扩散面积的1.2进行计算，则项目区内设置的</w:t>
            </w:r>
            <w:r>
              <w:rPr>
                <w:rFonts w:hint="eastAsia"/>
                <w:color w:val="auto"/>
                <w:sz w:val="24"/>
              </w:rPr>
              <w:t>挤出成型、覆膜</w:t>
            </w:r>
            <w:r>
              <w:rPr>
                <w:color w:val="auto"/>
                <w:sz w:val="24"/>
              </w:rPr>
              <w:t>对应风量如下表所示。</w:t>
            </w:r>
          </w:p>
          <w:p w14:paraId="16B18293">
            <w:pPr>
              <w:adjustRightInd w:val="0"/>
              <w:snapToGrid w:val="0"/>
              <w:jc w:val="center"/>
              <w:rPr>
                <w:b/>
                <w:bCs/>
                <w:color w:val="auto"/>
                <w:szCs w:val="21"/>
              </w:rPr>
            </w:pPr>
            <w:r>
              <w:rPr>
                <w:b/>
                <w:bCs/>
                <w:color w:val="auto"/>
                <w:szCs w:val="21"/>
              </w:rPr>
              <w:t>表4-</w:t>
            </w:r>
            <w:r>
              <w:rPr>
                <w:rFonts w:hint="eastAsia"/>
                <w:b/>
                <w:bCs/>
                <w:color w:val="auto"/>
                <w:szCs w:val="21"/>
                <w:lang w:val="en-US" w:eastAsia="zh-CN"/>
              </w:rPr>
              <w:t>3</w:t>
            </w:r>
            <w:r>
              <w:rPr>
                <w:b/>
                <w:bCs/>
                <w:color w:val="auto"/>
                <w:szCs w:val="21"/>
              </w:rPr>
              <w:t xml:space="preserve">  本项目集气罩风机风量设置情况</w:t>
            </w:r>
          </w:p>
          <w:tbl>
            <w:tblPr>
              <w:tblStyle w:val="30"/>
              <w:tblW w:w="84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1"/>
              <w:gridCol w:w="1538"/>
              <w:gridCol w:w="1487"/>
              <w:gridCol w:w="1277"/>
              <w:gridCol w:w="1091"/>
              <w:gridCol w:w="558"/>
              <w:gridCol w:w="1152"/>
            </w:tblGrid>
            <w:tr w14:paraId="2DB8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1" w:type="dxa"/>
                  <w:vAlign w:val="center"/>
                </w:tcPr>
                <w:p w14:paraId="27D3A8BC">
                  <w:pPr>
                    <w:adjustRightInd w:val="0"/>
                    <w:snapToGrid w:val="0"/>
                    <w:jc w:val="center"/>
                    <w:rPr>
                      <w:b/>
                      <w:bCs/>
                      <w:color w:val="auto"/>
                      <w:szCs w:val="21"/>
                    </w:rPr>
                  </w:pPr>
                  <w:r>
                    <w:rPr>
                      <w:b/>
                      <w:bCs/>
                      <w:color w:val="auto"/>
                      <w:szCs w:val="21"/>
                    </w:rPr>
                    <w:t>设备名称</w:t>
                  </w:r>
                </w:p>
              </w:tc>
              <w:tc>
                <w:tcPr>
                  <w:tcW w:w="1538" w:type="dxa"/>
                  <w:vAlign w:val="center"/>
                </w:tcPr>
                <w:p w14:paraId="34A9EE39">
                  <w:pPr>
                    <w:adjustRightInd w:val="0"/>
                    <w:snapToGrid w:val="0"/>
                    <w:jc w:val="center"/>
                    <w:rPr>
                      <w:b/>
                      <w:bCs/>
                      <w:color w:val="auto"/>
                      <w:szCs w:val="21"/>
                    </w:rPr>
                  </w:pPr>
                  <w:r>
                    <w:rPr>
                      <w:b/>
                      <w:bCs/>
                      <w:color w:val="auto"/>
                      <w:szCs w:val="21"/>
                    </w:rPr>
                    <w:t>单台设备废气扩散区面积</w:t>
                  </w:r>
                </w:p>
              </w:tc>
              <w:tc>
                <w:tcPr>
                  <w:tcW w:w="1487" w:type="dxa"/>
                  <w:vAlign w:val="center"/>
                </w:tcPr>
                <w:p w14:paraId="3327EE01">
                  <w:pPr>
                    <w:adjustRightInd w:val="0"/>
                    <w:snapToGrid w:val="0"/>
                    <w:jc w:val="center"/>
                    <w:rPr>
                      <w:b/>
                      <w:bCs/>
                      <w:color w:val="auto"/>
                      <w:szCs w:val="21"/>
                    </w:rPr>
                  </w:pPr>
                  <w:r>
                    <w:rPr>
                      <w:b/>
                      <w:bCs/>
                      <w:color w:val="auto"/>
                      <w:szCs w:val="21"/>
                    </w:rPr>
                    <w:t>单台设备集气罩投影面积</w:t>
                  </w:r>
                </w:p>
              </w:tc>
              <w:tc>
                <w:tcPr>
                  <w:tcW w:w="1277" w:type="dxa"/>
                  <w:vAlign w:val="center"/>
                </w:tcPr>
                <w:p w14:paraId="09640E9F">
                  <w:pPr>
                    <w:adjustRightInd w:val="0"/>
                    <w:snapToGrid w:val="0"/>
                    <w:jc w:val="center"/>
                    <w:rPr>
                      <w:b/>
                      <w:bCs/>
                      <w:color w:val="auto"/>
                      <w:szCs w:val="21"/>
                    </w:rPr>
                  </w:pPr>
                  <w:r>
                    <w:rPr>
                      <w:b/>
                      <w:bCs/>
                      <w:color w:val="auto"/>
                      <w:szCs w:val="21"/>
                    </w:rPr>
                    <w:t>对应的气体控制风速</w:t>
                  </w:r>
                </w:p>
              </w:tc>
              <w:tc>
                <w:tcPr>
                  <w:tcW w:w="1091" w:type="dxa"/>
                  <w:vAlign w:val="center"/>
                </w:tcPr>
                <w:p w14:paraId="73F80AAA">
                  <w:pPr>
                    <w:adjustRightInd w:val="0"/>
                    <w:snapToGrid w:val="0"/>
                    <w:jc w:val="center"/>
                    <w:rPr>
                      <w:b/>
                      <w:bCs/>
                      <w:color w:val="auto"/>
                      <w:szCs w:val="21"/>
                    </w:rPr>
                  </w:pPr>
                  <w:r>
                    <w:rPr>
                      <w:b/>
                      <w:bCs/>
                      <w:color w:val="auto"/>
                      <w:szCs w:val="21"/>
                    </w:rPr>
                    <w:t>单个集气罩风量</w:t>
                  </w:r>
                </w:p>
              </w:tc>
              <w:tc>
                <w:tcPr>
                  <w:tcW w:w="558" w:type="dxa"/>
                  <w:vAlign w:val="center"/>
                </w:tcPr>
                <w:p w14:paraId="65507A2E">
                  <w:pPr>
                    <w:adjustRightInd w:val="0"/>
                    <w:snapToGrid w:val="0"/>
                    <w:jc w:val="center"/>
                    <w:rPr>
                      <w:b/>
                      <w:bCs/>
                      <w:color w:val="auto"/>
                      <w:szCs w:val="21"/>
                    </w:rPr>
                  </w:pPr>
                  <w:r>
                    <w:rPr>
                      <w:b/>
                      <w:bCs/>
                      <w:color w:val="auto"/>
                      <w:szCs w:val="21"/>
                    </w:rPr>
                    <w:t>数量</w:t>
                  </w:r>
                </w:p>
              </w:tc>
              <w:tc>
                <w:tcPr>
                  <w:tcW w:w="1152" w:type="dxa"/>
                  <w:vAlign w:val="center"/>
                </w:tcPr>
                <w:p w14:paraId="29D0A115">
                  <w:pPr>
                    <w:adjustRightInd w:val="0"/>
                    <w:snapToGrid w:val="0"/>
                    <w:jc w:val="center"/>
                    <w:rPr>
                      <w:b/>
                      <w:bCs/>
                      <w:color w:val="auto"/>
                      <w:szCs w:val="21"/>
                    </w:rPr>
                  </w:pPr>
                  <w:r>
                    <w:rPr>
                      <w:b/>
                      <w:bCs/>
                      <w:color w:val="auto"/>
                      <w:szCs w:val="21"/>
                    </w:rPr>
                    <w:t>风量小计</w:t>
                  </w:r>
                </w:p>
              </w:tc>
            </w:tr>
            <w:tr w14:paraId="1035B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1" w:type="dxa"/>
                  <w:vAlign w:val="center"/>
                </w:tcPr>
                <w:p w14:paraId="4EF3934E">
                  <w:pPr>
                    <w:adjustRightInd w:val="0"/>
                    <w:snapToGrid w:val="0"/>
                    <w:jc w:val="center"/>
                    <w:rPr>
                      <w:color w:val="auto"/>
                      <w:szCs w:val="21"/>
                      <w:highlight w:val="yellow"/>
                    </w:rPr>
                  </w:pPr>
                  <w:r>
                    <w:rPr>
                      <w:rFonts w:hint="eastAsia"/>
                      <w:color w:val="auto"/>
                      <w:szCs w:val="21"/>
                      <w:lang w:eastAsia="zh-CN"/>
                    </w:rPr>
                    <w:t>注</w:t>
                  </w:r>
                  <w:r>
                    <w:rPr>
                      <w:rFonts w:hint="eastAsia"/>
                      <w:color w:val="auto"/>
                      <w:szCs w:val="21"/>
                    </w:rPr>
                    <w:t>塑机</w:t>
                  </w:r>
                </w:p>
              </w:tc>
              <w:tc>
                <w:tcPr>
                  <w:tcW w:w="1538" w:type="dxa"/>
                  <w:vAlign w:val="center"/>
                </w:tcPr>
                <w:p w14:paraId="519F50B1">
                  <w:pPr>
                    <w:adjustRightInd w:val="0"/>
                    <w:snapToGrid w:val="0"/>
                    <w:jc w:val="center"/>
                    <w:rPr>
                      <w:color w:val="auto"/>
                      <w:szCs w:val="21"/>
                    </w:rPr>
                  </w:pPr>
                  <w:r>
                    <w:rPr>
                      <w:color w:val="auto"/>
                      <w:szCs w:val="21"/>
                    </w:rPr>
                    <w:t>0.</w:t>
                  </w:r>
                  <w:r>
                    <w:rPr>
                      <w:rFonts w:hint="eastAsia"/>
                      <w:color w:val="auto"/>
                      <w:szCs w:val="21"/>
                      <w:lang w:val="en-US" w:eastAsia="zh-CN"/>
                    </w:rPr>
                    <w:t>2204</w:t>
                  </w:r>
                  <w:r>
                    <w:rPr>
                      <w:color w:val="auto"/>
                      <w:szCs w:val="21"/>
                    </w:rPr>
                    <w:t>m</w:t>
                  </w:r>
                  <w:r>
                    <w:rPr>
                      <w:color w:val="auto"/>
                      <w:szCs w:val="21"/>
                      <w:vertAlign w:val="superscript"/>
                    </w:rPr>
                    <w:t>2</w:t>
                  </w:r>
                </w:p>
              </w:tc>
              <w:tc>
                <w:tcPr>
                  <w:tcW w:w="1487" w:type="dxa"/>
                  <w:vAlign w:val="center"/>
                </w:tcPr>
                <w:p w14:paraId="4FE659E1">
                  <w:pPr>
                    <w:adjustRightInd w:val="0"/>
                    <w:snapToGrid w:val="0"/>
                    <w:jc w:val="center"/>
                    <w:rPr>
                      <w:color w:val="auto"/>
                      <w:szCs w:val="21"/>
                    </w:rPr>
                  </w:pPr>
                  <w:r>
                    <w:rPr>
                      <w:color w:val="auto"/>
                      <w:szCs w:val="21"/>
                    </w:rPr>
                    <w:t>0.</w:t>
                  </w:r>
                  <w:r>
                    <w:rPr>
                      <w:rFonts w:hint="eastAsia"/>
                      <w:color w:val="auto"/>
                      <w:szCs w:val="21"/>
                      <w:lang w:val="en-US" w:eastAsia="zh-CN"/>
                    </w:rPr>
                    <w:t>2645</w:t>
                  </w:r>
                  <w:r>
                    <w:rPr>
                      <w:color w:val="auto"/>
                      <w:szCs w:val="21"/>
                    </w:rPr>
                    <w:t>m</w:t>
                  </w:r>
                  <w:r>
                    <w:rPr>
                      <w:color w:val="auto"/>
                      <w:szCs w:val="21"/>
                      <w:vertAlign w:val="superscript"/>
                    </w:rPr>
                    <w:t>2</w:t>
                  </w:r>
                </w:p>
              </w:tc>
              <w:tc>
                <w:tcPr>
                  <w:tcW w:w="1277" w:type="dxa"/>
                  <w:vAlign w:val="center"/>
                </w:tcPr>
                <w:p w14:paraId="760A0C17">
                  <w:pPr>
                    <w:adjustRightInd w:val="0"/>
                    <w:snapToGrid w:val="0"/>
                    <w:jc w:val="center"/>
                    <w:rPr>
                      <w:color w:val="auto"/>
                      <w:szCs w:val="21"/>
                    </w:rPr>
                  </w:pPr>
                  <w:r>
                    <w:rPr>
                      <w:color w:val="auto"/>
                      <w:szCs w:val="21"/>
                    </w:rPr>
                    <w:t>1.0m/s</w:t>
                  </w:r>
                </w:p>
              </w:tc>
              <w:tc>
                <w:tcPr>
                  <w:tcW w:w="1091" w:type="dxa"/>
                  <w:vAlign w:val="center"/>
                </w:tcPr>
                <w:p w14:paraId="71276F67">
                  <w:pPr>
                    <w:adjustRightInd w:val="0"/>
                    <w:snapToGrid w:val="0"/>
                    <w:jc w:val="center"/>
                    <w:rPr>
                      <w:color w:val="auto"/>
                      <w:szCs w:val="21"/>
                    </w:rPr>
                  </w:pPr>
                  <w:r>
                    <w:rPr>
                      <w:rFonts w:hint="eastAsia"/>
                      <w:color w:val="auto"/>
                      <w:szCs w:val="21"/>
                      <w:lang w:val="en-US" w:eastAsia="zh-CN"/>
                    </w:rPr>
                    <w:t>952.2</w:t>
                  </w:r>
                  <w:r>
                    <w:rPr>
                      <w:color w:val="auto"/>
                      <w:szCs w:val="21"/>
                    </w:rPr>
                    <w:t>m</w:t>
                  </w:r>
                  <w:r>
                    <w:rPr>
                      <w:color w:val="auto"/>
                      <w:szCs w:val="21"/>
                      <w:vertAlign w:val="superscript"/>
                    </w:rPr>
                    <w:t>3</w:t>
                  </w:r>
                  <w:r>
                    <w:rPr>
                      <w:color w:val="auto"/>
                      <w:szCs w:val="21"/>
                    </w:rPr>
                    <w:t>/h</w:t>
                  </w:r>
                </w:p>
              </w:tc>
              <w:tc>
                <w:tcPr>
                  <w:tcW w:w="558" w:type="dxa"/>
                  <w:vAlign w:val="center"/>
                </w:tcPr>
                <w:p w14:paraId="245F0013">
                  <w:pPr>
                    <w:adjustRightInd w:val="0"/>
                    <w:snapToGrid w:val="0"/>
                    <w:jc w:val="center"/>
                    <w:rPr>
                      <w:rFonts w:hint="default" w:eastAsia="宋体"/>
                      <w:color w:val="auto"/>
                      <w:szCs w:val="21"/>
                      <w:lang w:val="en-US" w:eastAsia="zh-CN"/>
                    </w:rPr>
                  </w:pPr>
                  <w:r>
                    <w:rPr>
                      <w:rFonts w:hint="eastAsia"/>
                      <w:color w:val="auto"/>
                      <w:szCs w:val="21"/>
                      <w:lang w:val="en-US" w:eastAsia="zh-CN"/>
                    </w:rPr>
                    <w:t>20</w:t>
                  </w:r>
                </w:p>
              </w:tc>
              <w:tc>
                <w:tcPr>
                  <w:tcW w:w="1152" w:type="dxa"/>
                  <w:vAlign w:val="center"/>
                </w:tcPr>
                <w:p w14:paraId="5AB51CA8">
                  <w:pPr>
                    <w:adjustRightInd w:val="0"/>
                    <w:snapToGrid w:val="0"/>
                    <w:jc w:val="center"/>
                    <w:rPr>
                      <w:color w:val="auto"/>
                      <w:szCs w:val="21"/>
                    </w:rPr>
                  </w:pPr>
                  <w:r>
                    <w:rPr>
                      <w:rFonts w:hint="eastAsia"/>
                      <w:color w:val="auto"/>
                      <w:szCs w:val="21"/>
                      <w:lang w:val="en-US" w:eastAsia="zh-CN"/>
                    </w:rPr>
                    <w:t>19044</w:t>
                  </w:r>
                  <w:r>
                    <w:rPr>
                      <w:color w:val="auto"/>
                      <w:szCs w:val="21"/>
                    </w:rPr>
                    <w:t>m</w:t>
                  </w:r>
                  <w:r>
                    <w:rPr>
                      <w:color w:val="auto"/>
                      <w:szCs w:val="21"/>
                      <w:vertAlign w:val="superscript"/>
                    </w:rPr>
                    <w:t>3</w:t>
                  </w:r>
                  <w:r>
                    <w:rPr>
                      <w:color w:val="auto"/>
                      <w:szCs w:val="21"/>
                    </w:rPr>
                    <w:t>/h</w:t>
                  </w:r>
                </w:p>
              </w:tc>
            </w:tr>
            <w:tr w14:paraId="1044F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4" w:type="dxa"/>
                  <w:gridSpan w:val="5"/>
                  <w:vAlign w:val="center"/>
                </w:tcPr>
                <w:p w14:paraId="104749F3">
                  <w:pPr>
                    <w:adjustRightInd w:val="0"/>
                    <w:snapToGrid w:val="0"/>
                    <w:jc w:val="center"/>
                    <w:rPr>
                      <w:color w:val="auto"/>
                      <w:szCs w:val="21"/>
                    </w:rPr>
                  </w:pPr>
                  <w:r>
                    <w:rPr>
                      <w:rFonts w:hint="eastAsia"/>
                      <w:color w:val="auto"/>
                      <w:szCs w:val="21"/>
                    </w:rPr>
                    <w:t>合计</w:t>
                  </w:r>
                </w:p>
              </w:tc>
              <w:tc>
                <w:tcPr>
                  <w:tcW w:w="558" w:type="dxa"/>
                  <w:vAlign w:val="center"/>
                </w:tcPr>
                <w:p w14:paraId="7CE7BBEE">
                  <w:pPr>
                    <w:adjustRightInd w:val="0"/>
                    <w:snapToGrid w:val="0"/>
                    <w:jc w:val="center"/>
                    <w:rPr>
                      <w:rFonts w:hint="default" w:eastAsia="宋体"/>
                      <w:color w:val="auto"/>
                      <w:szCs w:val="21"/>
                      <w:lang w:val="en-US" w:eastAsia="zh-CN"/>
                    </w:rPr>
                  </w:pPr>
                  <w:r>
                    <w:rPr>
                      <w:rFonts w:hint="eastAsia"/>
                      <w:color w:val="auto"/>
                      <w:szCs w:val="21"/>
                      <w:lang w:val="en-US" w:eastAsia="zh-CN"/>
                    </w:rPr>
                    <w:t>20</w:t>
                  </w:r>
                </w:p>
              </w:tc>
              <w:tc>
                <w:tcPr>
                  <w:tcW w:w="1152" w:type="dxa"/>
                  <w:vAlign w:val="center"/>
                </w:tcPr>
                <w:p w14:paraId="492A9DBE">
                  <w:pPr>
                    <w:adjustRightInd w:val="0"/>
                    <w:snapToGrid w:val="0"/>
                    <w:jc w:val="center"/>
                    <w:rPr>
                      <w:color w:val="auto"/>
                      <w:szCs w:val="21"/>
                    </w:rPr>
                  </w:pPr>
                  <w:r>
                    <w:rPr>
                      <w:rFonts w:hint="eastAsia"/>
                      <w:color w:val="auto"/>
                      <w:szCs w:val="21"/>
                      <w:lang w:val="en-US" w:eastAsia="zh-CN"/>
                    </w:rPr>
                    <w:t>19044</w:t>
                  </w:r>
                  <w:r>
                    <w:rPr>
                      <w:color w:val="auto"/>
                      <w:szCs w:val="21"/>
                    </w:rPr>
                    <w:t>m</w:t>
                  </w:r>
                  <w:r>
                    <w:rPr>
                      <w:color w:val="auto"/>
                      <w:szCs w:val="21"/>
                      <w:vertAlign w:val="superscript"/>
                    </w:rPr>
                    <w:t>3</w:t>
                  </w:r>
                  <w:r>
                    <w:rPr>
                      <w:color w:val="auto"/>
                      <w:szCs w:val="21"/>
                    </w:rPr>
                    <w:t>/h</w:t>
                  </w:r>
                </w:p>
              </w:tc>
            </w:tr>
            <w:tr w14:paraId="1E996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4" w:type="dxa"/>
                  <w:gridSpan w:val="7"/>
                  <w:vAlign w:val="center"/>
                </w:tcPr>
                <w:p w14:paraId="1CB3CCB9">
                  <w:pPr>
                    <w:widowControl/>
                    <w:adjustRightInd w:val="0"/>
                    <w:snapToGrid w:val="0"/>
                    <w:jc w:val="left"/>
                    <w:rPr>
                      <w:color w:val="auto"/>
                      <w:szCs w:val="21"/>
                      <w:highlight w:val="yellow"/>
                    </w:rPr>
                  </w:pPr>
                  <w:r>
                    <w:rPr>
                      <w:rFonts w:hint="eastAsia" w:ascii="宋体" w:hAnsi="宋体" w:cs="宋体"/>
                      <w:color w:val="auto"/>
                      <w:kern w:val="0"/>
                      <w:szCs w:val="21"/>
                      <w:lang w:bidi="ar"/>
                    </w:rPr>
                    <w:t>单个集气罩集气风量计算公式：</w:t>
                  </w:r>
                  <w:r>
                    <w:rPr>
                      <w:color w:val="auto"/>
                      <w:kern w:val="0"/>
                      <w:szCs w:val="21"/>
                      <w:lang w:bidi="ar"/>
                    </w:rPr>
                    <w:t>Q=</w:t>
                  </w:r>
                  <w:r>
                    <w:rPr>
                      <w:rFonts w:hint="eastAsia" w:ascii="宋体" w:hAnsi="宋体" w:cs="宋体"/>
                      <w:color w:val="auto"/>
                      <w:kern w:val="0"/>
                      <w:szCs w:val="21"/>
                      <w:lang w:bidi="ar"/>
                    </w:rPr>
                    <w:t>（</w:t>
                  </w:r>
                  <w:r>
                    <w:rPr>
                      <w:color w:val="auto"/>
                      <w:kern w:val="0"/>
                      <w:szCs w:val="21"/>
                      <w:lang w:bidi="ar"/>
                    </w:rPr>
                    <w:t>a×b</w:t>
                  </w:r>
                  <w:r>
                    <w:rPr>
                      <w:rFonts w:hint="eastAsia" w:ascii="宋体" w:hAnsi="宋体" w:cs="宋体"/>
                      <w:color w:val="auto"/>
                      <w:kern w:val="0"/>
                      <w:szCs w:val="21"/>
                      <w:lang w:bidi="ar"/>
                    </w:rPr>
                    <w:t>）</w:t>
                  </w:r>
                  <w:r>
                    <w:rPr>
                      <w:color w:val="auto"/>
                      <w:kern w:val="0"/>
                      <w:szCs w:val="21"/>
                      <w:lang w:bidi="ar"/>
                    </w:rPr>
                    <w:t>×V</w:t>
                  </w:r>
                  <w:r>
                    <w:rPr>
                      <w:color w:val="auto"/>
                      <w:kern w:val="0"/>
                      <w:szCs w:val="21"/>
                      <w:vertAlign w:val="subscript"/>
                      <w:lang w:bidi="ar"/>
                    </w:rPr>
                    <w:t>0</w:t>
                  </w:r>
                  <w:r>
                    <w:rPr>
                      <w:color w:val="auto"/>
                      <w:kern w:val="0"/>
                      <w:szCs w:val="21"/>
                      <w:lang w:bidi="ar"/>
                    </w:rPr>
                    <w:t>×3600</w:t>
                  </w:r>
                  <w:r>
                    <w:rPr>
                      <w:rFonts w:hint="eastAsia" w:ascii="宋体" w:hAnsi="宋体" w:cs="宋体"/>
                      <w:color w:val="auto"/>
                      <w:kern w:val="0"/>
                      <w:szCs w:val="21"/>
                      <w:lang w:bidi="ar"/>
                    </w:rPr>
                    <w:t>。式中：</w:t>
                  </w:r>
                  <w:r>
                    <w:rPr>
                      <w:color w:val="auto"/>
                      <w:kern w:val="0"/>
                      <w:szCs w:val="21"/>
                      <w:lang w:bidi="ar"/>
                    </w:rPr>
                    <w:t>Q</w:t>
                  </w:r>
                  <w:r>
                    <w:rPr>
                      <w:rFonts w:hint="eastAsia" w:ascii="宋体" w:hAnsi="宋体" w:cs="宋体"/>
                      <w:color w:val="auto"/>
                      <w:kern w:val="0"/>
                      <w:szCs w:val="21"/>
                      <w:lang w:bidi="ar"/>
                    </w:rPr>
                    <w:t>：为集气罩集气风量，单位为</w:t>
                  </w:r>
                  <w:r>
                    <w:rPr>
                      <w:color w:val="auto"/>
                      <w:kern w:val="0"/>
                      <w:szCs w:val="21"/>
                      <w:lang w:bidi="ar"/>
                    </w:rPr>
                    <w:t>m</w:t>
                  </w:r>
                  <w:r>
                    <w:rPr>
                      <w:color w:val="auto"/>
                      <w:kern w:val="0"/>
                      <w:szCs w:val="21"/>
                      <w:vertAlign w:val="superscript"/>
                      <w:lang w:bidi="ar"/>
                    </w:rPr>
                    <w:t>3</w:t>
                  </w:r>
                  <w:r>
                    <w:rPr>
                      <w:color w:val="auto"/>
                      <w:kern w:val="0"/>
                      <w:szCs w:val="21"/>
                      <w:lang w:bidi="ar"/>
                    </w:rPr>
                    <w:t>/h</w:t>
                  </w:r>
                  <w:r>
                    <w:rPr>
                      <w:rFonts w:hint="eastAsia" w:ascii="宋体" w:hAnsi="宋体" w:cs="宋体"/>
                      <w:color w:val="auto"/>
                      <w:kern w:val="0"/>
                      <w:szCs w:val="21"/>
                      <w:lang w:bidi="ar"/>
                    </w:rPr>
                    <w:t>；（</w:t>
                  </w:r>
                  <w:r>
                    <w:rPr>
                      <w:color w:val="auto"/>
                      <w:kern w:val="0"/>
                      <w:szCs w:val="21"/>
                      <w:lang w:bidi="ar"/>
                    </w:rPr>
                    <w:t>a×b</w:t>
                  </w:r>
                  <w:r>
                    <w:rPr>
                      <w:rFonts w:hint="eastAsia" w:ascii="宋体" w:hAnsi="宋体" w:cs="宋体"/>
                      <w:color w:val="auto"/>
                      <w:kern w:val="0"/>
                      <w:szCs w:val="21"/>
                      <w:lang w:bidi="ar"/>
                    </w:rPr>
                    <w:t>）为集气罩集气面积，单位为</w:t>
                  </w:r>
                  <w:r>
                    <w:rPr>
                      <w:color w:val="auto"/>
                      <w:kern w:val="0"/>
                      <w:szCs w:val="21"/>
                      <w:lang w:bidi="ar"/>
                    </w:rPr>
                    <w:t>m</w:t>
                  </w:r>
                  <w:r>
                    <w:rPr>
                      <w:color w:val="auto"/>
                      <w:kern w:val="0"/>
                      <w:szCs w:val="21"/>
                      <w:vertAlign w:val="superscript"/>
                      <w:lang w:bidi="ar"/>
                    </w:rPr>
                    <w:t>2</w:t>
                  </w:r>
                  <w:r>
                    <w:rPr>
                      <w:rFonts w:hint="eastAsia" w:ascii="宋体" w:hAnsi="宋体" w:cs="宋体"/>
                      <w:color w:val="auto"/>
                      <w:kern w:val="0"/>
                      <w:szCs w:val="21"/>
                      <w:lang w:bidi="ar"/>
                    </w:rPr>
                    <w:t>；</w:t>
                  </w:r>
                  <w:r>
                    <w:rPr>
                      <w:color w:val="auto"/>
                      <w:kern w:val="0"/>
                      <w:szCs w:val="21"/>
                      <w:lang w:bidi="ar"/>
                    </w:rPr>
                    <w:t>V</w:t>
                  </w:r>
                  <w:r>
                    <w:rPr>
                      <w:color w:val="auto"/>
                      <w:kern w:val="0"/>
                      <w:szCs w:val="21"/>
                      <w:vertAlign w:val="subscript"/>
                      <w:lang w:bidi="ar"/>
                    </w:rPr>
                    <w:t>0</w:t>
                  </w:r>
                  <w:r>
                    <w:rPr>
                      <w:rFonts w:hint="eastAsia" w:ascii="宋体" w:hAnsi="宋体" w:cs="宋体"/>
                      <w:color w:val="auto"/>
                      <w:kern w:val="0"/>
                      <w:szCs w:val="21"/>
                      <w:lang w:bidi="ar"/>
                    </w:rPr>
                    <w:t>污染源气体流速，一般在</w:t>
                  </w:r>
                  <w:r>
                    <w:rPr>
                      <w:color w:val="auto"/>
                      <w:kern w:val="0"/>
                      <w:szCs w:val="21"/>
                      <w:lang w:bidi="ar"/>
                    </w:rPr>
                    <w:t>0.5m/s~1.0m/s</w:t>
                  </w:r>
                  <w:r>
                    <w:rPr>
                      <w:rFonts w:hint="eastAsia" w:ascii="宋体" w:hAnsi="宋体" w:cs="宋体"/>
                      <w:color w:val="auto"/>
                      <w:kern w:val="0"/>
                      <w:szCs w:val="21"/>
                      <w:lang w:bidi="ar"/>
                    </w:rPr>
                    <w:t>。</w:t>
                  </w:r>
                </w:p>
              </w:tc>
            </w:tr>
          </w:tbl>
          <w:p w14:paraId="3705E840">
            <w:pPr>
              <w:keepNext w:val="0"/>
              <w:keepLines w:val="0"/>
              <w:pageBreakBefore w:val="0"/>
              <w:widowControl w:val="0"/>
              <w:kinsoku/>
              <w:wordWrap/>
              <w:overflowPunct/>
              <w:topLinePunct w:val="0"/>
              <w:autoSpaceDE/>
              <w:autoSpaceDN/>
              <w:bidi w:val="0"/>
              <w:adjustRightInd w:val="0"/>
              <w:snapToGrid w:val="0"/>
              <w:spacing w:beforeLines="0" w:afterLines="0" w:line="360" w:lineRule="auto"/>
              <w:textAlignment w:val="auto"/>
              <w:rPr>
                <w:rFonts w:hint="default" w:ascii="Times New Roman" w:hAnsi="Times New Roman" w:eastAsia="Times New Roman"/>
                <w:color w:val="auto"/>
                <w:sz w:val="24"/>
                <w:szCs w:val="24"/>
                <w:lang w:val="zh-CN"/>
              </w:rPr>
            </w:pPr>
            <w:r>
              <w:rPr>
                <w:rFonts w:hint="default" w:ascii="Times New Roman" w:hAnsi="Times New Roman" w:eastAsia="宋体" w:cs="Times New Roman"/>
                <w:color w:val="auto"/>
                <w:sz w:val="24"/>
                <w:highlight w:val="none"/>
                <w:lang w:val="en-US" w:eastAsia="zh-CN"/>
              </w:rPr>
              <w:t>因此</w:t>
            </w:r>
            <w:r>
              <w:rPr>
                <w:rFonts w:hint="eastAsia" w:ascii="Times New Roman" w:hAnsi="Times New Roman" w:eastAsia="宋体" w:cs="Times New Roman"/>
                <w:color w:val="auto"/>
                <w:sz w:val="24"/>
                <w:highlight w:val="none"/>
                <w:lang w:val="en-US" w:eastAsia="zh-CN"/>
              </w:rPr>
              <w:t>20台注塑机</w:t>
            </w:r>
            <w:r>
              <w:rPr>
                <w:rFonts w:hint="default" w:ascii="Times New Roman" w:hAnsi="Times New Roman" w:eastAsia="宋体" w:cs="Times New Roman"/>
                <w:color w:val="auto"/>
                <w:sz w:val="24"/>
                <w:szCs w:val="24"/>
                <w:highlight w:val="none"/>
                <w:lang w:eastAsia="zh-CN"/>
              </w:rPr>
              <w:t>集气罩</w:t>
            </w:r>
            <w:r>
              <w:rPr>
                <w:rFonts w:hint="default" w:ascii="Times New Roman" w:hAnsi="Times New Roman" w:eastAsia="宋体" w:cs="Times New Roman"/>
                <w:color w:val="auto"/>
                <w:kern w:val="0"/>
                <w:sz w:val="24"/>
                <w:szCs w:val="24"/>
                <w:highlight w:val="none"/>
                <w:lang w:eastAsia="zh-CN"/>
              </w:rPr>
              <w:t>配套</w:t>
            </w:r>
            <w:r>
              <w:rPr>
                <w:rFonts w:hint="default" w:ascii="Times New Roman" w:hAnsi="Times New Roman" w:eastAsia="宋体" w:cs="Times New Roman"/>
                <w:color w:val="auto"/>
                <w:kern w:val="0"/>
                <w:sz w:val="24"/>
                <w:szCs w:val="24"/>
                <w:highlight w:val="none"/>
              </w:rPr>
              <w:t>风量</w:t>
            </w:r>
            <w:r>
              <w:rPr>
                <w:rFonts w:hint="default" w:ascii="Times New Roman" w:hAnsi="Times New Roman" w:eastAsia="宋体" w:cs="Times New Roman"/>
                <w:color w:val="auto"/>
                <w:kern w:val="0"/>
                <w:sz w:val="24"/>
                <w:szCs w:val="24"/>
                <w:highlight w:val="none"/>
                <w:lang w:val="en-US" w:eastAsia="zh-CN"/>
              </w:rPr>
              <w:t>不低于</w:t>
            </w:r>
            <w:r>
              <w:rPr>
                <w:rFonts w:hint="default" w:ascii="Times New Roman" w:hAnsi="Times New Roman" w:eastAsia="宋体" w:cs="Times New Roman"/>
                <w:color w:val="auto"/>
                <w:kern w:val="0"/>
                <w:sz w:val="24"/>
                <w:szCs w:val="24"/>
                <w:highlight w:val="none"/>
              </w:rPr>
              <w:t>为</w:t>
            </w:r>
            <w:r>
              <w:rPr>
                <w:rFonts w:hint="eastAsia" w:ascii="Times New Roman" w:hAnsi="Times New Roman" w:eastAsia="宋体" w:cs="Times New Roman"/>
                <w:color w:val="auto"/>
                <w:kern w:val="0"/>
                <w:sz w:val="24"/>
                <w:szCs w:val="24"/>
                <w:highlight w:val="none"/>
                <w:lang w:val="en-US" w:eastAsia="zh-CN"/>
              </w:rPr>
              <w:t>19044</w:t>
            </w:r>
            <w:r>
              <w:rPr>
                <w:rFonts w:hint="default" w:ascii="Times New Roman" w:hAnsi="Times New Roman" w:eastAsia="宋体" w:cs="Times New Roman"/>
                <w:color w:val="auto"/>
                <w:kern w:val="0"/>
                <w:sz w:val="24"/>
                <w:szCs w:val="24"/>
                <w:highlight w:val="none"/>
              </w:rPr>
              <w:t>m</w:t>
            </w:r>
            <w:r>
              <w:rPr>
                <w:rFonts w:hint="default" w:ascii="Times New Roman" w:hAnsi="Times New Roman" w:eastAsia="宋体" w:cs="Times New Roman"/>
                <w:color w:val="auto"/>
                <w:kern w:val="0"/>
                <w:sz w:val="24"/>
                <w:szCs w:val="24"/>
                <w:highlight w:val="none"/>
                <w:vertAlign w:val="superscript"/>
              </w:rPr>
              <w:t>3</w:t>
            </w:r>
            <w:r>
              <w:rPr>
                <w:rFonts w:hint="default" w:ascii="Times New Roman" w:hAnsi="Times New Roman" w:eastAsia="宋体" w:cs="Times New Roman"/>
                <w:color w:val="auto"/>
                <w:kern w:val="0"/>
                <w:sz w:val="24"/>
                <w:szCs w:val="24"/>
                <w:highlight w:val="none"/>
              </w:rPr>
              <w:t>/h</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本项目设置为</w:t>
            </w:r>
            <w:r>
              <w:rPr>
                <w:rFonts w:hint="eastAsia" w:ascii="Times New Roman" w:hAnsi="Times New Roman" w:eastAsia="宋体" w:cs="Times New Roman"/>
                <w:color w:val="auto"/>
                <w:kern w:val="0"/>
                <w:sz w:val="24"/>
                <w:szCs w:val="24"/>
                <w:highlight w:val="none"/>
                <w:lang w:val="en-US" w:eastAsia="zh-CN"/>
              </w:rPr>
              <w:t>20</w:t>
            </w:r>
            <w:r>
              <w:rPr>
                <w:rFonts w:hint="default" w:ascii="Times New Roman" w:hAnsi="Times New Roman" w:eastAsia="宋体" w:cs="Times New Roman"/>
                <w:color w:val="auto"/>
                <w:kern w:val="0"/>
                <w:sz w:val="24"/>
                <w:szCs w:val="24"/>
                <w:highlight w:val="none"/>
                <w:lang w:val="en-US" w:eastAsia="zh-CN"/>
              </w:rPr>
              <w:t>000</w:t>
            </w:r>
            <w:r>
              <w:rPr>
                <w:rFonts w:hint="default" w:ascii="Times New Roman" w:hAnsi="Times New Roman" w:eastAsia="宋体" w:cs="Times New Roman"/>
                <w:color w:val="auto"/>
                <w:kern w:val="0"/>
                <w:sz w:val="24"/>
                <w:szCs w:val="24"/>
                <w:highlight w:val="none"/>
              </w:rPr>
              <w:t>m</w:t>
            </w:r>
            <w:r>
              <w:rPr>
                <w:rFonts w:hint="default" w:ascii="Times New Roman" w:hAnsi="Times New Roman" w:eastAsia="宋体" w:cs="Times New Roman"/>
                <w:color w:val="auto"/>
                <w:kern w:val="0"/>
                <w:sz w:val="24"/>
                <w:szCs w:val="24"/>
                <w:highlight w:val="none"/>
                <w:vertAlign w:val="superscript"/>
              </w:rPr>
              <w:t>3</w:t>
            </w:r>
            <w:r>
              <w:rPr>
                <w:rFonts w:hint="default" w:ascii="Times New Roman" w:hAnsi="Times New Roman" w:eastAsia="宋体" w:cs="Times New Roman"/>
                <w:color w:val="auto"/>
                <w:kern w:val="0"/>
                <w:sz w:val="24"/>
                <w:szCs w:val="24"/>
                <w:highlight w:val="none"/>
              </w:rPr>
              <w:t>/h</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sz w:val="24"/>
                <w:highlight w:val="none"/>
                <w:lang w:val="en-US" w:eastAsia="zh-CN"/>
              </w:rPr>
              <w:t>“活性炭吸附”对有机废气的去除效率与废气进气浓度、气流量等多种因素有关，</w:t>
            </w:r>
            <w:r>
              <w:rPr>
                <w:color w:val="auto"/>
                <w:kern w:val="0"/>
                <w:sz w:val="24"/>
              </w:rPr>
              <w:t>参考《</w:t>
            </w:r>
            <w:r>
              <w:rPr>
                <w:rFonts w:ascii="Times New Roman" w:hAnsi="Times New Roman"/>
                <w:color w:val="auto"/>
                <w:sz w:val="24"/>
                <w:szCs w:val="24"/>
              </w:rPr>
              <w:t>元谋滇桂塑业有限公司年产400万只塑料筐生产项目</w:t>
            </w:r>
            <w:r>
              <w:rPr>
                <w:color w:val="auto"/>
                <w:kern w:val="0"/>
                <w:sz w:val="24"/>
              </w:rPr>
              <w:t>竣工环境保护验收报告</w:t>
            </w:r>
            <w:r>
              <w:rPr>
                <w:rFonts w:hint="eastAsia"/>
                <w:color w:val="auto"/>
                <w:kern w:val="0"/>
                <w:sz w:val="24"/>
                <w:lang w:eastAsia="zh-CN"/>
              </w:rPr>
              <w:t>书</w:t>
            </w:r>
            <w:r>
              <w:rPr>
                <w:color w:val="auto"/>
                <w:kern w:val="0"/>
                <w:sz w:val="24"/>
              </w:rPr>
              <w:t>》进行类比计算，</w:t>
            </w:r>
            <w:r>
              <w:rPr>
                <w:rFonts w:ascii="Times New Roman" w:hAnsi="Times New Roman"/>
                <w:color w:val="auto"/>
                <w:sz w:val="24"/>
                <w:szCs w:val="24"/>
              </w:rPr>
              <w:t>元谋滇桂塑业有限公司年产400万只塑料筐生产项</w:t>
            </w:r>
            <w:r>
              <w:rPr>
                <w:rFonts w:hint="eastAsia"/>
                <w:color w:val="auto"/>
                <w:kern w:val="0"/>
                <w:sz w:val="24"/>
              </w:rPr>
              <w:t>改扩建项目</w:t>
            </w:r>
            <w:r>
              <w:rPr>
                <w:color w:val="auto"/>
                <w:kern w:val="0"/>
                <w:sz w:val="24"/>
              </w:rPr>
              <w:t>使用的原料为</w:t>
            </w:r>
            <w:r>
              <w:rPr>
                <w:rFonts w:hint="eastAsia"/>
                <w:color w:val="auto"/>
                <w:kern w:val="0"/>
                <w:sz w:val="24"/>
                <w:lang w:val="en-US" w:eastAsia="zh-CN"/>
              </w:rPr>
              <w:t>PP树脂、</w:t>
            </w:r>
            <w:r>
              <w:rPr>
                <w:rFonts w:hint="eastAsia"/>
                <w:color w:val="auto"/>
                <w:kern w:val="0"/>
                <w:sz w:val="24"/>
              </w:rPr>
              <w:t>PE</w:t>
            </w:r>
            <w:r>
              <w:rPr>
                <w:color w:val="auto"/>
                <w:kern w:val="0"/>
                <w:sz w:val="24"/>
              </w:rPr>
              <w:t>树脂</w:t>
            </w:r>
            <w:r>
              <w:rPr>
                <w:rFonts w:hint="eastAsia"/>
                <w:color w:val="auto"/>
                <w:kern w:val="0"/>
                <w:sz w:val="24"/>
              </w:rPr>
              <w:t>、色母粒等</w:t>
            </w:r>
            <w:r>
              <w:rPr>
                <w:color w:val="auto"/>
                <w:kern w:val="0"/>
                <w:sz w:val="24"/>
              </w:rPr>
              <w:t>，生产工艺为</w:t>
            </w:r>
            <w:r>
              <w:rPr>
                <w:rFonts w:hint="eastAsia"/>
                <w:color w:val="auto"/>
                <w:kern w:val="0"/>
                <w:sz w:val="24"/>
                <w:lang w:eastAsia="zh-CN"/>
              </w:rPr>
              <w:t>上料</w:t>
            </w:r>
            <w:r>
              <w:rPr>
                <w:rFonts w:hint="eastAsia"/>
                <w:color w:val="auto"/>
                <w:kern w:val="0"/>
                <w:sz w:val="24"/>
              </w:rPr>
              <w:t>-</w:t>
            </w:r>
            <w:r>
              <w:rPr>
                <w:rFonts w:hint="eastAsia"/>
                <w:color w:val="auto"/>
                <w:kern w:val="0"/>
                <w:sz w:val="24"/>
                <w:lang w:eastAsia="zh-CN"/>
              </w:rPr>
              <w:t>注塑成型</w:t>
            </w:r>
            <w:r>
              <w:rPr>
                <w:color w:val="auto"/>
                <w:kern w:val="0"/>
                <w:sz w:val="24"/>
              </w:rPr>
              <w:t>-</w:t>
            </w:r>
            <w:r>
              <w:rPr>
                <w:rFonts w:hint="eastAsia"/>
                <w:color w:val="auto"/>
                <w:kern w:val="0"/>
                <w:sz w:val="24"/>
              </w:rPr>
              <w:t>冷却定型</w:t>
            </w:r>
            <w:r>
              <w:rPr>
                <w:color w:val="auto"/>
                <w:kern w:val="0"/>
                <w:sz w:val="24"/>
              </w:rPr>
              <w:t>-</w:t>
            </w:r>
            <w:r>
              <w:rPr>
                <w:rFonts w:hint="eastAsia"/>
                <w:color w:val="auto"/>
                <w:kern w:val="0"/>
                <w:sz w:val="24"/>
                <w:lang w:eastAsia="zh-CN"/>
              </w:rPr>
              <w:t>脱模</w:t>
            </w:r>
            <w:r>
              <w:rPr>
                <w:rFonts w:hint="eastAsia"/>
                <w:color w:val="auto"/>
                <w:kern w:val="0"/>
                <w:sz w:val="24"/>
              </w:rPr>
              <w:t>-</w:t>
            </w:r>
            <w:r>
              <w:rPr>
                <w:rFonts w:hint="eastAsia"/>
                <w:color w:val="auto"/>
                <w:kern w:val="0"/>
                <w:sz w:val="24"/>
                <w:lang w:eastAsia="zh-CN"/>
              </w:rPr>
              <w:t>修整</w:t>
            </w:r>
            <w:r>
              <w:rPr>
                <w:rFonts w:hint="eastAsia"/>
                <w:color w:val="auto"/>
                <w:kern w:val="0"/>
                <w:sz w:val="24"/>
                <w:lang w:val="en-US" w:eastAsia="zh-CN"/>
              </w:rPr>
              <w:t>-</w:t>
            </w:r>
            <w:r>
              <w:rPr>
                <w:color w:val="auto"/>
                <w:kern w:val="0"/>
                <w:sz w:val="24"/>
              </w:rPr>
              <w:t>成品，产品为</w:t>
            </w:r>
            <w:r>
              <w:rPr>
                <w:rFonts w:hint="eastAsia"/>
                <w:color w:val="auto"/>
                <w:kern w:val="0"/>
                <w:sz w:val="24"/>
                <w:lang w:eastAsia="zh-CN"/>
              </w:rPr>
              <w:t>塑料筐</w:t>
            </w:r>
            <w:r>
              <w:rPr>
                <w:color w:val="auto"/>
                <w:kern w:val="0"/>
                <w:sz w:val="24"/>
              </w:rPr>
              <w:t>，该项目所使用的主要原料、生产工艺及污染治理措施均与本项目类似，具有可类比性。</w:t>
            </w:r>
            <w:r>
              <w:rPr>
                <w:rFonts w:hint="default" w:ascii="Times New Roman" w:hAnsi="Times New Roman" w:eastAsia="宋体" w:cs="Times New Roman"/>
                <w:b w:val="0"/>
                <w:bCs/>
                <w:color w:val="auto"/>
                <w:spacing w:val="6"/>
                <w:sz w:val="24"/>
                <w:highlight w:val="none"/>
                <w:lang w:val="en-US" w:eastAsia="zh-CN"/>
              </w:rPr>
              <w:t>项目分期验收，第一期验收产品量为</w:t>
            </w:r>
            <w:r>
              <w:rPr>
                <w:rFonts w:hint="eastAsia" w:ascii="Times New Roman" w:hAnsi="Times New Roman" w:eastAsia="宋体" w:cs="Times New Roman"/>
                <w:b w:val="0"/>
                <w:bCs/>
                <w:color w:val="auto"/>
                <w:spacing w:val="6"/>
                <w:sz w:val="24"/>
                <w:highlight w:val="none"/>
                <w:lang w:val="en-US" w:eastAsia="zh-CN"/>
              </w:rPr>
              <w:t>448</w:t>
            </w:r>
            <w:r>
              <w:rPr>
                <w:rFonts w:hint="eastAsia" w:ascii="Times New Roman" w:hAnsi="Times New Roman" w:eastAsia="宋体" w:cs="Times New Roman"/>
                <w:color w:val="auto"/>
                <w:kern w:val="0"/>
                <w:sz w:val="24"/>
                <w:lang w:val="en-US" w:eastAsia="zh-CN"/>
              </w:rPr>
              <w:t>0</w:t>
            </w:r>
            <w:r>
              <w:rPr>
                <w:rFonts w:hint="default" w:ascii="Times New Roman" w:hAnsi="Times New Roman" w:eastAsia="宋体" w:cs="Times New Roman"/>
                <w:color w:val="auto"/>
                <w:kern w:val="0"/>
                <w:sz w:val="24"/>
                <w:lang w:val="en-US" w:eastAsia="zh-CN"/>
              </w:rPr>
              <w:t>t/a</w:t>
            </w:r>
            <w:r>
              <w:rPr>
                <w:rFonts w:hint="eastAsia" w:ascii="Times New Roman" w:hAnsi="Times New Roman" w:eastAsia="宋体" w:cs="Times New Roman"/>
                <w:color w:val="auto"/>
                <w:kern w:val="0"/>
                <w:sz w:val="24"/>
                <w:lang w:val="en-US" w:eastAsia="zh-CN"/>
              </w:rPr>
              <w:t>（224万只/a）</w:t>
            </w:r>
            <w:r>
              <w:rPr>
                <w:rFonts w:hint="default" w:ascii="Times New Roman" w:hAnsi="Times New Roman" w:eastAsia="宋体" w:cs="Times New Roman"/>
                <w:b w:val="0"/>
                <w:bCs/>
                <w:color w:val="auto"/>
                <w:spacing w:val="6"/>
                <w:sz w:val="24"/>
                <w:highlight w:val="none"/>
                <w:lang w:val="en-US" w:eastAsia="zh-CN"/>
              </w:rPr>
              <w:t>，</w:t>
            </w:r>
            <w:r>
              <w:rPr>
                <w:rFonts w:hint="default" w:ascii="Times New Roman" w:hAnsi="Times New Roman" w:eastAsia="Times New Roman"/>
                <w:color w:val="auto"/>
                <w:sz w:val="24"/>
                <w:szCs w:val="24"/>
                <w:lang w:val="zh-CN"/>
              </w:rPr>
              <w:t>废气经过统一收集后采用“</w:t>
            </w:r>
            <w:r>
              <w:rPr>
                <w:rFonts w:hint="eastAsia" w:ascii="Times New Roman" w:hAnsi="Times New Roman" w:eastAsia="Times New Roman"/>
                <w:color w:val="auto"/>
                <w:sz w:val="24"/>
                <w:szCs w:val="24"/>
                <w:lang w:val="zh-CN"/>
              </w:rPr>
              <w:t>三级</w:t>
            </w:r>
            <w:r>
              <w:rPr>
                <w:rFonts w:hint="default" w:ascii="Times New Roman" w:hAnsi="Times New Roman" w:eastAsia="Times New Roman"/>
                <w:color w:val="auto"/>
                <w:sz w:val="24"/>
                <w:szCs w:val="24"/>
                <w:lang w:val="zh-CN"/>
              </w:rPr>
              <w:t>活性炭吸附</w:t>
            </w:r>
            <w:r>
              <w:rPr>
                <w:rFonts w:hint="eastAsia" w:ascii="Times New Roman" w:hAnsi="Times New Roman" w:eastAsia="Times New Roman"/>
                <w:color w:val="auto"/>
                <w:sz w:val="24"/>
                <w:szCs w:val="24"/>
                <w:lang w:val="zh-CN"/>
              </w:rPr>
              <w:t>装置</w:t>
            </w:r>
            <w:r>
              <w:rPr>
                <w:rFonts w:hint="default" w:ascii="Times New Roman" w:hAnsi="Times New Roman" w:eastAsia="Times New Roman"/>
                <w:color w:val="auto"/>
                <w:sz w:val="24"/>
                <w:szCs w:val="24"/>
                <w:lang w:val="zh-CN"/>
              </w:rPr>
              <w:t>”处理，废气治理工艺与本项目基本一致；在验收监测期间，设备生产负荷</w:t>
            </w:r>
            <w:r>
              <w:rPr>
                <w:rFonts w:hint="eastAsia" w:ascii="Times New Roman" w:hAnsi="Times New Roman" w:eastAsia="宋体"/>
                <w:color w:val="auto"/>
                <w:sz w:val="24"/>
                <w:szCs w:val="24"/>
                <w:lang w:val="en-US" w:eastAsia="zh-CN"/>
              </w:rPr>
              <w:t>100</w:t>
            </w:r>
            <w:r>
              <w:rPr>
                <w:rFonts w:hint="default" w:ascii="Times New Roman" w:hAnsi="Times New Roman" w:eastAsia="Times New Roman"/>
                <w:color w:val="auto"/>
                <w:sz w:val="24"/>
                <w:szCs w:val="24"/>
                <w:lang w:val="zh-CN"/>
              </w:rPr>
              <w:t>%，因此</w:t>
            </w:r>
            <w:r>
              <w:rPr>
                <w:rFonts w:hint="eastAsia" w:ascii="Times New Roman" w:hAnsi="Times New Roman" w:eastAsia="Times New Roman"/>
                <w:color w:val="auto"/>
                <w:sz w:val="24"/>
                <w:szCs w:val="24"/>
                <w:lang w:val="zh-CN"/>
              </w:rPr>
              <w:t>注塑</w:t>
            </w:r>
            <w:r>
              <w:rPr>
                <w:rFonts w:hint="default" w:ascii="Times New Roman" w:hAnsi="Times New Roman" w:eastAsia="Times New Roman"/>
                <w:color w:val="auto"/>
                <w:sz w:val="24"/>
                <w:szCs w:val="24"/>
                <w:lang w:val="zh-CN"/>
              </w:rPr>
              <w:t>废气非甲烷总烃去除效率类比该项目可行。根据该项目监测结果，</w:t>
            </w:r>
            <w:r>
              <w:rPr>
                <w:rFonts w:hint="eastAsia" w:ascii="Times New Roman" w:hAnsi="Times New Roman" w:eastAsia="Times New Roman"/>
                <w:color w:val="auto"/>
                <w:sz w:val="24"/>
                <w:szCs w:val="24"/>
                <w:lang w:val="zh-CN"/>
              </w:rPr>
              <w:t>验收期间监测</w:t>
            </w:r>
            <w:r>
              <w:rPr>
                <w:rFonts w:hint="eastAsia" w:ascii="Times New Roman" w:hAnsi="Times New Roman" w:eastAsia="宋体"/>
                <w:color w:val="auto"/>
                <w:sz w:val="24"/>
                <w:szCs w:val="24"/>
                <w:lang w:val="en-US" w:eastAsia="zh-CN"/>
              </w:rPr>
              <w:t>2天，</w:t>
            </w:r>
            <w:r>
              <w:rPr>
                <w:rFonts w:hint="default" w:ascii="Times New Roman" w:hAnsi="Times New Roman" w:eastAsia="Times New Roman"/>
                <w:color w:val="auto"/>
                <w:sz w:val="24"/>
                <w:szCs w:val="24"/>
                <w:lang w:val="zh-CN"/>
              </w:rPr>
              <w:t>废气进口平均浓度</w:t>
            </w:r>
            <w:r>
              <w:rPr>
                <w:rFonts w:hint="eastAsia" w:ascii="Times New Roman" w:hAnsi="Times New Roman" w:eastAsia="Times New Roman"/>
                <w:color w:val="auto"/>
                <w:sz w:val="24"/>
                <w:szCs w:val="24"/>
                <w:lang w:val="zh-CN"/>
              </w:rPr>
              <w:t>分别为</w:t>
            </w:r>
            <w:r>
              <w:rPr>
                <w:rFonts w:hint="eastAsia" w:ascii="Times New Roman" w:hAnsi="Times New Roman" w:eastAsia="宋体"/>
                <w:color w:val="auto"/>
                <w:sz w:val="24"/>
                <w:szCs w:val="24"/>
                <w:lang w:val="en-US" w:eastAsia="zh-CN"/>
              </w:rPr>
              <w:t>21.7</w:t>
            </w:r>
            <w:r>
              <w:rPr>
                <w:rFonts w:hint="default" w:ascii="Times New Roman" w:hAnsi="Times New Roman" w:eastAsia="Times New Roman"/>
                <w:color w:val="auto"/>
                <w:sz w:val="24"/>
                <w:szCs w:val="24"/>
                <w:lang w:val="zh-CN"/>
              </w:rPr>
              <w:t>mg/m</w:t>
            </w:r>
            <w:r>
              <w:rPr>
                <w:rFonts w:hint="default" w:ascii="Times New Roman" w:hAnsi="Times New Roman" w:eastAsia="Times New Roman"/>
                <w:color w:val="auto"/>
                <w:sz w:val="24"/>
                <w:szCs w:val="24"/>
                <w:vertAlign w:val="superscript"/>
                <w:lang w:val="zh-CN"/>
              </w:rPr>
              <w:t>3</w:t>
            </w:r>
            <w:r>
              <w:rPr>
                <w:rFonts w:hint="eastAsia" w:ascii="Times New Roman" w:hAnsi="Times New Roman" w:eastAsia="宋体"/>
                <w:color w:val="auto"/>
                <w:sz w:val="24"/>
                <w:szCs w:val="24"/>
                <w:lang w:val="en-US" w:eastAsia="zh-CN"/>
              </w:rPr>
              <w:t>、24.9</w:t>
            </w:r>
            <w:r>
              <w:rPr>
                <w:rFonts w:hint="default" w:ascii="Times New Roman" w:hAnsi="Times New Roman" w:eastAsia="Times New Roman"/>
                <w:color w:val="auto"/>
                <w:sz w:val="24"/>
                <w:szCs w:val="24"/>
                <w:lang w:val="zh-CN"/>
              </w:rPr>
              <w:t>mg/m</w:t>
            </w:r>
            <w:r>
              <w:rPr>
                <w:rFonts w:hint="default" w:ascii="Times New Roman" w:hAnsi="Times New Roman" w:eastAsia="Times New Roman"/>
                <w:color w:val="auto"/>
                <w:sz w:val="24"/>
                <w:szCs w:val="24"/>
                <w:vertAlign w:val="superscript"/>
                <w:lang w:val="zh-CN"/>
              </w:rPr>
              <w:t>3</w:t>
            </w:r>
            <w:r>
              <w:rPr>
                <w:rFonts w:hint="default" w:ascii="Times New Roman" w:hAnsi="Times New Roman" w:eastAsia="Times New Roman"/>
                <w:color w:val="auto"/>
                <w:sz w:val="24"/>
                <w:szCs w:val="24"/>
                <w:lang w:val="zh-CN"/>
              </w:rPr>
              <w:t>，出口平均浓度</w:t>
            </w:r>
            <w:r>
              <w:rPr>
                <w:rFonts w:hint="eastAsia" w:ascii="Times New Roman" w:hAnsi="Times New Roman" w:eastAsia="Times New Roman"/>
                <w:color w:val="auto"/>
                <w:sz w:val="24"/>
                <w:szCs w:val="24"/>
                <w:lang w:val="zh-CN"/>
              </w:rPr>
              <w:t>分别为</w:t>
            </w:r>
            <w:r>
              <w:rPr>
                <w:rFonts w:hint="eastAsia" w:ascii="Times New Roman" w:hAnsi="Times New Roman" w:eastAsia="宋体"/>
                <w:color w:val="auto"/>
                <w:sz w:val="24"/>
                <w:szCs w:val="24"/>
                <w:lang w:val="en-US" w:eastAsia="zh-CN"/>
              </w:rPr>
              <w:t>1.72</w:t>
            </w:r>
            <w:r>
              <w:rPr>
                <w:rFonts w:hint="default" w:ascii="Times New Roman" w:hAnsi="Times New Roman" w:eastAsia="Times New Roman"/>
                <w:color w:val="auto"/>
                <w:sz w:val="24"/>
                <w:szCs w:val="24"/>
                <w:lang w:val="zh-CN"/>
              </w:rPr>
              <w:t>mg/m</w:t>
            </w:r>
            <w:r>
              <w:rPr>
                <w:rFonts w:hint="default" w:ascii="Times New Roman" w:hAnsi="Times New Roman" w:eastAsia="Times New Roman"/>
                <w:color w:val="auto"/>
                <w:sz w:val="24"/>
                <w:szCs w:val="24"/>
                <w:vertAlign w:val="superscript"/>
                <w:lang w:val="zh-CN"/>
              </w:rPr>
              <w:t>3</w:t>
            </w:r>
            <w:r>
              <w:rPr>
                <w:rFonts w:hint="eastAsia" w:ascii="Times New Roman" w:hAnsi="Times New Roman" w:eastAsia="Times New Roman"/>
                <w:color w:val="auto"/>
                <w:sz w:val="24"/>
                <w:szCs w:val="24"/>
                <w:lang w:val="zh-CN"/>
              </w:rPr>
              <w:t>、</w:t>
            </w:r>
            <w:r>
              <w:rPr>
                <w:rFonts w:hint="eastAsia" w:ascii="Times New Roman" w:hAnsi="Times New Roman" w:eastAsia="宋体"/>
                <w:color w:val="auto"/>
                <w:sz w:val="24"/>
                <w:szCs w:val="24"/>
                <w:lang w:val="en-US" w:eastAsia="zh-CN"/>
              </w:rPr>
              <w:t>1.78</w:t>
            </w:r>
            <w:r>
              <w:rPr>
                <w:rFonts w:hint="default" w:ascii="Times New Roman" w:hAnsi="Times New Roman" w:eastAsia="Times New Roman"/>
                <w:color w:val="auto"/>
                <w:sz w:val="24"/>
                <w:szCs w:val="24"/>
                <w:lang w:val="zh-CN"/>
              </w:rPr>
              <w:t>mg/m</w:t>
            </w:r>
            <w:r>
              <w:rPr>
                <w:rFonts w:hint="default" w:ascii="Times New Roman" w:hAnsi="Times New Roman" w:eastAsia="Times New Roman"/>
                <w:color w:val="auto"/>
                <w:sz w:val="24"/>
                <w:szCs w:val="24"/>
                <w:vertAlign w:val="superscript"/>
                <w:lang w:val="zh-CN"/>
              </w:rPr>
              <w:t>3</w:t>
            </w:r>
            <w:r>
              <w:rPr>
                <w:rFonts w:hint="default" w:ascii="Times New Roman" w:hAnsi="Times New Roman" w:eastAsia="Times New Roman"/>
                <w:color w:val="auto"/>
                <w:sz w:val="24"/>
                <w:szCs w:val="24"/>
                <w:lang w:val="zh-CN"/>
              </w:rPr>
              <w:t>，去除效率为</w:t>
            </w:r>
            <w:r>
              <w:rPr>
                <w:rFonts w:hint="eastAsia" w:ascii="Times New Roman" w:hAnsi="Times New Roman" w:eastAsia="宋体"/>
                <w:color w:val="auto"/>
                <w:sz w:val="24"/>
                <w:szCs w:val="24"/>
                <w:lang w:val="en-US" w:eastAsia="zh-CN"/>
              </w:rPr>
              <w:t>92.07-92.85</w:t>
            </w:r>
            <w:r>
              <w:rPr>
                <w:rFonts w:hint="default" w:ascii="Times New Roman" w:hAnsi="Times New Roman" w:eastAsia="Times New Roman"/>
                <w:color w:val="auto"/>
                <w:sz w:val="24"/>
                <w:szCs w:val="24"/>
                <w:lang w:val="zh-CN"/>
              </w:rPr>
              <w:t>%。</w:t>
            </w:r>
          </w:p>
          <w:p w14:paraId="188828C3">
            <w:pPr>
              <w:adjustRightInd w:val="0"/>
              <w:snapToGrid w:val="0"/>
              <w:spacing w:line="360" w:lineRule="auto"/>
              <w:ind w:firstLine="480" w:firstLineChars="200"/>
              <w:rPr>
                <w:rFonts w:hint="default" w:ascii="Times New Roman" w:hAnsi="Times New Roman" w:eastAsia="Times New Roman"/>
                <w:color w:val="auto"/>
                <w:sz w:val="24"/>
                <w:szCs w:val="24"/>
                <w:lang w:val="zh-CN"/>
              </w:rPr>
            </w:pPr>
            <w:r>
              <w:rPr>
                <w:rFonts w:hint="default" w:ascii="Times New Roman" w:hAnsi="Times New Roman" w:eastAsia="Times New Roman"/>
                <w:color w:val="auto"/>
                <w:sz w:val="24"/>
                <w:szCs w:val="24"/>
                <w:lang w:val="zh-CN"/>
              </w:rPr>
              <w:t>综上所述，项目产生的非甲烷总烃经过</w:t>
            </w:r>
            <w:r>
              <w:rPr>
                <w:rFonts w:hint="default" w:ascii="Times New Roman" w:hAnsi="Times New Roman" w:eastAsia="Times New Roman"/>
                <w:color w:val="auto"/>
                <w:sz w:val="24"/>
                <w:szCs w:val="24"/>
                <w:highlight w:val="none"/>
                <w:lang w:val="zh-CN"/>
              </w:rPr>
              <w:t>“</w:t>
            </w:r>
            <w:r>
              <w:rPr>
                <w:rFonts w:hint="default" w:ascii="Times New Roman" w:hAnsi="Times New Roman" w:eastAsia="宋体" w:cs="Times New Roman"/>
                <w:color w:val="auto"/>
                <w:sz w:val="24"/>
                <w:szCs w:val="24"/>
                <w:highlight w:val="none"/>
                <w:lang w:val="en-US" w:eastAsia="zh-CN"/>
              </w:rPr>
              <w:t>三</w:t>
            </w:r>
            <w:r>
              <w:rPr>
                <w:rFonts w:hint="default" w:ascii="Times New Roman" w:hAnsi="Times New Roman" w:eastAsia="宋体" w:cs="Times New Roman"/>
                <w:color w:val="auto"/>
                <w:sz w:val="24"/>
                <w:szCs w:val="24"/>
                <w:highlight w:val="none"/>
                <w:lang w:eastAsia="zh-CN"/>
              </w:rPr>
              <w:t>级活性炭吸附装置</w:t>
            </w:r>
            <w:r>
              <w:rPr>
                <w:rFonts w:hint="default" w:ascii="Times New Roman" w:hAnsi="Times New Roman" w:eastAsia="Times New Roman"/>
                <w:color w:val="auto"/>
                <w:sz w:val="24"/>
                <w:szCs w:val="24"/>
                <w:highlight w:val="none"/>
                <w:lang w:val="zh-CN"/>
              </w:rPr>
              <w:t>”</w:t>
            </w:r>
            <w:r>
              <w:rPr>
                <w:rFonts w:hint="default" w:ascii="Times New Roman" w:hAnsi="Times New Roman" w:eastAsia="Times New Roman"/>
                <w:color w:val="auto"/>
                <w:sz w:val="24"/>
                <w:szCs w:val="24"/>
                <w:lang w:val="zh-CN"/>
              </w:rPr>
              <w:t>处理，综合去除效率保守采用80%是可行的。</w:t>
            </w:r>
          </w:p>
          <w:p w14:paraId="3ED9320D">
            <w:pPr>
              <w:adjustRightInd w:val="0"/>
              <w:snapToGrid w:val="0"/>
              <w:spacing w:line="360" w:lineRule="auto"/>
              <w:ind w:firstLine="480" w:firstLineChars="200"/>
              <w:rPr>
                <w:b/>
                <w:bCs/>
                <w:color w:val="auto"/>
                <w:highlight w:val="none"/>
              </w:rPr>
            </w:pPr>
            <w:r>
              <w:rPr>
                <w:color w:val="auto"/>
                <w:kern w:val="0"/>
                <w:sz w:val="24"/>
              </w:rPr>
              <w:t>根据</w:t>
            </w:r>
            <w:r>
              <w:rPr>
                <w:color w:val="auto"/>
                <w:sz w:val="24"/>
              </w:rPr>
              <w:t>《大气污染治理工程技术导则》（HJ2000-2010）中5.3.5排气筒的出口直径应根据出口流速确定，流速宜取15m/s左右。当采用钢管烟囱且高度较高时或烟气量较大时，可适当提高出口流速至20~25m/s。本项目DA00</w:t>
            </w:r>
            <w:r>
              <w:rPr>
                <w:rFonts w:hint="eastAsia"/>
                <w:color w:val="auto"/>
                <w:sz w:val="24"/>
                <w:lang w:val="en-US" w:eastAsia="zh-CN"/>
              </w:rPr>
              <w:t>1</w:t>
            </w:r>
            <w:r>
              <w:rPr>
                <w:color w:val="auto"/>
                <w:sz w:val="24"/>
              </w:rPr>
              <w:t>排气筒废气量为</w:t>
            </w:r>
            <w:r>
              <w:rPr>
                <w:rFonts w:hint="eastAsia"/>
                <w:color w:val="auto"/>
                <w:sz w:val="24"/>
                <w:lang w:val="en-US" w:eastAsia="zh-CN"/>
              </w:rPr>
              <w:t>20000</w:t>
            </w:r>
            <w:r>
              <w:rPr>
                <w:color w:val="auto"/>
                <w:sz w:val="24"/>
              </w:rPr>
              <w:t>m</w:t>
            </w:r>
            <w:r>
              <w:rPr>
                <w:color w:val="auto"/>
                <w:sz w:val="24"/>
                <w:vertAlign w:val="superscript"/>
              </w:rPr>
              <w:t>3</w:t>
            </w:r>
            <w:r>
              <w:rPr>
                <w:color w:val="auto"/>
                <w:sz w:val="24"/>
              </w:rPr>
              <w:t>/h，内径取0.</w:t>
            </w:r>
            <w:r>
              <w:rPr>
                <w:rFonts w:hint="eastAsia"/>
                <w:color w:val="auto"/>
                <w:sz w:val="24"/>
                <w:lang w:val="en-US" w:eastAsia="zh-CN"/>
              </w:rPr>
              <w:t>6</w:t>
            </w:r>
            <w:r>
              <w:rPr>
                <w:color w:val="auto"/>
                <w:sz w:val="24"/>
              </w:rPr>
              <w:t>m，此时对应的烟气流速为</w:t>
            </w:r>
            <w:r>
              <w:rPr>
                <w:rFonts w:hint="eastAsia"/>
                <w:color w:val="auto"/>
                <w:sz w:val="24"/>
                <w:lang w:val="en-US" w:eastAsia="zh-CN"/>
              </w:rPr>
              <w:t>19.66</w:t>
            </w:r>
            <w:r>
              <w:rPr>
                <w:color w:val="auto"/>
                <w:sz w:val="24"/>
              </w:rPr>
              <w:t>m/s，能够符合导则要求。</w:t>
            </w:r>
          </w:p>
          <w:p w14:paraId="6C8CDC3D">
            <w:pPr>
              <w:jc w:val="center"/>
              <w:rPr>
                <w:b/>
                <w:bCs/>
                <w:color w:val="auto"/>
                <w:highlight w:val="none"/>
              </w:rPr>
            </w:pPr>
            <w:r>
              <w:rPr>
                <w:b/>
                <w:bCs/>
                <w:color w:val="auto"/>
                <w:highlight w:val="none"/>
              </w:rPr>
              <w:t>表4-</w:t>
            </w:r>
            <w:r>
              <w:rPr>
                <w:rFonts w:hint="eastAsia"/>
                <w:b/>
                <w:bCs/>
                <w:color w:val="auto"/>
                <w:highlight w:val="none"/>
                <w:lang w:val="en-US" w:eastAsia="zh-CN"/>
              </w:rPr>
              <w:t>4</w:t>
            </w:r>
            <w:r>
              <w:rPr>
                <w:b/>
                <w:bCs/>
                <w:color w:val="auto"/>
                <w:highlight w:val="none"/>
              </w:rPr>
              <w:t xml:space="preserve">  项目</w:t>
            </w:r>
            <w:r>
              <w:rPr>
                <w:rFonts w:hint="eastAsia"/>
                <w:b/>
                <w:bCs/>
                <w:color w:val="auto"/>
                <w:highlight w:val="none"/>
              </w:rPr>
              <w:t>DA00</w:t>
            </w:r>
            <w:r>
              <w:rPr>
                <w:rFonts w:hint="eastAsia"/>
                <w:b/>
                <w:bCs/>
                <w:color w:val="auto"/>
                <w:highlight w:val="none"/>
                <w:lang w:val="en-US" w:eastAsia="zh-CN"/>
              </w:rPr>
              <w:t>1</w:t>
            </w:r>
            <w:r>
              <w:rPr>
                <w:rFonts w:hint="eastAsia"/>
                <w:b/>
                <w:bCs/>
                <w:color w:val="auto"/>
                <w:highlight w:val="none"/>
              </w:rPr>
              <w:t>排气筒</w:t>
            </w:r>
            <w:r>
              <w:rPr>
                <w:b/>
                <w:bCs/>
                <w:color w:val="auto"/>
                <w:highlight w:val="none"/>
              </w:rPr>
              <w:t>废气产排情况一览表</w:t>
            </w:r>
          </w:p>
          <w:tbl>
            <w:tblPr>
              <w:tblStyle w:val="30"/>
              <w:tblW w:w="84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412"/>
              <w:gridCol w:w="667"/>
              <w:gridCol w:w="738"/>
              <w:gridCol w:w="808"/>
              <w:gridCol w:w="8"/>
              <w:gridCol w:w="1139"/>
              <w:gridCol w:w="1159"/>
              <w:gridCol w:w="824"/>
              <w:gridCol w:w="224"/>
              <w:gridCol w:w="756"/>
              <w:gridCol w:w="41"/>
              <w:gridCol w:w="1109"/>
            </w:tblGrid>
            <w:tr w14:paraId="3BFD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6" w:type="dxa"/>
                  <w:vAlign w:val="center"/>
                </w:tcPr>
                <w:p w14:paraId="69A80BC1">
                  <w:pPr>
                    <w:adjustRightInd w:val="0"/>
                    <w:snapToGrid w:val="0"/>
                    <w:jc w:val="center"/>
                    <w:rPr>
                      <w:b/>
                      <w:bCs/>
                      <w:color w:val="auto"/>
                      <w:szCs w:val="21"/>
                      <w:highlight w:val="none"/>
                    </w:rPr>
                  </w:pPr>
                  <w:r>
                    <w:rPr>
                      <w:b/>
                      <w:bCs/>
                      <w:color w:val="auto"/>
                      <w:szCs w:val="21"/>
                      <w:highlight w:val="none"/>
                    </w:rPr>
                    <w:t>污染源</w:t>
                  </w:r>
                </w:p>
              </w:tc>
              <w:tc>
                <w:tcPr>
                  <w:tcW w:w="412" w:type="dxa"/>
                  <w:vAlign w:val="center"/>
                </w:tcPr>
                <w:p w14:paraId="1B93ABE1">
                  <w:pPr>
                    <w:adjustRightInd w:val="0"/>
                    <w:snapToGrid w:val="0"/>
                    <w:jc w:val="center"/>
                    <w:rPr>
                      <w:b/>
                      <w:bCs/>
                      <w:color w:val="auto"/>
                      <w:szCs w:val="21"/>
                      <w:highlight w:val="none"/>
                    </w:rPr>
                  </w:pPr>
                  <w:r>
                    <w:rPr>
                      <w:b/>
                      <w:bCs/>
                      <w:color w:val="auto"/>
                      <w:szCs w:val="21"/>
                      <w:highlight w:val="none"/>
                    </w:rPr>
                    <w:t>排放方式</w:t>
                  </w:r>
                </w:p>
              </w:tc>
              <w:tc>
                <w:tcPr>
                  <w:tcW w:w="667" w:type="dxa"/>
                  <w:vAlign w:val="center"/>
                </w:tcPr>
                <w:p w14:paraId="60BB7614">
                  <w:pPr>
                    <w:adjustRightInd w:val="0"/>
                    <w:snapToGrid w:val="0"/>
                    <w:jc w:val="center"/>
                    <w:rPr>
                      <w:b/>
                      <w:bCs/>
                      <w:color w:val="auto"/>
                      <w:szCs w:val="21"/>
                      <w:highlight w:val="none"/>
                    </w:rPr>
                  </w:pPr>
                  <w:r>
                    <w:rPr>
                      <w:b/>
                      <w:bCs/>
                      <w:color w:val="auto"/>
                      <w:szCs w:val="21"/>
                      <w:highlight w:val="none"/>
                    </w:rPr>
                    <w:t>污染物</w:t>
                  </w:r>
                </w:p>
              </w:tc>
              <w:tc>
                <w:tcPr>
                  <w:tcW w:w="738" w:type="dxa"/>
                  <w:vAlign w:val="center"/>
                </w:tcPr>
                <w:p w14:paraId="623E1CA3">
                  <w:pPr>
                    <w:adjustRightInd w:val="0"/>
                    <w:snapToGrid w:val="0"/>
                    <w:jc w:val="center"/>
                    <w:rPr>
                      <w:b/>
                      <w:bCs/>
                      <w:color w:val="auto"/>
                      <w:szCs w:val="21"/>
                      <w:highlight w:val="none"/>
                    </w:rPr>
                  </w:pPr>
                  <w:r>
                    <w:rPr>
                      <w:b/>
                      <w:bCs/>
                      <w:color w:val="auto"/>
                      <w:szCs w:val="21"/>
                      <w:highlight w:val="none"/>
                    </w:rPr>
                    <w:t>产生总量（t/a）</w:t>
                  </w:r>
                </w:p>
              </w:tc>
              <w:tc>
                <w:tcPr>
                  <w:tcW w:w="808" w:type="dxa"/>
                  <w:vAlign w:val="center"/>
                </w:tcPr>
                <w:p w14:paraId="5815D383">
                  <w:pPr>
                    <w:adjustRightInd w:val="0"/>
                    <w:snapToGrid w:val="0"/>
                    <w:jc w:val="center"/>
                    <w:rPr>
                      <w:b/>
                      <w:bCs/>
                      <w:color w:val="auto"/>
                      <w:szCs w:val="21"/>
                      <w:highlight w:val="none"/>
                    </w:rPr>
                  </w:pPr>
                  <w:r>
                    <w:rPr>
                      <w:b/>
                      <w:bCs/>
                      <w:color w:val="auto"/>
                      <w:szCs w:val="21"/>
                      <w:highlight w:val="none"/>
                    </w:rPr>
                    <w:t>产生速率（kg/h）</w:t>
                  </w:r>
                </w:p>
              </w:tc>
              <w:tc>
                <w:tcPr>
                  <w:tcW w:w="1147" w:type="dxa"/>
                  <w:gridSpan w:val="2"/>
                  <w:vAlign w:val="center"/>
                </w:tcPr>
                <w:p w14:paraId="1D1084E1">
                  <w:pPr>
                    <w:adjustRightInd w:val="0"/>
                    <w:snapToGrid w:val="0"/>
                    <w:jc w:val="center"/>
                    <w:rPr>
                      <w:b/>
                      <w:bCs/>
                      <w:color w:val="auto"/>
                      <w:szCs w:val="21"/>
                      <w:highlight w:val="none"/>
                    </w:rPr>
                  </w:pPr>
                  <w:r>
                    <w:rPr>
                      <w:b/>
                      <w:bCs/>
                      <w:color w:val="auto"/>
                      <w:szCs w:val="21"/>
                      <w:highlight w:val="none"/>
                    </w:rPr>
                    <w:t>产生浓度（mg/m</w:t>
                  </w:r>
                  <w:r>
                    <w:rPr>
                      <w:b/>
                      <w:bCs/>
                      <w:color w:val="auto"/>
                      <w:szCs w:val="21"/>
                      <w:highlight w:val="none"/>
                      <w:vertAlign w:val="superscript"/>
                    </w:rPr>
                    <w:t>3</w:t>
                  </w:r>
                  <w:r>
                    <w:rPr>
                      <w:b/>
                      <w:bCs/>
                      <w:color w:val="auto"/>
                      <w:szCs w:val="21"/>
                      <w:highlight w:val="none"/>
                    </w:rPr>
                    <w:t>）</w:t>
                  </w:r>
                </w:p>
              </w:tc>
              <w:tc>
                <w:tcPr>
                  <w:tcW w:w="1159" w:type="dxa"/>
                  <w:vAlign w:val="center"/>
                </w:tcPr>
                <w:p w14:paraId="3E99B018">
                  <w:pPr>
                    <w:adjustRightInd w:val="0"/>
                    <w:snapToGrid w:val="0"/>
                    <w:jc w:val="center"/>
                    <w:rPr>
                      <w:b/>
                      <w:bCs/>
                      <w:color w:val="auto"/>
                      <w:szCs w:val="21"/>
                      <w:highlight w:val="none"/>
                    </w:rPr>
                  </w:pPr>
                  <w:r>
                    <w:rPr>
                      <w:b/>
                      <w:bCs/>
                      <w:color w:val="auto"/>
                      <w:szCs w:val="21"/>
                      <w:highlight w:val="none"/>
                    </w:rPr>
                    <w:t>处理方式</w:t>
                  </w:r>
                </w:p>
              </w:tc>
              <w:tc>
                <w:tcPr>
                  <w:tcW w:w="824" w:type="dxa"/>
                  <w:vAlign w:val="center"/>
                </w:tcPr>
                <w:p w14:paraId="26BEFF19">
                  <w:pPr>
                    <w:adjustRightInd w:val="0"/>
                    <w:snapToGrid w:val="0"/>
                    <w:jc w:val="center"/>
                    <w:rPr>
                      <w:b/>
                      <w:bCs/>
                      <w:color w:val="auto"/>
                      <w:szCs w:val="21"/>
                      <w:highlight w:val="none"/>
                    </w:rPr>
                  </w:pPr>
                  <w:r>
                    <w:rPr>
                      <w:b/>
                      <w:bCs/>
                      <w:color w:val="auto"/>
                      <w:szCs w:val="21"/>
                      <w:highlight w:val="none"/>
                    </w:rPr>
                    <w:t>排放量（t/a）</w:t>
                  </w:r>
                </w:p>
              </w:tc>
              <w:tc>
                <w:tcPr>
                  <w:tcW w:w="980" w:type="dxa"/>
                  <w:gridSpan w:val="2"/>
                  <w:vAlign w:val="center"/>
                </w:tcPr>
                <w:p w14:paraId="4B62CD23">
                  <w:pPr>
                    <w:adjustRightInd w:val="0"/>
                    <w:snapToGrid w:val="0"/>
                    <w:jc w:val="center"/>
                    <w:rPr>
                      <w:b/>
                      <w:bCs/>
                      <w:color w:val="auto"/>
                      <w:szCs w:val="21"/>
                      <w:highlight w:val="none"/>
                    </w:rPr>
                  </w:pPr>
                  <w:r>
                    <w:rPr>
                      <w:b/>
                      <w:bCs/>
                      <w:color w:val="auto"/>
                      <w:szCs w:val="21"/>
                      <w:highlight w:val="none"/>
                    </w:rPr>
                    <w:t>排放速率（kg/h）</w:t>
                  </w:r>
                </w:p>
              </w:tc>
              <w:tc>
                <w:tcPr>
                  <w:tcW w:w="1150" w:type="dxa"/>
                  <w:gridSpan w:val="2"/>
                  <w:vAlign w:val="center"/>
                </w:tcPr>
                <w:p w14:paraId="21BF9619">
                  <w:pPr>
                    <w:adjustRightInd w:val="0"/>
                    <w:snapToGrid w:val="0"/>
                    <w:jc w:val="center"/>
                    <w:rPr>
                      <w:b/>
                      <w:bCs/>
                      <w:color w:val="auto"/>
                      <w:szCs w:val="21"/>
                      <w:highlight w:val="none"/>
                    </w:rPr>
                  </w:pPr>
                  <w:r>
                    <w:rPr>
                      <w:b/>
                      <w:bCs/>
                      <w:color w:val="auto"/>
                      <w:szCs w:val="21"/>
                      <w:highlight w:val="none"/>
                    </w:rPr>
                    <w:t>排放浓度（mg/m</w:t>
                  </w:r>
                  <w:r>
                    <w:rPr>
                      <w:b/>
                      <w:bCs/>
                      <w:color w:val="auto"/>
                      <w:szCs w:val="21"/>
                      <w:highlight w:val="none"/>
                      <w:vertAlign w:val="superscript"/>
                    </w:rPr>
                    <w:t>3</w:t>
                  </w:r>
                  <w:r>
                    <w:rPr>
                      <w:b/>
                      <w:bCs/>
                      <w:color w:val="auto"/>
                      <w:szCs w:val="21"/>
                      <w:highlight w:val="none"/>
                    </w:rPr>
                    <w:t>）</w:t>
                  </w:r>
                </w:p>
              </w:tc>
            </w:tr>
            <w:tr w14:paraId="65AAF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606" w:type="dxa"/>
                  <w:vMerge w:val="restart"/>
                  <w:vAlign w:val="center"/>
                </w:tcPr>
                <w:p w14:paraId="542734B5">
                  <w:pPr>
                    <w:adjustRightInd w:val="0"/>
                    <w:snapToGrid w:val="0"/>
                    <w:jc w:val="center"/>
                    <w:rPr>
                      <w:color w:val="auto"/>
                      <w:szCs w:val="21"/>
                      <w:highlight w:val="none"/>
                    </w:rPr>
                  </w:pPr>
                  <w:r>
                    <w:rPr>
                      <w:rFonts w:hint="eastAsia"/>
                      <w:color w:val="auto"/>
                      <w:szCs w:val="21"/>
                      <w:highlight w:val="none"/>
                      <w:lang w:eastAsia="zh-CN"/>
                    </w:rPr>
                    <w:t>注塑</w:t>
                  </w:r>
                  <w:r>
                    <w:rPr>
                      <w:rFonts w:hint="eastAsia"/>
                      <w:color w:val="auto"/>
                      <w:szCs w:val="21"/>
                      <w:highlight w:val="none"/>
                    </w:rPr>
                    <w:t>工序（DA00</w:t>
                  </w:r>
                  <w:r>
                    <w:rPr>
                      <w:rFonts w:hint="eastAsia"/>
                      <w:color w:val="auto"/>
                      <w:szCs w:val="21"/>
                      <w:highlight w:val="none"/>
                      <w:lang w:val="en-US" w:eastAsia="zh-CN"/>
                    </w:rPr>
                    <w:t>1</w:t>
                  </w:r>
                  <w:r>
                    <w:rPr>
                      <w:rFonts w:hint="eastAsia"/>
                      <w:color w:val="auto"/>
                      <w:szCs w:val="21"/>
                      <w:highlight w:val="none"/>
                    </w:rPr>
                    <w:t>）</w:t>
                  </w:r>
                </w:p>
              </w:tc>
              <w:tc>
                <w:tcPr>
                  <w:tcW w:w="412" w:type="dxa"/>
                  <w:vMerge w:val="restart"/>
                  <w:vAlign w:val="center"/>
                </w:tcPr>
                <w:p w14:paraId="4F49B177">
                  <w:pPr>
                    <w:widowControl/>
                    <w:jc w:val="center"/>
                    <w:textAlignment w:val="center"/>
                    <w:rPr>
                      <w:color w:val="auto"/>
                      <w:szCs w:val="21"/>
                      <w:highlight w:val="none"/>
                    </w:rPr>
                  </w:pPr>
                  <w:r>
                    <w:rPr>
                      <w:color w:val="auto"/>
                      <w:kern w:val="0"/>
                      <w:szCs w:val="21"/>
                      <w:highlight w:val="none"/>
                      <w:lang w:bidi="ar"/>
                    </w:rPr>
                    <w:t>有组织</w:t>
                  </w:r>
                </w:p>
              </w:tc>
              <w:tc>
                <w:tcPr>
                  <w:tcW w:w="667" w:type="dxa"/>
                  <w:vAlign w:val="center"/>
                </w:tcPr>
                <w:p w14:paraId="092900CD">
                  <w:pPr>
                    <w:widowControl/>
                    <w:jc w:val="center"/>
                    <w:textAlignment w:val="center"/>
                    <w:rPr>
                      <w:color w:val="auto"/>
                      <w:szCs w:val="21"/>
                      <w:highlight w:val="none"/>
                    </w:rPr>
                  </w:pPr>
                  <w:r>
                    <w:rPr>
                      <w:color w:val="auto"/>
                      <w:kern w:val="0"/>
                      <w:szCs w:val="21"/>
                      <w:highlight w:val="none"/>
                      <w:lang w:bidi="ar"/>
                    </w:rPr>
                    <w:t>废气量</w:t>
                  </w:r>
                </w:p>
              </w:tc>
              <w:tc>
                <w:tcPr>
                  <w:tcW w:w="2693" w:type="dxa"/>
                  <w:gridSpan w:val="4"/>
                  <w:vAlign w:val="center"/>
                </w:tcPr>
                <w:p w14:paraId="579F34EF">
                  <w:pPr>
                    <w:widowControl/>
                    <w:jc w:val="center"/>
                    <w:textAlignment w:val="center"/>
                    <w:rPr>
                      <w:rFonts w:hint="eastAsia" w:eastAsia="宋体"/>
                      <w:color w:val="auto"/>
                      <w:kern w:val="0"/>
                      <w:szCs w:val="21"/>
                      <w:highlight w:val="none"/>
                      <w:lang w:val="en-US" w:eastAsia="zh-CN" w:bidi="ar"/>
                    </w:rPr>
                  </w:pPr>
                  <w:r>
                    <w:rPr>
                      <w:rFonts w:hint="eastAsia"/>
                      <w:color w:val="auto"/>
                      <w:kern w:val="0"/>
                      <w:szCs w:val="21"/>
                      <w:highlight w:val="none"/>
                      <w:lang w:val="en-US" w:eastAsia="zh-CN" w:bidi="ar"/>
                    </w:rPr>
                    <w:t>20000</w:t>
                  </w:r>
                  <w:r>
                    <w:rPr>
                      <w:color w:val="auto"/>
                      <w:kern w:val="0"/>
                      <w:szCs w:val="21"/>
                      <w:highlight w:val="none"/>
                      <w:lang w:bidi="ar"/>
                    </w:rPr>
                    <w:t>m</w:t>
                  </w:r>
                  <w:r>
                    <w:rPr>
                      <w:color w:val="auto"/>
                      <w:kern w:val="0"/>
                      <w:szCs w:val="21"/>
                      <w:highlight w:val="none"/>
                      <w:vertAlign w:val="superscript"/>
                      <w:lang w:bidi="ar"/>
                    </w:rPr>
                    <w:t>3</w:t>
                  </w:r>
                  <w:r>
                    <w:rPr>
                      <w:color w:val="auto"/>
                      <w:kern w:val="0"/>
                      <w:szCs w:val="21"/>
                      <w:highlight w:val="none"/>
                      <w:lang w:bidi="ar"/>
                    </w:rPr>
                    <w:t>/h，</w:t>
                  </w:r>
                  <w:r>
                    <w:rPr>
                      <w:rFonts w:hint="eastAsia"/>
                      <w:color w:val="auto"/>
                      <w:kern w:val="0"/>
                      <w:szCs w:val="21"/>
                      <w:highlight w:val="none"/>
                      <w:lang w:val="en-US" w:eastAsia="zh-CN" w:bidi="ar"/>
                    </w:rPr>
                    <w:t>4800</w:t>
                  </w:r>
                  <w:r>
                    <w:rPr>
                      <w:color w:val="auto"/>
                      <w:kern w:val="0"/>
                      <w:szCs w:val="21"/>
                      <w:highlight w:val="none"/>
                      <w:lang w:bidi="ar"/>
                    </w:rPr>
                    <w:t>万m</w:t>
                  </w:r>
                  <w:r>
                    <w:rPr>
                      <w:color w:val="auto"/>
                      <w:kern w:val="0"/>
                      <w:szCs w:val="21"/>
                      <w:highlight w:val="none"/>
                      <w:vertAlign w:val="superscript"/>
                      <w:lang w:bidi="ar"/>
                    </w:rPr>
                    <w:t>3</w:t>
                  </w:r>
                  <w:r>
                    <w:rPr>
                      <w:color w:val="auto"/>
                      <w:kern w:val="0"/>
                      <w:szCs w:val="21"/>
                      <w:highlight w:val="none"/>
                      <w:lang w:bidi="ar"/>
                    </w:rPr>
                    <w:t>/</w:t>
                  </w:r>
                  <w:r>
                    <w:rPr>
                      <w:rFonts w:hint="eastAsia"/>
                      <w:color w:val="auto"/>
                      <w:kern w:val="0"/>
                      <w:szCs w:val="21"/>
                      <w:highlight w:val="none"/>
                      <w:lang w:val="en-US" w:eastAsia="zh-CN" w:bidi="ar"/>
                    </w:rPr>
                    <w:t>a</w:t>
                  </w:r>
                </w:p>
              </w:tc>
              <w:tc>
                <w:tcPr>
                  <w:tcW w:w="1159" w:type="dxa"/>
                  <w:vMerge w:val="restart"/>
                  <w:vAlign w:val="center"/>
                </w:tcPr>
                <w:p w14:paraId="7F815617">
                  <w:pPr>
                    <w:widowControl/>
                    <w:jc w:val="center"/>
                    <w:textAlignment w:val="center"/>
                    <w:rPr>
                      <w:color w:val="auto"/>
                      <w:szCs w:val="21"/>
                      <w:highlight w:val="none"/>
                    </w:rPr>
                  </w:pPr>
                  <w:r>
                    <w:rPr>
                      <w:color w:val="auto"/>
                      <w:kern w:val="0"/>
                      <w:szCs w:val="21"/>
                      <w:highlight w:val="none"/>
                      <w:lang w:bidi="ar"/>
                    </w:rPr>
                    <w:t>集气罩收集（</w:t>
                  </w:r>
                  <w:r>
                    <w:rPr>
                      <w:rFonts w:hint="eastAsia"/>
                      <w:color w:val="auto"/>
                      <w:kern w:val="0"/>
                      <w:szCs w:val="21"/>
                      <w:highlight w:val="none"/>
                      <w:lang w:bidi="ar"/>
                    </w:rPr>
                    <w:t>80</w:t>
                  </w:r>
                  <w:r>
                    <w:rPr>
                      <w:color w:val="auto"/>
                      <w:kern w:val="0"/>
                      <w:szCs w:val="21"/>
                      <w:highlight w:val="none"/>
                      <w:lang w:bidi="ar"/>
                    </w:rPr>
                    <w:t>%）+</w:t>
                  </w:r>
                  <w:r>
                    <w:rPr>
                      <w:rFonts w:hint="eastAsia"/>
                      <w:color w:val="auto"/>
                      <w:kern w:val="0"/>
                      <w:szCs w:val="21"/>
                      <w:highlight w:val="none"/>
                      <w:lang w:val="zh-CN" w:bidi="ar"/>
                    </w:rPr>
                    <w:t>三级活性炭吸附装置</w:t>
                  </w:r>
                  <w:r>
                    <w:rPr>
                      <w:color w:val="auto"/>
                      <w:kern w:val="0"/>
                      <w:szCs w:val="21"/>
                      <w:highlight w:val="none"/>
                      <w:lang w:bidi="ar"/>
                    </w:rPr>
                    <w:t>（</w:t>
                  </w:r>
                  <w:r>
                    <w:rPr>
                      <w:rFonts w:hint="eastAsia"/>
                      <w:color w:val="auto"/>
                      <w:kern w:val="0"/>
                      <w:szCs w:val="21"/>
                      <w:highlight w:val="none"/>
                      <w:lang w:bidi="ar"/>
                    </w:rPr>
                    <w:t>80</w:t>
                  </w:r>
                  <w:r>
                    <w:rPr>
                      <w:color w:val="auto"/>
                      <w:kern w:val="0"/>
                      <w:szCs w:val="21"/>
                      <w:highlight w:val="none"/>
                      <w:lang w:bidi="ar"/>
                    </w:rPr>
                    <w:t>%）</w:t>
                  </w:r>
                </w:p>
              </w:tc>
              <w:tc>
                <w:tcPr>
                  <w:tcW w:w="2954" w:type="dxa"/>
                  <w:gridSpan w:val="5"/>
                  <w:vAlign w:val="center"/>
                </w:tcPr>
                <w:p w14:paraId="7CE3C398">
                  <w:pPr>
                    <w:widowControl/>
                    <w:jc w:val="center"/>
                    <w:textAlignment w:val="center"/>
                    <w:rPr>
                      <w:rFonts w:hint="eastAsia" w:eastAsia="宋体"/>
                      <w:color w:val="auto"/>
                      <w:kern w:val="0"/>
                      <w:szCs w:val="21"/>
                      <w:highlight w:val="none"/>
                      <w:lang w:val="en-US" w:eastAsia="zh-CN" w:bidi="ar"/>
                    </w:rPr>
                  </w:pPr>
                  <w:r>
                    <w:rPr>
                      <w:rFonts w:hint="eastAsia"/>
                      <w:color w:val="auto"/>
                      <w:kern w:val="0"/>
                      <w:szCs w:val="21"/>
                      <w:highlight w:val="none"/>
                      <w:lang w:val="en-US" w:eastAsia="zh-CN" w:bidi="ar"/>
                    </w:rPr>
                    <w:t>20000</w:t>
                  </w:r>
                  <w:r>
                    <w:rPr>
                      <w:color w:val="auto"/>
                      <w:kern w:val="0"/>
                      <w:szCs w:val="21"/>
                      <w:highlight w:val="none"/>
                      <w:lang w:bidi="ar"/>
                    </w:rPr>
                    <w:t>m</w:t>
                  </w:r>
                  <w:r>
                    <w:rPr>
                      <w:color w:val="auto"/>
                      <w:kern w:val="0"/>
                      <w:szCs w:val="21"/>
                      <w:highlight w:val="none"/>
                      <w:vertAlign w:val="superscript"/>
                      <w:lang w:bidi="ar"/>
                    </w:rPr>
                    <w:t>3</w:t>
                  </w:r>
                  <w:r>
                    <w:rPr>
                      <w:color w:val="auto"/>
                      <w:kern w:val="0"/>
                      <w:szCs w:val="21"/>
                      <w:highlight w:val="none"/>
                      <w:lang w:bidi="ar"/>
                    </w:rPr>
                    <w:t>/h，</w:t>
                  </w:r>
                  <w:r>
                    <w:rPr>
                      <w:rFonts w:hint="eastAsia"/>
                      <w:color w:val="auto"/>
                      <w:kern w:val="0"/>
                      <w:szCs w:val="21"/>
                      <w:highlight w:val="none"/>
                      <w:lang w:val="en-US" w:eastAsia="zh-CN" w:bidi="ar"/>
                    </w:rPr>
                    <w:t>4800</w:t>
                  </w:r>
                  <w:r>
                    <w:rPr>
                      <w:color w:val="auto"/>
                      <w:kern w:val="0"/>
                      <w:szCs w:val="21"/>
                      <w:highlight w:val="none"/>
                      <w:lang w:bidi="ar"/>
                    </w:rPr>
                    <w:t>万m</w:t>
                  </w:r>
                  <w:r>
                    <w:rPr>
                      <w:color w:val="auto"/>
                      <w:kern w:val="0"/>
                      <w:szCs w:val="21"/>
                      <w:highlight w:val="none"/>
                      <w:vertAlign w:val="superscript"/>
                      <w:lang w:bidi="ar"/>
                    </w:rPr>
                    <w:t>3</w:t>
                  </w:r>
                  <w:r>
                    <w:rPr>
                      <w:color w:val="auto"/>
                      <w:kern w:val="0"/>
                      <w:szCs w:val="21"/>
                      <w:highlight w:val="none"/>
                      <w:lang w:bidi="ar"/>
                    </w:rPr>
                    <w:t>/</w:t>
                  </w:r>
                  <w:r>
                    <w:rPr>
                      <w:rFonts w:hint="eastAsia"/>
                      <w:color w:val="auto"/>
                      <w:kern w:val="0"/>
                      <w:szCs w:val="21"/>
                      <w:highlight w:val="none"/>
                      <w:lang w:val="en-US" w:eastAsia="zh-CN" w:bidi="ar"/>
                    </w:rPr>
                    <w:t>a</w:t>
                  </w:r>
                </w:p>
              </w:tc>
            </w:tr>
            <w:tr w14:paraId="46961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6" w:type="dxa"/>
                  <w:vMerge w:val="continue"/>
                  <w:vAlign w:val="center"/>
                </w:tcPr>
                <w:p w14:paraId="74991320">
                  <w:pPr>
                    <w:adjustRightInd w:val="0"/>
                    <w:snapToGrid w:val="0"/>
                    <w:jc w:val="center"/>
                    <w:rPr>
                      <w:color w:val="auto"/>
                      <w:szCs w:val="21"/>
                      <w:highlight w:val="none"/>
                    </w:rPr>
                  </w:pPr>
                </w:p>
              </w:tc>
              <w:tc>
                <w:tcPr>
                  <w:tcW w:w="412" w:type="dxa"/>
                  <w:vMerge w:val="continue"/>
                  <w:vAlign w:val="center"/>
                </w:tcPr>
                <w:p w14:paraId="2134DC92">
                  <w:pPr>
                    <w:jc w:val="center"/>
                    <w:rPr>
                      <w:color w:val="auto"/>
                      <w:szCs w:val="21"/>
                      <w:highlight w:val="none"/>
                    </w:rPr>
                  </w:pPr>
                </w:p>
              </w:tc>
              <w:tc>
                <w:tcPr>
                  <w:tcW w:w="667" w:type="dxa"/>
                  <w:vAlign w:val="center"/>
                </w:tcPr>
                <w:p w14:paraId="6A899B2D">
                  <w:pPr>
                    <w:widowControl/>
                    <w:jc w:val="center"/>
                    <w:textAlignment w:val="center"/>
                    <w:rPr>
                      <w:color w:val="auto"/>
                      <w:szCs w:val="21"/>
                      <w:highlight w:val="none"/>
                    </w:rPr>
                  </w:pPr>
                  <w:r>
                    <w:rPr>
                      <w:color w:val="auto"/>
                      <w:kern w:val="0"/>
                      <w:szCs w:val="21"/>
                      <w:highlight w:val="none"/>
                      <w:lang w:bidi="ar"/>
                    </w:rPr>
                    <w:t>非甲烷总烃</w:t>
                  </w:r>
                </w:p>
              </w:tc>
              <w:tc>
                <w:tcPr>
                  <w:tcW w:w="738" w:type="dxa"/>
                  <w:vAlign w:val="center"/>
                </w:tcPr>
                <w:p w14:paraId="52CEED19">
                  <w:pPr>
                    <w:widowControl/>
                    <w:jc w:val="center"/>
                    <w:textAlignment w:val="center"/>
                    <w:rPr>
                      <w:rFonts w:hint="default" w:eastAsia="宋体"/>
                      <w:color w:val="auto"/>
                      <w:szCs w:val="21"/>
                      <w:highlight w:val="none"/>
                      <w:lang w:val="en-US" w:eastAsia="zh-CN"/>
                    </w:rPr>
                  </w:pPr>
                  <w:r>
                    <w:rPr>
                      <w:rFonts w:hint="eastAsia"/>
                      <w:color w:val="auto"/>
                      <w:kern w:val="0"/>
                      <w:szCs w:val="21"/>
                      <w:highlight w:val="none"/>
                      <w:lang w:val="en-US" w:eastAsia="zh-CN" w:bidi="ar"/>
                    </w:rPr>
                    <w:t>18.7726</w:t>
                  </w:r>
                </w:p>
              </w:tc>
              <w:tc>
                <w:tcPr>
                  <w:tcW w:w="816" w:type="dxa"/>
                  <w:gridSpan w:val="2"/>
                  <w:vAlign w:val="center"/>
                </w:tcPr>
                <w:p w14:paraId="255C06A8">
                  <w:pPr>
                    <w:widowControl/>
                    <w:jc w:val="center"/>
                    <w:textAlignment w:val="center"/>
                    <w:rPr>
                      <w:rFonts w:hint="default" w:eastAsia="宋体"/>
                      <w:color w:val="auto"/>
                      <w:szCs w:val="21"/>
                      <w:highlight w:val="none"/>
                      <w:lang w:val="en-US" w:eastAsia="zh-CN"/>
                    </w:rPr>
                  </w:pPr>
                  <w:r>
                    <w:rPr>
                      <w:rFonts w:hint="eastAsia"/>
                      <w:color w:val="auto"/>
                      <w:kern w:val="0"/>
                      <w:szCs w:val="21"/>
                      <w:highlight w:val="none"/>
                      <w:lang w:val="en-US" w:eastAsia="zh-CN" w:bidi="ar"/>
                    </w:rPr>
                    <w:t>7.8219</w:t>
                  </w:r>
                </w:p>
              </w:tc>
              <w:tc>
                <w:tcPr>
                  <w:tcW w:w="1139" w:type="dxa"/>
                  <w:vAlign w:val="center"/>
                </w:tcPr>
                <w:p w14:paraId="5C47C3A2">
                  <w:pPr>
                    <w:widowControl/>
                    <w:jc w:val="center"/>
                    <w:textAlignment w:val="center"/>
                    <w:rPr>
                      <w:rFonts w:hint="default" w:eastAsia="宋体"/>
                      <w:color w:val="auto"/>
                      <w:szCs w:val="21"/>
                      <w:highlight w:val="none"/>
                      <w:lang w:val="en-US" w:eastAsia="zh-CN"/>
                    </w:rPr>
                  </w:pPr>
                  <w:r>
                    <w:rPr>
                      <w:rFonts w:hint="eastAsia"/>
                      <w:color w:val="auto"/>
                      <w:szCs w:val="21"/>
                      <w:highlight w:val="none"/>
                      <w:lang w:val="en-US" w:eastAsia="zh-CN"/>
                    </w:rPr>
                    <w:t>391.10</w:t>
                  </w:r>
                </w:p>
              </w:tc>
              <w:tc>
                <w:tcPr>
                  <w:tcW w:w="1159" w:type="dxa"/>
                  <w:vMerge w:val="continue"/>
                  <w:vAlign w:val="center"/>
                </w:tcPr>
                <w:p w14:paraId="58DBC729">
                  <w:pPr>
                    <w:jc w:val="center"/>
                    <w:rPr>
                      <w:color w:val="auto"/>
                      <w:szCs w:val="21"/>
                      <w:highlight w:val="none"/>
                    </w:rPr>
                  </w:pPr>
                </w:p>
              </w:tc>
              <w:tc>
                <w:tcPr>
                  <w:tcW w:w="1048" w:type="dxa"/>
                  <w:gridSpan w:val="2"/>
                  <w:vAlign w:val="center"/>
                </w:tcPr>
                <w:p w14:paraId="389C8388">
                  <w:pPr>
                    <w:widowControl/>
                    <w:jc w:val="center"/>
                    <w:textAlignment w:val="center"/>
                    <w:rPr>
                      <w:rFonts w:hint="default" w:eastAsia="宋体"/>
                      <w:color w:val="auto"/>
                      <w:szCs w:val="21"/>
                      <w:highlight w:val="none"/>
                      <w:lang w:val="en-US" w:eastAsia="zh-CN"/>
                    </w:rPr>
                  </w:pPr>
                  <w:r>
                    <w:rPr>
                      <w:rFonts w:hint="eastAsia"/>
                      <w:color w:val="auto"/>
                      <w:szCs w:val="21"/>
                      <w:highlight w:val="none"/>
                      <w:lang w:val="en-US" w:eastAsia="zh-CN"/>
                    </w:rPr>
                    <w:t>3.7545</w:t>
                  </w:r>
                </w:p>
              </w:tc>
              <w:tc>
                <w:tcPr>
                  <w:tcW w:w="797" w:type="dxa"/>
                  <w:gridSpan w:val="2"/>
                  <w:vAlign w:val="center"/>
                </w:tcPr>
                <w:p w14:paraId="2651B699">
                  <w:pPr>
                    <w:widowControl/>
                    <w:jc w:val="center"/>
                    <w:textAlignment w:val="center"/>
                    <w:rPr>
                      <w:rFonts w:hint="default" w:eastAsia="宋体"/>
                      <w:color w:val="auto"/>
                      <w:szCs w:val="21"/>
                      <w:highlight w:val="none"/>
                      <w:lang w:val="en-US" w:eastAsia="zh-CN"/>
                    </w:rPr>
                  </w:pPr>
                  <w:r>
                    <w:rPr>
                      <w:rFonts w:hint="eastAsia"/>
                      <w:color w:val="auto"/>
                      <w:kern w:val="0"/>
                      <w:szCs w:val="21"/>
                      <w:highlight w:val="none"/>
                      <w:lang w:val="en-US" w:eastAsia="zh-CN" w:bidi="ar"/>
                    </w:rPr>
                    <w:t>1.5644</w:t>
                  </w:r>
                </w:p>
              </w:tc>
              <w:tc>
                <w:tcPr>
                  <w:tcW w:w="1109" w:type="dxa"/>
                  <w:vAlign w:val="center"/>
                </w:tcPr>
                <w:p w14:paraId="7EDF8345">
                  <w:pPr>
                    <w:widowControl/>
                    <w:jc w:val="center"/>
                    <w:textAlignment w:val="center"/>
                    <w:rPr>
                      <w:rFonts w:hint="default" w:eastAsia="宋体"/>
                      <w:color w:val="auto"/>
                      <w:szCs w:val="21"/>
                      <w:highlight w:val="none"/>
                      <w:lang w:val="en-US" w:eastAsia="zh-CN"/>
                    </w:rPr>
                  </w:pPr>
                  <w:r>
                    <w:rPr>
                      <w:rFonts w:hint="eastAsia"/>
                      <w:color w:val="auto"/>
                      <w:szCs w:val="21"/>
                      <w:highlight w:val="none"/>
                      <w:lang w:val="en-US" w:eastAsia="zh-CN"/>
                    </w:rPr>
                    <w:t>78.22</w:t>
                  </w:r>
                </w:p>
              </w:tc>
            </w:tr>
            <w:tr w14:paraId="7B3C4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6" w:type="dxa"/>
                  <w:vMerge w:val="continue"/>
                  <w:vAlign w:val="center"/>
                </w:tcPr>
                <w:p w14:paraId="5E93B54F">
                  <w:pPr>
                    <w:adjustRightInd w:val="0"/>
                    <w:snapToGrid w:val="0"/>
                    <w:jc w:val="center"/>
                    <w:rPr>
                      <w:color w:val="auto"/>
                      <w:szCs w:val="21"/>
                      <w:highlight w:val="none"/>
                    </w:rPr>
                  </w:pPr>
                </w:p>
              </w:tc>
              <w:tc>
                <w:tcPr>
                  <w:tcW w:w="412" w:type="dxa"/>
                  <w:vMerge w:val="continue"/>
                  <w:vAlign w:val="center"/>
                </w:tcPr>
                <w:p w14:paraId="62F61753">
                  <w:pPr>
                    <w:jc w:val="center"/>
                    <w:rPr>
                      <w:color w:val="auto"/>
                      <w:szCs w:val="21"/>
                      <w:highlight w:val="none"/>
                    </w:rPr>
                  </w:pPr>
                </w:p>
              </w:tc>
              <w:tc>
                <w:tcPr>
                  <w:tcW w:w="667" w:type="dxa"/>
                  <w:vAlign w:val="center"/>
                </w:tcPr>
                <w:p w14:paraId="029A04F6">
                  <w:pPr>
                    <w:widowControl/>
                    <w:jc w:val="center"/>
                    <w:textAlignment w:val="center"/>
                    <w:rPr>
                      <w:color w:val="auto"/>
                      <w:szCs w:val="21"/>
                      <w:highlight w:val="none"/>
                    </w:rPr>
                  </w:pPr>
                  <w:r>
                    <w:rPr>
                      <w:rFonts w:hint="eastAsia"/>
                      <w:color w:val="auto"/>
                      <w:kern w:val="0"/>
                      <w:szCs w:val="21"/>
                      <w:highlight w:val="none"/>
                      <w:lang w:bidi="ar"/>
                    </w:rPr>
                    <w:t>臭气浓度</w:t>
                  </w:r>
                </w:p>
              </w:tc>
              <w:tc>
                <w:tcPr>
                  <w:tcW w:w="738" w:type="dxa"/>
                  <w:vAlign w:val="center"/>
                </w:tcPr>
                <w:p w14:paraId="6DD816B2">
                  <w:pPr>
                    <w:widowControl/>
                    <w:jc w:val="center"/>
                    <w:textAlignment w:val="center"/>
                    <w:rPr>
                      <w:color w:val="auto"/>
                      <w:szCs w:val="21"/>
                      <w:highlight w:val="none"/>
                    </w:rPr>
                  </w:pPr>
                  <w:r>
                    <w:rPr>
                      <w:rFonts w:hint="eastAsia"/>
                      <w:color w:val="auto"/>
                      <w:szCs w:val="21"/>
                      <w:highlight w:val="none"/>
                    </w:rPr>
                    <w:t>少量</w:t>
                  </w:r>
                </w:p>
              </w:tc>
              <w:tc>
                <w:tcPr>
                  <w:tcW w:w="816" w:type="dxa"/>
                  <w:gridSpan w:val="2"/>
                  <w:vAlign w:val="center"/>
                </w:tcPr>
                <w:p w14:paraId="4A2C4F9E">
                  <w:pPr>
                    <w:widowControl/>
                    <w:jc w:val="center"/>
                    <w:textAlignment w:val="center"/>
                    <w:rPr>
                      <w:color w:val="auto"/>
                      <w:szCs w:val="21"/>
                      <w:highlight w:val="none"/>
                    </w:rPr>
                  </w:pPr>
                  <w:r>
                    <w:rPr>
                      <w:rFonts w:hint="eastAsia"/>
                      <w:color w:val="auto"/>
                      <w:kern w:val="0"/>
                      <w:szCs w:val="21"/>
                      <w:highlight w:val="none"/>
                      <w:lang w:bidi="ar"/>
                    </w:rPr>
                    <w:t>/</w:t>
                  </w:r>
                </w:p>
              </w:tc>
              <w:tc>
                <w:tcPr>
                  <w:tcW w:w="1139" w:type="dxa"/>
                  <w:vAlign w:val="center"/>
                </w:tcPr>
                <w:p w14:paraId="1A8D4252">
                  <w:pPr>
                    <w:widowControl/>
                    <w:jc w:val="center"/>
                    <w:textAlignment w:val="center"/>
                    <w:rPr>
                      <w:color w:val="auto"/>
                      <w:szCs w:val="21"/>
                      <w:highlight w:val="none"/>
                    </w:rPr>
                  </w:pPr>
                  <w:r>
                    <w:rPr>
                      <w:rFonts w:hint="eastAsia"/>
                      <w:color w:val="auto"/>
                      <w:szCs w:val="21"/>
                      <w:highlight w:val="none"/>
                      <w:lang w:val="en-US" w:eastAsia="zh-CN"/>
                    </w:rPr>
                    <w:t>6975</w:t>
                  </w:r>
                  <w:r>
                    <w:rPr>
                      <w:rFonts w:hint="eastAsia"/>
                      <w:color w:val="auto"/>
                      <w:szCs w:val="21"/>
                      <w:highlight w:val="none"/>
                    </w:rPr>
                    <w:t>（无量纲）</w:t>
                  </w:r>
                </w:p>
              </w:tc>
              <w:tc>
                <w:tcPr>
                  <w:tcW w:w="1159" w:type="dxa"/>
                  <w:vMerge w:val="continue"/>
                  <w:vAlign w:val="center"/>
                </w:tcPr>
                <w:p w14:paraId="2A48514A">
                  <w:pPr>
                    <w:jc w:val="center"/>
                    <w:rPr>
                      <w:color w:val="auto"/>
                      <w:szCs w:val="21"/>
                      <w:highlight w:val="none"/>
                    </w:rPr>
                  </w:pPr>
                </w:p>
              </w:tc>
              <w:tc>
                <w:tcPr>
                  <w:tcW w:w="1048" w:type="dxa"/>
                  <w:gridSpan w:val="2"/>
                  <w:vAlign w:val="center"/>
                </w:tcPr>
                <w:p w14:paraId="786F6923">
                  <w:pPr>
                    <w:widowControl/>
                    <w:jc w:val="center"/>
                    <w:textAlignment w:val="center"/>
                    <w:rPr>
                      <w:color w:val="auto"/>
                      <w:szCs w:val="21"/>
                      <w:highlight w:val="none"/>
                    </w:rPr>
                  </w:pPr>
                  <w:r>
                    <w:rPr>
                      <w:rFonts w:hint="eastAsia"/>
                      <w:color w:val="auto"/>
                      <w:kern w:val="0"/>
                      <w:szCs w:val="21"/>
                      <w:highlight w:val="none"/>
                      <w:lang w:bidi="ar"/>
                    </w:rPr>
                    <w:t>少量</w:t>
                  </w:r>
                </w:p>
              </w:tc>
              <w:tc>
                <w:tcPr>
                  <w:tcW w:w="797" w:type="dxa"/>
                  <w:gridSpan w:val="2"/>
                  <w:vAlign w:val="center"/>
                </w:tcPr>
                <w:p w14:paraId="1106351E">
                  <w:pPr>
                    <w:widowControl/>
                    <w:jc w:val="center"/>
                    <w:textAlignment w:val="center"/>
                    <w:rPr>
                      <w:color w:val="auto"/>
                      <w:szCs w:val="21"/>
                      <w:highlight w:val="none"/>
                    </w:rPr>
                  </w:pPr>
                  <w:r>
                    <w:rPr>
                      <w:rFonts w:hint="eastAsia"/>
                      <w:color w:val="auto"/>
                      <w:kern w:val="0"/>
                      <w:szCs w:val="21"/>
                      <w:highlight w:val="none"/>
                      <w:lang w:bidi="ar"/>
                    </w:rPr>
                    <w:t>/</w:t>
                  </w:r>
                </w:p>
              </w:tc>
              <w:tc>
                <w:tcPr>
                  <w:tcW w:w="1109" w:type="dxa"/>
                  <w:vAlign w:val="center"/>
                </w:tcPr>
                <w:p w14:paraId="0CB7A58F">
                  <w:pPr>
                    <w:widowControl/>
                    <w:jc w:val="center"/>
                    <w:textAlignment w:val="center"/>
                    <w:rPr>
                      <w:color w:val="auto"/>
                      <w:szCs w:val="21"/>
                      <w:highlight w:val="none"/>
                    </w:rPr>
                  </w:pPr>
                  <w:r>
                    <w:rPr>
                      <w:rFonts w:hint="eastAsia"/>
                      <w:color w:val="auto"/>
                      <w:szCs w:val="21"/>
                      <w:highlight w:val="none"/>
                      <w:lang w:val="en-US" w:eastAsia="zh-CN"/>
                    </w:rPr>
                    <w:t>1395</w:t>
                  </w:r>
                  <w:r>
                    <w:rPr>
                      <w:rFonts w:hint="eastAsia"/>
                      <w:color w:val="auto"/>
                      <w:szCs w:val="21"/>
                      <w:highlight w:val="none"/>
                    </w:rPr>
                    <w:t>（无量纲）</w:t>
                  </w:r>
                </w:p>
              </w:tc>
            </w:tr>
            <w:tr w14:paraId="33FA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6" w:type="dxa"/>
                  <w:vMerge w:val="continue"/>
                  <w:vAlign w:val="center"/>
                </w:tcPr>
                <w:p w14:paraId="39F1F114">
                  <w:pPr>
                    <w:adjustRightInd w:val="0"/>
                    <w:snapToGrid w:val="0"/>
                    <w:jc w:val="center"/>
                    <w:rPr>
                      <w:color w:val="auto"/>
                      <w:szCs w:val="21"/>
                      <w:highlight w:val="none"/>
                    </w:rPr>
                  </w:pPr>
                </w:p>
              </w:tc>
              <w:tc>
                <w:tcPr>
                  <w:tcW w:w="412" w:type="dxa"/>
                  <w:vMerge w:val="restart"/>
                  <w:vAlign w:val="center"/>
                </w:tcPr>
                <w:p w14:paraId="3711A81D">
                  <w:pPr>
                    <w:widowControl/>
                    <w:jc w:val="center"/>
                    <w:textAlignment w:val="center"/>
                    <w:rPr>
                      <w:color w:val="auto"/>
                      <w:szCs w:val="21"/>
                      <w:highlight w:val="none"/>
                    </w:rPr>
                  </w:pPr>
                  <w:r>
                    <w:rPr>
                      <w:color w:val="auto"/>
                      <w:kern w:val="0"/>
                      <w:szCs w:val="21"/>
                      <w:highlight w:val="none"/>
                      <w:lang w:bidi="ar"/>
                    </w:rPr>
                    <w:t>无组织</w:t>
                  </w:r>
                </w:p>
              </w:tc>
              <w:tc>
                <w:tcPr>
                  <w:tcW w:w="667" w:type="dxa"/>
                  <w:vAlign w:val="center"/>
                </w:tcPr>
                <w:p w14:paraId="666992DE">
                  <w:pPr>
                    <w:widowControl/>
                    <w:jc w:val="center"/>
                    <w:textAlignment w:val="center"/>
                    <w:rPr>
                      <w:color w:val="auto"/>
                      <w:szCs w:val="21"/>
                      <w:highlight w:val="none"/>
                    </w:rPr>
                  </w:pPr>
                  <w:r>
                    <w:rPr>
                      <w:color w:val="auto"/>
                      <w:kern w:val="0"/>
                      <w:szCs w:val="21"/>
                      <w:highlight w:val="none"/>
                      <w:lang w:bidi="ar"/>
                    </w:rPr>
                    <w:t>非甲烷总烃</w:t>
                  </w:r>
                </w:p>
              </w:tc>
              <w:tc>
                <w:tcPr>
                  <w:tcW w:w="738" w:type="dxa"/>
                  <w:vAlign w:val="center"/>
                </w:tcPr>
                <w:p w14:paraId="1F6EC9B5">
                  <w:pPr>
                    <w:widowControl/>
                    <w:jc w:val="center"/>
                    <w:textAlignment w:val="center"/>
                    <w:rPr>
                      <w:rFonts w:hint="default" w:eastAsia="宋体"/>
                      <w:color w:val="auto"/>
                      <w:szCs w:val="21"/>
                      <w:highlight w:val="none"/>
                      <w:lang w:val="en-US" w:eastAsia="zh-CN"/>
                    </w:rPr>
                  </w:pPr>
                  <w:r>
                    <w:rPr>
                      <w:rFonts w:hint="eastAsia"/>
                      <w:color w:val="auto"/>
                      <w:kern w:val="0"/>
                      <w:szCs w:val="21"/>
                      <w:highlight w:val="none"/>
                      <w:lang w:val="en-US" w:eastAsia="zh-CN" w:bidi="ar"/>
                    </w:rPr>
                    <w:t>4.6931</w:t>
                  </w:r>
                </w:p>
              </w:tc>
              <w:tc>
                <w:tcPr>
                  <w:tcW w:w="816" w:type="dxa"/>
                  <w:gridSpan w:val="2"/>
                  <w:vAlign w:val="center"/>
                </w:tcPr>
                <w:p w14:paraId="00D139B6">
                  <w:pPr>
                    <w:widowControl/>
                    <w:jc w:val="center"/>
                    <w:textAlignment w:val="center"/>
                    <w:rPr>
                      <w:rFonts w:hint="default" w:eastAsia="宋体"/>
                      <w:color w:val="auto"/>
                      <w:szCs w:val="21"/>
                      <w:highlight w:val="none"/>
                      <w:lang w:val="en-US" w:eastAsia="zh-CN"/>
                    </w:rPr>
                  </w:pPr>
                  <w:r>
                    <w:rPr>
                      <w:rFonts w:hint="eastAsia"/>
                      <w:color w:val="auto"/>
                      <w:kern w:val="0"/>
                      <w:szCs w:val="21"/>
                      <w:highlight w:val="none"/>
                      <w:lang w:val="en-US" w:eastAsia="zh-CN" w:bidi="ar"/>
                    </w:rPr>
                    <w:t>1.9555</w:t>
                  </w:r>
                </w:p>
              </w:tc>
              <w:tc>
                <w:tcPr>
                  <w:tcW w:w="1139" w:type="dxa"/>
                  <w:vAlign w:val="center"/>
                </w:tcPr>
                <w:p w14:paraId="3CE93D93">
                  <w:pPr>
                    <w:widowControl/>
                    <w:jc w:val="center"/>
                    <w:textAlignment w:val="center"/>
                    <w:rPr>
                      <w:color w:val="auto"/>
                      <w:szCs w:val="21"/>
                      <w:highlight w:val="none"/>
                    </w:rPr>
                  </w:pPr>
                  <w:r>
                    <w:rPr>
                      <w:color w:val="auto"/>
                      <w:kern w:val="0"/>
                      <w:szCs w:val="21"/>
                      <w:highlight w:val="none"/>
                      <w:lang w:bidi="ar"/>
                    </w:rPr>
                    <w:t>/</w:t>
                  </w:r>
                </w:p>
              </w:tc>
              <w:tc>
                <w:tcPr>
                  <w:tcW w:w="1159" w:type="dxa"/>
                  <w:vMerge w:val="restart"/>
                  <w:vAlign w:val="center"/>
                </w:tcPr>
                <w:p w14:paraId="5425C556">
                  <w:pPr>
                    <w:widowControl/>
                    <w:jc w:val="center"/>
                    <w:textAlignment w:val="center"/>
                    <w:rPr>
                      <w:color w:val="auto"/>
                      <w:szCs w:val="21"/>
                      <w:highlight w:val="none"/>
                    </w:rPr>
                  </w:pPr>
                  <w:r>
                    <w:rPr>
                      <w:color w:val="auto"/>
                      <w:kern w:val="0"/>
                      <w:szCs w:val="21"/>
                      <w:highlight w:val="none"/>
                      <w:lang w:bidi="ar"/>
                    </w:rPr>
                    <w:t>/</w:t>
                  </w:r>
                </w:p>
              </w:tc>
              <w:tc>
                <w:tcPr>
                  <w:tcW w:w="1048" w:type="dxa"/>
                  <w:gridSpan w:val="2"/>
                  <w:vAlign w:val="center"/>
                </w:tcPr>
                <w:p w14:paraId="4A3CA3BD">
                  <w:pPr>
                    <w:widowControl/>
                    <w:jc w:val="center"/>
                    <w:textAlignment w:val="center"/>
                    <w:rPr>
                      <w:color w:val="auto"/>
                      <w:szCs w:val="21"/>
                      <w:highlight w:val="none"/>
                    </w:rPr>
                  </w:pPr>
                  <w:r>
                    <w:rPr>
                      <w:rFonts w:hint="eastAsia"/>
                      <w:color w:val="auto"/>
                      <w:kern w:val="0"/>
                      <w:szCs w:val="21"/>
                      <w:highlight w:val="none"/>
                      <w:lang w:val="en-US" w:eastAsia="zh-CN" w:bidi="ar"/>
                    </w:rPr>
                    <w:t>4.6931</w:t>
                  </w:r>
                </w:p>
              </w:tc>
              <w:tc>
                <w:tcPr>
                  <w:tcW w:w="797" w:type="dxa"/>
                  <w:gridSpan w:val="2"/>
                  <w:vAlign w:val="center"/>
                </w:tcPr>
                <w:p w14:paraId="7C92E7FB">
                  <w:pPr>
                    <w:widowControl/>
                    <w:jc w:val="center"/>
                    <w:textAlignment w:val="center"/>
                    <w:rPr>
                      <w:color w:val="auto"/>
                      <w:szCs w:val="21"/>
                      <w:highlight w:val="none"/>
                    </w:rPr>
                  </w:pPr>
                  <w:r>
                    <w:rPr>
                      <w:rFonts w:hint="eastAsia"/>
                      <w:color w:val="auto"/>
                      <w:kern w:val="0"/>
                      <w:szCs w:val="21"/>
                      <w:highlight w:val="none"/>
                      <w:lang w:val="en-US" w:eastAsia="zh-CN" w:bidi="ar"/>
                    </w:rPr>
                    <w:t>1.9555</w:t>
                  </w:r>
                </w:p>
              </w:tc>
              <w:tc>
                <w:tcPr>
                  <w:tcW w:w="1109" w:type="dxa"/>
                  <w:vAlign w:val="center"/>
                </w:tcPr>
                <w:p w14:paraId="0A83D276">
                  <w:pPr>
                    <w:widowControl/>
                    <w:jc w:val="center"/>
                    <w:textAlignment w:val="center"/>
                    <w:rPr>
                      <w:color w:val="auto"/>
                      <w:szCs w:val="21"/>
                      <w:highlight w:val="none"/>
                    </w:rPr>
                  </w:pPr>
                  <w:r>
                    <w:rPr>
                      <w:color w:val="auto"/>
                      <w:kern w:val="0"/>
                      <w:szCs w:val="21"/>
                      <w:highlight w:val="none"/>
                      <w:lang w:bidi="ar"/>
                    </w:rPr>
                    <w:t>/</w:t>
                  </w:r>
                </w:p>
              </w:tc>
            </w:tr>
            <w:tr w14:paraId="33B7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6" w:type="dxa"/>
                  <w:vMerge w:val="continue"/>
                  <w:vAlign w:val="center"/>
                </w:tcPr>
                <w:p w14:paraId="603202F1">
                  <w:pPr>
                    <w:adjustRightInd w:val="0"/>
                    <w:snapToGrid w:val="0"/>
                    <w:jc w:val="center"/>
                    <w:rPr>
                      <w:color w:val="auto"/>
                      <w:szCs w:val="21"/>
                      <w:highlight w:val="none"/>
                    </w:rPr>
                  </w:pPr>
                </w:p>
              </w:tc>
              <w:tc>
                <w:tcPr>
                  <w:tcW w:w="412" w:type="dxa"/>
                  <w:vMerge w:val="continue"/>
                  <w:vAlign w:val="center"/>
                </w:tcPr>
                <w:p w14:paraId="6AB0F1B6">
                  <w:pPr>
                    <w:jc w:val="center"/>
                    <w:rPr>
                      <w:color w:val="auto"/>
                      <w:szCs w:val="21"/>
                      <w:highlight w:val="none"/>
                    </w:rPr>
                  </w:pPr>
                </w:p>
              </w:tc>
              <w:tc>
                <w:tcPr>
                  <w:tcW w:w="667" w:type="dxa"/>
                  <w:vAlign w:val="center"/>
                </w:tcPr>
                <w:p w14:paraId="5887F6D5">
                  <w:pPr>
                    <w:widowControl/>
                    <w:jc w:val="center"/>
                    <w:textAlignment w:val="center"/>
                    <w:rPr>
                      <w:color w:val="auto"/>
                      <w:szCs w:val="21"/>
                      <w:highlight w:val="none"/>
                    </w:rPr>
                  </w:pPr>
                  <w:r>
                    <w:rPr>
                      <w:rFonts w:hint="eastAsia"/>
                      <w:color w:val="auto"/>
                      <w:kern w:val="0"/>
                      <w:szCs w:val="21"/>
                      <w:highlight w:val="none"/>
                      <w:lang w:bidi="ar"/>
                    </w:rPr>
                    <w:t>臭气浓度</w:t>
                  </w:r>
                </w:p>
              </w:tc>
              <w:tc>
                <w:tcPr>
                  <w:tcW w:w="738" w:type="dxa"/>
                  <w:vAlign w:val="center"/>
                </w:tcPr>
                <w:p w14:paraId="4E7F77B9">
                  <w:pPr>
                    <w:widowControl/>
                    <w:jc w:val="center"/>
                    <w:textAlignment w:val="center"/>
                    <w:rPr>
                      <w:color w:val="auto"/>
                      <w:szCs w:val="21"/>
                      <w:highlight w:val="none"/>
                    </w:rPr>
                  </w:pPr>
                  <w:r>
                    <w:rPr>
                      <w:rFonts w:hint="eastAsia"/>
                      <w:color w:val="auto"/>
                      <w:szCs w:val="21"/>
                      <w:highlight w:val="none"/>
                    </w:rPr>
                    <w:t>少量</w:t>
                  </w:r>
                </w:p>
              </w:tc>
              <w:tc>
                <w:tcPr>
                  <w:tcW w:w="816" w:type="dxa"/>
                  <w:gridSpan w:val="2"/>
                  <w:vAlign w:val="center"/>
                </w:tcPr>
                <w:p w14:paraId="23BEDE53">
                  <w:pPr>
                    <w:widowControl/>
                    <w:jc w:val="center"/>
                    <w:textAlignment w:val="center"/>
                    <w:rPr>
                      <w:color w:val="auto"/>
                      <w:szCs w:val="21"/>
                      <w:highlight w:val="none"/>
                    </w:rPr>
                  </w:pPr>
                  <w:r>
                    <w:rPr>
                      <w:rFonts w:hint="eastAsia"/>
                      <w:color w:val="auto"/>
                      <w:kern w:val="0"/>
                      <w:szCs w:val="21"/>
                      <w:highlight w:val="none"/>
                      <w:lang w:bidi="ar"/>
                    </w:rPr>
                    <w:t>/</w:t>
                  </w:r>
                </w:p>
              </w:tc>
              <w:tc>
                <w:tcPr>
                  <w:tcW w:w="1139" w:type="dxa"/>
                  <w:vAlign w:val="center"/>
                </w:tcPr>
                <w:p w14:paraId="584865CF">
                  <w:pPr>
                    <w:widowControl/>
                    <w:jc w:val="center"/>
                    <w:textAlignment w:val="center"/>
                    <w:rPr>
                      <w:color w:val="auto"/>
                      <w:szCs w:val="21"/>
                      <w:highlight w:val="none"/>
                    </w:rPr>
                  </w:pPr>
                  <w:r>
                    <w:rPr>
                      <w:color w:val="auto"/>
                      <w:kern w:val="0"/>
                      <w:szCs w:val="21"/>
                      <w:highlight w:val="none"/>
                      <w:lang w:bidi="ar"/>
                    </w:rPr>
                    <w:t>/</w:t>
                  </w:r>
                </w:p>
              </w:tc>
              <w:tc>
                <w:tcPr>
                  <w:tcW w:w="1159" w:type="dxa"/>
                  <w:vMerge w:val="continue"/>
                  <w:vAlign w:val="center"/>
                </w:tcPr>
                <w:p w14:paraId="71AD2D93">
                  <w:pPr>
                    <w:jc w:val="center"/>
                    <w:rPr>
                      <w:color w:val="auto"/>
                      <w:szCs w:val="21"/>
                      <w:highlight w:val="none"/>
                    </w:rPr>
                  </w:pPr>
                </w:p>
              </w:tc>
              <w:tc>
                <w:tcPr>
                  <w:tcW w:w="1048" w:type="dxa"/>
                  <w:gridSpan w:val="2"/>
                  <w:vAlign w:val="center"/>
                </w:tcPr>
                <w:p w14:paraId="1FDB438F">
                  <w:pPr>
                    <w:widowControl/>
                    <w:jc w:val="center"/>
                    <w:textAlignment w:val="center"/>
                    <w:rPr>
                      <w:color w:val="auto"/>
                      <w:szCs w:val="21"/>
                      <w:highlight w:val="none"/>
                    </w:rPr>
                  </w:pPr>
                  <w:r>
                    <w:rPr>
                      <w:rFonts w:hint="eastAsia"/>
                      <w:color w:val="auto"/>
                      <w:szCs w:val="21"/>
                      <w:highlight w:val="none"/>
                    </w:rPr>
                    <w:t>少量</w:t>
                  </w:r>
                </w:p>
              </w:tc>
              <w:tc>
                <w:tcPr>
                  <w:tcW w:w="797" w:type="dxa"/>
                  <w:gridSpan w:val="2"/>
                  <w:vAlign w:val="center"/>
                </w:tcPr>
                <w:p w14:paraId="7B5542C6">
                  <w:pPr>
                    <w:widowControl/>
                    <w:jc w:val="center"/>
                    <w:textAlignment w:val="center"/>
                    <w:rPr>
                      <w:color w:val="auto"/>
                      <w:szCs w:val="21"/>
                      <w:highlight w:val="none"/>
                    </w:rPr>
                  </w:pPr>
                  <w:r>
                    <w:rPr>
                      <w:rFonts w:hint="eastAsia"/>
                      <w:color w:val="auto"/>
                      <w:kern w:val="0"/>
                      <w:szCs w:val="21"/>
                      <w:highlight w:val="none"/>
                      <w:lang w:bidi="ar"/>
                    </w:rPr>
                    <w:t>/</w:t>
                  </w:r>
                </w:p>
              </w:tc>
              <w:tc>
                <w:tcPr>
                  <w:tcW w:w="1109" w:type="dxa"/>
                  <w:vAlign w:val="center"/>
                </w:tcPr>
                <w:p w14:paraId="0E9A3B8E">
                  <w:pPr>
                    <w:widowControl/>
                    <w:jc w:val="center"/>
                    <w:textAlignment w:val="center"/>
                    <w:rPr>
                      <w:color w:val="auto"/>
                      <w:szCs w:val="21"/>
                      <w:highlight w:val="none"/>
                    </w:rPr>
                  </w:pPr>
                  <w:r>
                    <w:rPr>
                      <w:color w:val="auto"/>
                      <w:kern w:val="0"/>
                      <w:szCs w:val="21"/>
                      <w:highlight w:val="none"/>
                      <w:lang w:bidi="ar"/>
                    </w:rPr>
                    <w:t>/</w:t>
                  </w:r>
                </w:p>
              </w:tc>
            </w:tr>
            <w:tr w14:paraId="5C2B8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1" w:type="dxa"/>
                  <w:gridSpan w:val="13"/>
                  <w:vAlign w:val="center"/>
                </w:tcPr>
                <w:p w14:paraId="5CCA9311">
                  <w:pPr>
                    <w:adjustRightInd w:val="0"/>
                    <w:snapToGrid w:val="0"/>
                    <w:jc w:val="left"/>
                    <w:rPr>
                      <w:color w:val="auto"/>
                      <w:kern w:val="0"/>
                      <w:szCs w:val="21"/>
                      <w:lang w:bidi="ar"/>
                    </w:rPr>
                  </w:pPr>
                  <w:r>
                    <w:rPr>
                      <w:color w:val="auto"/>
                      <w:kern w:val="0"/>
                      <w:szCs w:val="21"/>
                      <w:lang w:bidi="ar"/>
                    </w:rPr>
                    <w:t>备注：①项目年运行时间为2400h；</w:t>
                  </w:r>
                </w:p>
                <w:p w14:paraId="2166D93D">
                  <w:pPr>
                    <w:adjustRightInd w:val="0"/>
                    <w:snapToGrid w:val="0"/>
                    <w:jc w:val="left"/>
                    <w:rPr>
                      <w:color w:val="auto"/>
                      <w:kern w:val="0"/>
                      <w:szCs w:val="21"/>
                      <w:lang w:bidi="ar"/>
                    </w:rPr>
                  </w:pPr>
                  <w:r>
                    <w:rPr>
                      <w:color w:val="auto"/>
                      <w:kern w:val="0"/>
                      <w:szCs w:val="21"/>
                      <w:lang w:bidi="ar"/>
                    </w:rPr>
                    <w:t>②DA00</w:t>
                  </w:r>
                  <w:r>
                    <w:rPr>
                      <w:rFonts w:hint="eastAsia"/>
                      <w:color w:val="auto"/>
                      <w:kern w:val="0"/>
                      <w:szCs w:val="21"/>
                      <w:lang w:val="en-US" w:eastAsia="zh-CN" w:bidi="ar"/>
                    </w:rPr>
                    <w:t>1</w:t>
                  </w:r>
                  <w:r>
                    <w:rPr>
                      <w:color w:val="auto"/>
                      <w:kern w:val="0"/>
                      <w:szCs w:val="21"/>
                      <w:lang w:bidi="ar"/>
                    </w:rPr>
                    <w:t>排气筒风机风量为</w:t>
                  </w:r>
                  <w:r>
                    <w:rPr>
                      <w:rFonts w:hint="eastAsia"/>
                      <w:color w:val="auto"/>
                      <w:kern w:val="0"/>
                      <w:szCs w:val="21"/>
                      <w:lang w:val="en-US" w:eastAsia="zh-CN" w:bidi="ar"/>
                    </w:rPr>
                    <w:t>20000</w:t>
                  </w:r>
                  <w:r>
                    <w:rPr>
                      <w:color w:val="auto"/>
                      <w:kern w:val="0"/>
                      <w:szCs w:val="21"/>
                      <w:lang w:bidi="ar"/>
                    </w:rPr>
                    <w:t>m</w:t>
                  </w:r>
                  <w:r>
                    <w:rPr>
                      <w:color w:val="auto"/>
                      <w:kern w:val="0"/>
                      <w:szCs w:val="21"/>
                      <w:vertAlign w:val="superscript"/>
                      <w:lang w:bidi="ar"/>
                    </w:rPr>
                    <w:t>3</w:t>
                  </w:r>
                  <w:r>
                    <w:rPr>
                      <w:color w:val="auto"/>
                      <w:kern w:val="0"/>
                      <w:szCs w:val="21"/>
                      <w:lang w:bidi="ar"/>
                    </w:rPr>
                    <w:t>/h，</w:t>
                  </w:r>
                  <w:r>
                    <w:rPr>
                      <w:rFonts w:hint="eastAsia"/>
                      <w:color w:val="auto"/>
                      <w:kern w:val="0"/>
                      <w:szCs w:val="21"/>
                      <w:lang w:val="en-US" w:eastAsia="zh-CN" w:bidi="ar"/>
                    </w:rPr>
                    <w:t>4800</w:t>
                  </w:r>
                  <w:r>
                    <w:rPr>
                      <w:color w:val="auto"/>
                      <w:kern w:val="0"/>
                      <w:szCs w:val="21"/>
                      <w:lang w:bidi="ar"/>
                    </w:rPr>
                    <w:t>万m</w:t>
                  </w:r>
                  <w:r>
                    <w:rPr>
                      <w:color w:val="auto"/>
                      <w:kern w:val="0"/>
                      <w:szCs w:val="21"/>
                      <w:vertAlign w:val="superscript"/>
                      <w:lang w:bidi="ar"/>
                    </w:rPr>
                    <w:t>3</w:t>
                  </w:r>
                  <w:r>
                    <w:rPr>
                      <w:color w:val="auto"/>
                      <w:kern w:val="0"/>
                      <w:szCs w:val="21"/>
                      <w:lang w:bidi="ar"/>
                    </w:rPr>
                    <w:t>/</w:t>
                  </w:r>
                  <w:r>
                    <w:rPr>
                      <w:rFonts w:hint="eastAsia"/>
                      <w:color w:val="auto"/>
                      <w:kern w:val="0"/>
                      <w:szCs w:val="21"/>
                      <w:lang w:val="en-US" w:eastAsia="zh-CN" w:bidi="ar"/>
                    </w:rPr>
                    <w:t>a</w:t>
                  </w:r>
                  <w:r>
                    <w:rPr>
                      <w:color w:val="auto"/>
                      <w:kern w:val="0"/>
                      <w:szCs w:val="21"/>
                      <w:lang w:bidi="ar"/>
                    </w:rPr>
                    <w:t>；</w:t>
                  </w:r>
                </w:p>
                <w:p w14:paraId="696BCEF0">
                  <w:pPr>
                    <w:adjustRightInd w:val="0"/>
                    <w:snapToGrid w:val="0"/>
                    <w:jc w:val="left"/>
                    <w:rPr>
                      <w:color w:val="auto"/>
                      <w:szCs w:val="21"/>
                    </w:rPr>
                  </w:pPr>
                  <w:r>
                    <w:rPr>
                      <w:color w:val="auto"/>
                      <w:kern w:val="0"/>
                      <w:szCs w:val="21"/>
                      <w:lang w:bidi="ar"/>
                    </w:rPr>
                    <w:t>③DA00</w:t>
                  </w:r>
                  <w:r>
                    <w:rPr>
                      <w:rFonts w:hint="eastAsia"/>
                      <w:color w:val="auto"/>
                      <w:kern w:val="0"/>
                      <w:szCs w:val="21"/>
                      <w:lang w:val="en-US" w:eastAsia="zh-CN" w:bidi="ar"/>
                    </w:rPr>
                    <w:t>1</w:t>
                  </w:r>
                  <w:r>
                    <w:rPr>
                      <w:color w:val="auto"/>
                      <w:kern w:val="0"/>
                      <w:szCs w:val="21"/>
                      <w:lang w:bidi="ar"/>
                    </w:rPr>
                    <w:t>排气筒执行《合成树脂工业污染物排放标准》（GB31572-2015）</w:t>
                  </w:r>
                  <w:r>
                    <w:rPr>
                      <w:rFonts w:hint="default" w:ascii="Times New Roman" w:hAnsi="Times New Roman" w:eastAsia="宋体" w:cs="Times New Roman"/>
                      <w:color w:val="auto"/>
                      <w:sz w:val="21"/>
                      <w:szCs w:val="21"/>
                      <w:highlight w:val="none"/>
                      <w:lang w:val="en-US" w:eastAsia="zh-CN"/>
                    </w:rPr>
                    <w:t>及2024年修改单中</w:t>
                  </w:r>
                  <w:r>
                    <w:rPr>
                      <w:color w:val="auto"/>
                      <w:kern w:val="0"/>
                      <w:szCs w:val="21"/>
                      <w:lang w:bidi="ar"/>
                    </w:rPr>
                    <w:t>相关大气污染物排放限值</w:t>
                  </w:r>
                  <w:r>
                    <w:rPr>
                      <w:rFonts w:hint="eastAsia"/>
                      <w:color w:val="auto"/>
                      <w:szCs w:val="21"/>
                    </w:rPr>
                    <w:t>；</w:t>
                  </w:r>
                  <w:r>
                    <w:rPr>
                      <w:color w:val="auto"/>
                      <w:kern w:val="0"/>
                      <w:szCs w:val="21"/>
                      <w:lang w:bidi="ar"/>
                    </w:rPr>
                    <w:t>臭气浓度执行《恶臭污染物排放标准》（GB14554-93）中标准限值要求。</w:t>
                  </w:r>
                </w:p>
              </w:tc>
            </w:tr>
          </w:tbl>
          <w:p w14:paraId="536CC6E3">
            <w:pPr>
              <w:adjustRightInd w:val="0"/>
              <w:snapToGrid w:val="0"/>
              <w:spacing w:line="360" w:lineRule="auto"/>
              <w:ind w:firstLine="482"/>
              <w:rPr>
                <w:b/>
                <w:color w:val="auto"/>
                <w:sz w:val="24"/>
              </w:rPr>
            </w:pPr>
            <w:r>
              <w:rPr>
                <w:rFonts w:hint="eastAsia"/>
                <w:color w:val="auto"/>
                <w:sz w:val="24"/>
              </w:rPr>
              <w:t>非甲烷总</w:t>
            </w:r>
            <w:r>
              <w:rPr>
                <w:rFonts w:hint="eastAsia"/>
                <w:color w:val="auto"/>
                <w:sz w:val="24"/>
                <w:szCs w:val="24"/>
              </w:rPr>
              <w:t>烃排放浓度满足</w:t>
            </w:r>
            <w:r>
              <w:rPr>
                <w:color w:val="auto"/>
                <w:sz w:val="24"/>
                <w:szCs w:val="24"/>
              </w:rPr>
              <w:t>《合成树脂工业污染物排放标准》（GB31572-2015）</w:t>
            </w:r>
            <w:r>
              <w:rPr>
                <w:rFonts w:hint="default" w:ascii="Times New Roman" w:hAnsi="Times New Roman" w:eastAsia="宋体" w:cs="Times New Roman"/>
                <w:color w:val="auto"/>
                <w:sz w:val="24"/>
                <w:szCs w:val="24"/>
                <w:highlight w:val="none"/>
                <w:lang w:val="en-US" w:eastAsia="zh-CN"/>
              </w:rPr>
              <w:t>及2024年修改单中</w:t>
            </w:r>
            <w:r>
              <w:rPr>
                <w:color w:val="auto"/>
                <w:sz w:val="24"/>
              </w:rPr>
              <w:t>相关大气污染物排放限值要求</w:t>
            </w:r>
            <w:r>
              <w:rPr>
                <w:rFonts w:hint="eastAsia"/>
                <w:color w:val="auto"/>
                <w:sz w:val="24"/>
              </w:rPr>
              <w:t>，</w:t>
            </w:r>
            <w:r>
              <w:rPr>
                <w:color w:val="auto"/>
                <w:sz w:val="24"/>
              </w:rPr>
              <w:t>臭气浓度</w:t>
            </w:r>
            <w:r>
              <w:rPr>
                <w:rFonts w:hint="eastAsia"/>
                <w:color w:val="auto"/>
                <w:sz w:val="24"/>
              </w:rPr>
              <w:t>能够满足</w:t>
            </w:r>
            <w:r>
              <w:rPr>
                <w:color w:val="auto"/>
                <w:sz w:val="24"/>
              </w:rPr>
              <w:t>《恶臭污染物排放标准》（GB14554-93）中标准限值要求</w:t>
            </w:r>
            <w:r>
              <w:rPr>
                <w:rFonts w:hint="eastAsia"/>
                <w:color w:val="auto"/>
                <w:sz w:val="24"/>
              </w:rPr>
              <w:t>；均能够达标排放。</w:t>
            </w:r>
          </w:p>
          <w:p w14:paraId="7B099843">
            <w:pPr>
              <w:numPr>
                <w:ilvl w:val="0"/>
                <w:numId w:val="0"/>
              </w:numPr>
              <w:adjustRightInd w:val="0"/>
              <w:snapToGrid w:val="0"/>
              <w:spacing w:line="360" w:lineRule="auto"/>
              <w:ind w:firstLine="482" w:firstLineChars="200"/>
              <w:rPr>
                <w:color w:val="auto"/>
                <w:sz w:val="24"/>
              </w:rPr>
            </w:pPr>
            <w:r>
              <w:rPr>
                <w:rFonts w:hint="eastAsia"/>
                <w:b/>
                <w:bCs/>
                <w:color w:val="auto"/>
                <w:sz w:val="24"/>
                <w:lang w:eastAsia="zh-CN"/>
              </w:rPr>
              <w:t>（</w:t>
            </w:r>
            <w:r>
              <w:rPr>
                <w:rFonts w:hint="eastAsia"/>
                <w:b/>
                <w:bCs/>
                <w:color w:val="auto"/>
                <w:sz w:val="24"/>
                <w:lang w:val="en-US" w:eastAsia="zh-CN"/>
              </w:rPr>
              <w:t>3</w:t>
            </w:r>
            <w:r>
              <w:rPr>
                <w:rFonts w:hint="eastAsia"/>
                <w:b/>
                <w:bCs/>
                <w:color w:val="auto"/>
                <w:sz w:val="24"/>
                <w:lang w:eastAsia="zh-CN"/>
              </w:rPr>
              <w:t>）破碎</w:t>
            </w:r>
            <w:r>
              <w:rPr>
                <w:rFonts w:hint="eastAsia"/>
                <w:b/>
                <w:bCs/>
                <w:color w:val="auto"/>
                <w:sz w:val="24"/>
              </w:rPr>
              <w:t>废气</w:t>
            </w:r>
          </w:p>
          <w:p w14:paraId="736443AD">
            <w:pPr>
              <w:adjustRightInd w:val="0"/>
              <w:snapToGrid w:val="0"/>
              <w:spacing w:line="360" w:lineRule="auto"/>
              <w:ind w:firstLine="480" w:firstLineChars="200"/>
              <w:rPr>
                <w:rFonts w:hint="eastAsia"/>
                <w:color w:val="auto"/>
                <w:sz w:val="24"/>
                <w:lang w:eastAsia="zh-CN"/>
              </w:rPr>
            </w:pPr>
            <w:r>
              <w:rPr>
                <w:rFonts w:hint="eastAsia"/>
                <w:color w:val="auto"/>
                <w:sz w:val="24"/>
              </w:rPr>
              <w:t>项目产品在冷却定型后需对不平整的边缘进行人工切割修整，此过程产生边角料，产品入库检验过程产生不合格产品</w:t>
            </w:r>
            <w:r>
              <w:rPr>
                <w:rFonts w:hint="eastAsia"/>
                <w:color w:val="auto"/>
                <w:sz w:val="24"/>
                <w:lang w:eastAsia="zh-CN"/>
              </w:rPr>
              <w:t>，注塑过程产生未成形产品等</w:t>
            </w:r>
            <w:r>
              <w:rPr>
                <w:rFonts w:hint="eastAsia"/>
                <w:color w:val="auto"/>
                <w:sz w:val="24"/>
              </w:rPr>
              <w:t>。本项目生产过程产生的边角料及不合格产品</w:t>
            </w:r>
            <w:r>
              <w:rPr>
                <w:rFonts w:hint="eastAsia"/>
                <w:color w:val="auto"/>
                <w:sz w:val="24"/>
                <w:lang w:eastAsia="zh-CN"/>
              </w:rPr>
              <w:t>、未成形产品</w:t>
            </w:r>
            <w:r>
              <w:rPr>
                <w:rFonts w:hint="eastAsia"/>
                <w:color w:val="auto"/>
                <w:sz w:val="24"/>
              </w:rPr>
              <w:t>经集中收集后进行</w:t>
            </w:r>
            <w:r>
              <w:rPr>
                <w:color w:val="auto"/>
                <w:sz w:val="24"/>
              </w:rPr>
              <w:t>破碎处理，破碎至粒径为</w:t>
            </w:r>
            <w:r>
              <w:rPr>
                <w:rFonts w:hint="eastAsia"/>
                <w:color w:val="auto"/>
                <w:sz w:val="24"/>
                <w:lang w:val="en-US" w:eastAsia="zh-CN"/>
              </w:rPr>
              <w:t>5-10</w:t>
            </w:r>
            <w:r>
              <w:rPr>
                <w:rFonts w:hint="eastAsia"/>
                <w:color w:val="auto"/>
                <w:sz w:val="24"/>
              </w:rPr>
              <w:t>mm</w:t>
            </w:r>
            <w:r>
              <w:rPr>
                <w:color w:val="auto"/>
                <w:sz w:val="24"/>
              </w:rPr>
              <w:t>的颗粒后外售，参照中华人民共和国生态环境部2021年6月11日发布的《排放源统计调查产排污核算方法和系数手册》的公告（公告2021年第24号）中《42废弃资源综合利用行业系数手册》4220非金属废料和碎屑加工处理行业系数表中的产排污系数进行计算，本项目破碎原料为废PE</w:t>
            </w:r>
            <w:r>
              <w:rPr>
                <w:rFonts w:hint="eastAsia"/>
                <w:color w:val="auto"/>
                <w:sz w:val="24"/>
                <w:lang w:eastAsia="zh-CN"/>
              </w:rPr>
              <w:t>、</w:t>
            </w:r>
            <w:r>
              <w:rPr>
                <w:color w:val="auto"/>
                <w:sz w:val="24"/>
              </w:rPr>
              <w:t>PP，工艺为干法破碎过程颗粒物产生量为0.375kg/t-原料，本项目生产过程边角料及不合格产品</w:t>
            </w:r>
            <w:r>
              <w:rPr>
                <w:rFonts w:hint="eastAsia"/>
                <w:color w:val="auto"/>
                <w:sz w:val="24"/>
                <w:lang w:eastAsia="zh-CN"/>
              </w:rPr>
              <w:t>、未成形产品</w:t>
            </w:r>
            <w:r>
              <w:rPr>
                <w:color w:val="auto"/>
                <w:sz w:val="24"/>
              </w:rPr>
              <w:t>产生量为</w:t>
            </w:r>
            <w:r>
              <w:rPr>
                <w:rFonts w:hint="eastAsia"/>
                <w:color w:val="auto"/>
                <w:sz w:val="24"/>
                <w:lang w:val="en-US" w:eastAsia="zh-CN"/>
              </w:rPr>
              <w:t>21.7275</w:t>
            </w:r>
            <w:r>
              <w:rPr>
                <w:color w:val="auto"/>
                <w:sz w:val="24"/>
              </w:rPr>
              <w:t>t/a，则破碎过程颗粒物产生量为</w:t>
            </w:r>
            <w:r>
              <w:rPr>
                <w:rFonts w:hint="eastAsia"/>
                <w:color w:val="auto"/>
                <w:sz w:val="24"/>
              </w:rPr>
              <w:t>0.00</w:t>
            </w:r>
            <w:r>
              <w:rPr>
                <w:rFonts w:hint="eastAsia"/>
                <w:color w:val="auto"/>
                <w:sz w:val="24"/>
                <w:lang w:val="en-US" w:eastAsia="zh-CN"/>
              </w:rPr>
              <w:t>81</w:t>
            </w:r>
            <w:r>
              <w:rPr>
                <w:rFonts w:hint="eastAsia"/>
                <w:color w:val="auto"/>
                <w:sz w:val="24"/>
              </w:rPr>
              <w:t>t/a，半个月</w:t>
            </w:r>
            <w:r>
              <w:rPr>
                <w:color w:val="auto"/>
                <w:sz w:val="24"/>
              </w:rPr>
              <w:t>破碎一次，每次1h</w:t>
            </w:r>
            <w:r>
              <w:rPr>
                <w:rFonts w:hint="eastAsia"/>
                <w:color w:val="auto"/>
                <w:sz w:val="24"/>
                <w:lang w:eastAsia="zh-CN"/>
              </w:rPr>
              <w:t>（</w:t>
            </w:r>
            <w:r>
              <w:rPr>
                <w:rFonts w:hint="eastAsia"/>
                <w:color w:val="auto"/>
                <w:sz w:val="24"/>
                <w:szCs w:val="24"/>
                <w:lang w:eastAsia="zh-CN"/>
              </w:rPr>
              <w:t>年破碎</w:t>
            </w:r>
            <w:r>
              <w:rPr>
                <w:rFonts w:hint="eastAsia"/>
                <w:color w:val="auto"/>
                <w:kern w:val="0"/>
                <w:sz w:val="24"/>
                <w:szCs w:val="24"/>
                <w:lang w:bidi="ar"/>
              </w:rPr>
              <w:t>2</w:t>
            </w:r>
            <w:r>
              <w:rPr>
                <w:rFonts w:hint="eastAsia"/>
                <w:color w:val="auto"/>
                <w:kern w:val="0"/>
                <w:sz w:val="24"/>
                <w:szCs w:val="24"/>
                <w:lang w:val="en-US" w:eastAsia="zh-CN" w:bidi="ar"/>
              </w:rPr>
              <w:t>4</w:t>
            </w:r>
            <w:r>
              <w:rPr>
                <w:rFonts w:hint="eastAsia"/>
                <w:color w:val="auto"/>
                <w:kern w:val="0"/>
                <w:sz w:val="24"/>
                <w:szCs w:val="24"/>
                <w:lang w:bidi="ar"/>
              </w:rPr>
              <w:t>h</w:t>
            </w:r>
            <w:r>
              <w:rPr>
                <w:rFonts w:hint="eastAsia"/>
                <w:color w:val="auto"/>
                <w:sz w:val="24"/>
                <w:lang w:eastAsia="zh-CN"/>
              </w:rPr>
              <w:t>）</w:t>
            </w:r>
            <w:r>
              <w:rPr>
                <w:color w:val="auto"/>
                <w:sz w:val="24"/>
              </w:rPr>
              <w:t>，</w:t>
            </w:r>
            <w:r>
              <w:rPr>
                <w:rFonts w:hint="eastAsia"/>
                <w:color w:val="auto"/>
                <w:sz w:val="24"/>
              </w:rPr>
              <w:t>产生速率为0.</w:t>
            </w:r>
            <w:r>
              <w:rPr>
                <w:rFonts w:hint="eastAsia"/>
                <w:color w:val="auto"/>
                <w:sz w:val="24"/>
                <w:lang w:val="en-US" w:eastAsia="zh-CN"/>
              </w:rPr>
              <w:t>3375</w:t>
            </w:r>
            <w:r>
              <w:rPr>
                <w:rFonts w:hint="eastAsia"/>
                <w:color w:val="auto"/>
                <w:sz w:val="24"/>
              </w:rPr>
              <w:t>kg/h</w:t>
            </w:r>
            <w:r>
              <w:rPr>
                <w:rFonts w:hint="eastAsia"/>
                <w:color w:val="auto"/>
                <w:sz w:val="24"/>
                <w:lang w:eastAsia="zh-CN"/>
              </w:rPr>
              <w:t>。</w:t>
            </w:r>
          </w:p>
          <w:p w14:paraId="4249AC4F">
            <w:pPr>
              <w:adjustRightInd w:val="0"/>
              <w:snapToGrid w:val="0"/>
              <w:spacing w:line="360" w:lineRule="auto"/>
              <w:ind w:firstLine="480" w:firstLineChars="200"/>
              <w:rPr>
                <w:color w:val="auto"/>
                <w:sz w:val="24"/>
              </w:rPr>
            </w:pPr>
            <w:r>
              <w:rPr>
                <w:rFonts w:hint="eastAsia"/>
                <w:color w:val="auto"/>
                <w:sz w:val="24"/>
              </w:rPr>
              <w:t>本项目设置</w:t>
            </w:r>
            <w:r>
              <w:rPr>
                <w:rFonts w:hint="eastAsia"/>
                <w:color w:val="auto"/>
                <w:sz w:val="24"/>
                <w:lang w:val="en-US" w:eastAsia="zh-CN"/>
              </w:rPr>
              <w:t>2</w:t>
            </w:r>
            <w:r>
              <w:rPr>
                <w:rFonts w:hint="eastAsia"/>
                <w:color w:val="auto"/>
                <w:sz w:val="24"/>
              </w:rPr>
              <w:t>台破碎机用于边角料和不合格产品</w:t>
            </w:r>
            <w:r>
              <w:rPr>
                <w:rFonts w:hint="eastAsia"/>
                <w:color w:val="auto"/>
                <w:sz w:val="24"/>
                <w:lang w:eastAsia="zh-CN"/>
              </w:rPr>
              <w:t>、</w:t>
            </w:r>
            <w:r>
              <w:rPr>
                <w:rFonts w:hint="eastAsia"/>
                <w:color w:val="auto"/>
                <w:sz w:val="24"/>
                <w:lang w:val="en-US" w:eastAsia="zh-CN"/>
              </w:rPr>
              <w:t>未成型产品</w:t>
            </w:r>
            <w:r>
              <w:rPr>
                <w:rFonts w:hint="eastAsia"/>
                <w:color w:val="auto"/>
                <w:sz w:val="24"/>
              </w:rPr>
              <w:t>破碎，本环评提出在破碎机上方安装1个集气罩（总共</w:t>
            </w:r>
            <w:r>
              <w:rPr>
                <w:rFonts w:hint="eastAsia"/>
                <w:color w:val="auto"/>
                <w:sz w:val="24"/>
                <w:lang w:val="en-US" w:eastAsia="zh-CN"/>
              </w:rPr>
              <w:t>2</w:t>
            </w:r>
            <w:r>
              <w:rPr>
                <w:rFonts w:hint="eastAsia"/>
                <w:color w:val="auto"/>
                <w:sz w:val="24"/>
              </w:rPr>
              <w:t>个集气罩），收集后</w:t>
            </w:r>
            <w:r>
              <w:rPr>
                <w:rFonts w:hint="eastAsia"/>
                <w:bCs/>
                <w:color w:val="auto"/>
                <w:sz w:val="24"/>
              </w:rPr>
              <w:t>经一套经</w:t>
            </w:r>
            <w:r>
              <w:rPr>
                <w:rFonts w:hint="eastAsia"/>
                <w:color w:val="auto"/>
                <w:sz w:val="24"/>
              </w:rPr>
              <w:t>布袋除尘器处理后经1根15m高排气筒（DA00</w:t>
            </w:r>
            <w:r>
              <w:rPr>
                <w:rFonts w:hint="eastAsia"/>
                <w:color w:val="auto"/>
                <w:sz w:val="24"/>
                <w:lang w:val="en-US" w:eastAsia="zh-CN"/>
              </w:rPr>
              <w:t>2</w:t>
            </w:r>
            <w:r>
              <w:rPr>
                <w:rFonts w:hint="eastAsia"/>
                <w:color w:val="auto"/>
                <w:sz w:val="24"/>
              </w:rPr>
              <w:t>）排放</w:t>
            </w:r>
            <w:r>
              <w:rPr>
                <w:color w:val="auto"/>
                <w:sz w:val="24"/>
              </w:rPr>
              <w:t>，</w:t>
            </w:r>
            <w:r>
              <w:rPr>
                <w:rFonts w:hint="eastAsia"/>
                <w:color w:val="auto"/>
                <w:sz w:val="24"/>
              </w:rPr>
              <w:t>集气罩收集效率约80%，布袋除尘效率约为95%，风机风量为1000m</w:t>
            </w:r>
            <w:r>
              <w:rPr>
                <w:rFonts w:hint="eastAsia"/>
                <w:color w:val="auto"/>
                <w:sz w:val="24"/>
                <w:vertAlign w:val="superscript"/>
              </w:rPr>
              <w:t>3</w:t>
            </w:r>
            <w:r>
              <w:rPr>
                <w:rFonts w:hint="eastAsia"/>
                <w:color w:val="auto"/>
                <w:sz w:val="24"/>
              </w:rPr>
              <w:t>/h。</w:t>
            </w:r>
          </w:p>
          <w:p w14:paraId="4D52366E">
            <w:pPr>
              <w:spacing w:line="360" w:lineRule="auto"/>
              <w:ind w:firstLine="480" w:firstLineChars="200"/>
              <w:rPr>
                <w:b/>
                <w:bCs/>
                <w:color w:val="auto"/>
              </w:rPr>
            </w:pPr>
            <w:r>
              <w:rPr>
                <w:color w:val="auto"/>
                <w:kern w:val="0"/>
                <w:sz w:val="24"/>
              </w:rPr>
              <w:t>根据</w:t>
            </w:r>
            <w:r>
              <w:rPr>
                <w:color w:val="auto"/>
                <w:sz w:val="24"/>
              </w:rPr>
              <w:t>《大气污染治理工程技术导则》（HJ2000-2010）中5.3.5排气筒的出口直径应根据出口流速确定，流速宜取15m/s左右。当采用钢管烟囱且高度较高时或烟气量较大时，可适当提高出口流速至20~25m/s。本项目DA00</w:t>
            </w:r>
            <w:r>
              <w:rPr>
                <w:rFonts w:hint="eastAsia"/>
                <w:color w:val="auto"/>
                <w:sz w:val="24"/>
                <w:lang w:val="en-US" w:eastAsia="zh-CN"/>
              </w:rPr>
              <w:t>2</w:t>
            </w:r>
            <w:r>
              <w:rPr>
                <w:color w:val="auto"/>
                <w:sz w:val="24"/>
              </w:rPr>
              <w:t>排气筒废气量为</w:t>
            </w:r>
            <w:r>
              <w:rPr>
                <w:rFonts w:hint="eastAsia"/>
                <w:color w:val="auto"/>
                <w:sz w:val="24"/>
              </w:rPr>
              <w:t>1000</w:t>
            </w:r>
            <w:r>
              <w:rPr>
                <w:color w:val="auto"/>
                <w:sz w:val="24"/>
              </w:rPr>
              <w:t>m</w:t>
            </w:r>
            <w:r>
              <w:rPr>
                <w:color w:val="auto"/>
                <w:sz w:val="24"/>
                <w:vertAlign w:val="superscript"/>
              </w:rPr>
              <w:t>3</w:t>
            </w:r>
            <w:r>
              <w:rPr>
                <w:color w:val="auto"/>
                <w:sz w:val="24"/>
              </w:rPr>
              <w:t>/h，内径取0.</w:t>
            </w:r>
            <w:r>
              <w:rPr>
                <w:rFonts w:hint="eastAsia"/>
                <w:color w:val="auto"/>
                <w:sz w:val="24"/>
              </w:rPr>
              <w:t>15</w:t>
            </w:r>
            <w:r>
              <w:rPr>
                <w:color w:val="auto"/>
                <w:sz w:val="24"/>
              </w:rPr>
              <w:t>m，此时对应的烟气流速为</w:t>
            </w:r>
            <w:r>
              <w:rPr>
                <w:rFonts w:hint="eastAsia"/>
                <w:color w:val="auto"/>
                <w:sz w:val="24"/>
              </w:rPr>
              <w:t>15.72</w:t>
            </w:r>
            <w:r>
              <w:rPr>
                <w:color w:val="auto"/>
                <w:sz w:val="24"/>
              </w:rPr>
              <w:t>m/s，能够符合导则要求。</w:t>
            </w:r>
          </w:p>
          <w:p w14:paraId="07F061BC">
            <w:pPr>
              <w:jc w:val="center"/>
              <w:rPr>
                <w:b/>
                <w:bCs/>
                <w:color w:val="auto"/>
              </w:rPr>
            </w:pPr>
            <w:r>
              <w:rPr>
                <w:b/>
                <w:bCs/>
                <w:color w:val="auto"/>
              </w:rPr>
              <w:t>表4-</w:t>
            </w:r>
            <w:r>
              <w:rPr>
                <w:rFonts w:hint="eastAsia"/>
                <w:b/>
                <w:bCs/>
                <w:color w:val="auto"/>
                <w:lang w:val="en-US" w:eastAsia="zh-CN"/>
              </w:rPr>
              <w:t>5</w:t>
            </w:r>
            <w:r>
              <w:rPr>
                <w:b/>
                <w:bCs/>
                <w:color w:val="auto"/>
              </w:rPr>
              <w:t xml:space="preserve">  项目</w:t>
            </w:r>
            <w:r>
              <w:rPr>
                <w:rFonts w:hint="eastAsia"/>
                <w:b/>
                <w:bCs/>
                <w:color w:val="auto"/>
              </w:rPr>
              <w:t>DA00</w:t>
            </w:r>
            <w:r>
              <w:rPr>
                <w:rFonts w:hint="eastAsia"/>
                <w:b/>
                <w:bCs/>
                <w:color w:val="auto"/>
                <w:lang w:val="en-US" w:eastAsia="zh-CN"/>
              </w:rPr>
              <w:t>2</w:t>
            </w:r>
            <w:r>
              <w:rPr>
                <w:rFonts w:hint="eastAsia"/>
                <w:b/>
                <w:bCs/>
                <w:color w:val="auto"/>
              </w:rPr>
              <w:t>排气筒</w:t>
            </w:r>
            <w:r>
              <w:rPr>
                <w:b/>
                <w:bCs/>
                <w:color w:val="auto"/>
              </w:rPr>
              <w:t>废气产排情况一览表</w:t>
            </w:r>
          </w:p>
          <w:tbl>
            <w:tblPr>
              <w:tblStyle w:val="30"/>
              <w:tblW w:w="84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
              <w:gridCol w:w="555"/>
              <w:gridCol w:w="695"/>
              <w:gridCol w:w="835"/>
              <w:gridCol w:w="930"/>
              <w:gridCol w:w="1185"/>
              <w:gridCol w:w="873"/>
              <w:gridCol w:w="912"/>
              <w:gridCol w:w="930"/>
              <w:gridCol w:w="1117"/>
            </w:tblGrid>
            <w:tr w14:paraId="6C4A8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dxa"/>
                  <w:vAlign w:val="center"/>
                </w:tcPr>
                <w:p w14:paraId="5FC51976">
                  <w:pPr>
                    <w:adjustRightInd w:val="0"/>
                    <w:snapToGrid w:val="0"/>
                    <w:jc w:val="center"/>
                    <w:rPr>
                      <w:b/>
                      <w:bCs/>
                      <w:color w:val="auto"/>
                      <w:szCs w:val="21"/>
                    </w:rPr>
                  </w:pPr>
                  <w:r>
                    <w:rPr>
                      <w:b/>
                      <w:bCs/>
                      <w:color w:val="auto"/>
                      <w:szCs w:val="21"/>
                    </w:rPr>
                    <w:t>污染源</w:t>
                  </w:r>
                </w:p>
              </w:tc>
              <w:tc>
                <w:tcPr>
                  <w:tcW w:w="555" w:type="dxa"/>
                  <w:vAlign w:val="center"/>
                </w:tcPr>
                <w:p w14:paraId="4E1523D6">
                  <w:pPr>
                    <w:adjustRightInd w:val="0"/>
                    <w:snapToGrid w:val="0"/>
                    <w:jc w:val="center"/>
                    <w:rPr>
                      <w:b/>
                      <w:bCs/>
                      <w:color w:val="auto"/>
                      <w:szCs w:val="21"/>
                    </w:rPr>
                  </w:pPr>
                  <w:r>
                    <w:rPr>
                      <w:b/>
                      <w:bCs/>
                      <w:color w:val="auto"/>
                      <w:szCs w:val="21"/>
                    </w:rPr>
                    <w:t>排放方式</w:t>
                  </w:r>
                </w:p>
              </w:tc>
              <w:tc>
                <w:tcPr>
                  <w:tcW w:w="695" w:type="dxa"/>
                  <w:vAlign w:val="center"/>
                </w:tcPr>
                <w:p w14:paraId="2DABA7BC">
                  <w:pPr>
                    <w:adjustRightInd w:val="0"/>
                    <w:snapToGrid w:val="0"/>
                    <w:jc w:val="center"/>
                    <w:rPr>
                      <w:b/>
                      <w:bCs/>
                      <w:color w:val="auto"/>
                      <w:szCs w:val="21"/>
                    </w:rPr>
                  </w:pPr>
                  <w:r>
                    <w:rPr>
                      <w:b/>
                      <w:bCs/>
                      <w:color w:val="auto"/>
                      <w:szCs w:val="21"/>
                    </w:rPr>
                    <w:t>污染物</w:t>
                  </w:r>
                </w:p>
              </w:tc>
              <w:tc>
                <w:tcPr>
                  <w:tcW w:w="835" w:type="dxa"/>
                  <w:vAlign w:val="center"/>
                </w:tcPr>
                <w:p w14:paraId="14864529">
                  <w:pPr>
                    <w:adjustRightInd w:val="0"/>
                    <w:snapToGrid w:val="0"/>
                    <w:jc w:val="center"/>
                    <w:rPr>
                      <w:b/>
                      <w:bCs/>
                      <w:color w:val="auto"/>
                      <w:szCs w:val="21"/>
                    </w:rPr>
                  </w:pPr>
                  <w:r>
                    <w:rPr>
                      <w:b/>
                      <w:bCs/>
                      <w:color w:val="auto"/>
                      <w:szCs w:val="21"/>
                    </w:rPr>
                    <w:t>产生总量（t/a）</w:t>
                  </w:r>
                </w:p>
              </w:tc>
              <w:tc>
                <w:tcPr>
                  <w:tcW w:w="930" w:type="dxa"/>
                  <w:vAlign w:val="center"/>
                </w:tcPr>
                <w:p w14:paraId="37C77E6E">
                  <w:pPr>
                    <w:adjustRightInd w:val="0"/>
                    <w:snapToGrid w:val="0"/>
                    <w:jc w:val="center"/>
                    <w:rPr>
                      <w:b/>
                      <w:bCs/>
                      <w:color w:val="auto"/>
                      <w:szCs w:val="21"/>
                    </w:rPr>
                  </w:pPr>
                  <w:r>
                    <w:rPr>
                      <w:b/>
                      <w:bCs/>
                      <w:color w:val="auto"/>
                      <w:szCs w:val="21"/>
                    </w:rPr>
                    <w:t>产生速率（kg/h）</w:t>
                  </w:r>
                </w:p>
              </w:tc>
              <w:tc>
                <w:tcPr>
                  <w:tcW w:w="1185" w:type="dxa"/>
                  <w:vAlign w:val="center"/>
                </w:tcPr>
                <w:p w14:paraId="42A36FFA">
                  <w:pPr>
                    <w:adjustRightInd w:val="0"/>
                    <w:snapToGrid w:val="0"/>
                    <w:jc w:val="center"/>
                    <w:rPr>
                      <w:b/>
                      <w:bCs/>
                      <w:color w:val="auto"/>
                      <w:szCs w:val="21"/>
                    </w:rPr>
                  </w:pPr>
                  <w:r>
                    <w:rPr>
                      <w:b/>
                      <w:bCs/>
                      <w:color w:val="auto"/>
                      <w:szCs w:val="21"/>
                    </w:rPr>
                    <w:t>产生浓度（mg/m</w:t>
                  </w:r>
                  <w:r>
                    <w:rPr>
                      <w:b/>
                      <w:bCs/>
                      <w:color w:val="auto"/>
                      <w:szCs w:val="21"/>
                      <w:vertAlign w:val="superscript"/>
                    </w:rPr>
                    <w:t>3</w:t>
                  </w:r>
                  <w:r>
                    <w:rPr>
                      <w:b/>
                      <w:bCs/>
                      <w:color w:val="auto"/>
                      <w:szCs w:val="21"/>
                    </w:rPr>
                    <w:t>）</w:t>
                  </w:r>
                </w:p>
              </w:tc>
              <w:tc>
                <w:tcPr>
                  <w:tcW w:w="873" w:type="dxa"/>
                  <w:vAlign w:val="center"/>
                </w:tcPr>
                <w:p w14:paraId="5266433C">
                  <w:pPr>
                    <w:adjustRightInd w:val="0"/>
                    <w:snapToGrid w:val="0"/>
                    <w:jc w:val="center"/>
                    <w:rPr>
                      <w:b/>
                      <w:bCs/>
                      <w:color w:val="auto"/>
                      <w:szCs w:val="21"/>
                    </w:rPr>
                  </w:pPr>
                  <w:r>
                    <w:rPr>
                      <w:b/>
                      <w:bCs/>
                      <w:color w:val="auto"/>
                      <w:szCs w:val="21"/>
                    </w:rPr>
                    <w:t>处理方式</w:t>
                  </w:r>
                </w:p>
              </w:tc>
              <w:tc>
                <w:tcPr>
                  <w:tcW w:w="912" w:type="dxa"/>
                  <w:vAlign w:val="center"/>
                </w:tcPr>
                <w:p w14:paraId="5C7268DD">
                  <w:pPr>
                    <w:adjustRightInd w:val="0"/>
                    <w:snapToGrid w:val="0"/>
                    <w:jc w:val="center"/>
                    <w:rPr>
                      <w:b/>
                      <w:bCs/>
                      <w:color w:val="auto"/>
                      <w:szCs w:val="21"/>
                    </w:rPr>
                  </w:pPr>
                  <w:r>
                    <w:rPr>
                      <w:b/>
                      <w:bCs/>
                      <w:color w:val="auto"/>
                      <w:szCs w:val="21"/>
                    </w:rPr>
                    <w:t>排放量（t/a）</w:t>
                  </w:r>
                </w:p>
              </w:tc>
              <w:tc>
                <w:tcPr>
                  <w:tcW w:w="930" w:type="dxa"/>
                  <w:vAlign w:val="center"/>
                </w:tcPr>
                <w:p w14:paraId="660C03BE">
                  <w:pPr>
                    <w:adjustRightInd w:val="0"/>
                    <w:snapToGrid w:val="0"/>
                    <w:jc w:val="center"/>
                    <w:rPr>
                      <w:b/>
                      <w:bCs/>
                      <w:color w:val="auto"/>
                      <w:szCs w:val="21"/>
                    </w:rPr>
                  </w:pPr>
                  <w:r>
                    <w:rPr>
                      <w:b/>
                      <w:bCs/>
                      <w:color w:val="auto"/>
                      <w:szCs w:val="21"/>
                    </w:rPr>
                    <w:t>排放速率（kg/h）</w:t>
                  </w:r>
                </w:p>
              </w:tc>
              <w:tc>
                <w:tcPr>
                  <w:tcW w:w="1117" w:type="dxa"/>
                  <w:vAlign w:val="center"/>
                </w:tcPr>
                <w:p w14:paraId="0B18949E">
                  <w:pPr>
                    <w:adjustRightInd w:val="0"/>
                    <w:snapToGrid w:val="0"/>
                    <w:jc w:val="center"/>
                    <w:rPr>
                      <w:b/>
                      <w:bCs/>
                      <w:color w:val="auto"/>
                      <w:szCs w:val="21"/>
                    </w:rPr>
                  </w:pPr>
                  <w:r>
                    <w:rPr>
                      <w:b/>
                      <w:bCs/>
                      <w:color w:val="auto"/>
                      <w:szCs w:val="21"/>
                    </w:rPr>
                    <w:t>排放浓度（mg/m</w:t>
                  </w:r>
                  <w:r>
                    <w:rPr>
                      <w:b/>
                      <w:bCs/>
                      <w:color w:val="auto"/>
                      <w:szCs w:val="21"/>
                      <w:vertAlign w:val="superscript"/>
                    </w:rPr>
                    <w:t>3</w:t>
                  </w:r>
                  <w:r>
                    <w:rPr>
                      <w:b/>
                      <w:bCs/>
                      <w:color w:val="auto"/>
                      <w:szCs w:val="21"/>
                    </w:rPr>
                    <w:t>）</w:t>
                  </w:r>
                </w:p>
              </w:tc>
            </w:tr>
            <w:tr w14:paraId="2860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9" w:type="dxa"/>
                  <w:vMerge w:val="restart"/>
                  <w:vAlign w:val="center"/>
                </w:tcPr>
                <w:p w14:paraId="44A79AD1">
                  <w:pPr>
                    <w:adjustRightInd w:val="0"/>
                    <w:snapToGrid w:val="0"/>
                    <w:jc w:val="center"/>
                    <w:rPr>
                      <w:color w:val="auto"/>
                      <w:szCs w:val="21"/>
                    </w:rPr>
                  </w:pPr>
                  <w:r>
                    <w:rPr>
                      <w:rFonts w:hint="eastAsia"/>
                      <w:color w:val="auto"/>
                      <w:szCs w:val="21"/>
                    </w:rPr>
                    <w:t>破碎工序</w:t>
                  </w:r>
                </w:p>
              </w:tc>
              <w:tc>
                <w:tcPr>
                  <w:tcW w:w="555" w:type="dxa"/>
                  <w:vMerge w:val="restart"/>
                  <w:vAlign w:val="center"/>
                </w:tcPr>
                <w:p w14:paraId="6C39A26F">
                  <w:pPr>
                    <w:widowControl/>
                    <w:jc w:val="center"/>
                    <w:textAlignment w:val="center"/>
                    <w:rPr>
                      <w:color w:val="auto"/>
                      <w:szCs w:val="21"/>
                    </w:rPr>
                  </w:pPr>
                  <w:r>
                    <w:rPr>
                      <w:color w:val="auto"/>
                      <w:kern w:val="0"/>
                      <w:szCs w:val="21"/>
                      <w:lang w:bidi="ar"/>
                    </w:rPr>
                    <w:t>有组织</w:t>
                  </w:r>
                </w:p>
              </w:tc>
              <w:tc>
                <w:tcPr>
                  <w:tcW w:w="695" w:type="dxa"/>
                  <w:vAlign w:val="center"/>
                </w:tcPr>
                <w:p w14:paraId="7D38273B">
                  <w:pPr>
                    <w:widowControl/>
                    <w:jc w:val="center"/>
                    <w:textAlignment w:val="center"/>
                    <w:rPr>
                      <w:color w:val="auto"/>
                      <w:szCs w:val="21"/>
                    </w:rPr>
                  </w:pPr>
                  <w:r>
                    <w:rPr>
                      <w:color w:val="auto"/>
                      <w:kern w:val="0"/>
                      <w:szCs w:val="21"/>
                      <w:lang w:bidi="ar"/>
                    </w:rPr>
                    <w:t>废气量</w:t>
                  </w:r>
                </w:p>
              </w:tc>
              <w:tc>
                <w:tcPr>
                  <w:tcW w:w="2950" w:type="dxa"/>
                  <w:gridSpan w:val="3"/>
                  <w:vAlign w:val="center"/>
                </w:tcPr>
                <w:p w14:paraId="380110D2">
                  <w:pPr>
                    <w:widowControl/>
                    <w:jc w:val="center"/>
                    <w:textAlignment w:val="center"/>
                    <w:rPr>
                      <w:color w:val="auto"/>
                      <w:kern w:val="0"/>
                      <w:szCs w:val="21"/>
                      <w:lang w:bidi="ar"/>
                    </w:rPr>
                  </w:pPr>
                  <w:r>
                    <w:rPr>
                      <w:rFonts w:hint="eastAsia"/>
                      <w:color w:val="auto"/>
                      <w:szCs w:val="21"/>
                    </w:rPr>
                    <w:t>1000</w:t>
                  </w:r>
                  <w:r>
                    <w:rPr>
                      <w:color w:val="auto"/>
                      <w:kern w:val="0"/>
                      <w:szCs w:val="21"/>
                      <w:lang w:bidi="ar"/>
                    </w:rPr>
                    <w:t>m</w:t>
                  </w:r>
                  <w:r>
                    <w:rPr>
                      <w:color w:val="auto"/>
                      <w:kern w:val="0"/>
                      <w:szCs w:val="21"/>
                      <w:vertAlign w:val="superscript"/>
                      <w:lang w:bidi="ar"/>
                    </w:rPr>
                    <w:t>3</w:t>
                  </w:r>
                  <w:r>
                    <w:rPr>
                      <w:color w:val="auto"/>
                      <w:kern w:val="0"/>
                      <w:szCs w:val="21"/>
                      <w:lang w:bidi="ar"/>
                    </w:rPr>
                    <w:t>/h，</w:t>
                  </w:r>
                  <w:r>
                    <w:rPr>
                      <w:rFonts w:hint="eastAsia"/>
                      <w:color w:val="auto"/>
                      <w:kern w:val="0"/>
                      <w:szCs w:val="21"/>
                      <w:lang w:val="en-US" w:eastAsia="zh-CN" w:bidi="ar"/>
                    </w:rPr>
                    <w:t>2.4</w:t>
                  </w:r>
                  <w:r>
                    <w:rPr>
                      <w:color w:val="auto"/>
                      <w:kern w:val="0"/>
                      <w:szCs w:val="21"/>
                      <w:lang w:bidi="ar"/>
                    </w:rPr>
                    <w:t>万m</w:t>
                  </w:r>
                  <w:r>
                    <w:rPr>
                      <w:color w:val="auto"/>
                      <w:kern w:val="0"/>
                      <w:szCs w:val="21"/>
                      <w:vertAlign w:val="superscript"/>
                      <w:lang w:bidi="ar"/>
                    </w:rPr>
                    <w:t>3</w:t>
                  </w:r>
                  <w:r>
                    <w:rPr>
                      <w:color w:val="auto"/>
                      <w:kern w:val="0"/>
                      <w:szCs w:val="21"/>
                      <w:lang w:bidi="ar"/>
                    </w:rPr>
                    <w:t>/a</w:t>
                  </w:r>
                </w:p>
              </w:tc>
              <w:tc>
                <w:tcPr>
                  <w:tcW w:w="873" w:type="dxa"/>
                  <w:vMerge w:val="restart"/>
                  <w:vAlign w:val="center"/>
                </w:tcPr>
                <w:p w14:paraId="53A6B369">
                  <w:pPr>
                    <w:widowControl/>
                    <w:jc w:val="center"/>
                    <w:textAlignment w:val="center"/>
                    <w:rPr>
                      <w:color w:val="auto"/>
                      <w:szCs w:val="21"/>
                    </w:rPr>
                  </w:pPr>
                  <w:r>
                    <w:rPr>
                      <w:color w:val="auto"/>
                      <w:kern w:val="0"/>
                      <w:szCs w:val="21"/>
                      <w:lang w:bidi="ar"/>
                    </w:rPr>
                    <w:t>集气罩收集（</w:t>
                  </w:r>
                  <w:r>
                    <w:rPr>
                      <w:rFonts w:hint="eastAsia"/>
                      <w:color w:val="auto"/>
                      <w:kern w:val="0"/>
                      <w:szCs w:val="21"/>
                      <w:lang w:bidi="ar"/>
                    </w:rPr>
                    <w:t>80</w:t>
                  </w:r>
                  <w:r>
                    <w:rPr>
                      <w:color w:val="auto"/>
                      <w:kern w:val="0"/>
                      <w:szCs w:val="21"/>
                      <w:lang w:bidi="ar"/>
                    </w:rPr>
                    <w:t>%）+</w:t>
                  </w:r>
                  <w:r>
                    <w:rPr>
                      <w:rFonts w:hint="eastAsia"/>
                      <w:color w:val="auto"/>
                      <w:kern w:val="0"/>
                      <w:szCs w:val="21"/>
                      <w:lang w:bidi="ar"/>
                    </w:rPr>
                    <w:t>布袋除尘器</w:t>
                  </w:r>
                  <w:r>
                    <w:rPr>
                      <w:color w:val="auto"/>
                      <w:kern w:val="0"/>
                      <w:szCs w:val="21"/>
                      <w:lang w:bidi="ar"/>
                    </w:rPr>
                    <w:t>（</w:t>
                  </w:r>
                  <w:r>
                    <w:rPr>
                      <w:rFonts w:hint="eastAsia"/>
                      <w:color w:val="auto"/>
                      <w:kern w:val="0"/>
                      <w:szCs w:val="21"/>
                      <w:lang w:bidi="ar"/>
                    </w:rPr>
                    <w:t>95</w:t>
                  </w:r>
                  <w:r>
                    <w:rPr>
                      <w:color w:val="auto"/>
                      <w:kern w:val="0"/>
                      <w:szCs w:val="21"/>
                      <w:lang w:bidi="ar"/>
                    </w:rPr>
                    <w:t>%）</w:t>
                  </w:r>
                </w:p>
              </w:tc>
              <w:tc>
                <w:tcPr>
                  <w:tcW w:w="2959" w:type="dxa"/>
                  <w:gridSpan w:val="3"/>
                  <w:vAlign w:val="center"/>
                </w:tcPr>
                <w:p w14:paraId="0CD2125B">
                  <w:pPr>
                    <w:widowControl/>
                    <w:jc w:val="center"/>
                    <w:textAlignment w:val="center"/>
                    <w:rPr>
                      <w:color w:val="auto"/>
                      <w:kern w:val="0"/>
                      <w:szCs w:val="21"/>
                      <w:lang w:bidi="ar"/>
                    </w:rPr>
                  </w:pPr>
                  <w:r>
                    <w:rPr>
                      <w:rFonts w:hint="eastAsia"/>
                      <w:color w:val="auto"/>
                      <w:szCs w:val="21"/>
                    </w:rPr>
                    <w:t>1000</w:t>
                  </w:r>
                  <w:r>
                    <w:rPr>
                      <w:color w:val="auto"/>
                      <w:kern w:val="0"/>
                      <w:szCs w:val="21"/>
                      <w:lang w:bidi="ar"/>
                    </w:rPr>
                    <w:t>m</w:t>
                  </w:r>
                  <w:r>
                    <w:rPr>
                      <w:color w:val="auto"/>
                      <w:kern w:val="0"/>
                      <w:szCs w:val="21"/>
                      <w:vertAlign w:val="superscript"/>
                      <w:lang w:bidi="ar"/>
                    </w:rPr>
                    <w:t>3</w:t>
                  </w:r>
                  <w:r>
                    <w:rPr>
                      <w:color w:val="auto"/>
                      <w:kern w:val="0"/>
                      <w:szCs w:val="21"/>
                      <w:lang w:bidi="ar"/>
                    </w:rPr>
                    <w:t>/h，</w:t>
                  </w:r>
                  <w:r>
                    <w:rPr>
                      <w:rFonts w:hint="eastAsia"/>
                      <w:color w:val="auto"/>
                      <w:kern w:val="0"/>
                      <w:szCs w:val="21"/>
                      <w:lang w:val="en-US" w:eastAsia="zh-CN" w:bidi="ar"/>
                    </w:rPr>
                    <w:t>2.4</w:t>
                  </w:r>
                  <w:r>
                    <w:rPr>
                      <w:color w:val="auto"/>
                      <w:kern w:val="0"/>
                      <w:szCs w:val="21"/>
                      <w:lang w:bidi="ar"/>
                    </w:rPr>
                    <w:t>万m</w:t>
                  </w:r>
                  <w:r>
                    <w:rPr>
                      <w:color w:val="auto"/>
                      <w:kern w:val="0"/>
                      <w:szCs w:val="21"/>
                      <w:vertAlign w:val="superscript"/>
                      <w:lang w:bidi="ar"/>
                    </w:rPr>
                    <w:t>3</w:t>
                  </w:r>
                  <w:r>
                    <w:rPr>
                      <w:color w:val="auto"/>
                      <w:kern w:val="0"/>
                      <w:szCs w:val="21"/>
                      <w:lang w:bidi="ar"/>
                    </w:rPr>
                    <w:t>/a</w:t>
                  </w:r>
                </w:p>
              </w:tc>
            </w:tr>
            <w:tr w14:paraId="2AAB4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459" w:type="dxa"/>
                  <w:vMerge w:val="continue"/>
                  <w:vAlign w:val="center"/>
                </w:tcPr>
                <w:p w14:paraId="0368A14B">
                  <w:pPr>
                    <w:adjustRightInd w:val="0"/>
                    <w:snapToGrid w:val="0"/>
                    <w:jc w:val="center"/>
                    <w:rPr>
                      <w:color w:val="auto"/>
                      <w:szCs w:val="21"/>
                    </w:rPr>
                  </w:pPr>
                </w:p>
              </w:tc>
              <w:tc>
                <w:tcPr>
                  <w:tcW w:w="555" w:type="dxa"/>
                  <w:vMerge w:val="continue"/>
                  <w:vAlign w:val="center"/>
                </w:tcPr>
                <w:p w14:paraId="6D663F9B">
                  <w:pPr>
                    <w:jc w:val="center"/>
                    <w:rPr>
                      <w:color w:val="auto"/>
                      <w:szCs w:val="21"/>
                    </w:rPr>
                  </w:pPr>
                </w:p>
              </w:tc>
              <w:tc>
                <w:tcPr>
                  <w:tcW w:w="695" w:type="dxa"/>
                  <w:vAlign w:val="center"/>
                </w:tcPr>
                <w:p w14:paraId="2D134F76">
                  <w:pPr>
                    <w:widowControl/>
                    <w:jc w:val="center"/>
                    <w:textAlignment w:val="center"/>
                    <w:rPr>
                      <w:rFonts w:hint="eastAsia" w:eastAsia="宋体"/>
                      <w:color w:val="auto"/>
                      <w:lang w:eastAsia="zh-CN"/>
                    </w:rPr>
                  </w:pPr>
                  <w:r>
                    <w:rPr>
                      <w:color w:val="auto"/>
                      <w:kern w:val="0"/>
                      <w:szCs w:val="21"/>
                      <w:lang w:bidi="ar"/>
                    </w:rPr>
                    <w:t>颗粒物</w:t>
                  </w:r>
                </w:p>
              </w:tc>
              <w:tc>
                <w:tcPr>
                  <w:tcW w:w="835" w:type="dxa"/>
                  <w:vAlign w:val="center"/>
                </w:tcPr>
                <w:p w14:paraId="723BFE10">
                  <w:pPr>
                    <w:widowControl/>
                    <w:jc w:val="center"/>
                    <w:textAlignment w:val="center"/>
                    <w:rPr>
                      <w:rFonts w:hint="default" w:eastAsia="宋体"/>
                      <w:color w:val="auto"/>
                      <w:kern w:val="0"/>
                      <w:szCs w:val="21"/>
                      <w:lang w:val="en-US" w:eastAsia="zh-CN" w:bidi="ar"/>
                    </w:rPr>
                  </w:pPr>
                  <w:r>
                    <w:rPr>
                      <w:rFonts w:hint="eastAsia" w:eastAsia="宋体"/>
                      <w:color w:val="auto"/>
                      <w:kern w:val="0"/>
                      <w:szCs w:val="21"/>
                      <w:lang w:val="en-US" w:eastAsia="zh-CN" w:bidi="ar"/>
                    </w:rPr>
                    <w:t>0.0065</w:t>
                  </w:r>
                </w:p>
              </w:tc>
              <w:tc>
                <w:tcPr>
                  <w:tcW w:w="930" w:type="dxa"/>
                  <w:vAlign w:val="center"/>
                </w:tcPr>
                <w:p w14:paraId="1F57E993">
                  <w:pPr>
                    <w:widowControl/>
                    <w:jc w:val="center"/>
                    <w:textAlignment w:val="center"/>
                    <w:rPr>
                      <w:rFonts w:hint="default" w:eastAsia="宋体"/>
                      <w:color w:val="auto"/>
                      <w:kern w:val="0"/>
                      <w:szCs w:val="21"/>
                      <w:lang w:val="en-US" w:eastAsia="zh-CN" w:bidi="ar"/>
                    </w:rPr>
                  </w:pPr>
                  <w:r>
                    <w:rPr>
                      <w:rFonts w:hint="eastAsia" w:eastAsia="宋体"/>
                      <w:color w:val="auto"/>
                      <w:kern w:val="0"/>
                      <w:szCs w:val="21"/>
                      <w:lang w:val="en-US" w:eastAsia="zh-CN" w:bidi="ar"/>
                    </w:rPr>
                    <w:t>0.2708</w:t>
                  </w:r>
                </w:p>
              </w:tc>
              <w:tc>
                <w:tcPr>
                  <w:tcW w:w="1185" w:type="dxa"/>
                  <w:vAlign w:val="center"/>
                </w:tcPr>
                <w:p w14:paraId="65D3CFF3">
                  <w:pPr>
                    <w:widowControl/>
                    <w:jc w:val="center"/>
                    <w:textAlignment w:val="center"/>
                    <w:rPr>
                      <w:rFonts w:hint="default" w:eastAsia="宋体"/>
                      <w:color w:val="auto"/>
                      <w:szCs w:val="21"/>
                      <w:lang w:val="en-US" w:eastAsia="zh-CN"/>
                    </w:rPr>
                  </w:pPr>
                  <w:r>
                    <w:rPr>
                      <w:rFonts w:hint="eastAsia"/>
                      <w:color w:val="auto"/>
                      <w:kern w:val="0"/>
                      <w:szCs w:val="21"/>
                      <w:lang w:val="en-US" w:eastAsia="zh-CN" w:bidi="ar"/>
                    </w:rPr>
                    <w:t>270.8</w:t>
                  </w:r>
                </w:p>
              </w:tc>
              <w:tc>
                <w:tcPr>
                  <w:tcW w:w="873" w:type="dxa"/>
                  <w:vMerge w:val="continue"/>
                  <w:vAlign w:val="center"/>
                </w:tcPr>
                <w:p w14:paraId="4268588C">
                  <w:pPr>
                    <w:jc w:val="center"/>
                    <w:rPr>
                      <w:color w:val="auto"/>
                      <w:szCs w:val="21"/>
                    </w:rPr>
                  </w:pPr>
                </w:p>
              </w:tc>
              <w:tc>
                <w:tcPr>
                  <w:tcW w:w="912" w:type="dxa"/>
                  <w:vAlign w:val="center"/>
                </w:tcPr>
                <w:p w14:paraId="1606D01E">
                  <w:pPr>
                    <w:widowControl/>
                    <w:jc w:val="center"/>
                    <w:textAlignment w:val="center"/>
                    <w:rPr>
                      <w:rFonts w:hint="default" w:eastAsia="宋体"/>
                      <w:color w:val="auto"/>
                      <w:kern w:val="0"/>
                      <w:szCs w:val="21"/>
                      <w:lang w:val="en-US" w:eastAsia="zh-CN" w:bidi="ar"/>
                    </w:rPr>
                  </w:pPr>
                  <w:r>
                    <w:rPr>
                      <w:rFonts w:hint="eastAsia" w:eastAsia="宋体"/>
                      <w:color w:val="auto"/>
                      <w:kern w:val="0"/>
                      <w:szCs w:val="21"/>
                      <w:lang w:val="en-US" w:eastAsia="zh-CN" w:bidi="ar"/>
                    </w:rPr>
                    <w:t>0.0003</w:t>
                  </w:r>
                </w:p>
              </w:tc>
              <w:tc>
                <w:tcPr>
                  <w:tcW w:w="930" w:type="dxa"/>
                  <w:vAlign w:val="center"/>
                </w:tcPr>
                <w:p w14:paraId="7254B223">
                  <w:pPr>
                    <w:widowControl/>
                    <w:jc w:val="center"/>
                    <w:textAlignment w:val="center"/>
                    <w:rPr>
                      <w:rFonts w:hint="default" w:eastAsia="宋体"/>
                      <w:color w:val="auto"/>
                      <w:kern w:val="0"/>
                      <w:szCs w:val="21"/>
                      <w:lang w:val="en-US" w:eastAsia="zh-CN" w:bidi="ar"/>
                    </w:rPr>
                  </w:pPr>
                  <w:r>
                    <w:rPr>
                      <w:rFonts w:hint="eastAsia" w:eastAsia="宋体"/>
                      <w:color w:val="auto"/>
                      <w:kern w:val="0"/>
                      <w:szCs w:val="21"/>
                      <w:lang w:val="en-US" w:eastAsia="zh-CN" w:bidi="ar"/>
                    </w:rPr>
                    <w:t>0.0125</w:t>
                  </w:r>
                </w:p>
              </w:tc>
              <w:tc>
                <w:tcPr>
                  <w:tcW w:w="1117" w:type="dxa"/>
                  <w:vAlign w:val="center"/>
                </w:tcPr>
                <w:p w14:paraId="05BFA259">
                  <w:pPr>
                    <w:widowControl/>
                    <w:jc w:val="center"/>
                    <w:textAlignment w:val="center"/>
                    <w:rPr>
                      <w:rFonts w:hint="default" w:eastAsia="宋体"/>
                      <w:color w:val="auto"/>
                      <w:szCs w:val="21"/>
                      <w:lang w:val="en-US" w:eastAsia="zh-CN"/>
                    </w:rPr>
                  </w:pPr>
                  <w:r>
                    <w:rPr>
                      <w:rFonts w:hint="eastAsia"/>
                      <w:color w:val="auto"/>
                      <w:kern w:val="0"/>
                      <w:szCs w:val="21"/>
                      <w:lang w:val="en-US" w:eastAsia="zh-CN" w:bidi="ar"/>
                    </w:rPr>
                    <w:t>12.5</w:t>
                  </w:r>
                </w:p>
              </w:tc>
            </w:tr>
            <w:tr w14:paraId="5B0B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jc w:val="center"/>
              </w:trPr>
              <w:tc>
                <w:tcPr>
                  <w:tcW w:w="459" w:type="dxa"/>
                  <w:vMerge w:val="continue"/>
                  <w:vAlign w:val="center"/>
                </w:tcPr>
                <w:p w14:paraId="6B3614C6">
                  <w:pPr>
                    <w:adjustRightInd w:val="0"/>
                    <w:snapToGrid w:val="0"/>
                    <w:jc w:val="center"/>
                    <w:rPr>
                      <w:color w:val="auto"/>
                      <w:szCs w:val="21"/>
                    </w:rPr>
                  </w:pPr>
                </w:p>
              </w:tc>
              <w:tc>
                <w:tcPr>
                  <w:tcW w:w="555" w:type="dxa"/>
                  <w:vAlign w:val="center"/>
                </w:tcPr>
                <w:p w14:paraId="4E8668A6">
                  <w:pPr>
                    <w:widowControl/>
                    <w:jc w:val="center"/>
                    <w:textAlignment w:val="center"/>
                    <w:rPr>
                      <w:color w:val="auto"/>
                      <w:szCs w:val="21"/>
                    </w:rPr>
                  </w:pPr>
                  <w:r>
                    <w:rPr>
                      <w:color w:val="auto"/>
                      <w:kern w:val="0"/>
                      <w:szCs w:val="21"/>
                      <w:lang w:bidi="ar"/>
                    </w:rPr>
                    <w:t>无组织</w:t>
                  </w:r>
                </w:p>
              </w:tc>
              <w:tc>
                <w:tcPr>
                  <w:tcW w:w="695" w:type="dxa"/>
                  <w:vAlign w:val="center"/>
                </w:tcPr>
                <w:p w14:paraId="3585EAC3">
                  <w:pPr>
                    <w:widowControl/>
                    <w:jc w:val="center"/>
                    <w:textAlignment w:val="center"/>
                    <w:rPr>
                      <w:color w:val="auto"/>
                      <w:szCs w:val="21"/>
                    </w:rPr>
                  </w:pPr>
                  <w:r>
                    <w:rPr>
                      <w:color w:val="auto"/>
                      <w:kern w:val="0"/>
                      <w:szCs w:val="21"/>
                      <w:lang w:bidi="ar"/>
                    </w:rPr>
                    <w:t>颗粒物</w:t>
                  </w:r>
                </w:p>
                <w:p w14:paraId="1D407796">
                  <w:pPr>
                    <w:widowControl/>
                    <w:jc w:val="center"/>
                    <w:textAlignment w:val="center"/>
                    <w:rPr>
                      <w:color w:val="auto"/>
                    </w:rPr>
                  </w:pPr>
                </w:p>
              </w:tc>
              <w:tc>
                <w:tcPr>
                  <w:tcW w:w="835" w:type="dxa"/>
                  <w:vAlign w:val="center"/>
                </w:tcPr>
                <w:p w14:paraId="29226C69">
                  <w:pPr>
                    <w:widowControl/>
                    <w:jc w:val="center"/>
                    <w:textAlignment w:val="center"/>
                    <w:rPr>
                      <w:rFonts w:hint="default" w:eastAsia="宋体"/>
                      <w:color w:val="auto"/>
                      <w:lang w:val="en-US" w:eastAsia="zh-CN"/>
                    </w:rPr>
                  </w:pPr>
                  <w:r>
                    <w:rPr>
                      <w:rFonts w:hint="eastAsia" w:eastAsia="宋体"/>
                      <w:color w:val="auto"/>
                      <w:lang w:val="en-US" w:eastAsia="zh-CN"/>
                    </w:rPr>
                    <w:t>0.0016</w:t>
                  </w:r>
                </w:p>
              </w:tc>
              <w:tc>
                <w:tcPr>
                  <w:tcW w:w="930" w:type="dxa"/>
                  <w:vAlign w:val="center"/>
                </w:tcPr>
                <w:p w14:paraId="550457D7">
                  <w:pPr>
                    <w:widowControl/>
                    <w:jc w:val="center"/>
                    <w:textAlignment w:val="center"/>
                    <w:rPr>
                      <w:rFonts w:hint="default" w:eastAsia="宋体"/>
                      <w:color w:val="auto"/>
                      <w:lang w:val="en-US" w:eastAsia="zh-CN"/>
                    </w:rPr>
                  </w:pPr>
                  <w:r>
                    <w:rPr>
                      <w:rFonts w:hint="eastAsia" w:eastAsia="宋体"/>
                      <w:color w:val="auto"/>
                      <w:lang w:val="en-US" w:eastAsia="zh-CN"/>
                    </w:rPr>
                    <w:t>0.0667</w:t>
                  </w:r>
                </w:p>
              </w:tc>
              <w:tc>
                <w:tcPr>
                  <w:tcW w:w="1185" w:type="dxa"/>
                  <w:vAlign w:val="center"/>
                </w:tcPr>
                <w:p w14:paraId="58A085B3">
                  <w:pPr>
                    <w:widowControl/>
                    <w:jc w:val="center"/>
                    <w:textAlignment w:val="center"/>
                    <w:rPr>
                      <w:color w:val="auto"/>
                      <w:szCs w:val="21"/>
                    </w:rPr>
                  </w:pPr>
                  <w:r>
                    <w:rPr>
                      <w:color w:val="auto"/>
                      <w:kern w:val="0"/>
                      <w:szCs w:val="21"/>
                      <w:lang w:bidi="ar"/>
                    </w:rPr>
                    <w:t>/</w:t>
                  </w:r>
                </w:p>
              </w:tc>
              <w:tc>
                <w:tcPr>
                  <w:tcW w:w="873" w:type="dxa"/>
                  <w:vAlign w:val="center"/>
                </w:tcPr>
                <w:p w14:paraId="235EEF73">
                  <w:pPr>
                    <w:widowControl/>
                    <w:jc w:val="center"/>
                    <w:textAlignment w:val="center"/>
                    <w:rPr>
                      <w:rFonts w:hint="default" w:eastAsia="宋体"/>
                      <w:color w:val="auto"/>
                      <w:szCs w:val="21"/>
                      <w:lang w:val="en-US" w:eastAsia="zh-CN"/>
                    </w:rPr>
                  </w:pPr>
                  <w:r>
                    <w:rPr>
                      <w:rFonts w:hint="eastAsia"/>
                      <w:color w:val="auto"/>
                      <w:szCs w:val="21"/>
                      <w:lang w:val="en-US" w:eastAsia="zh-CN"/>
                    </w:rPr>
                    <w:t>/</w:t>
                  </w:r>
                </w:p>
              </w:tc>
              <w:tc>
                <w:tcPr>
                  <w:tcW w:w="912" w:type="dxa"/>
                  <w:vAlign w:val="center"/>
                </w:tcPr>
                <w:p w14:paraId="48E20F55">
                  <w:pPr>
                    <w:widowControl/>
                    <w:jc w:val="center"/>
                    <w:textAlignment w:val="center"/>
                    <w:rPr>
                      <w:rFonts w:hint="default" w:eastAsia="宋体"/>
                      <w:color w:val="auto"/>
                      <w:lang w:val="en-US" w:eastAsia="zh-CN"/>
                    </w:rPr>
                  </w:pPr>
                  <w:r>
                    <w:rPr>
                      <w:rFonts w:hint="eastAsia" w:eastAsia="宋体"/>
                      <w:color w:val="auto"/>
                      <w:lang w:val="en-US" w:eastAsia="zh-CN"/>
                    </w:rPr>
                    <w:t>0.0016</w:t>
                  </w:r>
                </w:p>
              </w:tc>
              <w:tc>
                <w:tcPr>
                  <w:tcW w:w="930" w:type="dxa"/>
                  <w:vAlign w:val="center"/>
                </w:tcPr>
                <w:p w14:paraId="33D4710B">
                  <w:pPr>
                    <w:widowControl/>
                    <w:jc w:val="center"/>
                    <w:textAlignment w:val="center"/>
                    <w:rPr>
                      <w:rFonts w:hint="default" w:eastAsia="宋体"/>
                      <w:color w:val="auto"/>
                      <w:lang w:val="en-US" w:eastAsia="zh-CN"/>
                    </w:rPr>
                  </w:pPr>
                  <w:r>
                    <w:rPr>
                      <w:rFonts w:hint="eastAsia" w:eastAsia="宋体"/>
                      <w:color w:val="auto"/>
                      <w:lang w:val="en-US" w:eastAsia="zh-CN"/>
                    </w:rPr>
                    <w:t>0.0667</w:t>
                  </w:r>
                </w:p>
              </w:tc>
              <w:tc>
                <w:tcPr>
                  <w:tcW w:w="1117" w:type="dxa"/>
                  <w:vAlign w:val="center"/>
                </w:tcPr>
                <w:p w14:paraId="728356DC">
                  <w:pPr>
                    <w:widowControl/>
                    <w:jc w:val="center"/>
                    <w:textAlignment w:val="center"/>
                    <w:rPr>
                      <w:color w:val="auto"/>
                      <w:szCs w:val="21"/>
                    </w:rPr>
                  </w:pPr>
                  <w:r>
                    <w:rPr>
                      <w:color w:val="auto"/>
                      <w:kern w:val="0"/>
                      <w:szCs w:val="21"/>
                      <w:lang w:bidi="ar"/>
                    </w:rPr>
                    <w:t>/</w:t>
                  </w:r>
                </w:p>
              </w:tc>
            </w:tr>
            <w:tr w14:paraId="3F76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91" w:type="dxa"/>
                  <w:gridSpan w:val="10"/>
                  <w:vAlign w:val="center"/>
                </w:tcPr>
                <w:p w14:paraId="34145768">
                  <w:pPr>
                    <w:adjustRightInd w:val="0"/>
                    <w:snapToGrid w:val="0"/>
                    <w:jc w:val="left"/>
                    <w:rPr>
                      <w:color w:val="auto"/>
                      <w:kern w:val="0"/>
                      <w:szCs w:val="21"/>
                      <w:lang w:bidi="ar"/>
                    </w:rPr>
                  </w:pPr>
                  <w:r>
                    <w:rPr>
                      <w:color w:val="auto"/>
                      <w:kern w:val="0"/>
                      <w:szCs w:val="21"/>
                      <w:lang w:bidi="ar"/>
                    </w:rPr>
                    <w:t>备注：①项目年运行时间为</w:t>
                  </w:r>
                  <w:r>
                    <w:rPr>
                      <w:rFonts w:hint="eastAsia"/>
                      <w:color w:val="auto"/>
                      <w:kern w:val="0"/>
                      <w:szCs w:val="21"/>
                      <w:lang w:bidi="ar"/>
                    </w:rPr>
                    <w:t>24</w:t>
                  </w:r>
                  <w:r>
                    <w:rPr>
                      <w:color w:val="auto"/>
                      <w:kern w:val="0"/>
                      <w:szCs w:val="21"/>
                      <w:lang w:bidi="ar"/>
                    </w:rPr>
                    <w:t>00h</w:t>
                  </w:r>
                  <w:r>
                    <w:rPr>
                      <w:rFonts w:hint="eastAsia"/>
                      <w:color w:val="auto"/>
                      <w:kern w:val="0"/>
                      <w:szCs w:val="21"/>
                      <w:lang w:bidi="ar"/>
                    </w:rPr>
                    <w:t>（破碎工序2</w:t>
                  </w:r>
                  <w:r>
                    <w:rPr>
                      <w:rFonts w:hint="eastAsia"/>
                      <w:color w:val="auto"/>
                      <w:kern w:val="0"/>
                      <w:szCs w:val="21"/>
                      <w:lang w:val="en-US" w:eastAsia="zh-CN" w:bidi="ar"/>
                    </w:rPr>
                    <w:t>4</w:t>
                  </w:r>
                  <w:r>
                    <w:rPr>
                      <w:rFonts w:hint="eastAsia"/>
                      <w:color w:val="auto"/>
                      <w:kern w:val="0"/>
                      <w:szCs w:val="21"/>
                      <w:lang w:bidi="ar"/>
                    </w:rPr>
                    <w:t>h）</w:t>
                  </w:r>
                  <w:r>
                    <w:rPr>
                      <w:color w:val="auto"/>
                      <w:kern w:val="0"/>
                      <w:szCs w:val="21"/>
                      <w:lang w:bidi="ar"/>
                    </w:rPr>
                    <w:t>；</w:t>
                  </w:r>
                </w:p>
                <w:p w14:paraId="67B4550A">
                  <w:pPr>
                    <w:adjustRightInd w:val="0"/>
                    <w:snapToGrid w:val="0"/>
                    <w:jc w:val="left"/>
                    <w:rPr>
                      <w:color w:val="auto"/>
                      <w:kern w:val="0"/>
                      <w:szCs w:val="21"/>
                      <w:lang w:bidi="ar"/>
                    </w:rPr>
                  </w:pPr>
                  <w:r>
                    <w:rPr>
                      <w:color w:val="auto"/>
                      <w:kern w:val="0"/>
                      <w:szCs w:val="21"/>
                      <w:lang w:bidi="ar"/>
                    </w:rPr>
                    <w:t>②DA00</w:t>
                  </w:r>
                  <w:r>
                    <w:rPr>
                      <w:rFonts w:hint="eastAsia"/>
                      <w:color w:val="auto"/>
                      <w:kern w:val="0"/>
                      <w:szCs w:val="21"/>
                      <w:lang w:val="en-US" w:eastAsia="zh-CN" w:bidi="ar"/>
                    </w:rPr>
                    <w:t>2</w:t>
                  </w:r>
                  <w:r>
                    <w:rPr>
                      <w:color w:val="auto"/>
                      <w:kern w:val="0"/>
                      <w:szCs w:val="21"/>
                      <w:lang w:bidi="ar"/>
                    </w:rPr>
                    <w:t>排气筒风机风量为</w:t>
                  </w:r>
                  <w:r>
                    <w:rPr>
                      <w:rFonts w:hint="eastAsia"/>
                      <w:color w:val="auto"/>
                      <w:szCs w:val="21"/>
                    </w:rPr>
                    <w:t>1000</w:t>
                  </w:r>
                  <w:r>
                    <w:rPr>
                      <w:color w:val="auto"/>
                      <w:kern w:val="0"/>
                      <w:szCs w:val="21"/>
                      <w:lang w:bidi="ar"/>
                    </w:rPr>
                    <w:t>m</w:t>
                  </w:r>
                  <w:r>
                    <w:rPr>
                      <w:color w:val="auto"/>
                      <w:kern w:val="0"/>
                      <w:szCs w:val="21"/>
                      <w:vertAlign w:val="superscript"/>
                      <w:lang w:bidi="ar"/>
                    </w:rPr>
                    <w:t>3</w:t>
                  </w:r>
                  <w:r>
                    <w:rPr>
                      <w:color w:val="auto"/>
                      <w:kern w:val="0"/>
                      <w:szCs w:val="21"/>
                      <w:lang w:bidi="ar"/>
                    </w:rPr>
                    <w:t>/h，</w:t>
                  </w:r>
                  <w:r>
                    <w:rPr>
                      <w:rFonts w:hint="eastAsia"/>
                      <w:color w:val="auto"/>
                      <w:kern w:val="0"/>
                      <w:szCs w:val="21"/>
                      <w:lang w:val="en-US" w:eastAsia="zh-CN" w:bidi="ar"/>
                    </w:rPr>
                    <w:t>2.4</w:t>
                  </w:r>
                  <w:r>
                    <w:rPr>
                      <w:color w:val="auto"/>
                      <w:kern w:val="0"/>
                      <w:szCs w:val="21"/>
                      <w:lang w:bidi="ar"/>
                    </w:rPr>
                    <w:t>万m</w:t>
                  </w:r>
                  <w:r>
                    <w:rPr>
                      <w:color w:val="auto"/>
                      <w:kern w:val="0"/>
                      <w:szCs w:val="21"/>
                      <w:vertAlign w:val="superscript"/>
                      <w:lang w:bidi="ar"/>
                    </w:rPr>
                    <w:t>3</w:t>
                  </w:r>
                  <w:r>
                    <w:rPr>
                      <w:color w:val="auto"/>
                      <w:kern w:val="0"/>
                      <w:szCs w:val="21"/>
                      <w:lang w:bidi="ar"/>
                    </w:rPr>
                    <w:t>/a；</w:t>
                  </w:r>
                </w:p>
                <w:p w14:paraId="645A1A9C">
                  <w:pPr>
                    <w:adjustRightInd w:val="0"/>
                    <w:snapToGrid w:val="0"/>
                    <w:jc w:val="left"/>
                    <w:rPr>
                      <w:color w:val="auto"/>
                      <w:szCs w:val="21"/>
                    </w:rPr>
                  </w:pPr>
                  <w:r>
                    <w:rPr>
                      <w:color w:val="auto"/>
                      <w:kern w:val="0"/>
                      <w:szCs w:val="21"/>
                      <w:lang w:bidi="ar"/>
                    </w:rPr>
                    <w:t>③DA00</w:t>
                  </w:r>
                  <w:r>
                    <w:rPr>
                      <w:rFonts w:hint="eastAsia"/>
                      <w:color w:val="auto"/>
                      <w:kern w:val="0"/>
                      <w:szCs w:val="21"/>
                      <w:lang w:val="en-US" w:eastAsia="zh-CN" w:bidi="ar"/>
                    </w:rPr>
                    <w:t>2</w:t>
                  </w:r>
                  <w:r>
                    <w:rPr>
                      <w:color w:val="auto"/>
                      <w:kern w:val="0"/>
                      <w:szCs w:val="21"/>
                      <w:lang w:bidi="ar"/>
                    </w:rPr>
                    <w:t>排气筒执行《合成树脂工业污染物排放标准》（GB31572-2015）</w:t>
                  </w:r>
                  <w:r>
                    <w:rPr>
                      <w:rFonts w:hint="default" w:ascii="Times New Roman" w:hAnsi="Times New Roman" w:eastAsia="宋体" w:cs="Times New Roman"/>
                      <w:color w:val="auto"/>
                      <w:sz w:val="21"/>
                      <w:szCs w:val="21"/>
                      <w:highlight w:val="none"/>
                      <w:lang w:val="en-US" w:eastAsia="zh-CN"/>
                    </w:rPr>
                    <w:t>及2024年修改单中</w:t>
                  </w:r>
                  <w:r>
                    <w:rPr>
                      <w:color w:val="auto"/>
                      <w:kern w:val="0"/>
                      <w:sz w:val="21"/>
                      <w:szCs w:val="21"/>
                      <w:lang w:bidi="ar"/>
                    </w:rPr>
                    <w:t>相关大气污染物排放限值要求</w:t>
                  </w:r>
                  <w:r>
                    <w:rPr>
                      <w:color w:val="auto"/>
                      <w:kern w:val="0"/>
                      <w:szCs w:val="21"/>
                      <w:lang w:bidi="ar"/>
                    </w:rPr>
                    <w:t>。</w:t>
                  </w:r>
                </w:p>
              </w:tc>
            </w:tr>
          </w:tbl>
          <w:p w14:paraId="1C40ACAF">
            <w:pPr>
              <w:adjustRightInd w:val="0"/>
              <w:snapToGrid w:val="0"/>
              <w:spacing w:line="360" w:lineRule="auto"/>
              <w:ind w:firstLine="480" w:firstLineChars="200"/>
              <w:rPr>
                <w:b/>
                <w:bCs/>
                <w:color w:val="auto"/>
                <w:sz w:val="24"/>
              </w:rPr>
            </w:pPr>
            <w:r>
              <w:rPr>
                <w:rFonts w:hint="eastAsia"/>
                <w:color w:val="auto"/>
                <w:sz w:val="24"/>
              </w:rPr>
              <w:t>DA00</w:t>
            </w:r>
            <w:r>
              <w:rPr>
                <w:rFonts w:hint="eastAsia"/>
                <w:color w:val="auto"/>
                <w:sz w:val="24"/>
                <w:lang w:val="en-US" w:eastAsia="zh-CN"/>
              </w:rPr>
              <w:t>2</w:t>
            </w:r>
            <w:r>
              <w:rPr>
                <w:rFonts w:hint="eastAsia"/>
                <w:color w:val="auto"/>
                <w:sz w:val="24"/>
              </w:rPr>
              <w:t>排气筒颗粒物</w:t>
            </w:r>
            <w:r>
              <w:rPr>
                <w:color w:val="auto"/>
                <w:sz w:val="24"/>
              </w:rPr>
              <w:t>排放浓度</w:t>
            </w:r>
            <w:r>
              <w:rPr>
                <w:rFonts w:hint="eastAsia"/>
                <w:color w:val="auto"/>
                <w:sz w:val="24"/>
              </w:rPr>
              <w:t>满足</w:t>
            </w:r>
            <w:r>
              <w:rPr>
                <w:color w:val="auto"/>
                <w:sz w:val="24"/>
              </w:rPr>
              <w:t>《合成树脂工业污染物排放标准》（GB31572-2015）</w:t>
            </w:r>
            <w:r>
              <w:rPr>
                <w:rFonts w:hint="default" w:ascii="Times New Roman" w:hAnsi="Times New Roman" w:eastAsia="宋体" w:cs="Times New Roman"/>
                <w:color w:val="auto"/>
                <w:sz w:val="24"/>
                <w:szCs w:val="24"/>
                <w:highlight w:val="none"/>
                <w:lang w:val="en-US" w:eastAsia="zh-CN"/>
              </w:rPr>
              <w:t>及2024年修改单中</w:t>
            </w:r>
            <w:r>
              <w:rPr>
                <w:color w:val="auto"/>
                <w:sz w:val="24"/>
              </w:rPr>
              <w:t>相关大气污染物排放限值要求</w:t>
            </w:r>
            <w:r>
              <w:rPr>
                <w:color w:val="auto"/>
                <w:spacing w:val="-6"/>
                <w:sz w:val="24"/>
              </w:rPr>
              <w:t>，能够达标排放。</w:t>
            </w:r>
          </w:p>
          <w:p w14:paraId="4B6BD2C4">
            <w:pPr>
              <w:keepNext w:val="0"/>
              <w:keepLines w:val="0"/>
              <w:pageBreakBefore w:val="0"/>
              <w:widowControl w:val="0"/>
              <w:kinsoku/>
              <w:wordWrap/>
              <w:overflowPunct/>
              <w:topLinePunct w:val="0"/>
              <w:autoSpaceDE/>
              <w:autoSpaceDN/>
              <w:bidi w:val="0"/>
              <w:adjustRightInd/>
              <w:snapToGrid/>
              <w:spacing w:line="348" w:lineRule="auto"/>
              <w:ind w:left="0" w:leftChars="0" w:firstLine="482" w:firstLineChars="200"/>
              <w:textAlignment w:val="auto"/>
              <w:outlineLvl w:val="9"/>
              <w:rPr>
                <w:rFonts w:hint="default" w:ascii="Times New Roman" w:hAnsi="Times New Roman" w:eastAsia="宋体" w:cs="Times New Roman"/>
                <w:b/>
                <w:bCs/>
                <w:color w:val="auto"/>
                <w:spacing w:val="6"/>
                <w:kern w:val="2"/>
                <w:sz w:val="24"/>
                <w:szCs w:val="24"/>
                <w:highlight w:val="none"/>
                <w:lang w:val="en-US" w:eastAsia="zh-CN" w:bidi="ar-SA"/>
              </w:rPr>
            </w:pPr>
            <w:r>
              <w:rPr>
                <w:rFonts w:hint="eastAsia"/>
                <w:b/>
                <w:bCs/>
                <w:color w:val="auto"/>
                <w:sz w:val="24"/>
                <w:highlight w:val="none"/>
              </w:rPr>
              <w:t>（</w:t>
            </w:r>
            <w:r>
              <w:rPr>
                <w:rFonts w:hint="eastAsia"/>
                <w:b/>
                <w:bCs/>
                <w:color w:val="auto"/>
                <w:sz w:val="24"/>
                <w:highlight w:val="none"/>
                <w:lang w:val="en-US" w:eastAsia="zh-CN"/>
              </w:rPr>
              <w:t>4</w:t>
            </w:r>
            <w:r>
              <w:rPr>
                <w:rFonts w:hint="eastAsia"/>
                <w:b/>
                <w:bCs/>
                <w:color w:val="auto"/>
                <w:sz w:val="24"/>
                <w:highlight w:val="none"/>
              </w:rPr>
              <w:t>）</w:t>
            </w:r>
            <w:r>
              <w:rPr>
                <w:rFonts w:hint="default" w:ascii="Times New Roman" w:hAnsi="Times New Roman" w:eastAsia="宋体" w:cs="Times New Roman"/>
                <w:b/>
                <w:bCs/>
                <w:color w:val="auto"/>
                <w:sz w:val="24"/>
                <w:szCs w:val="24"/>
                <w:highlight w:val="none"/>
                <w:lang w:eastAsia="zh-CN"/>
              </w:rPr>
              <w:t>卫生间、化粪池异味</w:t>
            </w:r>
          </w:p>
          <w:p w14:paraId="35DC8A27">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outlineLvl w:val="9"/>
              <w:rPr>
                <w:rFonts w:hint="default" w:ascii="Times New Roman" w:hAnsi="Times New Roman" w:eastAsia="宋体" w:cs="Times New Roman"/>
                <w:color w:val="auto"/>
                <w:sz w:val="24"/>
                <w:szCs w:val="24"/>
                <w:highlight w:val="none"/>
                <w:lang w:val="zh-CN" w:eastAsia="zh-CN"/>
              </w:rPr>
            </w:pPr>
            <w:r>
              <w:rPr>
                <w:rFonts w:hint="default" w:ascii="Times New Roman" w:hAnsi="Times New Roman" w:eastAsia="宋体" w:cs="Times New Roman"/>
                <w:color w:val="auto"/>
                <w:sz w:val="24"/>
                <w:szCs w:val="24"/>
                <w:highlight w:val="none"/>
                <w:lang w:val="zh-CN" w:eastAsia="zh-CN"/>
              </w:rPr>
              <w:t>本项目臭气</w:t>
            </w:r>
            <w:r>
              <w:rPr>
                <w:rFonts w:hint="default" w:ascii="Times New Roman" w:hAnsi="Times New Roman" w:eastAsia="宋体" w:cs="Times New Roman"/>
                <w:color w:val="auto"/>
                <w:sz w:val="24"/>
                <w:szCs w:val="24"/>
                <w:highlight w:val="none"/>
                <w:lang w:val="en-US" w:eastAsia="zh-CN"/>
              </w:rPr>
              <w:t>还</w:t>
            </w:r>
            <w:r>
              <w:rPr>
                <w:rFonts w:hint="default" w:ascii="Times New Roman" w:hAnsi="Times New Roman" w:eastAsia="宋体" w:cs="Times New Roman"/>
                <w:color w:val="auto"/>
                <w:sz w:val="24"/>
                <w:szCs w:val="24"/>
                <w:highlight w:val="none"/>
                <w:lang w:val="zh-CN" w:eastAsia="zh-CN"/>
              </w:rPr>
              <w:t>来源于</w:t>
            </w:r>
            <w:r>
              <w:rPr>
                <w:rFonts w:hint="default" w:ascii="Times New Roman" w:hAnsi="Times New Roman" w:eastAsia="宋体" w:cs="Times New Roman"/>
                <w:bCs w:val="0"/>
                <w:color w:val="auto"/>
                <w:sz w:val="24"/>
                <w:highlight w:val="none"/>
                <w:lang w:eastAsia="zh-CN"/>
              </w:rPr>
              <w:t>卫生间</w:t>
            </w:r>
            <w:r>
              <w:rPr>
                <w:rFonts w:hint="default" w:ascii="Times New Roman" w:hAnsi="Times New Roman" w:eastAsia="宋体" w:cs="Times New Roman"/>
                <w:color w:val="auto"/>
                <w:sz w:val="24"/>
                <w:szCs w:val="24"/>
                <w:highlight w:val="none"/>
              </w:rPr>
              <w:t>、化</w:t>
            </w:r>
            <w:r>
              <w:rPr>
                <w:rFonts w:hint="default" w:ascii="Times New Roman" w:hAnsi="Times New Roman" w:eastAsia="宋体" w:cs="Times New Roman"/>
                <w:b w:val="0"/>
                <w:bCs w:val="0"/>
                <w:color w:val="auto"/>
                <w:sz w:val="24"/>
                <w:szCs w:val="24"/>
                <w:highlight w:val="none"/>
              </w:rPr>
              <w:t>粪池等</w:t>
            </w:r>
            <w:r>
              <w:rPr>
                <w:rFonts w:hint="default" w:ascii="Times New Roman" w:hAnsi="Times New Roman" w:eastAsia="宋体" w:cs="Times New Roman"/>
                <w:color w:val="auto"/>
                <w:sz w:val="24"/>
                <w:szCs w:val="24"/>
                <w:highlight w:val="none"/>
              </w:rPr>
              <w:t>使用过程。</w:t>
            </w:r>
          </w:p>
          <w:p w14:paraId="2456D5D7">
            <w:pPr>
              <w:pStyle w:val="7"/>
              <w:keepNext w:val="0"/>
              <w:keepLines w:val="0"/>
              <w:pageBreakBefore w:val="0"/>
              <w:widowControl w:val="0"/>
              <w:kinsoku/>
              <w:wordWrap/>
              <w:overflowPunct/>
              <w:topLinePunct w:val="0"/>
              <w:autoSpaceDE/>
              <w:autoSpaceDN/>
              <w:bidi w:val="0"/>
              <w:adjustRightInd/>
              <w:snapToGrid/>
              <w:spacing w:line="348" w:lineRule="auto"/>
              <w:ind w:firstLine="480"/>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项目产生的生活垃圾</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办公垃圾经项目</w:t>
            </w:r>
            <w:r>
              <w:rPr>
                <w:rFonts w:hint="default" w:ascii="Times New Roman" w:hAnsi="Times New Roman" w:eastAsia="宋体" w:cs="Times New Roman"/>
                <w:color w:val="auto"/>
                <w:sz w:val="24"/>
                <w:szCs w:val="24"/>
                <w:highlight w:val="none"/>
                <w:lang w:eastAsia="zh-CN"/>
              </w:rPr>
              <w:t>带盖</w:t>
            </w:r>
            <w:r>
              <w:rPr>
                <w:rFonts w:hint="default" w:ascii="Times New Roman" w:hAnsi="Times New Roman" w:eastAsia="宋体" w:cs="Times New Roman"/>
                <w:color w:val="auto"/>
                <w:sz w:val="24"/>
                <w:szCs w:val="24"/>
                <w:highlight w:val="none"/>
              </w:rPr>
              <w:t>垃圾桶收集后直接运至</w:t>
            </w:r>
            <w:r>
              <w:rPr>
                <w:rFonts w:hint="default" w:ascii="Times New Roman" w:hAnsi="Times New Roman" w:eastAsia="宋体" w:cs="Times New Roman"/>
                <w:color w:val="auto"/>
                <w:sz w:val="24"/>
                <w:szCs w:val="24"/>
                <w:highlight w:val="none"/>
                <w:lang w:eastAsia="zh-CN"/>
              </w:rPr>
              <w:t>附近</w:t>
            </w:r>
            <w:r>
              <w:rPr>
                <w:rFonts w:hint="default" w:ascii="Times New Roman" w:hAnsi="Times New Roman" w:eastAsia="宋体" w:cs="Times New Roman"/>
                <w:color w:val="auto"/>
                <w:sz w:val="24"/>
                <w:szCs w:val="24"/>
                <w:highlight w:val="none"/>
              </w:rPr>
              <w:t>垃圾收集点，由环卫部门清运处理，生活垃圾日产日清</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highlight w:val="none"/>
                <w:lang w:eastAsia="zh-CN"/>
              </w:rPr>
              <w:t>异味</w:t>
            </w:r>
            <w:r>
              <w:rPr>
                <w:rFonts w:hint="default" w:ascii="Times New Roman" w:hAnsi="Times New Roman" w:eastAsia="宋体" w:cs="Times New Roman"/>
                <w:color w:val="auto"/>
                <w:sz w:val="24"/>
                <w:szCs w:val="24"/>
                <w:highlight w:val="none"/>
              </w:rPr>
              <w:t>产生量较小</w:t>
            </w:r>
            <w:r>
              <w:rPr>
                <w:rFonts w:hint="default" w:ascii="Times New Roman" w:hAnsi="Times New Roman" w:eastAsia="宋体" w:cs="Times New Roman"/>
                <w:color w:val="auto"/>
                <w:sz w:val="24"/>
                <w:szCs w:val="24"/>
                <w:highlight w:val="none"/>
                <w:lang w:eastAsia="zh-CN"/>
              </w:rPr>
              <w:t>。</w:t>
            </w:r>
          </w:p>
          <w:p w14:paraId="528159FA">
            <w:pPr>
              <w:keepNext w:val="0"/>
              <w:keepLines w:val="0"/>
              <w:pageBreakBefore w:val="0"/>
              <w:widowControl w:val="0"/>
              <w:kinsoku/>
              <w:wordWrap/>
              <w:overflowPunct/>
              <w:topLinePunct w:val="0"/>
              <w:autoSpaceDE/>
              <w:autoSpaceDN/>
              <w:bidi w:val="0"/>
              <w:adjustRightInd/>
              <w:snapToGrid/>
              <w:spacing w:line="348" w:lineRule="auto"/>
              <w:ind w:firstLine="488" w:firstLineChars="200"/>
              <w:textAlignment w:val="auto"/>
              <w:outlineLvl w:val="9"/>
              <w:rPr>
                <w:color w:val="auto"/>
                <w:sz w:val="24"/>
              </w:rPr>
            </w:pPr>
            <w:r>
              <w:rPr>
                <w:rFonts w:hint="default" w:ascii="Times New Roman" w:hAnsi="Times New Roman" w:eastAsia="宋体" w:cs="Times New Roman"/>
                <w:color w:val="auto"/>
                <w:spacing w:val="2"/>
                <w:sz w:val="24"/>
                <w:szCs w:val="24"/>
                <w:highlight w:val="none"/>
                <w:lang w:eastAsia="zh-CN"/>
              </w:rPr>
              <w:t>同时</w:t>
            </w:r>
            <w:r>
              <w:rPr>
                <w:rFonts w:hint="default" w:ascii="Times New Roman" w:hAnsi="Times New Roman" w:eastAsia="宋体" w:cs="Times New Roman"/>
                <w:color w:val="auto"/>
                <w:spacing w:val="2"/>
                <w:sz w:val="24"/>
                <w:szCs w:val="24"/>
                <w:highlight w:val="none"/>
              </w:rPr>
              <w:t>项目</w:t>
            </w:r>
            <w:r>
              <w:rPr>
                <w:rFonts w:hint="default" w:ascii="Times New Roman" w:hAnsi="Times New Roman" w:eastAsia="宋体" w:cs="Times New Roman"/>
                <w:color w:val="auto"/>
                <w:spacing w:val="2"/>
                <w:sz w:val="24"/>
                <w:szCs w:val="24"/>
                <w:highlight w:val="none"/>
                <w:lang w:eastAsia="zh-CN"/>
              </w:rPr>
              <w:t>卫生间、</w:t>
            </w:r>
            <w:r>
              <w:rPr>
                <w:rFonts w:hint="default" w:ascii="Times New Roman" w:hAnsi="Times New Roman" w:eastAsia="宋体" w:cs="Times New Roman"/>
                <w:color w:val="auto"/>
                <w:spacing w:val="2"/>
                <w:sz w:val="24"/>
                <w:szCs w:val="24"/>
                <w:highlight w:val="none"/>
              </w:rPr>
              <w:t>化粪</w:t>
            </w:r>
            <w:r>
              <w:rPr>
                <w:rFonts w:hint="default" w:ascii="Times New Roman" w:hAnsi="Times New Roman" w:eastAsia="宋体" w:cs="Times New Roman"/>
                <w:b w:val="0"/>
                <w:bCs w:val="0"/>
                <w:color w:val="auto"/>
                <w:spacing w:val="2"/>
                <w:sz w:val="24"/>
                <w:szCs w:val="24"/>
                <w:highlight w:val="none"/>
              </w:rPr>
              <w:t>池</w:t>
            </w:r>
            <w:r>
              <w:rPr>
                <w:rFonts w:hint="default" w:ascii="Times New Roman" w:hAnsi="Times New Roman" w:eastAsia="宋体" w:cs="Times New Roman"/>
                <w:b w:val="0"/>
                <w:bCs w:val="0"/>
                <w:color w:val="auto"/>
                <w:spacing w:val="2"/>
                <w:sz w:val="24"/>
                <w:szCs w:val="24"/>
                <w:highlight w:val="none"/>
                <w:lang w:eastAsia="zh-CN"/>
              </w:rPr>
              <w:t>在</w:t>
            </w:r>
            <w:r>
              <w:rPr>
                <w:rFonts w:hint="default" w:ascii="Times New Roman" w:hAnsi="Times New Roman" w:eastAsia="宋体" w:cs="Times New Roman"/>
                <w:b w:val="0"/>
                <w:bCs w:val="0"/>
                <w:color w:val="auto"/>
                <w:spacing w:val="2"/>
                <w:sz w:val="24"/>
                <w:szCs w:val="24"/>
                <w:highlight w:val="none"/>
              </w:rPr>
              <w:t>运营</w:t>
            </w:r>
            <w:r>
              <w:rPr>
                <w:rFonts w:hint="default" w:ascii="Times New Roman" w:hAnsi="Times New Roman" w:eastAsia="宋体" w:cs="Times New Roman"/>
                <w:color w:val="auto"/>
                <w:spacing w:val="2"/>
                <w:sz w:val="24"/>
                <w:szCs w:val="24"/>
                <w:highlight w:val="none"/>
              </w:rPr>
              <w:t>过程中</w:t>
            </w:r>
            <w:r>
              <w:rPr>
                <w:rFonts w:hint="default" w:ascii="Times New Roman" w:hAnsi="Times New Roman" w:eastAsia="宋体" w:cs="Times New Roman"/>
                <w:color w:val="auto"/>
                <w:spacing w:val="2"/>
                <w:sz w:val="24"/>
                <w:szCs w:val="24"/>
                <w:highlight w:val="none"/>
                <w:lang w:eastAsia="zh-CN"/>
              </w:rPr>
              <w:t>由于</w:t>
            </w:r>
            <w:r>
              <w:rPr>
                <w:rFonts w:hint="default" w:ascii="Times New Roman" w:hAnsi="Times New Roman" w:eastAsia="宋体" w:cs="Times New Roman"/>
                <w:color w:val="auto"/>
                <w:spacing w:val="2"/>
                <w:sz w:val="24"/>
                <w:szCs w:val="24"/>
                <w:highlight w:val="none"/>
              </w:rPr>
              <w:t>有机物的分解、发酵过程将</w:t>
            </w:r>
            <w:r>
              <w:rPr>
                <w:rFonts w:hint="default" w:ascii="Times New Roman" w:hAnsi="Times New Roman" w:eastAsia="宋体" w:cs="Times New Roman"/>
                <w:color w:val="auto"/>
                <w:spacing w:val="2"/>
                <w:sz w:val="24"/>
                <w:szCs w:val="24"/>
                <w:highlight w:val="none"/>
                <w:lang w:eastAsia="zh-CN"/>
              </w:rPr>
              <w:t>会</w:t>
            </w:r>
            <w:r>
              <w:rPr>
                <w:rFonts w:hint="default" w:ascii="Times New Roman" w:hAnsi="Times New Roman" w:eastAsia="宋体" w:cs="Times New Roman"/>
                <w:color w:val="auto"/>
                <w:spacing w:val="2"/>
                <w:sz w:val="24"/>
                <w:szCs w:val="24"/>
                <w:highlight w:val="none"/>
              </w:rPr>
              <w:t>产生异味，异味为多组分、低浓度化学物质形成的混合物，其主要成分为氨、硫化</w:t>
            </w:r>
            <w:r>
              <w:rPr>
                <w:rFonts w:hint="default" w:ascii="Times New Roman" w:hAnsi="Times New Roman" w:eastAsia="宋体" w:cs="Times New Roman"/>
                <w:b w:val="0"/>
                <w:bCs w:val="0"/>
                <w:color w:val="auto"/>
                <w:spacing w:val="2"/>
                <w:sz w:val="24"/>
                <w:szCs w:val="24"/>
                <w:highlight w:val="none"/>
              </w:rPr>
              <w:t>氢</w:t>
            </w:r>
            <w:r>
              <w:rPr>
                <w:rFonts w:hint="default" w:ascii="Times New Roman" w:hAnsi="Times New Roman" w:eastAsia="宋体" w:cs="Times New Roman"/>
                <w:b w:val="0"/>
                <w:bCs w:val="0"/>
                <w:color w:val="auto"/>
                <w:spacing w:val="2"/>
                <w:sz w:val="24"/>
                <w:szCs w:val="24"/>
                <w:highlight w:val="none"/>
                <w:lang w:eastAsia="zh-CN"/>
              </w:rPr>
              <w:t>等</w:t>
            </w:r>
            <w:r>
              <w:rPr>
                <w:rFonts w:hint="default" w:ascii="Times New Roman" w:hAnsi="Times New Roman" w:eastAsia="宋体" w:cs="Times New Roman"/>
                <w:b w:val="0"/>
                <w:bCs w:val="0"/>
                <w:color w:val="auto"/>
                <w:spacing w:val="2"/>
                <w:sz w:val="24"/>
                <w:szCs w:val="24"/>
                <w:highlight w:val="none"/>
              </w:rPr>
              <w:t>物质。</w:t>
            </w:r>
            <w:r>
              <w:rPr>
                <w:rFonts w:hint="default" w:ascii="Times New Roman" w:hAnsi="Times New Roman" w:eastAsia="宋体" w:cs="Times New Roman"/>
                <w:b w:val="0"/>
                <w:bCs w:val="0"/>
                <w:color w:val="auto"/>
                <w:spacing w:val="2"/>
                <w:sz w:val="24"/>
                <w:szCs w:val="24"/>
                <w:highlight w:val="none"/>
                <w:lang w:eastAsia="zh-CN"/>
              </w:rPr>
              <w:t>项目</w:t>
            </w:r>
            <w:r>
              <w:rPr>
                <w:rFonts w:hint="default" w:ascii="Times New Roman" w:hAnsi="Times New Roman" w:eastAsia="宋体" w:cs="Times New Roman"/>
                <w:b w:val="0"/>
                <w:bCs w:val="0"/>
                <w:color w:val="auto"/>
                <w:sz w:val="24"/>
                <w:szCs w:val="24"/>
                <w:highlight w:val="none"/>
              </w:rPr>
              <w:t>卫生间为</w:t>
            </w:r>
            <w:r>
              <w:rPr>
                <w:rFonts w:hint="default" w:ascii="Times New Roman" w:hAnsi="Times New Roman" w:eastAsia="宋体" w:cs="Times New Roman"/>
                <w:b w:val="0"/>
                <w:bCs w:val="0"/>
                <w:color w:val="auto"/>
                <w:sz w:val="24"/>
                <w:szCs w:val="24"/>
                <w:highlight w:val="none"/>
                <w:lang w:eastAsia="zh-CN"/>
              </w:rPr>
              <w:t>水冲厕</w:t>
            </w:r>
            <w:r>
              <w:rPr>
                <w:rFonts w:hint="default" w:ascii="Times New Roman" w:hAnsi="Times New Roman" w:eastAsia="宋体" w:cs="Times New Roman"/>
                <w:b w:val="0"/>
                <w:bCs w:val="0"/>
                <w:color w:val="auto"/>
                <w:sz w:val="24"/>
                <w:szCs w:val="24"/>
                <w:highlight w:val="none"/>
              </w:rPr>
              <w:t>，</w:t>
            </w:r>
            <w:r>
              <w:rPr>
                <w:rFonts w:hint="default" w:ascii="Times New Roman" w:hAnsi="Times New Roman" w:eastAsia="宋体" w:cs="Times New Roman"/>
                <w:b w:val="0"/>
                <w:bCs w:val="0"/>
                <w:color w:val="auto"/>
                <w:sz w:val="24"/>
                <w:szCs w:val="24"/>
                <w:highlight w:val="none"/>
                <w:lang w:eastAsia="zh-CN"/>
              </w:rPr>
              <w:t>设置专人打扫；</w:t>
            </w:r>
            <w:r>
              <w:rPr>
                <w:rFonts w:hint="default" w:ascii="Times New Roman" w:hAnsi="Times New Roman" w:eastAsia="宋体" w:cs="Times New Roman"/>
                <w:b w:val="0"/>
                <w:bCs w:val="0"/>
                <w:color w:val="auto"/>
                <w:spacing w:val="2"/>
                <w:sz w:val="24"/>
                <w:szCs w:val="24"/>
                <w:highlight w:val="none"/>
              </w:rPr>
              <w:t>化粪池</w:t>
            </w:r>
            <w:r>
              <w:rPr>
                <w:rFonts w:hint="default" w:ascii="Times New Roman" w:hAnsi="Times New Roman" w:eastAsia="宋体" w:cs="Times New Roman"/>
                <w:b w:val="0"/>
                <w:bCs w:val="0"/>
                <w:color w:val="auto"/>
                <w:spacing w:val="2"/>
                <w:sz w:val="24"/>
                <w:szCs w:val="24"/>
                <w:highlight w:val="none"/>
                <w:lang w:eastAsia="zh-CN"/>
              </w:rPr>
              <w:t>为</w:t>
            </w:r>
            <w:r>
              <w:rPr>
                <w:rFonts w:hint="default" w:ascii="Times New Roman" w:hAnsi="Times New Roman" w:eastAsia="宋体" w:cs="Times New Roman"/>
                <w:b w:val="0"/>
                <w:bCs w:val="0"/>
                <w:color w:val="auto"/>
                <w:spacing w:val="2"/>
                <w:sz w:val="24"/>
                <w:szCs w:val="24"/>
                <w:highlight w:val="none"/>
              </w:rPr>
              <w:t>全封闭加盖设计</w:t>
            </w:r>
            <w:r>
              <w:rPr>
                <w:rFonts w:hint="default" w:ascii="Times New Roman" w:hAnsi="Times New Roman" w:eastAsia="宋体" w:cs="Times New Roman"/>
                <w:b w:val="0"/>
                <w:bCs w:val="0"/>
                <w:color w:val="auto"/>
                <w:sz w:val="24"/>
                <w:szCs w:val="24"/>
                <w:highlight w:val="none"/>
                <w:lang w:eastAsia="zh-CN"/>
              </w:rPr>
              <w:t>，同时</w:t>
            </w:r>
            <w:r>
              <w:rPr>
                <w:rFonts w:hint="default" w:ascii="Times New Roman" w:hAnsi="Times New Roman" w:eastAsia="宋体" w:cs="Times New Roman"/>
                <w:b w:val="0"/>
                <w:bCs w:val="0"/>
                <w:color w:val="auto"/>
                <w:sz w:val="24"/>
                <w:szCs w:val="24"/>
                <w:highlight w:val="none"/>
              </w:rPr>
              <w:t>加强卫生管理后异味产生量较小，</w:t>
            </w:r>
            <w:r>
              <w:rPr>
                <w:rFonts w:hint="default" w:ascii="Times New Roman" w:hAnsi="Times New Roman" w:eastAsia="宋体" w:cs="Times New Roman"/>
                <w:b w:val="0"/>
                <w:bCs w:val="0"/>
                <w:color w:val="auto"/>
                <w:spacing w:val="2"/>
                <w:sz w:val="24"/>
                <w:szCs w:val="24"/>
                <w:highlight w:val="none"/>
                <w:lang w:eastAsia="zh-CN"/>
              </w:rPr>
              <w:t>呈无组织排放。</w:t>
            </w:r>
          </w:p>
          <w:p w14:paraId="1D2D6A2C">
            <w:pPr>
              <w:pStyle w:val="29"/>
              <w:adjustRightInd w:val="0"/>
              <w:snapToGrid w:val="0"/>
              <w:spacing w:line="348" w:lineRule="auto"/>
              <w:ind w:left="0" w:leftChars="0" w:firstLine="482" w:firstLineChars="200"/>
              <w:rPr>
                <w:b/>
                <w:bCs/>
                <w:color w:val="auto"/>
                <w:sz w:val="24"/>
                <w:lang w:val="zh-CN"/>
              </w:rPr>
            </w:pPr>
            <w:r>
              <w:rPr>
                <w:rFonts w:hint="eastAsia"/>
                <w:b/>
                <w:bCs/>
                <w:color w:val="auto"/>
                <w:sz w:val="24"/>
              </w:rPr>
              <w:t>（</w:t>
            </w:r>
            <w:r>
              <w:rPr>
                <w:rFonts w:hint="eastAsia"/>
                <w:b/>
                <w:bCs/>
                <w:color w:val="auto"/>
                <w:sz w:val="24"/>
                <w:lang w:val="en-US" w:eastAsia="zh-CN"/>
              </w:rPr>
              <w:t>5</w:t>
            </w:r>
            <w:r>
              <w:rPr>
                <w:rFonts w:hint="eastAsia"/>
                <w:b/>
                <w:bCs/>
                <w:color w:val="auto"/>
                <w:sz w:val="24"/>
              </w:rPr>
              <w:t>）</w:t>
            </w:r>
            <w:r>
              <w:rPr>
                <w:rFonts w:hint="eastAsia"/>
                <w:b/>
                <w:bCs/>
                <w:color w:val="auto"/>
                <w:sz w:val="24"/>
                <w:lang w:val="zh-CN"/>
              </w:rPr>
              <w:t>食堂油烟</w:t>
            </w:r>
          </w:p>
          <w:p w14:paraId="3035A371">
            <w:pPr>
              <w:spacing w:line="348" w:lineRule="auto"/>
              <w:ind w:firstLine="480" w:firstLineChars="200"/>
              <w:rPr>
                <w:b/>
                <w:bCs/>
                <w:color w:val="auto"/>
                <w:szCs w:val="21"/>
              </w:rPr>
            </w:pPr>
            <w:r>
              <w:rPr>
                <w:rFonts w:hint="eastAsia"/>
                <w:color w:val="auto"/>
                <w:sz w:val="24"/>
              </w:rPr>
              <w:t>项目</w:t>
            </w:r>
            <w:r>
              <w:rPr>
                <w:rFonts w:hint="eastAsia"/>
                <w:color w:val="auto"/>
                <w:sz w:val="24"/>
                <w:lang w:eastAsia="zh-CN"/>
              </w:rPr>
              <w:t>拟</w:t>
            </w:r>
            <w:r>
              <w:rPr>
                <w:color w:val="auto"/>
                <w:sz w:val="24"/>
              </w:rPr>
              <w:t>设置了1个小型食堂</w:t>
            </w:r>
            <w:r>
              <w:rPr>
                <w:rFonts w:hint="eastAsia"/>
                <w:color w:val="auto"/>
                <w:sz w:val="24"/>
              </w:rPr>
              <w:t>（</w:t>
            </w:r>
            <w:r>
              <w:rPr>
                <w:rFonts w:hint="eastAsia"/>
                <w:color w:val="auto"/>
                <w:sz w:val="24"/>
                <w:lang w:val="en-US" w:eastAsia="zh-CN"/>
              </w:rPr>
              <w:t>1</w:t>
            </w:r>
            <w:r>
              <w:rPr>
                <w:rFonts w:hint="eastAsia"/>
                <w:color w:val="auto"/>
                <w:sz w:val="24"/>
              </w:rPr>
              <w:t>个灶头）</w:t>
            </w:r>
            <w:r>
              <w:rPr>
                <w:color w:val="auto"/>
                <w:sz w:val="24"/>
              </w:rPr>
              <w:t>，厨房使用电和</w:t>
            </w:r>
            <w:r>
              <w:rPr>
                <w:rFonts w:hint="eastAsia"/>
                <w:color w:val="auto"/>
                <w:sz w:val="24"/>
              </w:rPr>
              <w:t>液化</w:t>
            </w:r>
            <w:r>
              <w:rPr>
                <w:color w:val="auto"/>
                <w:sz w:val="24"/>
              </w:rPr>
              <w:t>气，属于清洁能源。厨房中产生的废气主要</w:t>
            </w:r>
            <w:r>
              <w:rPr>
                <w:color w:val="auto"/>
                <w:sz w:val="24"/>
                <w:lang w:val="zh-CN"/>
              </w:rPr>
              <w:t>为油烟，根据营养膳食按每天使用食用油30g/人，</w:t>
            </w:r>
            <w:r>
              <w:rPr>
                <w:rFonts w:hint="eastAsia"/>
                <w:color w:val="auto"/>
                <w:sz w:val="24"/>
              </w:rPr>
              <w:t>本项目</w:t>
            </w:r>
            <w:r>
              <w:rPr>
                <w:color w:val="auto"/>
                <w:sz w:val="24"/>
              </w:rPr>
              <w:t>就餐人数为</w:t>
            </w:r>
            <w:r>
              <w:rPr>
                <w:rFonts w:hint="eastAsia"/>
                <w:color w:val="auto"/>
                <w:sz w:val="24"/>
                <w:lang w:val="en-US" w:eastAsia="zh-CN"/>
              </w:rPr>
              <w:t>2</w:t>
            </w:r>
            <w:r>
              <w:rPr>
                <w:rFonts w:hint="eastAsia"/>
                <w:color w:val="auto"/>
                <w:sz w:val="24"/>
              </w:rPr>
              <w:t>0</w:t>
            </w:r>
            <w:r>
              <w:rPr>
                <w:color w:val="auto"/>
                <w:sz w:val="24"/>
              </w:rPr>
              <w:t>人</w:t>
            </w:r>
            <w:r>
              <w:rPr>
                <w:color w:val="auto"/>
                <w:sz w:val="24"/>
                <w:lang w:val="zh-CN"/>
              </w:rPr>
              <w:t>，在食堂烹饪过程中产生的油烟挥发量按食用油量的2%计算，每天提供</w:t>
            </w:r>
            <w:r>
              <w:rPr>
                <w:rFonts w:hint="eastAsia"/>
                <w:color w:val="auto"/>
                <w:sz w:val="24"/>
              </w:rPr>
              <w:t>3</w:t>
            </w:r>
            <w:r>
              <w:rPr>
                <w:color w:val="auto"/>
                <w:sz w:val="24"/>
                <w:lang w:val="zh-CN"/>
              </w:rPr>
              <w:t>餐，炊事时间按</w:t>
            </w:r>
            <w:r>
              <w:rPr>
                <w:rFonts w:hint="eastAsia"/>
                <w:color w:val="auto"/>
                <w:sz w:val="24"/>
              </w:rPr>
              <w:t>4</w:t>
            </w:r>
            <w:r>
              <w:rPr>
                <w:color w:val="auto"/>
                <w:sz w:val="24"/>
                <w:lang w:val="zh-CN"/>
              </w:rPr>
              <w:t>h计算。净化设备每天运行</w:t>
            </w:r>
            <w:r>
              <w:rPr>
                <w:rFonts w:hint="eastAsia"/>
                <w:color w:val="auto"/>
                <w:sz w:val="24"/>
              </w:rPr>
              <w:t>4</w:t>
            </w:r>
            <w:r>
              <w:rPr>
                <w:color w:val="auto"/>
                <w:sz w:val="24"/>
                <w:lang w:val="zh-CN"/>
              </w:rPr>
              <w:t>h，油烟净化设施风量为</w:t>
            </w:r>
            <w:r>
              <w:rPr>
                <w:rFonts w:hint="eastAsia"/>
                <w:color w:val="auto"/>
                <w:sz w:val="24"/>
                <w:lang w:val="en-US" w:eastAsia="zh-CN"/>
              </w:rPr>
              <w:t>2</w:t>
            </w:r>
            <w:r>
              <w:rPr>
                <w:color w:val="auto"/>
                <w:sz w:val="24"/>
                <w:lang w:val="zh-CN"/>
              </w:rPr>
              <w:t>000m</w:t>
            </w:r>
            <w:r>
              <w:rPr>
                <w:color w:val="auto"/>
                <w:sz w:val="24"/>
                <w:vertAlign w:val="superscript"/>
              </w:rPr>
              <w:t>3</w:t>
            </w:r>
            <w:r>
              <w:rPr>
                <w:color w:val="auto"/>
                <w:sz w:val="24"/>
                <w:lang w:val="zh-CN"/>
              </w:rPr>
              <w:t>/h</w:t>
            </w:r>
            <w:r>
              <w:rPr>
                <w:color w:val="auto"/>
                <w:sz w:val="24"/>
              </w:rPr>
              <w:t>，</w:t>
            </w:r>
            <w:r>
              <w:rPr>
                <w:color w:val="auto"/>
                <w:sz w:val="24"/>
                <w:lang w:val="zh-CN"/>
              </w:rPr>
              <w:t>处理效率不低于60%。</w:t>
            </w:r>
          </w:p>
          <w:p w14:paraId="271C087E">
            <w:pPr>
              <w:jc w:val="center"/>
              <w:rPr>
                <w:color w:val="auto"/>
                <w:szCs w:val="21"/>
                <w:lang w:val="zh-CN"/>
              </w:rPr>
            </w:pPr>
            <w:r>
              <w:rPr>
                <w:b/>
                <w:bCs/>
                <w:color w:val="auto"/>
                <w:szCs w:val="21"/>
              </w:rPr>
              <w:t>表4-</w:t>
            </w:r>
            <w:r>
              <w:rPr>
                <w:rFonts w:hint="eastAsia"/>
                <w:b/>
                <w:bCs/>
                <w:color w:val="auto"/>
                <w:szCs w:val="21"/>
                <w:lang w:val="en-US" w:eastAsia="zh-CN"/>
              </w:rPr>
              <w:t>6</w:t>
            </w:r>
            <w:r>
              <w:rPr>
                <w:b/>
                <w:bCs/>
                <w:color w:val="auto"/>
                <w:szCs w:val="21"/>
              </w:rPr>
              <w:t xml:space="preserve">  食堂油烟产排情况一览表</w:t>
            </w:r>
          </w:p>
          <w:tbl>
            <w:tblPr>
              <w:tblStyle w:val="30"/>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10"/>
              <w:gridCol w:w="663"/>
              <w:gridCol w:w="799"/>
              <w:gridCol w:w="636"/>
              <w:gridCol w:w="733"/>
              <w:gridCol w:w="682"/>
              <w:gridCol w:w="633"/>
              <w:gridCol w:w="963"/>
              <w:gridCol w:w="709"/>
              <w:gridCol w:w="636"/>
              <w:gridCol w:w="635"/>
              <w:gridCol w:w="683"/>
            </w:tblGrid>
            <w:tr w14:paraId="114CB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3" w:hRule="atLeast"/>
                <w:jc w:val="center"/>
              </w:trPr>
              <w:tc>
                <w:tcPr>
                  <w:tcW w:w="610" w:type="dxa"/>
                  <w:vMerge w:val="restart"/>
                  <w:vAlign w:val="center"/>
                </w:tcPr>
                <w:p w14:paraId="1EF79D5F">
                  <w:pPr>
                    <w:jc w:val="center"/>
                    <w:rPr>
                      <w:b/>
                      <w:bCs/>
                      <w:color w:val="auto"/>
                      <w:szCs w:val="21"/>
                    </w:rPr>
                  </w:pPr>
                  <w:r>
                    <w:rPr>
                      <w:b/>
                      <w:bCs/>
                      <w:color w:val="auto"/>
                      <w:szCs w:val="21"/>
                    </w:rPr>
                    <w:t>污染源</w:t>
                  </w:r>
                </w:p>
              </w:tc>
              <w:tc>
                <w:tcPr>
                  <w:tcW w:w="663" w:type="dxa"/>
                  <w:vMerge w:val="restart"/>
                  <w:vAlign w:val="center"/>
                </w:tcPr>
                <w:p w14:paraId="549DC9F1">
                  <w:pPr>
                    <w:jc w:val="center"/>
                    <w:rPr>
                      <w:b/>
                      <w:bCs/>
                      <w:color w:val="auto"/>
                      <w:szCs w:val="21"/>
                    </w:rPr>
                  </w:pPr>
                  <w:r>
                    <w:rPr>
                      <w:b/>
                      <w:bCs/>
                      <w:color w:val="auto"/>
                      <w:szCs w:val="21"/>
                    </w:rPr>
                    <w:t>用餐人数</w:t>
                  </w:r>
                </w:p>
              </w:tc>
              <w:tc>
                <w:tcPr>
                  <w:tcW w:w="799" w:type="dxa"/>
                  <w:vMerge w:val="restart"/>
                  <w:vAlign w:val="center"/>
                </w:tcPr>
                <w:p w14:paraId="5A3DE1FF">
                  <w:pPr>
                    <w:jc w:val="center"/>
                    <w:rPr>
                      <w:b/>
                      <w:bCs/>
                      <w:color w:val="auto"/>
                      <w:szCs w:val="21"/>
                    </w:rPr>
                  </w:pPr>
                  <w:r>
                    <w:rPr>
                      <w:b/>
                      <w:bCs/>
                      <w:color w:val="auto"/>
                      <w:szCs w:val="21"/>
                      <w:lang w:val="zh-CN"/>
                    </w:rPr>
                    <w:t>食用油</w:t>
                  </w:r>
                  <w:r>
                    <w:rPr>
                      <w:b/>
                      <w:bCs/>
                      <w:color w:val="auto"/>
                      <w:szCs w:val="21"/>
                    </w:rPr>
                    <w:t>用量</w:t>
                  </w:r>
                </w:p>
              </w:tc>
              <w:tc>
                <w:tcPr>
                  <w:tcW w:w="2684" w:type="dxa"/>
                  <w:gridSpan w:val="4"/>
                  <w:vAlign w:val="center"/>
                </w:tcPr>
                <w:p w14:paraId="7CE367B8">
                  <w:pPr>
                    <w:jc w:val="center"/>
                    <w:rPr>
                      <w:b/>
                      <w:bCs/>
                      <w:color w:val="auto"/>
                      <w:szCs w:val="21"/>
                    </w:rPr>
                  </w:pPr>
                  <w:r>
                    <w:rPr>
                      <w:b/>
                      <w:bCs/>
                      <w:color w:val="auto"/>
                      <w:szCs w:val="21"/>
                    </w:rPr>
                    <w:t>油烟产生情况</w:t>
                  </w:r>
                </w:p>
              </w:tc>
              <w:tc>
                <w:tcPr>
                  <w:tcW w:w="963" w:type="dxa"/>
                  <w:vMerge w:val="restart"/>
                  <w:vAlign w:val="center"/>
                </w:tcPr>
                <w:p w14:paraId="48BF79FA">
                  <w:pPr>
                    <w:jc w:val="center"/>
                    <w:rPr>
                      <w:b/>
                      <w:bCs/>
                      <w:color w:val="auto"/>
                      <w:szCs w:val="21"/>
                    </w:rPr>
                  </w:pPr>
                  <w:r>
                    <w:rPr>
                      <w:b/>
                      <w:bCs/>
                      <w:color w:val="auto"/>
                      <w:szCs w:val="21"/>
                    </w:rPr>
                    <w:t>治理措施</w:t>
                  </w:r>
                </w:p>
              </w:tc>
              <w:tc>
                <w:tcPr>
                  <w:tcW w:w="2663" w:type="dxa"/>
                  <w:gridSpan w:val="4"/>
                  <w:vAlign w:val="center"/>
                </w:tcPr>
                <w:p w14:paraId="44CD3F1C">
                  <w:pPr>
                    <w:jc w:val="center"/>
                    <w:rPr>
                      <w:b/>
                      <w:bCs/>
                      <w:color w:val="auto"/>
                      <w:szCs w:val="21"/>
                    </w:rPr>
                  </w:pPr>
                  <w:r>
                    <w:rPr>
                      <w:b/>
                      <w:bCs/>
                      <w:color w:val="auto"/>
                      <w:szCs w:val="21"/>
                    </w:rPr>
                    <w:t>排放情况</w:t>
                  </w:r>
                </w:p>
              </w:tc>
            </w:tr>
            <w:tr w14:paraId="55B5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3" w:hRule="atLeast"/>
                <w:jc w:val="center"/>
              </w:trPr>
              <w:tc>
                <w:tcPr>
                  <w:tcW w:w="610" w:type="dxa"/>
                  <w:vMerge w:val="continue"/>
                  <w:vAlign w:val="center"/>
                </w:tcPr>
                <w:p w14:paraId="2D945B36">
                  <w:pPr>
                    <w:widowControl/>
                    <w:jc w:val="center"/>
                    <w:rPr>
                      <w:color w:val="auto"/>
                      <w:szCs w:val="21"/>
                    </w:rPr>
                  </w:pPr>
                </w:p>
              </w:tc>
              <w:tc>
                <w:tcPr>
                  <w:tcW w:w="663" w:type="dxa"/>
                  <w:vMerge w:val="continue"/>
                  <w:vAlign w:val="center"/>
                </w:tcPr>
                <w:p w14:paraId="548196EE">
                  <w:pPr>
                    <w:widowControl/>
                    <w:jc w:val="center"/>
                    <w:rPr>
                      <w:color w:val="auto"/>
                      <w:szCs w:val="21"/>
                    </w:rPr>
                  </w:pPr>
                </w:p>
              </w:tc>
              <w:tc>
                <w:tcPr>
                  <w:tcW w:w="799" w:type="dxa"/>
                  <w:vMerge w:val="continue"/>
                  <w:vAlign w:val="center"/>
                </w:tcPr>
                <w:p w14:paraId="12C516B4">
                  <w:pPr>
                    <w:widowControl/>
                    <w:jc w:val="center"/>
                    <w:rPr>
                      <w:color w:val="auto"/>
                      <w:szCs w:val="21"/>
                    </w:rPr>
                  </w:pPr>
                </w:p>
              </w:tc>
              <w:tc>
                <w:tcPr>
                  <w:tcW w:w="636" w:type="dxa"/>
                  <w:vAlign w:val="center"/>
                </w:tcPr>
                <w:p w14:paraId="15A74F56">
                  <w:pPr>
                    <w:jc w:val="center"/>
                    <w:rPr>
                      <w:b/>
                      <w:bCs/>
                      <w:color w:val="auto"/>
                      <w:szCs w:val="21"/>
                    </w:rPr>
                  </w:pPr>
                  <w:r>
                    <w:rPr>
                      <w:b/>
                      <w:bCs/>
                      <w:color w:val="auto"/>
                      <w:szCs w:val="21"/>
                      <w:lang w:val="zh-CN"/>
                    </w:rPr>
                    <w:t>kg/d</w:t>
                  </w:r>
                </w:p>
              </w:tc>
              <w:tc>
                <w:tcPr>
                  <w:tcW w:w="733" w:type="dxa"/>
                  <w:vAlign w:val="center"/>
                </w:tcPr>
                <w:p w14:paraId="732D8D37">
                  <w:pPr>
                    <w:jc w:val="center"/>
                    <w:rPr>
                      <w:b/>
                      <w:bCs/>
                      <w:color w:val="auto"/>
                      <w:szCs w:val="21"/>
                    </w:rPr>
                  </w:pPr>
                  <w:r>
                    <w:rPr>
                      <w:b/>
                      <w:bCs/>
                      <w:color w:val="auto"/>
                      <w:szCs w:val="21"/>
                      <w:lang w:val="zh-CN"/>
                    </w:rPr>
                    <w:t>t/a</w:t>
                  </w:r>
                </w:p>
              </w:tc>
              <w:tc>
                <w:tcPr>
                  <w:tcW w:w="682" w:type="dxa"/>
                  <w:vAlign w:val="center"/>
                </w:tcPr>
                <w:p w14:paraId="2DB9E590">
                  <w:pPr>
                    <w:jc w:val="center"/>
                    <w:rPr>
                      <w:b/>
                      <w:bCs/>
                      <w:color w:val="auto"/>
                      <w:szCs w:val="21"/>
                    </w:rPr>
                  </w:pPr>
                  <w:r>
                    <w:rPr>
                      <w:b/>
                      <w:bCs/>
                      <w:color w:val="auto"/>
                      <w:szCs w:val="21"/>
                    </w:rPr>
                    <w:t>kg/h</w:t>
                  </w:r>
                </w:p>
              </w:tc>
              <w:tc>
                <w:tcPr>
                  <w:tcW w:w="633" w:type="dxa"/>
                  <w:vAlign w:val="center"/>
                </w:tcPr>
                <w:p w14:paraId="5A186FD7">
                  <w:pPr>
                    <w:jc w:val="center"/>
                    <w:rPr>
                      <w:b/>
                      <w:bCs/>
                      <w:color w:val="auto"/>
                      <w:szCs w:val="21"/>
                    </w:rPr>
                  </w:pPr>
                  <w:r>
                    <w:rPr>
                      <w:b/>
                      <w:bCs/>
                      <w:color w:val="auto"/>
                      <w:szCs w:val="21"/>
                      <w:lang w:val="zh-CN"/>
                    </w:rPr>
                    <w:t>mg/m</w:t>
                  </w:r>
                  <w:r>
                    <w:rPr>
                      <w:b/>
                      <w:bCs/>
                      <w:color w:val="auto"/>
                      <w:szCs w:val="21"/>
                      <w:vertAlign w:val="superscript"/>
                      <w:lang w:val="zh-CN"/>
                    </w:rPr>
                    <w:t>3</w:t>
                  </w:r>
                </w:p>
              </w:tc>
              <w:tc>
                <w:tcPr>
                  <w:tcW w:w="963" w:type="dxa"/>
                  <w:vMerge w:val="continue"/>
                  <w:vAlign w:val="center"/>
                </w:tcPr>
                <w:p w14:paraId="35F27E97">
                  <w:pPr>
                    <w:jc w:val="center"/>
                    <w:rPr>
                      <w:b/>
                      <w:bCs/>
                      <w:color w:val="auto"/>
                      <w:szCs w:val="21"/>
                    </w:rPr>
                  </w:pPr>
                </w:p>
              </w:tc>
              <w:tc>
                <w:tcPr>
                  <w:tcW w:w="709" w:type="dxa"/>
                  <w:vAlign w:val="center"/>
                </w:tcPr>
                <w:p w14:paraId="68971B95">
                  <w:pPr>
                    <w:jc w:val="center"/>
                    <w:rPr>
                      <w:b/>
                      <w:bCs/>
                      <w:color w:val="auto"/>
                      <w:szCs w:val="21"/>
                    </w:rPr>
                  </w:pPr>
                  <w:r>
                    <w:rPr>
                      <w:b/>
                      <w:bCs/>
                      <w:color w:val="auto"/>
                      <w:szCs w:val="21"/>
                      <w:lang w:val="zh-CN"/>
                    </w:rPr>
                    <w:t>kg/d</w:t>
                  </w:r>
                </w:p>
              </w:tc>
              <w:tc>
                <w:tcPr>
                  <w:tcW w:w="636" w:type="dxa"/>
                  <w:vAlign w:val="center"/>
                </w:tcPr>
                <w:p w14:paraId="06326F78">
                  <w:pPr>
                    <w:jc w:val="center"/>
                    <w:rPr>
                      <w:b/>
                      <w:bCs/>
                      <w:color w:val="auto"/>
                      <w:szCs w:val="21"/>
                    </w:rPr>
                  </w:pPr>
                  <w:r>
                    <w:rPr>
                      <w:b/>
                      <w:bCs/>
                      <w:color w:val="auto"/>
                      <w:szCs w:val="21"/>
                      <w:lang w:val="zh-CN"/>
                    </w:rPr>
                    <w:t>t/a</w:t>
                  </w:r>
                </w:p>
              </w:tc>
              <w:tc>
                <w:tcPr>
                  <w:tcW w:w="635" w:type="dxa"/>
                  <w:vAlign w:val="center"/>
                </w:tcPr>
                <w:p w14:paraId="4A63A3A2">
                  <w:pPr>
                    <w:jc w:val="center"/>
                    <w:rPr>
                      <w:b/>
                      <w:bCs/>
                      <w:color w:val="auto"/>
                      <w:szCs w:val="21"/>
                    </w:rPr>
                  </w:pPr>
                  <w:r>
                    <w:rPr>
                      <w:b/>
                      <w:bCs/>
                      <w:color w:val="auto"/>
                      <w:szCs w:val="21"/>
                    </w:rPr>
                    <w:t>kg/h</w:t>
                  </w:r>
                </w:p>
              </w:tc>
              <w:tc>
                <w:tcPr>
                  <w:tcW w:w="683" w:type="dxa"/>
                  <w:vAlign w:val="center"/>
                </w:tcPr>
                <w:p w14:paraId="1DE302C7">
                  <w:pPr>
                    <w:jc w:val="center"/>
                    <w:rPr>
                      <w:b/>
                      <w:bCs/>
                      <w:color w:val="auto"/>
                      <w:szCs w:val="21"/>
                    </w:rPr>
                  </w:pPr>
                  <w:r>
                    <w:rPr>
                      <w:b/>
                      <w:bCs/>
                      <w:color w:val="auto"/>
                      <w:szCs w:val="21"/>
                      <w:lang w:val="zh-CN"/>
                    </w:rPr>
                    <w:t>mg/m</w:t>
                  </w:r>
                  <w:r>
                    <w:rPr>
                      <w:b/>
                      <w:bCs/>
                      <w:color w:val="auto"/>
                      <w:szCs w:val="21"/>
                      <w:vertAlign w:val="superscript"/>
                      <w:lang w:val="zh-CN"/>
                    </w:rPr>
                    <w:t>3</w:t>
                  </w:r>
                </w:p>
              </w:tc>
            </w:tr>
            <w:tr w14:paraId="2A83F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10" w:type="dxa"/>
                  <w:vAlign w:val="center"/>
                </w:tcPr>
                <w:p w14:paraId="79107F8F">
                  <w:pPr>
                    <w:jc w:val="center"/>
                    <w:rPr>
                      <w:color w:val="auto"/>
                      <w:szCs w:val="21"/>
                    </w:rPr>
                  </w:pPr>
                  <w:r>
                    <w:rPr>
                      <w:color w:val="auto"/>
                      <w:szCs w:val="21"/>
                    </w:rPr>
                    <w:t>食堂</w:t>
                  </w:r>
                </w:p>
              </w:tc>
              <w:tc>
                <w:tcPr>
                  <w:tcW w:w="663" w:type="dxa"/>
                  <w:vAlign w:val="center"/>
                </w:tcPr>
                <w:p w14:paraId="6E2F4EFA">
                  <w:pPr>
                    <w:widowControl/>
                    <w:jc w:val="center"/>
                    <w:textAlignment w:val="center"/>
                    <w:rPr>
                      <w:color w:val="auto"/>
                      <w:kern w:val="0"/>
                      <w:szCs w:val="21"/>
                      <w:lang w:bidi="ar"/>
                    </w:rPr>
                  </w:pPr>
                  <w:r>
                    <w:rPr>
                      <w:rFonts w:hint="eastAsia"/>
                      <w:color w:val="auto"/>
                      <w:kern w:val="0"/>
                      <w:szCs w:val="21"/>
                      <w:lang w:val="en-US" w:eastAsia="zh-CN" w:bidi="ar"/>
                    </w:rPr>
                    <w:t>2</w:t>
                  </w:r>
                  <w:r>
                    <w:rPr>
                      <w:rFonts w:hint="eastAsia"/>
                      <w:color w:val="auto"/>
                      <w:kern w:val="0"/>
                      <w:szCs w:val="21"/>
                      <w:lang w:bidi="ar"/>
                    </w:rPr>
                    <w:t>0</w:t>
                  </w:r>
                  <w:r>
                    <w:rPr>
                      <w:color w:val="auto"/>
                      <w:kern w:val="0"/>
                      <w:szCs w:val="21"/>
                      <w:lang w:bidi="ar"/>
                    </w:rPr>
                    <w:t>人/d</w:t>
                  </w:r>
                </w:p>
              </w:tc>
              <w:tc>
                <w:tcPr>
                  <w:tcW w:w="799" w:type="dxa"/>
                  <w:vAlign w:val="center"/>
                </w:tcPr>
                <w:p w14:paraId="48DDEAB1">
                  <w:pPr>
                    <w:widowControl/>
                    <w:jc w:val="center"/>
                    <w:textAlignment w:val="center"/>
                    <w:rPr>
                      <w:color w:val="auto"/>
                      <w:kern w:val="0"/>
                      <w:szCs w:val="21"/>
                      <w:lang w:bidi="ar"/>
                    </w:rPr>
                  </w:pPr>
                  <w:r>
                    <w:rPr>
                      <w:color w:val="auto"/>
                      <w:kern w:val="0"/>
                      <w:szCs w:val="21"/>
                      <w:lang w:bidi="ar"/>
                    </w:rPr>
                    <w:t>30g/人</w:t>
                  </w:r>
                </w:p>
              </w:tc>
              <w:tc>
                <w:tcPr>
                  <w:tcW w:w="636" w:type="dxa"/>
                  <w:vAlign w:val="center"/>
                </w:tcPr>
                <w:p w14:paraId="0616CFC8">
                  <w:pPr>
                    <w:widowControl/>
                    <w:jc w:val="center"/>
                    <w:textAlignment w:val="center"/>
                    <w:rPr>
                      <w:color w:val="auto"/>
                      <w:szCs w:val="21"/>
                    </w:rPr>
                  </w:pPr>
                  <w:r>
                    <w:rPr>
                      <w:color w:val="auto"/>
                      <w:kern w:val="0"/>
                      <w:szCs w:val="21"/>
                      <w:lang w:bidi="ar"/>
                    </w:rPr>
                    <w:t>0.0</w:t>
                  </w:r>
                  <w:r>
                    <w:rPr>
                      <w:rFonts w:hint="eastAsia"/>
                      <w:color w:val="auto"/>
                      <w:kern w:val="0"/>
                      <w:szCs w:val="21"/>
                      <w:lang w:val="en-US" w:eastAsia="zh-CN" w:bidi="ar"/>
                    </w:rPr>
                    <w:t>12</w:t>
                  </w:r>
                  <w:r>
                    <w:rPr>
                      <w:rFonts w:hint="eastAsia"/>
                      <w:color w:val="auto"/>
                      <w:kern w:val="0"/>
                      <w:szCs w:val="21"/>
                      <w:lang w:bidi="ar"/>
                    </w:rPr>
                    <w:t>0</w:t>
                  </w:r>
                </w:p>
              </w:tc>
              <w:tc>
                <w:tcPr>
                  <w:tcW w:w="733" w:type="dxa"/>
                  <w:vAlign w:val="center"/>
                </w:tcPr>
                <w:p w14:paraId="6E6E2815">
                  <w:pPr>
                    <w:widowControl/>
                    <w:jc w:val="center"/>
                    <w:textAlignment w:val="center"/>
                    <w:rPr>
                      <w:rFonts w:hint="default" w:eastAsia="宋体"/>
                      <w:color w:val="auto"/>
                      <w:szCs w:val="21"/>
                      <w:lang w:val="en-US" w:eastAsia="zh-CN"/>
                    </w:rPr>
                  </w:pPr>
                  <w:r>
                    <w:rPr>
                      <w:color w:val="auto"/>
                      <w:kern w:val="0"/>
                      <w:szCs w:val="21"/>
                      <w:lang w:bidi="ar"/>
                    </w:rPr>
                    <w:t>0.0</w:t>
                  </w:r>
                  <w:r>
                    <w:rPr>
                      <w:rFonts w:hint="eastAsia"/>
                      <w:color w:val="auto"/>
                      <w:kern w:val="0"/>
                      <w:szCs w:val="21"/>
                      <w:lang w:val="en-US" w:eastAsia="zh-CN" w:bidi="ar"/>
                    </w:rPr>
                    <w:t>036</w:t>
                  </w:r>
                </w:p>
              </w:tc>
              <w:tc>
                <w:tcPr>
                  <w:tcW w:w="682" w:type="dxa"/>
                  <w:vAlign w:val="center"/>
                </w:tcPr>
                <w:p w14:paraId="0F5C60B9">
                  <w:pPr>
                    <w:widowControl/>
                    <w:jc w:val="center"/>
                    <w:textAlignment w:val="center"/>
                    <w:rPr>
                      <w:rFonts w:hint="default" w:eastAsia="宋体"/>
                      <w:color w:val="auto"/>
                      <w:szCs w:val="21"/>
                      <w:lang w:val="en-US" w:eastAsia="zh-CN"/>
                    </w:rPr>
                  </w:pPr>
                  <w:r>
                    <w:rPr>
                      <w:color w:val="auto"/>
                      <w:kern w:val="0"/>
                      <w:szCs w:val="21"/>
                      <w:lang w:bidi="ar"/>
                    </w:rPr>
                    <w:t>0.0</w:t>
                  </w:r>
                  <w:r>
                    <w:rPr>
                      <w:rFonts w:hint="eastAsia"/>
                      <w:color w:val="auto"/>
                      <w:kern w:val="0"/>
                      <w:szCs w:val="21"/>
                      <w:lang w:val="en-US" w:eastAsia="zh-CN" w:bidi="ar"/>
                    </w:rPr>
                    <w:t>03</w:t>
                  </w:r>
                </w:p>
              </w:tc>
              <w:tc>
                <w:tcPr>
                  <w:tcW w:w="633" w:type="dxa"/>
                  <w:vAlign w:val="center"/>
                </w:tcPr>
                <w:p w14:paraId="46170200">
                  <w:pPr>
                    <w:widowControl/>
                    <w:jc w:val="center"/>
                    <w:textAlignment w:val="center"/>
                    <w:rPr>
                      <w:rFonts w:hint="default" w:eastAsia="宋体"/>
                      <w:color w:val="auto"/>
                      <w:szCs w:val="21"/>
                      <w:lang w:val="en-US" w:eastAsia="zh-CN"/>
                    </w:rPr>
                  </w:pPr>
                  <w:r>
                    <w:rPr>
                      <w:rFonts w:hint="eastAsia"/>
                      <w:color w:val="auto"/>
                      <w:kern w:val="0"/>
                      <w:szCs w:val="21"/>
                      <w:lang w:val="en-US" w:eastAsia="zh-CN" w:bidi="ar"/>
                    </w:rPr>
                    <w:t>1.5</w:t>
                  </w:r>
                </w:p>
              </w:tc>
              <w:tc>
                <w:tcPr>
                  <w:tcW w:w="963" w:type="dxa"/>
                  <w:vAlign w:val="center"/>
                </w:tcPr>
                <w:p w14:paraId="2D4AE10D">
                  <w:pPr>
                    <w:widowControl/>
                    <w:jc w:val="center"/>
                    <w:textAlignment w:val="center"/>
                    <w:rPr>
                      <w:color w:val="auto"/>
                      <w:szCs w:val="21"/>
                    </w:rPr>
                  </w:pPr>
                  <w:r>
                    <w:rPr>
                      <w:color w:val="auto"/>
                      <w:kern w:val="0"/>
                      <w:szCs w:val="21"/>
                      <w:lang w:bidi="ar"/>
                    </w:rPr>
                    <w:t>油烟净化器</w:t>
                  </w:r>
                  <w:r>
                    <w:rPr>
                      <w:rStyle w:val="93"/>
                      <w:color w:val="auto"/>
                      <w:lang w:bidi="ar"/>
                    </w:rPr>
                    <w:t>+</w:t>
                  </w:r>
                  <w:r>
                    <w:rPr>
                      <w:rStyle w:val="92"/>
                      <w:rFonts w:hint="default" w:ascii="Times New Roman" w:hAnsi="Times New Roman" w:cs="Times New Roman"/>
                      <w:color w:val="auto"/>
                      <w:lang w:bidi="ar"/>
                    </w:rPr>
                    <w:t>高于房顶</w:t>
                  </w:r>
                  <w:r>
                    <w:rPr>
                      <w:rStyle w:val="93"/>
                      <w:color w:val="auto"/>
                      <w:lang w:bidi="ar"/>
                    </w:rPr>
                    <w:t>1.5m</w:t>
                  </w:r>
                  <w:r>
                    <w:rPr>
                      <w:rStyle w:val="92"/>
                      <w:rFonts w:hint="default" w:ascii="Times New Roman" w:hAnsi="Times New Roman" w:cs="Times New Roman"/>
                      <w:color w:val="auto"/>
                      <w:lang w:bidi="ar"/>
                    </w:rPr>
                    <w:t>排气筒</w:t>
                  </w:r>
                </w:p>
              </w:tc>
              <w:tc>
                <w:tcPr>
                  <w:tcW w:w="709" w:type="dxa"/>
                  <w:vAlign w:val="center"/>
                </w:tcPr>
                <w:p w14:paraId="05F9F971">
                  <w:pPr>
                    <w:widowControl/>
                    <w:jc w:val="center"/>
                    <w:textAlignment w:val="center"/>
                    <w:rPr>
                      <w:rFonts w:hint="default" w:eastAsia="宋体"/>
                      <w:color w:val="auto"/>
                      <w:szCs w:val="21"/>
                      <w:lang w:val="en-US" w:eastAsia="zh-CN"/>
                    </w:rPr>
                  </w:pPr>
                  <w:r>
                    <w:rPr>
                      <w:color w:val="auto"/>
                      <w:kern w:val="0"/>
                      <w:szCs w:val="21"/>
                      <w:lang w:bidi="ar"/>
                    </w:rPr>
                    <w:t>0.0</w:t>
                  </w:r>
                  <w:r>
                    <w:rPr>
                      <w:rFonts w:hint="eastAsia"/>
                      <w:color w:val="auto"/>
                      <w:kern w:val="0"/>
                      <w:szCs w:val="21"/>
                      <w:lang w:val="en-US" w:eastAsia="zh-CN" w:bidi="ar"/>
                    </w:rPr>
                    <w:t>048</w:t>
                  </w:r>
                </w:p>
              </w:tc>
              <w:tc>
                <w:tcPr>
                  <w:tcW w:w="636" w:type="dxa"/>
                  <w:vAlign w:val="center"/>
                </w:tcPr>
                <w:p w14:paraId="0DB483E6">
                  <w:pPr>
                    <w:widowControl/>
                    <w:jc w:val="center"/>
                    <w:textAlignment w:val="center"/>
                    <w:rPr>
                      <w:rFonts w:hint="default" w:eastAsia="宋体"/>
                      <w:color w:val="auto"/>
                      <w:szCs w:val="21"/>
                      <w:lang w:val="en-US" w:eastAsia="zh-CN"/>
                    </w:rPr>
                  </w:pPr>
                  <w:r>
                    <w:rPr>
                      <w:color w:val="auto"/>
                      <w:kern w:val="0"/>
                      <w:szCs w:val="21"/>
                      <w:lang w:bidi="ar"/>
                    </w:rPr>
                    <w:t>0.00</w:t>
                  </w:r>
                  <w:r>
                    <w:rPr>
                      <w:rFonts w:hint="eastAsia"/>
                      <w:color w:val="auto"/>
                      <w:kern w:val="0"/>
                      <w:szCs w:val="21"/>
                      <w:lang w:val="en-US" w:eastAsia="zh-CN" w:bidi="ar"/>
                    </w:rPr>
                    <w:t>14</w:t>
                  </w:r>
                </w:p>
              </w:tc>
              <w:tc>
                <w:tcPr>
                  <w:tcW w:w="635" w:type="dxa"/>
                  <w:vAlign w:val="center"/>
                </w:tcPr>
                <w:p w14:paraId="17206878">
                  <w:pPr>
                    <w:widowControl/>
                    <w:jc w:val="center"/>
                    <w:textAlignment w:val="center"/>
                    <w:rPr>
                      <w:rFonts w:hint="default" w:eastAsia="宋体"/>
                      <w:color w:val="auto"/>
                      <w:szCs w:val="21"/>
                      <w:lang w:val="en-US" w:eastAsia="zh-CN"/>
                    </w:rPr>
                  </w:pPr>
                  <w:r>
                    <w:rPr>
                      <w:color w:val="auto"/>
                      <w:kern w:val="0"/>
                      <w:szCs w:val="21"/>
                      <w:lang w:bidi="ar"/>
                    </w:rPr>
                    <w:t>0.0</w:t>
                  </w:r>
                  <w:r>
                    <w:rPr>
                      <w:rFonts w:hint="eastAsia"/>
                      <w:color w:val="auto"/>
                      <w:kern w:val="0"/>
                      <w:szCs w:val="21"/>
                      <w:lang w:val="en-US" w:eastAsia="zh-CN" w:bidi="ar"/>
                    </w:rPr>
                    <w:t>012</w:t>
                  </w:r>
                </w:p>
              </w:tc>
              <w:tc>
                <w:tcPr>
                  <w:tcW w:w="683" w:type="dxa"/>
                  <w:vAlign w:val="center"/>
                </w:tcPr>
                <w:p w14:paraId="7D9409BB">
                  <w:pPr>
                    <w:widowControl/>
                    <w:jc w:val="center"/>
                    <w:textAlignment w:val="center"/>
                    <w:rPr>
                      <w:rFonts w:hint="default" w:eastAsia="宋体"/>
                      <w:color w:val="auto"/>
                      <w:szCs w:val="21"/>
                      <w:lang w:val="en-US" w:eastAsia="zh-CN"/>
                    </w:rPr>
                  </w:pPr>
                  <w:r>
                    <w:rPr>
                      <w:rFonts w:hint="eastAsia"/>
                      <w:color w:val="auto"/>
                      <w:kern w:val="0"/>
                      <w:szCs w:val="21"/>
                      <w:lang w:val="en-US" w:eastAsia="zh-CN" w:bidi="ar"/>
                    </w:rPr>
                    <w:t>0.60</w:t>
                  </w:r>
                </w:p>
              </w:tc>
            </w:tr>
          </w:tbl>
          <w:p w14:paraId="212857BA">
            <w:pPr>
              <w:autoSpaceDE w:val="0"/>
              <w:autoSpaceDN w:val="0"/>
              <w:spacing w:line="360" w:lineRule="auto"/>
              <w:ind w:firstLine="480" w:firstLineChars="200"/>
              <w:jc w:val="left"/>
              <w:rPr>
                <w:b/>
                <w:color w:val="auto"/>
                <w:sz w:val="24"/>
              </w:rPr>
            </w:pPr>
            <w:r>
              <w:rPr>
                <w:color w:val="auto"/>
                <w:sz w:val="24"/>
              </w:rPr>
              <w:t>综上可知</w:t>
            </w:r>
            <w:r>
              <w:rPr>
                <w:color w:val="auto"/>
                <w:sz w:val="24"/>
                <w:lang w:val="zh-CN"/>
              </w:rPr>
              <w:t>，</w:t>
            </w:r>
            <w:r>
              <w:rPr>
                <w:color w:val="auto"/>
                <w:sz w:val="24"/>
              </w:rPr>
              <w:t>项目食堂油烟</w:t>
            </w:r>
            <w:r>
              <w:rPr>
                <w:rFonts w:hint="eastAsia"/>
                <w:color w:val="auto"/>
                <w:sz w:val="24"/>
              </w:rPr>
              <w:t>经油烟净化设施处理后</w:t>
            </w:r>
            <w:r>
              <w:rPr>
                <w:color w:val="auto"/>
                <w:sz w:val="24"/>
                <w:lang w:val="zh-CN"/>
              </w:rPr>
              <w:t>能</w:t>
            </w:r>
            <w:r>
              <w:rPr>
                <w:color w:val="auto"/>
                <w:sz w:val="24"/>
              </w:rPr>
              <w:t>满足《饮食业油烟排放标准（试行）》（GB18483-2001）中的小型规模最高允许排放浓度要求，即油烟≤2.0mg/m</w:t>
            </w:r>
            <w:r>
              <w:rPr>
                <w:color w:val="auto"/>
                <w:sz w:val="24"/>
                <w:vertAlign w:val="superscript"/>
              </w:rPr>
              <w:t>3</w:t>
            </w:r>
            <w:r>
              <w:rPr>
                <w:color w:val="auto"/>
                <w:sz w:val="24"/>
              </w:rPr>
              <w:t>。</w:t>
            </w:r>
          </w:p>
          <w:p w14:paraId="3D875F4A">
            <w:pPr>
              <w:pStyle w:val="29"/>
              <w:keepNext w:val="0"/>
              <w:keepLines w:val="0"/>
              <w:pageBreakBefore w:val="0"/>
              <w:widowControl w:val="0"/>
              <w:kinsoku/>
              <w:wordWrap/>
              <w:overflowPunct/>
              <w:topLinePunct w:val="0"/>
              <w:autoSpaceDE/>
              <w:autoSpaceDN/>
              <w:bidi w:val="0"/>
              <w:adjustRightInd w:val="0"/>
              <w:snapToGrid w:val="0"/>
              <w:spacing w:after="0" w:line="348" w:lineRule="auto"/>
              <w:ind w:left="0" w:leftChars="0" w:firstLine="482" w:firstLineChars="200"/>
              <w:textAlignment w:val="auto"/>
              <w:rPr>
                <w:rFonts w:hint="default" w:ascii="Times New Roman" w:hAnsi="Times New Roman" w:eastAsia="宋体" w:cs="Times New Roman"/>
                <w:b/>
                <w:bCs/>
                <w:color w:val="auto"/>
                <w:sz w:val="24"/>
                <w:szCs w:val="24"/>
                <w:highlight w:val="yellow"/>
                <w:lang w:val="en-US" w:eastAsia="zh-CN"/>
              </w:rPr>
            </w:pPr>
            <w:r>
              <w:rPr>
                <w:rFonts w:hint="default" w:ascii="Times New Roman" w:hAnsi="Times New Roman" w:eastAsia="宋体" w:cs="Times New Roman"/>
                <w:b/>
                <w:bCs/>
                <w:color w:val="auto"/>
                <w:sz w:val="24"/>
                <w:szCs w:val="24"/>
                <w:highlight w:val="none"/>
                <w:lang w:val="zh-CN"/>
              </w:rPr>
              <w:t>（</w:t>
            </w:r>
            <w:r>
              <w:rPr>
                <w:rFonts w:hint="default"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zh-CN"/>
              </w:rPr>
              <w:t>）</w:t>
            </w:r>
            <w:r>
              <w:rPr>
                <w:rFonts w:hint="default" w:ascii="Times New Roman" w:hAnsi="Times New Roman" w:eastAsia="宋体" w:cs="Times New Roman"/>
                <w:b/>
                <w:bCs/>
                <w:color w:val="auto"/>
                <w:sz w:val="24"/>
                <w:szCs w:val="24"/>
                <w:highlight w:val="none"/>
                <w:lang w:val="en-US" w:eastAsia="zh-CN"/>
              </w:rPr>
              <w:t>非正常排放分析</w:t>
            </w:r>
          </w:p>
          <w:p w14:paraId="5479C387">
            <w:pPr>
              <w:pStyle w:val="12"/>
              <w:spacing w:line="360" w:lineRule="auto"/>
              <w:ind w:firstLine="480"/>
              <w:rPr>
                <w:rFonts w:hint="default" w:ascii="Times New Roman" w:hAnsi="Times New Roman" w:eastAsia="宋体" w:cs="Times New Roman"/>
                <w:b/>
                <w:bCs/>
                <w:color w:val="auto"/>
              </w:rPr>
            </w:pPr>
            <w:r>
              <w:rPr>
                <w:rFonts w:hint="default" w:ascii="Times New Roman" w:hAnsi="Times New Roman" w:eastAsia="宋体" w:cs="Times New Roman"/>
                <w:color w:val="auto"/>
                <w:sz w:val="24"/>
              </w:rPr>
              <w:t>本项目</w:t>
            </w:r>
            <w:r>
              <w:rPr>
                <w:rFonts w:hint="eastAsia" w:ascii="Times New Roman" w:hAnsi="Times New Roman" w:eastAsia="宋体" w:cs="Times New Roman"/>
                <w:color w:val="auto"/>
                <w:sz w:val="24"/>
                <w:lang w:val="en-US" w:eastAsia="zh-CN"/>
              </w:rPr>
              <w:t>注塑</w:t>
            </w:r>
            <w:r>
              <w:rPr>
                <w:rFonts w:hint="default" w:ascii="Times New Roman" w:hAnsi="Times New Roman" w:eastAsia="宋体" w:cs="Times New Roman"/>
                <w:color w:val="auto"/>
                <w:sz w:val="24"/>
                <w:lang w:val="en-US" w:eastAsia="zh-CN"/>
              </w:rPr>
              <w:t>废气处理方式为</w:t>
            </w:r>
            <w:r>
              <w:rPr>
                <w:rFonts w:hint="eastAsia" w:cs="Times New Roman"/>
                <w:color w:val="auto"/>
                <w:sz w:val="24"/>
                <w:lang w:val="en-US" w:eastAsia="zh-CN"/>
              </w:rPr>
              <w:t>“</w:t>
            </w:r>
            <w:r>
              <w:rPr>
                <w:rFonts w:hint="eastAsia" w:ascii="Times New Roman" w:hAnsi="Times New Roman" w:eastAsia="宋体" w:cs="Times New Roman"/>
                <w:color w:val="auto"/>
                <w:sz w:val="24"/>
                <w:lang w:val="en-US" w:eastAsia="zh-CN"/>
              </w:rPr>
              <w:t>三级活性炭吸附装置</w:t>
            </w:r>
            <w:r>
              <w:rPr>
                <w:rFonts w:hint="eastAsia" w:cs="Times New Roman"/>
                <w:color w:val="auto"/>
                <w:sz w:val="24"/>
                <w:lang w:val="en-US" w:eastAsia="zh-CN"/>
              </w:rPr>
              <w:t>”</w:t>
            </w:r>
            <w:r>
              <w:rPr>
                <w:rFonts w:hint="eastAsia" w:cs="Times New Roman"/>
                <w:color w:val="auto"/>
                <w:sz w:val="24"/>
                <w:lang w:eastAsia="zh-CN"/>
              </w:rPr>
              <w:t>；</w:t>
            </w:r>
            <w:r>
              <w:rPr>
                <w:rFonts w:hint="eastAsia" w:cs="Times New Roman"/>
                <w:color w:val="auto"/>
                <w:sz w:val="24"/>
                <w:lang w:val="en-US" w:eastAsia="zh-CN"/>
              </w:rPr>
              <w:t>破碎废气处理方式为“布袋除尘器”，</w:t>
            </w:r>
            <w:r>
              <w:rPr>
                <w:rFonts w:hint="default" w:ascii="Times New Roman" w:hAnsi="Times New Roman" w:eastAsia="宋体" w:cs="Times New Roman"/>
                <w:color w:val="auto"/>
                <w:sz w:val="24"/>
              </w:rPr>
              <w:t>由于在运营中可能会出现废气处理设施运行不正常，导致效率下降</w:t>
            </w:r>
            <w:r>
              <w:rPr>
                <w:rFonts w:hint="default" w:ascii="Times New Roman" w:hAnsi="Times New Roman" w:eastAsia="宋体" w:cs="Times New Roman"/>
                <w:color w:val="auto"/>
                <w:sz w:val="24"/>
                <w:lang w:val="en-US" w:eastAsia="zh-CN"/>
              </w:rPr>
              <w:t>甚至失效</w:t>
            </w:r>
            <w:r>
              <w:rPr>
                <w:rFonts w:hint="default" w:ascii="Times New Roman" w:hAnsi="Times New Roman" w:eastAsia="宋体" w:cs="Times New Roman"/>
                <w:color w:val="auto"/>
                <w:sz w:val="24"/>
              </w:rPr>
              <w:t>的不良情况，</w:t>
            </w:r>
            <w:r>
              <w:rPr>
                <w:rFonts w:hint="default" w:ascii="Times New Roman" w:hAnsi="Times New Roman" w:eastAsia="宋体" w:cs="Times New Roman"/>
                <w:color w:val="auto"/>
                <w:sz w:val="24"/>
                <w:highlight w:val="none"/>
                <w:lang w:val="en-US" w:eastAsia="zh-CN"/>
              </w:rPr>
              <w:t>根据</w:t>
            </w:r>
            <w:r>
              <w:rPr>
                <w:rFonts w:hint="default" w:ascii="Times New Roman" w:hAnsi="Times New Roman" w:eastAsia="宋体" w:cs="Times New Roman"/>
                <w:color w:val="auto"/>
                <w:sz w:val="24"/>
                <w:highlight w:val="none"/>
              </w:rPr>
              <w:t>《排污许可证申请与核发技术规范 橡胶和塑料制品工业》（HJ1122-2020）</w:t>
            </w:r>
            <w:r>
              <w:rPr>
                <w:rFonts w:hint="default" w:ascii="Times New Roman" w:hAnsi="Times New Roman" w:eastAsia="宋体" w:cs="Times New Roman"/>
                <w:color w:val="auto"/>
                <w:sz w:val="24"/>
                <w:highlight w:val="none"/>
                <w:lang w:val="en-US" w:eastAsia="zh-CN"/>
              </w:rPr>
              <w:t>第二部分中4.6.5.2非正常情况</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生产过程中非正常排放按直接排放（即产生量）进行核算。因此，</w:t>
            </w:r>
            <w:r>
              <w:rPr>
                <w:rStyle w:val="37"/>
                <w:rFonts w:hint="default" w:ascii="Times New Roman" w:hAnsi="Times New Roman" w:eastAsia="宋体" w:cs="Times New Roman"/>
                <w:color w:val="auto"/>
                <w:sz w:val="24"/>
                <w:szCs w:val="24"/>
                <w:highlight w:val="none"/>
                <w:lang w:eastAsia="zh-CN"/>
              </w:rPr>
              <w:t>本项目非正常排放</w:t>
            </w:r>
            <w:r>
              <w:rPr>
                <w:rFonts w:hint="default" w:ascii="Times New Roman" w:hAnsi="Times New Roman" w:eastAsia="宋体" w:cs="Times New Roman"/>
                <w:color w:val="auto"/>
                <w:kern w:val="2"/>
                <w:sz w:val="24"/>
                <w:szCs w:val="24"/>
                <w:lang w:val="en-US" w:eastAsia="zh-CN" w:bidi="ar-SA"/>
              </w:rPr>
              <w:t>条件的设定为</w:t>
            </w:r>
            <w:r>
              <w:rPr>
                <w:rFonts w:hint="eastAsia" w:ascii="Times New Roman" w:hAnsi="Times New Roman" w:eastAsia="宋体" w:cs="Times New Roman"/>
                <w:color w:val="auto"/>
                <w:kern w:val="2"/>
                <w:sz w:val="24"/>
                <w:szCs w:val="24"/>
                <w:lang w:val="en-US" w:eastAsia="zh-CN" w:bidi="ar-SA"/>
              </w:rPr>
              <w:t>注塑</w:t>
            </w:r>
            <w:r>
              <w:rPr>
                <w:rFonts w:hint="default" w:ascii="Times New Roman" w:hAnsi="Times New Roman" w:eastAsia="宋体" w:cs="Times New Roman"/>
                <w:color w:val="auto"/>
                <w:kern w:val="2"/>
                <w:sz w:val="24"/>
                <w:szCs w:val="24"/>
                <w:lang w:val="en-US" w:eastAsia="zh-CN" w:bidi="ar-SA"/>
              </w:rPr>
              <w:t>废气</w:t>
            </w:r>
            <w:r>
              <w:rPr>
                <w:rFonts w:hint="eastAsia" w:cs="Times New Roman"/>
                <w:color w:val="auto"/>
                <w:sz w:val="24"/>
                <w:lang w:val="en-US" w:eastAsia="zh-CN"/>
              </w:rPr>
              <w:t>“</w:t>
            </w:r>
            <w:r>
              <w:rPr>
                <w:rFonts w:hint="eastAsia" w:ascii="Times New Roman" w:hAnsi="Times New Roman" w:eastAsia="宋体" w:cs="Times New Roman"/>
                <w:color w:val="auto"/>
                <w:sz w:val="24"/>
                <w:lang w:val="en-US" w:eastAsia="zh-CN"/>
              </w:rPr>
              <w:t>三级活性炭吸附装置</w:t>
            </w:r>
            <w:r>
              <w:rPr>
                <w:rFonts w:hint="eastAsia" w:cs="Times New Roman"/>
                <w:color w:val="auto"/>
                <w:sz w:val="24"/>
                <w:lang w:val="en-US" w:eastAsia="zh-CN"/>
              </w:rPr>
              <w:t>”</w:t>
            </w:r>
            <w:r>
              <w:rPr>
                <w:rFonts w:hint="default" w:ascii="Times New Roman" w:hAnsi="Times New Roman" w:eastAsia="宋体" w:cs="Times New Roman"/>
                <w:color w:val="auto"/>
                <w:kern w:val="2"/>
                <w:sz w:val="24"/>
                <w:szCs w:val="24"/>
                <w:highlight w:val="none"/>
                <w:lang w:val="en-US" w:eastAsia="zh-CN" w:bidi="ar-SA"/>
              </w:rPr>
              <w:t>处理装置处理效率因故障处理效率由</w:t>
            </w:r>
            <w:r>
              <w:rPr>
                <w:rFonts w:hint="eastAsia" w:cs="Times New Roman"/>
                <w:color w:val="auto"/>
                <w:kern w:val="2"/>
                <w:sz w:val="24"/>
                <w:szCs w:val="24"/>
                <w:highlight w:val="none"/>
                <w:lang w:val="en-US" w:eastAsia="zh-CN" w:bidi="ar-SA"/>
              </w:rPr>
              <w:t>80</w:t>
            </w:r>
            <w:r>
              <w:rPr>
                <w:rFonts w:hint="default" w:ascii="Times New Roman" w:hAnsi="Times New Roman" w:eastAsia="宋体" w:cs="Times New Roman"/>
                <w:color w:val="auto"/>
                <w:kern w:val="2"/>
                <w:sz w:val="24"/>
                <w:szCs w:val="24"/>
                <w:highlight w:val="none"/>
                <w:lang w:val="en-US" w:eastAsia="zh-CN" w:bidi="ar-SA"/>
              </w:rPr>
              <w:t>%降为0%的情况进行设计</w:t>
            </w:r>
            <w:r>
              <w:rPr>
                <w:rFonts w:hint="eastAsia" w:cs="Times New Roman"/>
                <w:color w:val="auto"/>
                <w:sz w:val="24"/>
                <w:lang w:eastAsia="zh-CN"/>
              </w:rPr>
              <w:t>；</w:t>
            </w:r>
            <w:r>
              <w:rPr>
                <w:rFonts w:hint="eastAsia" w:cs="Times New Roman"/>
                <w:color w:val="auto"/>
                <w:sz w:val="24"/>
                <w:lang w:val="en-US" w:eastAsia="zh-CN"/>
              </w:rPr>
              <w:t>破碎废气“布袋除尘器”</w:t>
            </w:r>
            <w:r>
              <w:rPr>
                <w:rFonts w:hint="default" w:ascii="Times New Roman" w:hAnsi="Times New Roman" w:eastAsia="宋体" w:cs="Times New Roman"/>
                <w:color w:val="auto"/>
                <w:kern w:val="2"/>
                <w:sz w:val="24"/>
                <w:szCs w:val="24"/>
                <w:highlight w:val="none"/>
                <w:lang w:val="en-US" w:eastAsia="zh-CN" w:bidi="ar-SA"/>
              </w:rPr>
              <w:t>处理装置处理效率因故障处理效率由</w:t>
            </w:r>
            <w:r>
              <w:rPr>
                <w:rFonts w:hint="eastAsia" w:cs="Times New Roman"/>
                <w:color w:val="auto"/>
                <w:kern w:val="2"/>
                <w:sz w:val="24"/>
                <w:szCs w:val="24"/>
                <w:highlight w:val="none"/>
                <w:lang w:val="en-US" w:eastAsia="zh-CN" w:bidi="ar-SA"/>
              </w:rPr>
              <w:t>95</w:t>
            </w:r>
            <w:r>
              <w:rPr>
                <w:rFonts w:hint="default" w:ascii="Times New Roman" w:hAnsi="Times New Roman" w:eastAsia="宋体" w:cs="Times New Roman"/>
                <w:color w:val="auto"/>
                <w:kern w:val="2"/>
                <w:sz w:val="24"/>
                <w:szCs w:val="24"/>
                <w:highlight w:val="none"/>
                <w:lang w:val="en-US" w:eastAsia="zh-CN" w:bidi="ar-SA"/>
              </w:rPr>
              <w:t>%降为0%的情况进行设计</w:t>
            </w:r>
            <w:r>
              <w:rPr>
                <w:rFonts w:hint="default" w:ascii="Times New Roman" w:hAnsi="Times New Roman" w:eastAsia="宋体" w:cs="Times New Roman"/>
                <w:b w:val="0"/>
                <w:bCs w:val="0"/>
                <w:color w:val="auto"/>
                <w:sz w:val="24"/>
                <w:highlight w:val="none"/>
                <w:lang w:val="en-US" w:eastAsia="zh-CN"/>
              </w:rPr>
              <w:t>。</w:t>
            </w:r>
            <w:r>
              <w:rPr>
                <w:rFonts w:hint="default" w:ascii="Times New Roman" w:hAnsi="Times New Roman" w:eastAsia="宋体" w:cs="Times New Roman"/>
                <w:color w:val="auto"/>
                <w:kern w:val="2"/>
                <w:sz w:val="24"/>
                <w:szCs w:val="24"/>
                <w:highlight w:val="none"/>
                <w:lang w:val="en-US" w:eastAsia="zh-CN" w:bidi="ar-SA"/>
              </w:rPr>
              <w:t>项目非正常排</w:t>
            </w:r>
            <w:r>
              <w:rPr>
                <w:rFonts w:hint="default" w:ascii="Times New Roman" w:hAnsi="Times New Roman" w:eastAsia="宋体" w:cs="Times New Roman"/>
                <w:color w:val="auto"/>
                <w:kern w:val="2"/>
                <w:sz w:val="24"/>
                <w:szCs w:val="24"/>
                <w:lang w:val="en-US" w:eastAsia="zh-CN" w:bidi="ar-SA"/>
              </w:rPr>
              <w:t>放条件下废气排放情况详见表4-</w:t>
            </w:r>
            <w:r>
              <w:rPr>
                <w:rFonts w:hint="eastAsia" w:cs="Times New Roman"/>
                <w:color w:val="auto"/>
                <w:kern w:val="2"/>
                <w:sz w:val="24"/>
                <w:szCs w:val="24"/>
                <w:lang w:val="en-US" w:eastAsia="zh-CN" w:bidi="ar-SA"/>
              </w:rPr>
              <w:t>7</w:t>
            </w:r>
            <w:r>
              <w:rPr>
                <w:rFonts w:hint="default" w:ascii="Times New Roman" w:hAnsi="Times New Roman" w:eastAsia="宋体" w:cs="Times New Roman"/>
                <w:color w:val="auto"/>
                <w:kern w:val="2"/>
                <w:sz w:val="24"/>
                <w:szCs w:val="24"/>
                <w:lang w:val="en-US" w:eastAsia="zh-CN" w:bidi="ar-SA"/>
              </w:rPr>
              <w:t>。</w:t>
            </w:r>
          </w:p>
          <w:p w14:paraId="0AEEDDAC">
            <w:pPr>
              <w:ind w:firstLine="420"/>
              <w:jc w:val="center"/>
              <w:rPr>
                <w:b/>
                <w:bCs/>
                <w:color w:val="auto"/>
                <w:szCs w:val="21"/>
              </w:rPr>
            </w:pPr>
            <w:r>
              <w:rPr>
                <w:rFonts w:hint="default" w:ascii="Times New Roman" w:hAnsi="Times New Roman" w:eastAsia="宋体" w:cs="Times New Roman"/>
                <w:b/>
                <w:bCs/>
                <w:color w:val="auto"/>
              </w:rPr>
              <w:t>表</w:t>
            </w:r>
            <w:r>
              <w:rPr>
                <w:rFonts w:hint="default" w:ascii="Times New Roman" w:hAnsi="Times New Roman" w:eastAsia="宋体" w:cs="Times New Roman"/>
                <w:b/>
                <w:color w:val="auto"/>
                <w:szCs w:val="21"/>
                <w:lang w:val="en-US" w:eastAsia="zh-CN"/>
              </w:rPr>
              <w:t>4-</w:t>
            </w:r>
            <w:r>
              <w:rPr>
                <w:rFonts w:hint="eastAsia" w:cs="Times New Roman"/>
                <w:b/>
                <w:color w:val="auto"/>
                <w:szCs w:val="21"/>
                <w:lang w:val="en-US" w:eastAsia="zh-CN"/>
              </w:rPr>
              <w:t>7</w:t>
            </w:r>
            <w:r>
              <w:rPr>
                <w:rFonts w:hint="default" w:ascii="Times New Roman" w:hAnsi="Times New Roman" w:eastAsia="宋体" w:cs="Times New Roman"/>
                <w:b/>
                <w:bCs/>
                <w:color w:val="auto"/>
              </w:rPr>
              <w:t xml:space="preserve"> </w:t>
            </w:r>
            <w:r>
              <w:rPr>
                <w:rFonts w:hint="default" w:ascii="Times New Roman" w:hAnsi="Times New Roman" w:eastAsia="宋体" w:cs="Times New Roman"/>
                <w:b/>
                <w:bCs/>
                <w:color w:val="auto"/>
                <w:lang w:val="en-US" w:eastAsia="zh-CN"/>
              </w:rPr>
              <w:t xml:space="preserve"> </w:t>
            </w:r>
            <w:r>
              <w:rPr>
                <w:rFonts w:hint="default" w:ascii="Times New Roman" w:hAnsi="Times New Roman" w:eastAsia="宋体" w:cs="Times New Roman"/>
                <w:b/>
                <w:bCs/>
                <w:color w:val="auto"/>
              </w:rPr>
              <w:t>本项目有组织</w:t>
            </w:r>
            <w:r>
              <w:rPr>
                <w:rFonts w:hint="default" w:ascii="Times New Roman" w:hAnsi="Times New Roman" w:eastAsia="宋体" w:cs="Times New Roman"/>
                <w:b/>
                <w:bCs/>
                <w:color w:val="auto"/>
                <w:lang w:val="en-US" w:eastAsia="zh-CN"/>
              </w:rPr>
              <w:t>有机废气</w:t>
            </w:r>
            <w:r>
              <w:rPr>
                <w:rFonts w:hint="default" w:ascii="Times New Roman" w:hAnsi="Times New Roman" w:eastAsia="宋体" w:cs="Times New Roman"/>
                <w:b/>
                <w:bCs/>
                <w:color w:val="auto"/>
              </w:rPr>
              <w:t>非正常工况下排放情况表</w:t>
            </w:r>
          </w:p>
          <w:tbl>
            <w:tblPr>
              <w:tblStyle w:val="30"/>
              <w:tblW w:w="8349" w:type="dxa"/>
              <w:tblInd w:w="4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37"/>
              <w:gridCol w:w="763"/>
              <w:gridCol w:w="628"/>
              <w:gridCol w:w="1050"/>
              <w:gridCol w:w="859"/>
              <w:gridCol w:w="804"/>
              <w:gridCol w:w="832"/>
              <w:gridCol w:w="464"/>
              <w:gridCol w:w="600"/>
              <w:gridCol w:w="532"/>
              <w:gridCol w:w="980"/>
            </w:tblGrid>
            <w:tr w14:paraId="0F74CE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Pr>
              <w:tc>
                <w:tcPr>
                  <w:tcW w:w="837" w:type="dxa"/>
                  <w:vMerge w:val="restart"/>
                  <w:tcBorders>
                    <w:tl2br w:val="nil"/>
                    <w:tr2bl w:val="nil"/>
                  </w:tcBorders>
                  <w:vAlign w:val="center"/>
                </w:tcPr>
                <w:p w14:paraId="184623EF">
                  <w:pPr>
                    <w:adjustRightInd w:val="0"/>
                    <w:snapToGrid w:val="0"/>
                    <w:jc w:val="center"/>
                    <w:textAlignment w:val="baseline"/>
                    <w:rPr>
                      <w:b/>
                      <w:color w:val="auto"/>
                      <w:szCs w:val="21"/>
                    </w:rPr>
                  </w:pPr>
                  <w:r>
                    <w:rPr>
                      <w:b/>
                      <w:color w:val="auto"/>
                      <w:szCs w:val="21"/>
                    </w:rPr>
                    <w:t>污染源</w:t>
                  </w:r>
                </w:p>
              </w:tc>
              <w:tc>
                <w:tcPr>
                  <w:tcW w:w="763" w:type="dxa"/>
                  <w:vMerge w:val="restart"/>
                  <w:tcBorders>
                    <w:tl2br w:val="nil"/>
                    <w:tr2bl w:val="nil"/>
                  </w:tcBorders>
                  <w:vAlign w:val="center"/>
                </w:tcPr>
                <w:p w14:paraId="1691DAF2">
                  <w:pPr>
                    <w:autoSpaceDN w:val="0"/>
                    <w:snapToGrid w:val="0"/>
                    <w:jc w:val="center"/>
                    <w:textAlignment w:val="center"/>
                    <w:rPr>
                      <w:b/>
                      <w:color w:val="auto"/>
                      <w:szCs w:val="21"/>
                    </w:rPr>
                  </w:pPr>
                  <w:r>
                    <w:rPr>
                      <w:b/>
                      <w:color w:val="auto"/>
                      <w:szCs w:val="21"/>
                    </w:rPr>
                    <w:t>非正常排放原因</w:t>
                  </w:r>
                </w:p>
              </w:tc>
              <w:tc>
                <w:tcPr>
                  <w:tcW w:w="628" w:type="dxa"/>
                  <w:vMerge w:val="restart"/>
                  <w:tcBorders>
                    <w:tl2br w:val="nil"/>
                    <w:tr2bl w:val="nil"/>
                  </w:tcBorders>
                  <w:vAlign w:val="center"/>
                </w:tcPr>
                <w:p w14:paraId="3C0D8F40">
                  <w:pPr>
                    <w:adjustRightInd w:val="0"/>
                    <w:snapToGrid w:val="0"/>
                    <w:jc w:val="center"/>
                    <w:textAlignment w:val="baseline"/>
                    <w:rPr>
                      <w:b/>
                      <w:color w:val="auto"/>
                      <w:szCs w:val="21"/>
                    </w:rPr>
                  </w:pPr>
                  <w:r>
                    <w:rPr>
                      <w:b/>
                      <w:color w:val="auto"/>
                      <w:szCs w:val="21"/>
                    </w:rPr>
                    <w:t>污染</w:t>
                  </w:r>
                </w:p>
                <w:p w14:paraId="5CB6499C">
                  <w:pPr>
                    <w:adjustRightInd w:val="0"/>
                    <w:snapToGrid w:val="0"/>
                    <w:jc w:val="center"/>
                    <w:textAlignment w:val="baseline"/>
                    <w:rPr>
                      <w:b/>
                      <w:color w:val="auto"/>
                      <w:szCs w:val="21"/>
                    </w:rPr>
                  </w:pPr>
                  <w:r>
                    <w:rPr>
                      <w:b/>
                      <w:color w:val="auto"/>
                      <w:szCs w:val="21"/>
                    </w:rPr>
                    <w:t>因子</w:t>
                  </w:r>
                </w:p>
              </w:tc>
              <w:tc>
                <w:tcPr>
                  <w:tcW w:w="2713" w:type="dxa"/>
                  <w:gridSpan w:val="3"/>
                  <w:tcBorders>
                    <w:tl2br w:val="nil"/>
                    <w:tr2bl w:val="nil"/>
                  </w:tcBorders>
                </w:tcPr>
                <w:p w14:paraId="389F2075">
                  <w:pPr>
                    <w:adjustRightInd w:val="0"/>
                    <w:snapToGrid w:val="0"/>
                    <w:jc w:val="center"/>
                    <w:textAlignment w:val="baseline"/>
                    <w:rPr>
                      <w:b/>
                      <w:color w:val="auto"/>
                      <w:szCs w:val="21"/>
                    </w:rPr>
                  </w:pPr>
                  <w:r>
                    <w:rPr>
                      <w:b/>
                      <w:color w:val="auto"/>
                      <w:szCs w:val="21"/>
                    </w:rPr>
                    <w:t>非正常排放情况</w:t>
                  </w:r>
                </w:p>
              </w:tc>
              <w:tc>
                <w:tcPr>
                  <w:tcW w:w="832" w:type="dxa"/>
                  <w:vMerge w:val="restart"/>
                  <w:tcBorders>
                    <w:tl2br w:val="nil"/>
                    <w:tr2bl w:val="nil"/>
                  </w:tcBorders>
                  <w:vAlign w:val="center"/>
                </w:tcPr>
                <w:p w14:paraId="06609CD3">
                  <w:pPr>
                    <w:adjustRightInd w:val="0"/>
                    <w:snapToGrid w:val="0"/>
                    <w:jc w:val="center"/>
                    <w:textAlignment w:val="baseline"/>
                    <w:rPr>
                      <w:b/>
                      <w:color w:val="auto"/>
                      <w:szCs w:val="21"/>
                    </w:rPr>
                  </w:pPr>
                  <w:r>
                    <w:rPr>
                      <w:b/>
                      <w:color w:val="auto"/>
                      <w:szCs w:val="21"/>
                    </w:rPr>
                    <w:t>标准值mg/m</w:t>
                  </w:r>
                  <w:r>
                    <w:rPr>
                      <w:b/>
                      <w:color w:val="auto"/>
                      <w:szCs w:val="21"/>
                      <w:vertAlign w:val="superscript"/>
                    </w:rPr>
                    <w:t>3</w:t>
                  </w:r>
                </w:p>
              </w:tc>
              <w:tc>
                <w:tcPr>
                  <w:tcW w:w="464" w:type="dxa"/>
                  <w:vMerge w:val="restart"/>
                  <w:tcBorders>
                    <w:tl2br w:val="nil"/>
                    <w:tr2bl w:val="nil"/>
                  </w:tcBorders>
                  <w:vAlign w:val="center"/>
                </w:tcPr>
                <w:p w14:paraId="7DBECD19">
                  <w:pPr>
                    <w:adjustRightInd w:val="0"/>
                    <w:snapToGrid w:val="0"/>
                    <w:jc w:val="center"/>
                    <w:textAlignment w:val="baseline"/>
                    <w:rPr>
                      <w:b/>
                      <w:color w:val="auto"/>
                      <w:szCs w:val="21"/>
                    </w:rPr>
                  </w:pPr>
                  <w:r>
                    <w:rPr>
                      <w:b/>
                      <w:color w:val="auto"/>
                      <w:szCs w:val="21"/>
                    </w:rPr>
                    <w:t>达标情况</w:t>
                  </w:r>
                </w:p>
              </w:tc>
              <w:tc>
                <w:tcPr>
                  <w:tcW w:w="600" w:type="dxa"/>
                  <w:vMerge w:val="restart"/>
                  <w:tcBorders>
                    <w:tl2br w:val="nil"/>
                    <w:tr2bl w:val="nil"/>
                  </w:tcBorders>
                  <w:vAlign w:val="center"/>
                </w:tcPr>
                <w:p w14:paraId="718A9C1F">
                  <w:pPr>
                    <w:autoSpaceDN w:val="0"/>
                    <w:snapToGrid w:val="0"/>
                    <w:jc w:val="center"/>
                    <w:textAlignment w:val="center"/>
                    <w:rPr>
                      <w:b/>
                      <w:color w:val="auto"/>
                      <w:szCs w:val="21"/>
                    </w:rPr>
                  </w:pPr>
                  <w:r>
                    <w:rPr>
                      <w:b/>
                      <w:color w:val="auto"/>
                      <w:szCs w:val="21"/>
                    </w:rPr>
                    <w:t>单次持续时间</w:t>
                  </w:r>
                </w:p>
              </w:tc>
              <w:tc>
                <w:tcPr>
                  <w:tcW w:w="532" w:type="dxa"/>
                  <w:vMerge w:val="restart"/>
                  <w:tcBorders>
                    <w:tl2br w:val="nil"/>
                    <w:tr2bl w:val="nil"/>
                  </w:tcBorders>
                  <w:vAlign w:val="center"/>
                </w:tcPr>
                <w:p w14:paraId="53822F6B">
                  <w:pPr>
                    <w:autoSpaceDN w:val="0"/>
                    <w:snapToGrid w:val="0"/>
                    <w:jc w:val="center"/>
                    <w:textAlignment w:val="center"/>
                    <w:rPr>
                      <w:b/>
                      <w:color w:val="auto"/>
                      <w:szCs w:val="21"/>
                    </w:rPr>
                  </w:pPr>
                  <w:r>
                    <w:rPr>
                      <w:b/>
                      <w:color w:val="auto"/>
                      <w:szCs w:val="21"/>
                    </w:rPr>
                    <w:t>年发生频次</w:t>
                  </w:r>
                </w:p>
              </w:tc>
              <w:tc>
                <w:tcPr>
                  <w:tcW w:w="980" w:type="dxa"/>
                  <w:vMerge w:val="restart"/>
                  <w:tcBorders>
                    <w:tl2br w:val="nil"/>
                    <w:tr2bl w:val="nil"/>
                  </w:tcBorders>
                  <w:vAlign w:val="center"/>
                </w:tcPr>
                <w:p w14:paraId="7343961E">
                  <w:pPr>
                    <w:autoSpaceDN w:val="0"/>
                    <w:snapToGrid w:val="0"/>
                    <w:jc w:val="center"/>
                    <w:textAlignment w:val="center"/>
                    <w:rPr>
                      <w:b/>
                      <w:color w:val="auto"/>
                      <w:szCs w:val="21"/>
                    </w:rPr>
                  </w:pPr>
                  <w:r>
                    <w:rPr>
                      <w:b/>
                      <w:color w:val="auto"/>
                      <w:szCs w:val="21"/>
                    </w:rPr>
                    <w:t>应对措施</w:t>
                  </w:r>
                </w:p>
              </w:tc>
            </w:tr>
            <w:tr w14:paraId="17F72C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Pr>
              <w:tc>
                <w:tcPr>
                  <w:tcW w:w="837" w:type="dxa"/>
                  <w:vMerge w:val="continue"/>
                  <w:tcBorders>
                    <w:tl2br w:val="nil"/>
                    <w:tr2bl w:val="nil"/>
                  </w:tcBorders>
                  <w:vAlign w:val="center"/>
                </w:tcPr>
                <w:p w14:paraId="05E5CB7A">
                  <w:pPr>
                    <w:adjustRightInd w:val="0"/>
                    <w:snapToGrid w:val="0"/>
                    <w:jc w:val="center"/>
                    <w:rPr>
                      <w:b/>
                      <w:color w:val="auto"/>
                      <w:szCs w:val="21"/>
                    </w:rPr>
                  </w:pPr>
                </w:p>
              </w:tc>
              <w:tc>
                <w:tcPr>
                  <w:tcW w:w="763" w:type="dxa"/>
                  <w:vMerge w:val="continue"/>
                  <w:tcBorders>
                    <w:tl2br w:val="nil"/>
                    <w:tr2bl w:val="nil"/>
                  </w:tcBorders>
                  <w:vAlign w:val="center"/>
                </w:tcPr>
                <w:p w14:paraId="0B2102A6">
                  <w:pPr>
                    <w:adjustRightInd w:val="0"/>
                    <w:snapToGrid w:val="0"/>
                    <w:jc w:val="center"/>
                    <w:rPr>
                      <w:b/>
                      <w:color w:val="auto"/>
                      <w:szCs w:val="21"/>
                    </w:rPr>
                  </w:pPr>
                </w:p>
              </w:tc>
              <w:tc>
                <w:tcPr>
                  <w:tcW w:w="628" w:type="dxa"/>
                  <w:vMerge w:val="continue"/>
                  <w:tcBorders>
                    <w:tl2br w:val="nil"/>
                    <w:tr2bl w:val="nil"/>
                  </w:tcBorders>
                  <w:vAlign w:val="center"/>
                </w:tcPr>
                <w:p w14:paraId="1E612F29">
                  <w:pPr>
                    <w:adjustRightInd w:val="0"/>
                    <w:snapToGrid w:val="0"/>
                    <w:jc w:val="center"/>
                    <w:rPr>
                      <w:b/>
                      <w:color w:val="auto"/>
                      <w:szCs w:val="21"/>
                    </w:rPr>
                  </w:pPr>
                </w:p>
              </w:tc>
              <w:tc>
                <w:tcPr>
                  <w:tcW w:w="1050" w:type="dxa"/>
                  <w:tcBorders>
                    <w:tl2br w:val="nil"/>
                    <w:tr2bl w:val="nil"/>
                  </w:tcBorders>
                  <w:vAlign w:val="center"/>
                </w:tcPr>
                <w:p w14:paraId="7B90EBCE">
                  <w:pPr>
                    <w:adjustRightInd w:val="0"/>
                    <w:snapToGrid w:val="0"/>
                    <w:jc w:val="center"/>
                    <w:textAlignment w:val="baseline"/>
                    <w:rPr>
                      <w:b/>
                      <w:color w:val="auto"/>
                      <w:szCs w:val="21"/>
                    </w:rPr>
                  </w:pPr>
                  <w:r>
                    <w:rPr>
                      <w:b/>
                      <w:color w:val="auto"/>
                      <w:szCs w:val="21"/>
                    </w:rPr>
                    <w:t>排放量t/a</w:t>
                  </w:r>
                </w:p>
              </w:tc>
              <w:tc>
                <w:tcPr>
                  <w:tcW w:w="859" w:type="dxa"/>
                  <w:tcBorders>
                    <w:tl2br w:val="nil"/>
                    <w:tr2bl w:val="nil"/>
                  </w:tcBorders>
                  <w:vAlign w:val="center"/>
                </w:tcPr>
                <w:p w14:paraId="5EE5DBB4">
                  <w:pPr>
                    <w:adjustRightInd w:val="0"/>
                    <w:snapToGrid w:val="0"/>
                    <w:jc w:val="center"/>
                    <w:textAlignment w:val="baseline"/>
                    <w:rPr>
                      <w:b/>
                      <w:color w:val="auto"/>
                      <w:szCs w:val="21"/>
                    </w:rPr>
                  </w:pPr>
                  <w:r>
                    <w:rPr>
                      <w:b/>
                      <w:color w:val="auto"/>
                      <w:szCs w:val="21"/>
                    </w:rPr>
                    <w:t>排放速率kg/h</w:t>
                  </w:r>
                </w:p>
              </w:tc>
              <w:tc>
                <w:tcPr>
                  <w:tcW w:w="804" w:type="dxa"/>
                  <w:tcBorders>
                    <w:tl2br w:val="nil"/>
                    <w:tr2bl w:val="nil"/>
                  </w:tcBorders>
                  <w:vAlign w:val="center"/>
                </w:tcPr>
                <w:p w14:paraId="1CE1F463">
                  <w:pPr>
                    <w:adjustRightInd w:val="0"/>
                    <w:snapToGrid w:val="0"/>
                    <w:jc w:val="center"/>
                    <w:textAlignment w:val="baseline"/>
                    <w:rPr>
                      <w:b/>
                      <w:color w:val="auto"/>
                      <w:szCs w:val="21"/>
                    </w:rPr>
                  </w:pPr>
                  <w:r>
                    <w:rPr>
                      <w:b/>
                      <w:color w:val="auto"/>
                      <w:szCs w:val="21"/>
                    </w:rPr>
                    <w:t>排放浓度mg/m</w:t>
                  </w:r>
                  <w:r>
                    <w:rPr>
                      <w:b/>
                      <w:color w:val="auto"/>
                      <w:szCs w:val="21"/>
                      <w:vertAlign w:val="superscript"/>
                    </w:rPr>
                    <w:t>3</w:t>
                  </w:r>
                </w:p>
              </w:tc>
              <w:tc>
                <w:tcPr>
                  <w:tcW w:w="832" w:type="dxa"/>
                  <w:vMerge w:val="continue"/>
                  <w:tcBorders>
                    <w:tl2br w:val="nil"/>
                    <w:tr2bl w:val="nil"/>
                  </w:tcBorders>
                  <w:vAlign w:val="center"/>
                </w:tcPr>
                <w:p w14:paraId="15B2F9EB">
                  <w:pPr>
                    <w:adjustRightInd w:val="0"/>
                    <w:snapToGrid w:val="0"/>
                    <w:jc w:val="center"/>
                    <w:rPr>
                      <w:b/>
                      <w:color w:val="auto"/>
                      <w:szCs w:val="21"/>
                    </w:rPr>
                  </w:pPr>
                </w:p>
              </w:tc>
              <w:tc>
                <w:tcPr>
                  <w:tcW w:w="464" w:type="dxa"/>
                  <w:vMerge w:val="continue"/>
                  <w:tcBorders>
                    <w:tl2br w:val="nil"/>
                    <w:tr2bl w:val="nil"/>
                  </w:tcBorders>
                  <w:vAlign w:val="center"/>
                </w:tcPr>
                <w:p w14:paraId="29E54DDE">
                  <w:pPr>
                    <w:adjustRightInd w:val="0"/>
                    <w:snapToGrid w:val="0"/>
                    <w:jc w:val="center"/>
                    <w:rPr>
                      <w:b/>
                      <w:color w:val="auto"/>
                      <w:szCs w:val="21"/>
                    </w:rPr>
                  </w:pPr>
                </w:p>
              </w:tc>
              <w:tc>
                <w:tcPr>
                  <w:tcW w:w="600" w:type="dxa"/>
                  <w:vMerge w:val="continue"/>
                  <w:tcBorders>
                    <w:tl2br w:val="nil"/>
                    <w:tr2bl w:val="nil"/>
                  </w:tcBorders>
                  <w:vAlign w:val="center"/>
                </w:tcPr>
                <w:p w14:paraId="64D9D8AF">
                  <w:pPr>
                    <w:adjustRightInd w:val="0"/>
                    <w:snapToGrid w:val="0"/>
                    <w:jc w:val="center"/>
                    <w:rPr>
                      <w:b/>
                      <w:color w:val="auto"/>
                      <w:szCs w:val="21"/>
                    </w:rPr>
                  </w:pPr>
                </w:p>
              </w:tc>
              <w:tc>
                <w:tcPr>
                  <w:tcW w:w="532" w:type="dxa"/>
                  <w:vMerge w:val="continue"/>
                  <w:tcBorders>
                    <w:tl2br w:val="nil"/>
                    <w:tr2bl w:val="nil"/>
                  </w:tcBorders>
                  <w:vAlign w:val="center"/>
                </w:tcPr>
                <w:p w14:paraId="35634EDB">
                  <w:pPr>
                    <w:adjustRightInd w:val="0"/>
                    <w:snapToGrid w:val="0"/>
                    <w:jc w:val="center"/>
                    <w:rPr>
                      <w:b/>
                      <w:color w:val="auto"/>
                      <w:szCs w:val="21"/>
                    </w:rPr>
                  </w:pPr>
                </w:p>
              </w:tc>
              <w:tc>
                <w:tcPr>
                  <w:tcW w:w="980" w:type="dxa"/>
                  <w:vMerge w:val="continue"/>
                  <w:tcBorders>
                    <w:tl2br w:val="nil"/>
                    <w:tr2bl w:val="nil"/>
                  </w:tcBorders>
                  <w:vAlign w:val="center"/>
                </w:tcPr>
                <w:p w14:paraId="5526C105">
                  <w:pPr>
                    <w:adjustRightInd w:val="0"/>
                    <w:snapToGrid w:val="0"/>
                    <w:jc w:val="center"/>
                    <w:rPr>
                      <w:b/>
                      <w:color w:val="auto"/>
                      <w:szCs w:val="21"/>
                    </w:rPr>
                  </w:pPr>
                </w:p>
              </w:tc>
            </w:tr>
            <w:tr w14:paraId="3D1F04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048" w:hRule="atLeast"/>
              </w:trPr>
              <w:tc>
                <w:tcPr>
                  <w:tcW w:w="837" w:type="dxa"/>
                  <w:vMerge w:val="restart"/>
                  <w:tcBorders>
                    <w:tl2br w:val="nil"/>
                    <w:tr2bl w:val="nil"/>
                  </w:tcBorders>
                  <w:vAlign w:val="center"/>
                </w:tcPr>
                <w:p w14:paraId="32920B3E">
                  <w:pPr>
                    <w:adjustRightInd w:val="0"/>
                    <w:snapToGrid w:val="0"/>
                    <w:jc w:val="center"/>
                    <w:rPr>
                      <w:color w:val="auto"/>
                      <w:szCs w:val="21"/>
                    </w:rPr>
                  </w:pPr>
                  <w:r>
                    <w:rPr>
                      <w:rFonts w:hint="eastAsia"/>
                      <w:color w:val="auto"/>
                      <w:szCs w:val="21"/>
                      <w:lang w:eastAsia="zh-CN"/>
                    </w:rPr>
                    <w:t>注</w:t>
                  </w:r>
                  <w:r>
                    <w:rPr>
                      <w:rFonts w:hint="eastAsia"/>
                      <w:color w:val="auto"/>
                      <w:szCs w:val="21"/>
                    </w:rPr>
                    <w:t>塑</w:t>
                  </w:r>
                  <w:r>
                    <w:rPr>
                      <w:color w:val="auto"/>
                      <w:szCs w:val="21"/>
                    </w:rPr>
                    <w:t>废气（DA00</w:t>
                  </w:r>
                  <w:r>
                    <w:rPr>
                      <w:rFonts w:hint="eastAsia"/>
                      <w:color w:val="auto"/>
                      <w:szCs w:val="21"/>
                      <w:lang w:val="en-US" w:eastAsia="zh-CN"/>
                    </w:rPr>
                    <w:t>1</w:t>
                  </w:r>
                  <w:r>
                    <w:rPr>
                      <w:color w:val="auto"/>
                      <w:szCs w:val="21"/>
                    </w:rPr>
                    <w:t>）</w:t>
                  </w:r>
                </w:p>
              </w:tc>
              <w:tc>
                <w:tcPr>
                  <w:tcW w:w="763" w:type="dxa"/>
                  <w:vMerge w:val="restart"/>
                  <w:tcBorders>
                    <w:tl2br w:val="nil"/>
                    <w:tr2bl w:val="nil"/>
                  </w:tcBorders>
                  <w:vAlign w:val="center"/>
                </w:tcPr>
                <w:p w14:paraId="63E3DEDD">
                  <w:pPr>
                    <w:autoSpaceDN w:val="0"/>
                    <w:snapToGrid w:val="0"/>
                    <w:jc w:val="center"/>
                    <w:textAlignment w:val="center"/>
                    <w:rPr>
                      <w:bCs/>
                      <w:color w:val="auto"/>
                      <w:szCs w:val="21"/>
                    </w:rPr>
                  </w:pPr>
                  <w:r>
                    <w:rPr>
                      <w:bCs/>
                      <w:color w:val="auto"/>
                      <w:szCs w:val="21"/>
                    </w:rPr>
                    <w:t>废气处理设备未及时进行维护、更换或出现故障</w:t>
                  </w:r>
                </w:p>
                <w:p w14:paraId="28FE2C6A">
                  <w:pPr>
                    <w:autoSpaceDN w:val="0"/>
                    <w:snapToGrid w:val="0"/>
                    <w:jc w:val="center"/>
                    <w:textAlignment w:val="center"/>
                    <w:rPr>
                      <w:bCs/>
                      <w:color w:val="auto"/>
                      <w:szCs w:val="21"/>
                    </w:rPr>
                  </w:pPr>
                </w:p>
              </w:tc>
              <w:tc>
                <w:tcPr>
                  <w:tcW w:w="628" w:type="dxa"/>
                  <w:tcBorders>
                    <w:tl2br w:val="nil"/>
                    <w:tr2bl w:val="nil"/>
                  </w:tcBorders>
                  <w:vAlign w:val="center"/>
                </w:tcPr>
                <w:p w14:paraId="3CB1506C">
                  <w:pPr>
                    <w:widowControl/>
                    <w:jc w:val="center"/>
                    <w:textAlignment w:val="center"/>
                    <w:rPr>
                      <w:color w:val="auto"/>
                      <w:kern w:val="0"/>
                      <w:szCs w:val="21"/>
                      <w:lang w:bidi="ar"/>
                    </w:rPr>
                  </w:pPr>
                  <w:r>
                    <w:rPr>
                      <w:color w:val="auto"/>
                      <w:kern w:val="0"/>
                      <w:szCs w:val="21"/>
                      <w:lang w:bidi="ar"/>
                    </w:rPr>
                    <w:t>非甲烷总烃</w:t>
                  </w:r>
                </w:p>
              </w:tc>
              <w:tc>
                <w:tcPr>
                  <w:tcW w:w="1050" w:type="dxa"/>
                  <w:tcBorders>
                    <w:tl2br w:val="nil"/>
                    <w:tr2bl w:val="nil"/>
                  </w:tcBorders>
                  <w:vAlign w:val="center"/>
                </w:tcPr>
                <w:p w14:paraId="56824183">
                  <w:pPr>
                    <w:widowControl/>
                    <w:jc w:val="center"/>
                    <w:textAlignment w:val="center"/>
                    <w:rPr>
                      <w:rFonts w:hint="default"/>
                      <w:color w:val="auto"/>
                      <w:kern w:val="0"/>
                      <w:szCs w:val="21"/>
                      <w:lang w:val="en-US" w:bidi="ar"/>
                    </w:rPr>
                  </w:pPr>
                  <w:r>
                    <w:rPr>
                      <w:rFonts w:hint="eastAsia"/>
                      <w:color w:val="auto"/>
                      <w:kern w:val="0"/>
                      <w:szCs w:val="21"/>
                      <w:lang w:val="en-US" w:eastAsia="zh-CN" w:bidi="ar"/>
                    </w:rPr>
                    <w:t>0.0156</w:t>
                  </w:r>
                </w:p>
              </w:tc>
              <w:tc>
                <w:tcPr>
                  <w:tcW w:w="859" w:type="dxa"/>
                  <w:tcBorders>
                    <w:tl2br w:val="nil"/>
                    <w:tr2bl w:val="nil"/>
                  </w:tcBorders>
                  <w:vAlign w:val="center"/>
                </w:tcPr>
                <w:p w14:paraId="26850145">
                  <w:pPr>
                    <w:widowControl/>
                    <w:jc w:val="center"/>
                    <w:textAlignment w:val="center"/>
                    <w:rPr>
                      <w:color w:val="auto"/>
                      <w:kern w:val="0"/>
                      <w:szCs w:val="21"/>
                      <w:lang w:bidi="ar"/>
                    </w:rPr>
                  </w:pPr>
                  <w:r>
                    <w:rPr>
                      <w:rFonts w:hint="eastAsia"/>
                      <w:color w:val="auto"/>
                      <w:kern w:val="0"/>
                      <w:szCs w:val="21"/>
                      <w:lang w:val="en-US" w:eastAsia="zh-CN" w:bidi="ar"/>
                    </w:rPr>
                    <w:t>7.8219</w:t>
                  </w:r>
                </w:p>
              </w:tc>
              <w:tc>
                <w:tcPr>
                  <w:tcW w:w="804" w:type="dxa"/>
                  <w:tcBorders>
                    <w:tl2br w:val="nil"/>
                    <w:tr2bl w:val="nil"/>
                  </w:tcBorders>
                  <w:vAlign w:val="center"/>
                </w:tcPr>
                <w:p w14:paraId="54E9B6B3">
                  <w:pPr>
                    <w:widowControl/>
                    <w:jc w:val="center"/>
                    <w:textAlignment w:val="center"/>
                    <w:rPr>
                      <w:rFonts w:hint="default"/>
                      <w:color w:val="auto"/>
                      <w:kern w:val="0"/>
                      <w:szCs w:val="21"/>
                      <w:lang w:val="en-US" w:bidi="ar"/>
                    </w:rPr>
                  </w:pPr>
                  <w:r>
                    <w:rPr>
                      <w:rFonts w:hint="eastAsia"/>
                      <w:color w:val="auto"/>
                      <w:szCs w:val="21"/>
                      <w:lang w:val="en-US" w:eastAsia="zh-CN"/>
                    </w:rPr>
                    <w:t>391.10</w:t>
                  </w:r>
                </w:p>
              </w:tc>
              <w:tc>
                <w:tcPr>
                  <w:tcW w:w="832" w:type="dxa"/>
                  <w:tcBorders>
                    <w:tl2br w:val="nil"/>
                    <w:tr2bl w:val="nil"/>
                  </w:tcBorders>
                  <w:vAlign w:val="center"/>
                </w:tcPr>
                <w:p w14:paraId="68292ACB">
                  <w:pPr>
                    <w:widowControl/>
                    <w:jc w:val="center"/>
                    <w:textAlignment w:val="center"/>
                    <w:rPr>
                      <w:color w:val="auto"/>
                      <w:kern w:val="0"/>
                      <w:szCs w:val="21"/>
                      <w:lang w:bidi="ar"/>
                    </w:rPr>
                  </w:pPr>
                  <w:r>
                    <w:rPr>
                      <w:color w:val="auto"/>
                      <w:kern w:val="0"/>
                      <w:szCs w:val="21"/>
                      <w:lang w:bidi="ar"/>
                    </w:rPr>
                    <w:t>1</w:t>
                  </w:r>
                  <w:r>
                    <w:rPr>
                      <w:rFonts w:hint="eastAsia"/>
                      <w:color w:val="auto"/>
                      <w:kern w:val="0"/>
                      <w:szCs w:val="21"/>
                      <w:lang w:bidi="ar"/>
                    </w:rPr>
                    <w:t>0</w:t>
                  </w:r>
                  <w:r>
                    <w:rPr>
                      <w:color w:val="auto"/>
                      <w:kern w:val="0"/>
                      <w:szCs w:val="21"/>
                      <w:lang w:bidi="ar"/>
                    </w:rPr>
                    <w:t>0</w:t>
                  </w:r>
                </w:p>
              </w:tc>
              <w:tc>
                <w:tcPr>
                  <w:tcW w:w="464" w:type="dxa"/>
                  <w:tcBorders>
                    <w:tl2br w:val="nil"/>
                    <w:tr2bl w:val="nil"/>
                  </w:tcBorders>
                  <w:vAlign w:val="center"/>
                </w:tcPr>
                <w:p w14:paraId="67ACA7FD">
                  <w:pPr>
                    <w:adjustRightInd w:val="0"/>
                    <w:snapToGrid w:val="0"/>
                    <w:jc w:val="center"/>
                    <w:textAlignment w:val="baseline"/>
                    <w:rPr>
                      <w:b/>
                      <w:bCs/>
                      <w:color w:val="auto"/>
                      <w:szCs w:val="21"/>
                    </w:rPr>
                  </w:pPr>
                  <w:r>
                    <w:rPr>
                      <w:rFonts w:hint="eastAsia"/>
                      <w:color w:val="auto"/>
                      <w:szCs w:val="21"/>
                    </w:rPr>
                    <w:t>超标</w:t>
                  </w:r>
                </w:p>
              </w:tc>
              <w:tc>
                <w:tcPr>
                  <w:tcW w:w="600" w:type="dxa"/>
                  <w:vMerge w:val="restart"/>
                  <w:tcBorders>
                    <w:tl2br w:val="nil"/>
                    <w:tr2bl w:val="nil"/>
                  </w:tcBorders>
                  <w:vAlign w:val="center"/>
                </w:tcPr>
                <w:p w14:paraId="148915CE">
                  <w:pPr>
                    <w:autoSpaceDN w:val="0"/>
                    <w:snapToGrid w:val="0"/>
                    <w:jc w:val="center"/>
                    <w:textAlignment w:val="center"/>
                    <w:rPr>
                      <w:color w:val="auto"/>
                      <w:szCs w:val="21"/>
                    </w:rPr>
                  </w:pPr>
                  <w:r>
                    <w:rPr>
                      <w:bCs/>
                      <w:color w:val="auto"/>
                      <w:szCs w:val="21"/>
                    </w:rPr>
                    <w:t>2h</w:t>
                  </w:r>
                </w:p>
              </w:tc>
              <w:tc>
                <w:tcPr>
                  <w:tcW w:w="532" w:type="dxa"/>
                  <w:vMerge w:val="restart"/>
                  <w:tcBorders>
                    <w:tl2br w:val="nil"/>
                    <w:tr2bl w:val="nil"/>
                  </w:tcBorders>
                  <w:vAlign w:val="center"/>
                </w:tcPr>
                <w:p w14:paraId="3153B714">
                  <w:pPr>
                    <w:autoSpaceDN w:val="0"/>
                    <w:snapToGrid w:val="0"/>
                    <w:jc w:val="center"/>
                    <w:textAlignment w:val="center"/>
                    <w:rPr>
                      <w:color w:val="auto"/>
                      <w:szCs w:val="21"/>
                    </w:rPr>
                  </w:pPr>
                  <w:r>
                    <w:rPr>
                      <w:bCs/>
                      <w:color w:val="auto"/>
                      <w:szCs w:val="21"/>
                    </w:rPr>
                    <w:t>1次</w:t>
                  </w:r>
                </w:p>
              </w:tc>
              <w:tc>
                <w:tcPr>
                  <w:tcW w:w="980" w:type="dxa"/>
                  <w:vMerge w:val="restart"/>
                  <w:tcBorders>
                    <w:tl2br w:val="nil"/>
                    <w:tr2bl w:val="nil"/>
                  </w:tcBorders>
                  <w:vAlign w:val="center"/>
                </w:tcPr>
                <w:p w14:paraId="7245B2D3">
                  <w:pPr>
                    <w:autoSpaceDN w:val="0"/>
                    <w:snapToGrid w:val="0"/>
                    <w:jc w:val="center"/>
                    <w:textAlignment w:val="center"/>
                    <w:rPr>
                      <w:color w:val="auto"/>
                      <w:szCs w:val="21"/>
                    </w:rPr>
                  </w:pPr>
                  <w:r>
                    <w:rPr>
                      <w:bCs/>
                      <w:color w:val="auto"/>
                      <w:szCs w:val="21"/>
                    </w:rPr>
                    <w:t>及时停止运行，对设备进行检修，待设备更新或修理完毕后再恢复运营</w:t>
                  </w:r>
                </w:p>
              </w:tc>
            </w:tr>
            <w:tr w14:paraId="092786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03" w:hRule="atLeast"/>
              </w:trPr>
              <w:tc>
                <w:tcPr>
                  <w:tcW w:w="837" w:type="dxa"/>
                  <w:vMerge w:val="continue"/>
                  <w:tcBorders>
                    <w:tl2br w:val="nil"/>
                    <w:tr2bl w:val="nil"/>
                  </w:tcBorders>
                  <w:vAlign w:val="center"/>
                </w:tcPr>
                <w:p w14:paraId="7127399D">
                  <w:pPr>
                    <w:adjustRightInd w:val="0"/>
                    <w:snapToGrid w:val="0"/>
                    <w:jc w:val="center"/>
                    <w:textAlignment w:val="baseline"/>
                    <w:rPr>
                      <w:color w:val="auto"/>
                      <w:kern w:val="0"/>
                      <w:szCs w:val="21"/>
                      <w:lang w:bidi="ar"/>
                    </w:rPr>
                  </w:pPr>
                </w:p>
              </w:tc>
              <w:tc>
                <w:tcPr>
                  <w:tcW w:w="763" w:type="dxa"/>
                  <w:vMerge w:val="continue"/>
                  <w:tcBorders>
                    <w:tl2br w:val="nil"/>
                    <w:tr2bl w:val="nil"/>
                  </w:tcBorders>
                  <w:vAlign w:val="center"/>
                </w:tcPr>
                <w:p w14:paraId="012A76F0">
                  <w:pPr>
                    <w:adjustRightInd w:val="0"/>
                    <w:snapToGrid w:val="0"/>
                    <w:jc w:val="center"/>
                    <w:textAlignment w:val="baseline"/>
                    <w:rPr>
                      <w:color w:val="auto"/>
                      <w:kern w:val="0"/>
                      <w:szCs w:val="21"/>
                      <w:lang w:bidi="ar"/>
                    </w:rPr>
                  </w:pPr>
                </w:p>
              </w:tc>
              <w:tc>
                <w:tcPr>
                  <w:tcW w:w="628" w:type="dxa"/>
                  <w:tcBorders>
                    <w:tl2br w:val="nil"/>
                    <w:tr2bl w:val="nil"/>
                  </w:tcBorders>
                  <w:vAlign w:val="center"/>
                </w:tcPr>
                <w:p w14:paraId="45D8DFC0">
                  <w:pPr>
                    <w:widowControl/>
                    <w:jc w:val="center"/>
                    <w:textAlignment w:val="center"/>
                    <w:rPr>
                      <w:color w:val="auto"/>
                      <w:kern w:val="0"/>
                      <w:szCs w:val="21"/>
                      <w:lang w:bidi="ar"/>
                    </w:rPr>
                  </w:pPr>
                  <w:r>
                    <w:rPr>
                      <w:rFonts w:hint="eastAsia"/>
                      <w:color w:val="auto"/>
                      <w:kern w:val="0"/>
                      <w:szCs w:val="21"/>
                      <w:lang w:bidi="ar"/>
                    </w:rPr>
                    <w:t>臭气浓度</w:t>
                  </w:r>
                </w:p>
              </w:tc>
              <w:tc>
                <w:tcPr>
                  <w:tcW w:w="1050" w:type="dxa"/>
                  <w:tcBorders>
                    <w:tl2br w:val="nil"/>
                    <w:tr2bl w:val="nil"/>
                  </w:tcBorders>
                  <w:vAlign w:val="center"/>
                </w:tcPr>
                <w:p w14:paraId="4A6F9330">
                  <w:pPr>
                    <w:widowControl/>
                    <w:jc w:val="center"/>
                    <w:textAlignment w:val="center"/>
                    <w:rPr>
                      <w:color w:val="auto"/>
                      <w:kern w:val="0"/>
                      <w:szCs w:val="21"/>
                      <w:lang w:bidi="ar"/>
                    </w:rPr>
                  </w:pPr>
                  <w:r>
                    <w:rPr>
                      <w:color w:val="auto"/>
                      <w:kern w:val="0"/>
                      <w:szCs w:val="21"/>
                      <w:lang w:bidi="ar"/>
                    </w:rPr>
                    <w:t>少量</w:t>
                  </w:r>
                </w:p>
              </w:tc>
              <w:tc>
                <w:tcPr>
                  <w:tcW w:w="859" w:type="dxa"/>
                  <w:tcBorders>
                    <w:tl2br w:val="nil"/>
                    <w:tr2bl w:val="nil"/>
                  </w:tcBorders>
                  <w:vAlign w:val="center"/>
                </w:tcPr>
                <w:p w14:paraId="6F1E7ADB">
                  <w:pPr>
                    <w:widowControl/>
                    <w:jc w:val="center"/>
                    <w:textAlignment w:val="center"/>
                    <w:rPr>
                      <w:color w:val="auto"/>
                      <w:kern w:val="0"/>
                      <w:szCs w:val="21"/>
                      <w:lang w:bidi="ar"/>
                    </w:rPr>
                  </w:pPr>
                  <w:r>
                    <w:rPr>
                      <w:rFonts w:hint="eastAsia"/>
                      <w:color w:val="auto"/>
                      <w:kern w:val="0"/>
                      <w:szCs w:val="21"/>
                      <w:lang w:bidi="ar"/>
                    </w:rPr>
                    <w:t>/</w:t>
                  </w:r>
                </w:p>
              </w:tc>
              <w:tc>
                <w:tcPr>
                  <w:tcW w:w="804" w:type="dxa"/>
                  <w:tcBorders>
                    <w:tl2br w:val="nil"/>
                    <w:tr2bl w:val="nil"/>
                  </w:tcBorders>
                  <w:vAlign w:val="center"/>
                </w:tcPr>
                <w:p w14:paraId="1ED288DB">
                  <w:pPr>
                    <w:widowControl/>
                    <w:jc w:val="center"/>
                    <w:textAlignment w:val="center"/>
                    <w:rPr>
                      <w:color w:val="auto"/>
                      <w:kern w:val="0"/>
                      <w:szCs w:val="21"/>
                      <w:lang w:bidi="ar"/>
                    </w:rPr>
                  </w:pPr>
                  <w:r>
                    <w:rPr>
                      <w:rFonts w:hint="eastAsia"/>
                      <w:color w:val="auto"/>
                      <w:szCs w:val="21"/>
                      <w:lang w:val="en-US" w:eastAsia="zh-CN"/>
                    </w:rPr>
                    <w:t>6975</w:t>
                  </w:r>
                  <w:r>
                    <w:rPr>
                      <w:rFonts w:hint="eastAsia"/>
                      <w:color w:val="auto"/>
                      <w:szCs w:val="21"/>
                    </w:rPr>
                    <w:t>（无量纲）</w:t>
                  </w:r>
                </w:p>
              </w:tc>
              <w:tc>
                <w:tcPr>
                  <w:tcW w:w="832" w:type="dxa"/>
                  <w:tcBorders>
                    <w:tl2br w:val="nil"/>
                    <w:tr2bl w:val="nil"/>
                  </w:tcBorders>
                  <w:vAlign w:val="center"/>
                </w:tcPr>
                <w:p w14:paraId="7FEE63DF">
                  <w:pPr>
                    <w:widowControl/>
                    <w:jc w:val="center"/>
                    <w:textAlignment w:val="center"/>
                    <w:rPr>
                      <w:color w:val="auto"/>
                      <w:kern w:val="0"/>
                      <w:szCs w:val="21"/>
                      <w:lang w:bidi="ar"/>
                    </w:rPr>
                  </w:pPr>
                  <w:r>
                    <w:rPr>
                      <w:color w:val="auto"/>
                      <w:kern w:val="0"/>
                      <w:szCs w:val="21"/>
                      <w:lang w:bidi="ar"/>
                    </w:rPr>
                    <w:t>2000</w:t>
                  </w:r>
                </w:p>
              </w:tc>
              <w:tc>
                <w:tcPr>
                  <w:tcW w:w="464" w:type="dxa"/>
                  <w:tcBorders>
                    <w:tl2br w:val="nil"/>
                    <w:tr2bl w:val="nil"/>
                  </w:tcBorders>
                  <w:vAlign w:val="center"/>
                </w:tcPr>
                <w:p w14:paraId="76D530D2">
                  <w:pPr>
                    <w:adjustRightInd w:val="0"/>
                    <w:snapToGrid w:val="0"/>
                    <w:jc w:val="center"/>
                    <w:textAlignment w:val="baseline"/>
                    <w:rPr>
                      <w:color w:val="auto"/>
                      <w:kern w:val="0"/>
                      <w:szCs w:val="21"/>
                      <w:lang w:bidi="ar"/>
                    </w:rPr>
                  </w:pPr>
                  <w:r>
                    <w:rPr>
                      <w:rFonts w:hint="eastAsia"/>
                      <w:color w:val="auto"/>
                      <w:szCs w:val="21"/>
                    </w:rPr>
                    <w:t>超</w:t>
                  </w:r>
                  <w:r>
                    <w:rPr>
                      <w:color w:val="auto"/>
                      <w:szCs w:val="21"/>
                    </w:rPr>
                    <w:t>标</w:t>
                  </w:r>
                </w:p>
              </w:tc>
              <w:tc>
                <w:tcPr>
                  <w:tcW w:w="600" w:type="dxa"/>
                  <w:vMerge w:val="continue"/>
                  <w:tcBorders>
                    <w:tl2br w:val="nil"/>
                    <w:tr2bl w:val="nil"/>
                  </w:tcBorders>
                  <w:vAlign w:val="center"/>
                </w:tcPr>
                <w:p w14:paraId="6A89D67C">
                  <w:pPr>
                    <w:adjustRightInd w:val="0"/>
                    <w:snapToGrid w:val="0"/>
                    <w:jc w:val="center"/>
                    <w:textAlignment w:val="baseline"/>
                    <w:rPr>
                      <w:color w:val="auto"/>
                      <w:kern w:val="0"/>
                      <w:szCs w:val="21"/>
                      <w:lang w:bidi="ar"/>
                    </w:rPr>
                  </w:pPr>
                </w:p>
              </w:tc>
              <w:tc>
                <w:tcPr>
                  <w:tcW w:w="532" w:type="dxa"/>
                  <w:vMerge w:val="continue"/>
                  <w:tcBorders>
                    <w:tl2br w:val="nil"/>
                    <w:tr2bl w:val="nil"/>
                  </w:tcBorders>
                  <w:vAlign w:val="center"/>
                </w:tcPr>
                <w:p w14:paraId="7AB2F60F">
                  <w:pPr>
                    <w:adjustRightInd w:val="0"/>
                    <w:snapToGrid w:val="0"/>
                    <w:jc w:val="center"/>
                    <w:textAlignment w:val="baseline"/>
                    <w:rPr>
                      <w:color w:val="auto"/>
                      <w:kern w:val="0"/>
                      <w:szCs w:val="21"/>
                      <w:lang w:bidi="ar"/>
                    </w:rPr>
                  </w:pPr>
                </w:p>
              </w:tc>
              <w:tc>
                <w:tcPr>
                  <w:tcW w:w="980" w:type="dxa"/>
                  <w:vMerge w:val="continue"/>
                  <w:tcBorders>
                    <w:tl2br w:val="nil"/>
                    <w:tr2bl w:val="nil"/>
                  </w:tcBorders>
                  <w:vAlign w:val="center"/>
                </w:tcPr>
                <w:p w14:paraId="2E6C8BFD">
                  <w:pPr>
                    <w:adjustRightInd w:val="0"/>
                    <w:snapToGrid w:val="0"/>
                    <w:jc w:val="center"/>
                    <w:textAlignment w:val="baseline"/>
                    <w:rPr>
                      <w:color w:val="auto"/>
                      <w:kern w:val="0"/>
                      <w:szCs w:val="21"/>
                      <w:lang w:bidi="ar"/>
                    </w:rPr>
                  </w:pPr>
                </w:p>
              </w:tc>
            </w:tr>
            <w:tr w14:paraId="35E6CF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03" w:hRule="atLeast"/>
              </w:trPr>
              <w:tc>
                <w:tcPr>
                  <w:tcW w:w="837" w:type="dxa"/>
                  <w:tcBorders>
                    <w:tl2br w:val="nil"/>
                    <w:tr2bl w:val="nil"/>
                  </w:tcBorders>
                  <w:vAlign w:val="center"/>
                </w:tcPr>
                <w:p w14:paraId="1097ECBC">
                  <w:pPr>
                    <w:adjustRightInd w:val="0"/>
                    <w:snapToGrid w:val="0"/>
                    <w:jc w:val="center"/>
                    <w:textAlignment w:val="baseline"/>
                    <w:rPr>
                      <w:color w:val="auto"/>
                      <w:kern w:val="0"/>
                      <w:sz w:val="21"/>
                      <w:szCs w:val="21"/>
                      <w:lang w:bidi="ar"/>
                    </w:rPr>
                  </w:pPr>
                  <w:r>
                    <w:rPr>
                      <w:rFonts w:hint="eastAsia"/>
                      <w:color w:val="auto"/>
                      <w:sz w:val="21"/>
                      <w:szCs w:val="21"/>
                      <w:lang w:val="en-US" w:eastAsia="zh-CN"/>
                    </w:rPr>
                    <w:t>破</w:t>
                  </w:r>
                  <w:r>
                    <w:rPr>
                      <w:rFonts w:hint="eastAsia" w:ascii="Times New Roman" w:hAnsi="Times New Roman" w:eastAsia="宋体" w:cs="Times New Roman"/>
                      <w:color w:val="auto"/>
                      <w:kern w:val="0"/>
                      <w:sz w:val="21"/>
                      <w:szCs w:val="21"/>
                      <w:lang w:val="en-US" w:eastAsia="zh-CN" w:bidi="ar"/>
                    </w:rPr>
                    <w:t>碎废气（DA002）</w:t>
                  </w:r>
                </w:p>
              </w:tc>
              <w:tc>
                <w:tcPr>
                  <w:tcW w:w="763" w:type="dxa"/>
                  <w:vMerge w:val="continue"/>
                  <w:tcBorders>
                    <w:tl2br w:val="nil"/>
                    <w:tr2bl w:val="nil"/>
                  </w:tcBorders>
                  <w:vAlign w:val="center"/>
                </w:tcPr>
                <w:p w14:paraId="01412243">
                  <w:pPr>
                    <w:adjustRightInd w:val="0"/>
                    <w:snapToGrid w:val="0"/>
                    <w:jc w:val="center"/>
                    <w:textAlignment w:val="baseline"/>
                    <w:rPr>
                      <w:color w:val="auto"/>
                      <w:kern w:val="0"/>
                      <w:sz w:val="21"/>
                      <w:szCs w:val="21"/>
                      <w:lang w:bidi="ar"/>
                    </w:rPr>
                  </w:pPr>
                </w:p>
              </w:tc>
              <w:tc>
                <w:tcPr>
                  <w:tcW w:w="628" w:type="dxa"/>
                  <w:tcBorders>
                    <w:tl2br w:val="nil"/>
                    <w:tr2bl w:val="nil"/>
                  </w:tcBorders>
                  <w:vAlign w:val="center"/>
                </w:tcPr>
                <w:p w14:paraId="0F8E1C9C">
                  <w:pPr>
                    <w:widowControl/>
                    <w:jc w:val="center"/>
                    <w:textAlignment w:val="center"/>
                    <w:rPr>
                      <w:rFonts w:hint="eastAsia" w:eastAsia="宋体"/>
                      <w:color w:val="auto"/>
                      <w:kern w:val="0"/>
                      <w:sz w:val="21"/>
                      <w:szCs w:val="21"/>
                      <w:lang w:val="en-US" w:eastAsia="zh-CN" w:bidi="ar"/>
                    </w:rPr>
                  </w:pPr>
                  <w:r>
                    <w:rPr>
                      <w:rFonts w:hint="eastAsia"/>
                      <w:color w:val="auto"/>
                      <w:kern w:val="0"/>
                      <w:sz w:val="21"/>
                      <w:szCs w:val="21"/>
                      <w:lang w:val="en-US" w:eastAsia="zh-CN" w:bidi="ar"/>
                    </w:rPr>
                    <w:t>颗粒物</w:t>
                  </w:r>
                </w:p>
              </w:tc>
              <w:tc>
                <w:tcPr>
                  <w:tcW w:w="1050" w:type="dxa"/>
                  <w:tcBorders>
                    <w:tl2br w:val="nil"/>
                    <w:tr2bl w:val="nil"/>
                  </w:tcBorders>
                  <w:vAlign w:val="center"/>
                </w:tcPr>
                <w:p w14:paraId="75705C02">
                  <w:pPr>
                    <w:widowControl/>
                    <w:jc w:val="center"/>
                    <w:textAlignment w:val="center"/>
                    <w:rPr>
                      <w:color w:val="auto"/>
                      <w:kern w:val="0"/>
                      <w:szCs w:val="21"/>
                      <w:lang w:bidi="ar"/>
                    </w:rPr>
                  </w:pPr>
                  <w:r>
                    <w:rPr>
                      <w:rFonts w:hint="eastAsia" w:eastAsia="宋体"/>
                      <w:color w:val="auto"/>
                      <w:kern w:val="0"/>
                      <w:szCs w:val="21"/>
                      <w:lang w:val="en-US" w:eastAsia="zh-CN" w:bidi="ar"/>
                    </w:rPr>
                    <w:t>0.0065</w:t>
                  </w:r>
                </w:p>
              </w:tc>
              <w:tc>
                <w:tcPr>
                  <w:tcW w:w="859" w:type="dxa"/>
                  <w:tcBorders>
                    <w:tl2br w:val="nil"/>
                    <w:tr2bl w:val="nil"/>
                  </w:tcBorders>
                  <w:vAlign w:val="center"/>
                </w:tcPr>
                <w:p w14:paraId="0178C289">
                  <w:pPr>
                    <w:widowControl/>
                    <w:jc w:val="center"/>
                    <w:textAlignment w:val="center"/>
                    <w:rPr>
                      <w:rFonts w:hint="eastAsia"/>
                      <w:color w:val="auto"/>
                      <w:kern w:val="0"/>
                      <w:szCs w:val="21"/>
                      <w:lang w:bidi="ar"/>
                    </w:rPr>
                  </w:pPr>
                  <w:r>
                    <w:rPr>
                      <w:rFonts w:hint="eastAsia" w:eastAsia="宋体"/>
                      <w:color w:val="auto"/>
                      <w:kern w:val="0"/>
                      <w:szCs w:val="21"/>
                      <w:lang w:val="en-US" w:eastAsia="zh-CN" w:bidi="ar"/>
                    </w:rPr>
                    <w:t>0.2708</w:t>
                  </w:r>
                </w:p>
              </w:tc>
              <w:tc>
                <w:tcPr>
                  <w:tcW w:w="804" w:type="dxa"/>
                  <w:tcBorders>
                    <w:tl2br w:val="nil"/>
                    <w:tr2bl w:val="nil"/>
                  </w:tcBorders>
                  <w:vAlign w:val="center"/>
                </w:tcPr>
                <w:p w14:paraId="0D9E62BA">
                  <w:pPr>
                    <w:widowControl/>
                    <w:jc w:val="center"/>
                    <w:textAlignment w:val="center"/>
                    <w:rPr>
                      <w:rFonts w:hint="eastAsia"/>
                      <w:color w:val="auto"/>
                      <w:szCs w:val="21"/>
                      <w:lang w:val="en-US" w:eastAsia="zh-CN"/>
                    </w:rPr>
                  </w:pPr>
                  <w:r>
                    <w:rPr>
                      <w:rFonts w:hint="eastAsia"/>
                      <w:color w:val="auto"/>
                      <w:kern w:val="0"/>
                      <w:szCs w:val="21"/>
                      <w:lang w:val="en-US" w:eastAsia="zh-CN" w:bidi="ar"/>
                    </w:rPr>
                    <w:t>270.8</w:t>
                  </w:r>
                </w:p>
              </w:tc>
              <w:tc>
                <w:tcPr>
                  <w:tcW w:w="832" w:type="dxa"/>
                  <w:tcBorders>
                    <w:tl2br w:val="nil"/>
                    <w:tr2bl w:val="nil"/>
                  </w:tcBorders>
                  <w:vAlign w:val="center"/>
                </w:tcPr>
                <w:p w14:paraId="40F94D36">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30</w:t>
                  </w:r>
                </w:p>
              </w:tc>
              <w:tc>
                <w:tcPr>
                  <w:tcW w:w="464" w:type="dxa"/>
                  <w:tcBorders>
                    <w:tl2br w:val="nil"/>
                    <w:tr2bl w:val="nil"/>
                  </w:tcBorders>
                  <w:vAlign w:val="center"/>
                </w:tcPr>
                <w:p w14:paraId="117D625C">
                  <w:pPr>
                    <w:adjustRightInd w:val="0"/>
                    <w:snapToGrid w:val="0"/>
                    <w:jc w:val="center"/>
                    <w:textAlignment w:val="baseline"/>
                    <w:rPr>
                      <w:rFonts w:hint="eastAsia" w:eastAsia="宋体"/>
                      <w:color w:val="auto"/>
                      <w:szCs w:val="21"/>
                      <w:lang w:val="en-US" w:eastAsia="zh-CN"/>
                    </w:rPr>
                  </w:pPr>
                  <w:r>
                    <w:rPr>
                      <w:rFonts w:hint="eastAsia"/>
                      <w:color w:val="auto"/>
                      <w:szCs w:val="21"/>
                      <w:lang w:val="en-US" w:eastAsia="zh-CN"/>
                    </w:rPr>
                    <w:t>超标</w:t>
                  </w:r>
                </w:p>
              </w:tc>
              <w:tc>
                <w:tcPr>
                  <w:tcW w:w="600" w:type="dxa"/>
                  <w:vMerge w:val="continue"/>
                  <w:tcBorders>
                    <w:tl2br w:val="nil"/>
                    <w:tr2bl w:val="nil"/>
                  </w:tcBorders>
                  <w:vAlign w:val="center"/>
                </w:tcPr>
                <w:p w14:paraId="5BE66DD9">
                  <w:pPr>
                    <w:adjustRightInd w:val="0"/>
                    <w:snapToGrid w:val="0"/>
                    <w:jc w:val="center"/>
                    <w:textAlignment w:val="baseline"/>
                    <w:rPr>
                      <w:color w:val="auto"/>
                      <w:kern w:val="0"/>
                      <w:szCs w:val="21"/>
                      <w:lang w:bidi="ar"/>
                    </w:rPr>
                  </w:pPr>
                </w:p>
              </w:tc>
              <w:tc>
                <w:tcPr>
                  <w:tcW w:w="532" w:type="dxa"/>
                  <w:vMerge w:val="continue"/>
                  <w:tcBorders>
                    <w:tl2br w:val="nil"/>
                    <w:tr2bl w:val="nil"/>
                  </w:tcBorders>
                  <w:vAlign w:val="center"/>
                </w:tcPr>
                <w:p w14:paraId="23AC68BB">
                  <w:pPr>
                    <w:adjustRightInd w:val="0"/>
                    <w:snapToGrid w:val="0"/>
                    <w:jc w:val="center"/>
                    <w:textAlignment w:val="baseline"/>
                    <w:rPr>
                      <w:color w:val="auto"/>
                      <w:kern w:val="0"/>
                      <w:szCs w:val="21"/>
                      <w:lang w:bidi="ar"/>
                    </w:rPr>
                  </w:pPr>
                </w:p>
              </w:tc>
              <w:tc>
                <w:tcPr>
                  <w:tcW w:w="980" w:type="dxa"/>
                  <w:vMerge w:val="continue"/>
                  <w:tcBorders>
                    <w:tl2br w:val="nil"/>
                    <w:tr2bl w:val="nil"/>
                  </w:tcBorders>
                  <w:vAlign w:val="center"/>
                </w:tcPr>
                <w:p w14:paraId="2CD47219">
                  <w:pPr>
                    <w:adjustRightInd w:val="0"/>
                    <w:snapToGrid w:val="0"/>
                    <w:jc w:val="center"/>
                    <w:textAlignment w:val="baseline"/>
                    <w:rPr>
                      <w:color w:val="auto"/>
                      <w:kern w:val="0"/>
                      <w:szCs w:val="21"/>
                      <w:lang w:bidi="ar"/>
                    </w:rPr>
                  </w:pPr>
                </w:p>
              </w:tc>
            </w:tr>
          </w:tbl>
          <w:p w14:paraId="7C5B8F87">
            <w:pPr>
              <w:pStyle w:val="17"/>
              <w:keepNext w:val="0"/>
              <w:keepLines w:val="0"/>
              <w:pageBreakBefore w:val="0"/>
              <w:widowControl w:val="0"/>
              <w:kinsoku/>
              <w:wordWrap/>
              <w:overflowPunct/>
              <w:topLinePunct w:val="0"/>
              <w:autoSpaceDE/>
              <w:autoSpaceDN/>
              <w:bidi w:val="0"/>
              <w:adjustRightInd/>
              <w:snapToGrid/>
              <w:spacing w:line="351" w:lineRule="auto"/>
              <w:ind w:firstLine="482"/>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根据上表，</w:t>
            </w:r>
            <w:r>
              <w:rPr>
                <w:rFonts w:hint="default" w:ascii="Times New Roman" w:hAnsi="Times New Roman" w:eastAsia="宋体" w:cs="Times New Roman"/>
                <w:color w:val="auto"/>
                <w:sz w:val="24"/>
                <w:highlight w:val="none"/>
              </w:rPr>
              <w:t>非正常情况下</w:t>
            </w:r>
            <w:r>
              <w:rPr>
                <w:rFonts w:hint="default" w:ascii="Times New Roman" w:hAnsi="Times New Roman" w:eastAsia="宋体" w:cs="Times New Roman"/>
                <w:color w:val="auto"/>
                <w:spacing w:val="-3"/>
                <w:sz w:val="24"/>
                <w:highlight w:val="none"/>
                <w:lang w:eastAsia="zh-CN"/>
              </w:rPr>
              <w:t>，</w:t>
            </w:r>
            <w:r>
              <w:rPr>
                <w:rFonts w:hint="default" w:ascii="Times New Roman" w:hAnsi="Times New Roman" w:eastAsia="宋体" w:cs="Times New Roman"/>
                <w:color w:val="auto"/>
                <w:spacing w:val="-3"/>
                <w:sz w:val="24"/>
                <w:highlight w:val="none"/>
              </w:rPr>
              <w:t>即当</w:t>
            </w:r>
            <w:r>
              <w:rPr>
                <w:rFonts w:hint="eastAsia" w:ascii="Times New Roman" w:hAnsi="Times New Roman" w:cs="Times New Roman"/>
                <w:color w:val="auto"/>
                <w:spacing w:val="-3"/>
                <w:sz w:val="24"/>
                <w:highlight w:val="none"/>
                <w:lang w:eastAsia="zh-CN"/>
              </w:rPr>
              <w:t>“</w:t>
            </w:r>
            <w:r>
              <w:rPr>
                <w:rFonts w:hint="eastAsia" w:ascii="Times New Roman" w:hAnsi="Times New Roman" w:eastAsia="宋体" w:cs="Times New Roman"/>
                <w:color w:val="auto"/>
                <w:sz w:val="24"/>
                <w:szCs w:val="24"/>
                <w:highlight w:val="none"/>
                <w:lang w:val="en-US" w:eastAsia="zh-CN"/>
              </w:rPr>
              <w:t>三级活性炭吸附装置</w:t>
            </w:r>
            <w:r>
              <w:rPr>
                <w:rFonts w:hint="eastAsia" w:ascii="Times New Roman" w:hAnsi="Times New Roman" w:cs="Times New Roman"/>
                <w:color w:val="auto"/>
                <w:spacing w:val="-3"/>
                <w:sz w:val="24"/>
                <w:highlight w:val="none"/>
                <w:lang w:eastAsia="zh-CN"/>
              </w:rPr>
              <w:t>”</w:t>
            </w:r>
            <w:r>
              <w:rPr>
                <w:rFonts w:hint="default" w:ascii="Times New Roman" w:hAnsi="Times New Roman" w:eastAsia="宋体" w:cs="Times New Roman"/>
                <w:color w:val="auto"/>
                <w:spacing w:val="-3"/>
                <w:sz w:val="24"/>
                <w:highlight w:val="none"/>
                <w:lang w:val="en-US" w:eastAsia="zh-CN"/>
              </w:rPr>
              <w:t>处理</w:t>
            </w:r>
            <w:r>
              <w:rPr>
                <w:rFonts w:hint="default" w:ascii="Times New Roman" w:hAnsi="Times New Roman" w:eastAsia="宋体" w:cs="Times New Roman"/>
                <w:color w:val="auto"/>
                <w:spacing w:val="-4"/>
                <w:sz w:val="24"/>
                <w:highlight w:val="none"/>
              </w:rPr>
              <w:t>效率因故障降为</w:t>
            </w:r>
            <w:r>
              <w:rPr>
                <w:rFonts w:hint="default" w:ascii="Times New Roman" w:hAnsi="Times New Roman" w:eastAsia="宋体" w:cs="Times New Roman"/>
                <w:color w:val="auto"/>
                <w:sz w:val="24"/>
                <w:highlight w:val="none"/>
              </w:rPr>
              <w:t>0%的情况</w:t>
            </w:r>
            <w:r>
              <w:rPr>
                <w:rFonts w:hint="default" w:ascii="Times New Roman" w:hAnsi="Times New Roman" w:eastAsia="宋体" w:cs="Times New Roman"/>
                <w:color w:val="auto"/>
                <w:spacing w:val="-9"/>
                <w:sz w:val="24"/>
                <w:highlight w:val="none"/>
              </w:rPr>
              <w:t>，</w:t>
            </w:r>
            <w:r>
              <w:rPr>
                <w:rFonts w:hint="default" w:ascii="Times New Roman" w:hAnsi="Times New Roman" w:eastAsia="宋体" w:cs="Times New Roman"/>
                <w:color w:val="auto"/>
                <w:spacing w:val="-9"/>
                <w:sz w:val="24"/>
                <w:highlight w:val="none"/>
                <w:lang w:val="en-US" w:eastAsia="zh-CN"/>
              </w:rPr>
              <w:t>排气筒中</w:t>
            </w:r>
            <w:r>
              <w:rPr>
                <w:rFonts w:hint="eastAsia" w:ascii="Times New Roman" w:hAnsi="Times New Roman" w:eastAsia="宋体" w:cs="Times New Roman"/>
                <w:color w:val="auto"/>
                <w:spacing w:val="-9"/>
                <w:sz w:val="24"/>
                <w:highlight w:val="none"/>
                <w:lang w:val="en-US" w:eastAsia="zh-CN"/>
              </w:rPr>
              <w:t>非甲烷总烃</w:t>
            </w:r>
            <w:r>
              <w:rPr>
                <w:rFonts w:hint="default" w:ascii="Times New Roman" w:hAnsi="Times New Roman" w:eastAsia="宋体" w:cs="Times New Roman"/>
                <w:color w:val="auto"/>
                <w:spacing w:val="-3"/>
                <w:sz w:val="24"/>
                <w:highlight w:val="none"/>
              </w:rPr>
              <w:t>排放浓度</w:t>
            </w:r>
            <w:r>
              <w:rPr>
                <w:rFonts w:hint="eastAsia" w:ascii="Times New Roman" w:hAnsi="Times New Roman" w:eastAsia="宋体" w:cs="Times New Roman"/>
                <w:color w:val="auto"/>
                <w:spacing w:val="-3"/>
                <w:sz w:val="24"/>
                <w:highlight w:val="none"/>
                <w:lang w:val="en-US" w:eastAsia="zh-CN"/>
              </w:rPr>
              <w:t>不</w:t>
            </w:r>
            <w:r>
              <w:rPr>
                <w:rFonts w:hint="default" w:ascii="Times New Roman" w:hAnsi="Times New Roman" w:eastAsia="宋体" w:cs="Times New Roman"/>
                <w:color w:val="auto"/>
                <w:spacing w:val="-3"/>
                <w:sz w:val="24"/>
                <w:highlight w:val="none"/>
                <w:lang w:val="en-US" w:eastAsia="zh-CN"/>
              </w:rPr>
              <w:t>能</w:t>
            </w:r>
            <w:r>
              <w:rPr>
                <w:rFonts w:hint="default" w:ascii="Times New Roman" w:hAnsi="Times New Roman" w:eastAsia="宋体" w:cs="Times New Roman"/>
                <w:color w:val="auto"/>
                <w:spacing w:val="-3"/>
                <w:sz w:val="24"/>
                <w:highlight w:val="none"/>
              </w:rPr>
              <w:t>满足</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合成树脂工业污染物排放标准</w:t>
            </w:r>
            <w:r>
              <w:rPr>
                <w:rFonts w:hint="default" w:ascii="Times New Roman" w:hAnsi="Times New Roman" w:eastAsia="宋体" w:cs="Times New Roman"/>
                <w:color w:val="auto"/>
                <w:sz w:val="24"/>
                <w:szCs w:val="24"/>
              </w:rPr>
              <w:t>》（GB</w:t>
            </w:r>
            <w:r>
              <w:rPr>
                <w:rFonts w:hint="default" w:ascii="Times New Roman" w:hAnsi="Times New Roman" w:eastAsia="宋体" w:cs="Times New Roman"/>
                <w:color w:val="auto"/>
                <w:sz w:val="24"/>
                <w:szCs w:val="24"/>
                <w:lang w:val="en-US" w:eastAsia="zh-CN"/>
              </w:rPr>
              <w:t>31572</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2015</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highlight w:val="none"/>
                <w:lang w:val="en-US" w:eastAsia="zh-CN"/>
              </w:rPr>
              <w:t>及2024年修改单中</w:t>
            </w:r>
            <w:r>
              <w:rPr>
                <w:rFonts w:hint="default" w:ascii="Times New Roman" w:hAnsi="Times New Roman" w:eastAsia="宋体" w:cs="Times New Roman"/>
                <w:color w:val="auto"/>
                <w:sz w:val="24"/>
                <w:szCs w:val="24"/>
                <w:lang w:eastAsia="zh-CN"/>
              </w:rPr>
              <w:t>相关</w:t>
            </w:r>
            <w:r>
              <w:rPr>
                <w:rFonts w:hint="default" w:ascii="Times New Roman" w:hAnsi="Times New Roman" w:eastAsia="宋体" w:cs="Times New Roman"/>
                <w:color w:val="auto"/>
                <w:sz w:val="24"/>
                <w:szCs w:val="24"/>
                <w:lang w:val="en-US" w:eastAsia="zh-CN"/>
              </w:rPr>
              <w:t>大气污染物排放限值</w:t>
            </w:r>
            <w:r>
              <w:rPr>
                <w:rFonts w:hint="eastAsia" w:ascii="Times New Roman" w:hAnsi="Times New Roman" w:cs="Times New Roman"/>
                <w:color w:val="auto"/>
                <w:sz w:val="24"/>
                <w:szCs w:val="24"/>
                <w:lang w:val="en-US" w:eastAsia="zh-CN"/>
              </w:rPr>
              <w:t>，臭气浓度不能满足</w:t>
            </w:r>
            <w:r>
              <w:rPr>
                <w:rFonts w:hint="default" w:ascii="Times New Roman" w:hAnsi="Times New Roman" w:eastAsia="宋体" w:cs="Times New Roman"/>
                <w:color w:val="auto"/>
                <w:sz w:val="24"/>
                <w:szCs w:val="24"/>
                <w:highlight w:val="none"/>
                <w:lang w:val="zh-CN" w:eastAsia="zh-CN"/>
              </w:rPr>
              <w:t>《恶臭污染物排放标准》（GB14554-93）表</w:t>
            </w:r>
            <w:r>
              <w:rPr>
                <w:rFonts w:hint="eastAsia" w:ascii="Times New Roman" w:hAns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中二级</w:t>
            </w:r>
            <w:r>
              <w:rPr>
                <w:rFonts w:hint="eastAsia" w:ascii="Times New Roman" w:hAnsi="Times New Roman" w:cs="Times New Roman"/>
                <w:color w:val="auto"/>
                <w:sz w:val="24"/>
                <w:szCs w:val="24"/>
                <w:highlight w:val="none"/>
                <w:lang w:val="en-US" w:eastAsia="zh-CN"/>
              </w:rPr>
              <w:t>恶臭污染物</w:t>
            </w:r>
            <w:r>
              <w:rPr>
                <w:rFonts w:hint="default" w:ascii="Times New Roman" w:hAnsi="Times New Roman" w:eastAsia="宋体" w:cs="Times New Roman"/>
                <w:color w:val="auto"/>
                <w:sz w:val="24"/>
                <w:szCs w:val="24"/>
                <w:highlight w:val="none"/>
                <w:lang w:val="zh-CN" w:eastAsia="zh-CN"/>
              </w:rPr>
              <w:t>排放标准</w:t>
            </w:r>
            <w:r>
              <w:rPr>
                <w:rFonts w:hint="eastAsia" w:ascii="Times New Roman" w:hAnsi="Times New Roman" w:cs="Times New Roman"/>
                <w:color w:val="auto"/>
                <w:sz w:val="24"/>
                <w:szCs w:val="24"/>
                <w:highlight w:val="none"/>
                <w:lang w:val="zh-CN" w:eastAsia="zh-CN"/>
              </w:rPr>
              <w:t>值；</w:t>
            </w:r>
            <w:r>
              <w:rPr>
                <w:rFonts w:hint="default" w:ascii="Times New Roman" w:hAnsi="Times New Roman" w:eastAsia="宋体" w:cs="Times New Roman"/>
                <w:color w:val="auto"/>
                <w:spacing w:val="-3"/>
                <w:sz w:val="24"/>
                <w:highlight w:val="none"/>
              </w:rPr>
              <w:t>当</w:t>
            </w:r>
            <w:r>
              <w:rPr>
                <w:rFonts w:hint="eastAsia" w:ascii="Times New Roman" w:hAnsi="Times New Roman" w:eastAsia="宋体" w:cs="Times New Roman"/>
                <w:color w:val="auto"/>
                <w:spacing w:val="-3"/>
                <w:sz w:val="24"/>
                <w:highlight w:val="none"/>
                <w:lang w:eastAsia="zh-CN"/>
              </w:rPr>
              <w:t>“</w:t>
            </w:r>
            <w:r>
              <w:rPr>
                <w:rFonts w:hint="eastAsia" w:ascii="Times New Roman" w:hAnsi="Times New Roman" w:eastAsia="宋体" w:cs="Times New Roman"/>
                <w:color w:val="auto"/>
                <w:spacing w:val="-3"/>
                <w:sz w:val="24"/>
                <w:highlight w:val="none"/>
                <w:lang w:val="en-US" w:eastAsia="zh-CN"/>
              </w:rPr>
              <w:t>布袋除尘器</w:t>
            </w:r>
            <w:r>
              <w:rPr>
                <w:rFonts w:hint="eastAsia" w:ascii="Times New Roman" w:hAnsi="Times New Roman" w:eastAsia="宋体" w:cs="Times New Roman"/>
                <w:color w:val="auto"/>
                <w:spacing w:val="-3"/>
                <w:sz w:val="24"/>
                <w:highlight w:val="none"/>
                <w:lang w:eastAsia="zh-CN"/>
              </w:rPr>
              <w:t>”</w:t>
            </w:r>
            <w:r>
              <w:rPr>
                <w:rFonts w:hint="default" w:ascii="Times New Roman" w:hAnsi="Times New Roman" w:eastAsia="宋体" w:cs="Times New Roman"/>
                <w:color w:val="auto"/>
                <w:spacing w:val="-3"/>
                <w:sz w:val="24"/>
                <w:highlight w:val="none"/>
                <w:lang w:val="en-US" w:eastAsia="zh-CN"/>
              </w:rPr>
              <w:t>处理</w:t>
            </w:r>
            <w:r>
              <w:rPr>
                <w:rFonts w:hint="default" w:ascii="Times New Roman" w:hAnsi="Times New Roman" w:eastAsia="宋体" w:cs="Times New Roman"/>
                <w:color w:val="auto"/>
                <w:spacing w:val="-4"/>
                <w:sz w:val="24"/>
                <w:highlight w:val="none"/>
              </w:rPr>
              <w:t>效率因故障降为</w:t>
            </w:r>
            <w:r>
              <w:rPr>
                <w:rFonts w:hint="default" w:ascii="Times New Roman" w:hAnsi="Times New Roman" w:eastAsia="宋体" w:cs="Times New Roman"/>
                <w:color w:val="auto"/>
                <w:sz w:val="24"/>
                <w:highlight w:val="none"/>
              </w:rPr>
              <w:t>0%的情况</w:t>
            </w:r>
            <w:r>
              <w:rPr>
                <w:rFonts w:hint="default" w:ascii="Times New Roman" w:hAnsi="Times New Roman" w:eastAsia="宋体" w:cs="Times New Roman"/>
                <w:color w:val="auto"/>
                <w:spacing w:val="-9"/>
                <w:sz w:val="24"/>
                <w:highlight w:val="none"/>
              </w:rPr>
              <w:t>，</w:t>
            </w:r>
            <w:r>
              <w:rPr>
                <w:rFonts w:hint="default" w:ascii="Times New Roman" w:hAnsi="Times New Roman" w:eastAsia="宋体" w:cs="Times New Roman"/>
                <w:color w:val="auto"/>
                <w:spacing w:val="-9"/>
                <w:sz w:val="24"/>
                <w:highlight w:val="none"/>
                <w:lang w:val="en-US" w:eastAsia="zh-CN"/>
              </w:rPr>
              <w:t>排气筒</w:t>
            </w:r>
            <w:r>
              <w:rPr>
                <w:rFonts w:hint="default" w:ascii="Times New Roman" w:hAnsi="Times New Roman" w:eastAsia="宋体" w:cs="Times New Roman"/>
                <w:color w:val="auto"/>
                <w:sz w:val="24"/>
                <w:szCs w:val="24"/>
                <w:highlight w:val="none"/>
                <w:lang w:val="en-US" w:eastAsia="zh-CN"/>
              </w:rPr>
              <w:t>及2024年修改单中</w:t>
            </w:r>
            <w:r>
              <w:rPr>
                <w:rFonts w:hint="eastAsia" w:ascii="Times New Roman" w:hAnsi="Times New Roman" w:eastAsia="宋体" w:cs="Times New Roman"/>
                <w:color w:val="auto"/>
                <w:spacing w:val="-9"/>
                <w:sz w:val="24"/>
                <w:highlight w:val="none"/>
                <w:lang w:val="en-US" w:eastAsia="zh-CN"/>
              </w:rPr>
              <w:t>颗粒物</w:t>
            </w:r>
            <w:r>
              <w:rPr>
                <w:rFonts w:hint="default" w:ascii="Times New Roman" w:hAnsi="Times New Roman" w:eastAsia="宋体" w:cs="Times New Roman"/>
                <w:color w:val="auto"/>
                <w:spacing w:val="-3"/>
                <w:sz w:val="24"/>
                <w:highlight w:val="none"/>
              </w:rPr>
              <w:t>排放浓度</w:t>
            </w:r>
            <w:r>
              <w:rPr>
                <w:rFonts w:hint="eastAsia" w:ascii="Times New Roman" w:hAnsi="Times New Roman" w:eastAsia="宋体" w:cs="Times New Roman"/>
                <w:color w:val="auto"/>
                <w:spacing w:val="-3"/>
                <w:sz w:val="24"/>
                <w:highlight w:val="none"/>
                <w:lang w:val="en-US" w:eastAsia="zh-CN"/>
              </w:rPr>
              <w:t>不</w:t>
            </w:r>
            <w:r>
              <w:rPr>
                <w:rFonts w:hint="default" w:ascii="Times New Roman" w:hAnsi="Times New Roman" w:eastAsia="宋体" w:cs="Times New Roman"/>
                <w:color w:val="auto"/>
                <w:spacing w:val="-3"/>
                <w:sz w:val="24"/>
                <w:highlight w:val="none"/>
                <w:lang w:val="en-US" w:eastAsia="zh-CN"/>
              </w:rPr>
              <w:t>能</w:t>
            </w:r>
            <w:r>
              <w:rPr>
                <w:rFonts w:hint="default" w:ascii="Times New Roman" w:hAnsi="Times New Roman" w:eastAsia="宋体" w:cs="Times New Roman"/>
                <w:color w:val="auto"/>
                <w:spacing w:val="-3"/>
                <w:sz w:val="24"/>
                <w:highlight w:val="none"/>
              </w:rPr>
              <w:t>满足</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合成树脂工业污染物排放标准</w:t>
            </w:r>
            <w:r>
              <w:rPr>
                <w:rFonts w:hint="default" w:ascii="Times New Roman" w:hAnsi="Times New Roman" w:eastAsia="宋体" w:cs="Times New Roman"/>
                <w:color w:val="auto"/>
                <w:sz w:val="24"/>
                <w:szCs w:val="24"/>
              </w:rPr>
              <w:t>》（GB</w:t>
            </w:r>
            <w:r>
              <w:rPr>
                <w:rFonts w:hint="default" w:ascii="Times New Roman" w:hAnsi="Times New Roman" w:eastAsia="宋体" w:cs="Times New Roman"/>
                <w:color w:val="auto"/>
                <w:sz w:val="24"/>
                <w:szCs w:val="24"/>
                <w:lang w:val="en-US" w:eastAsia="zh-CN"/>
              </w:rPr>
              <w:t>31572</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2015</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中相关</w:t>
            </w:r>
            <w:r>
              <w:rPr>
                <w:rFonts w:hint="default" w:ascii="Times New Roman" w:hAnsi="Times New Roman" w:eastAsia="宋体" w:cs="Times New Roman"/>
                <w:color w:val="auto"/>
                <w:sz w:val="24"/>
                <w:szCs w:val="24"/>
                <w:lang w:val="en-US" w:eastAsia="zh-CN"/>
              </w:rPr>
              <w:t>大气污染物排放限值</w:t>
            </w:r>
            <w:r>
              <w:rPr>
                <w:rFonts w:hint="default" w:ascii="Times New Roman" w:hAnsi="Times New Roman" w:eastAsia="宋体" w:cs="Times New Roman"/>
                <w:color w:val="auto"/>
                <w:spacing w:val="-7"/>
                <w:sz w:val="24"/>
                <w:highlight w:val="none"/>
              </w:rPr>
              <w:t>。</w:t>
            </w:r>
            <w:r>
              <w:rPr>
                <w:rFonts w:hint="default" w:ascii="Times New Roman" w:hAnsi="Times New Roman" w:eastAsia="宋体" w:cs="Times New Roman"/>
                <w:color w:val="auto"/>
                <w:sz w:val="24"/>
                <w:szCs w:val="24"/>
                <w:highlight w:val="none"/>
              </w:rPr>
              <w:t>为了进一步降低生产废气排放对周围环境空气的影响，必须杜绝项目废气的非正常排放，本次评价提出以下建议措施：</w:t>
            </w:r>
          </w:p>
          <w:p w14:paraId="3C67877A">
            <w:pPr>
              <w:pStyle w:val="17"/>
              <w:keepNext w:val="0"/>
              <w:keepLines w:val="0"/>
              <w:pageBreakBefore w:val="0"/>
              <w:widowControl w:val="0"/>
              <w:numPr>
                <w:ilvl w:val="0"/>
                <w:numId w:val="0"/>
              </w:numPr>
              <w:kinsoku/>
              <w:wordWrap/>
              <w:overflowPunct/>
              <w:topLinePunct w:val="0"/>
              <w:autoSpaceDE/>
              <w:autoSpaceDN/>
              <w:bidi w:val="0"/>
              <w:adjustRightInd/>
              <w:snapToGrid/>
              <w:spacing w:line="351" w:lineRule="auto"/>
              <w:ind w:left="0" w:leftChars="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①</w:t>
            </w:r>
            <w:r>
              <w:rPr>
                <w:rFonts w:hint="default" w:ascii="Times New Roman" w:hAnsi="Times New Roman" w:eastAsia="宋体" w:cs="Times New Roman"/>
                <w:color w:val="auto"/>
                <w:sz w:val="24"/>
                <w:szCs w:val="24"/>
                <w:highlight w:val="none"/>
              </w:rPr>
              <w:t>加强管理，明确岗位责任制，定期检查、维修、保养设备及构件，确保各种工艺、电气、设备的正常运转。</w:t>
            </w:r>
          </w:p>
          <w:p w14:paraId="5015A408">
            <w:pPr>
              <w:keepNext w:val="0"/>
              <w:keepLines w:val="0"/>
              <w:pageBreakBefore w:val="0"/>
              <w:widowControl w:val="0"/>
              <w:kinsoku/>
              <w:wordWrap/>
              <w:overflowPunct/>
              <w:topLinePunct w:val="0"/>
              <w:autoSpaceDE/>
              <w:autoSpaceDN/>
              <w:bidi w:val="0"/>
              <w:adjustRightInd w:val="0"/>
              <w:snapToGrid w:val="0"/>
              <w:spacing w:line="351" w:lineRule="auto"/>
              <w:ind w:lef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w:t>
            </w:r>
            <w:r>
              <w:rPr>
                <w:rFonts w:hint="default" w:ascii="Times New Roman" w:hAnsi="Times New Roman" w:eastAsia="宋体" w:cs="Times New Roman"/>
                <w:color w:val="auto"/>
                <w:sz w:val="24"/>
                <w:szCs w:val="24"/>
                <w:highlight w:val="none"/>
              </w:rPr>
              <w:t>在必要位置设置监控、预警等装置，做到及时发现，及时解决。若出现非正常情况，应及时停产维修，减少废气对大气环境的影响。</w:t>
            </w:r>
          </w:p>
          <w:p w14:paraId="4DB4787D">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2、</w:t>
            </w:r>
            <w:r>
              <w:rPr>
                <w:rFonts w:hint="default" w:ascii="Times New Roman" w:hAnsi="Times New Roman" w:eastAsia="宋体" w:cs="Times New Roman"/>
                <w:b/>
                <w:color w:val="auto"/>
                <w:sz w:val="24"/>
                <w:szCs w:val="24"/>
                <w:highlight w:val="none"/>
                <w:lang w:val="en-US" w:eastAsia="zh-CN"/>
              </w:rPr>
              <w:t>废气环境</w:t>
            </w:r>
            <w:r>
              <w:rPr>
                <w:rFonts w:hint="default" w:ascii="Times New Roman" w:hAnsi="Times New Roman" w:eastAsia="宋体" w:cs="Times New Roman"/>
                <w:b/>
                <w:color w:val="auto"/>
                <w:sz w:val="24"/>
                <w:szCs w:val="24"/>
                <w:highlight w:val="none"/>
              </w:rPr>
              <w:t>影响分析</w:t>
            </w:r>
          </w:p>
          <w:p w14:paraId="1EF641B2">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（1）生产废气</w:t>
            </w:r>
          </w:p>
          <w:p w14:paraId="1DAA8C7D">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1）大气影响分析</w:t>
            </w:r>
          </w:p>
          <w:p w14:paraId="7889C8CE">
            <w:pPr>
              <w:widowControl/>
              <w:spacing w:line="360" w:lineRule="auto"/>
              <w:ind w:firstLine="480" w:firstLineChars="200"/>
              <w:jc w:val="left"/>
              <w:rPr>
                <w:rFonts w:hint="default" w:ascii="Times New Roman" w:hAnsi="Times New Roman" w:eastAsia="宋体" w:cs="Times New Roman"/>
                <w:b w:val="0"/>
                <w:bCs/>
                <w:color w:val="auto"/>
                <w:sz w:val="24"/>
                <w:highlight w:val="none"/>
                <w:lang w:val="en-US" w:eastAsia="zh-CN"/>
              </w:rPr>
            </w:pPr>
            <w:r>
              <w:rPr>
                <w:rFonts w:hint="default" w:ascii="Times New Roman" w:hAnsi="Times New Roman" w:eastAsia="宋体" w:cs="Times New Roman"/>
                <w:b w:val="0"/>
                <w:bCs/>
                <w:color w:val="auto"/>
                <w:sz w:val="24"/>
                <w:highlight w:val="none"/>
                <w:lang w:val="en-US" w:eastAsia="zh-CN"/>
              </w:rPr>
              <w:t>①有组织废气达标性分析</w:t>
            </w:r>
          </w:p>
          <w:p w14:paraId="74FD2104">
            <w:pPr>
              <w:pStyle w:val="91"/>
              <w:keepNext w:val="0"/>
              <w:keepLines w:val="0"/>
              <w:pageBreakBefore w:val="0"/>
              <w:kinsoku/>
              <w:wordWrap/>
              <w:overflowPunct/>
              <w:topLinePunct w:val="0"/>
              <w:autoSpaceDE/>
              <w:autoSpaceDN/>
              <w:bidi w:val="0"/>
              <w:spacing w:line="336" w:lineRule="auto"/>
              <w:ind w:firstLine="480"/>
              <w:textAlignment w:val="auto"/>
              <w:rPr>
                <w:rFonts w:hint="default" w:ascii="Times New Roman" w:hAnsi="Times New Roman" w:eastAsia="宋体" w:cs="Times New Roman"/>
                <w:bCs/>
                <w:color w:val="auto"/>
                <w:szCs w:val="24"/>
                <w:highlight w:val="none"/>
              </w:rPr>
            </w:pPr>
            <w:r>
              <w:rPr>
                <w:rFonts w:hint="default" w:ascii="Times New Roman" w:hAnsi="Times New Roman" w:eastAsia="宋体" w:cs="Times New Roman"/>
                <w:bCs/>
                <w:color w:val="auto"/>
                <w:kern w:val="0"/>
                <w:highlight w:val="none"/>
              </w:rPr>
              <w:t>根据废气计算结果对DA001</w:t>
            </w:r>
            <w:r>
              <w:rPr>
                <w:rFonts w:hint="eastAsia" w:cs="Times New Roman"/>
                <w:bCs/>
                <w:color w:val="auto"/>
                <w:kern w:val="0"/>
                <w:highlight w:val="none"/>
                <w:lang w:eastAsia="zh-CN"/>
              </w:rPr>
              <w:t>、</w:t>
            </w:r>
            <w:r>
              <w:rPr>
                <w:rFonts w:hint="eastAsia" w:cs="Times New Roman"/>
                <w:bCs/>
                <w:color w:val="auto"/>
                <w:kern w:val="0"/>
                <w:highlight w:val="none"/>
                <w:lang w:val="en-US" w:eastAsia="zh-CN"/>
              </w:rPr>
              <w:t>DA002</w:t>
            </w:r>
            <w:r>
              <w:rPr>
                <w:rFonts w:hint="default" w:ascii="Times New Roman" w:hAnsi="Times New Roman" w:eastAsia="宋体" w:cs="Times New Roman"/>
                <w:bCs/>
                <w:color w:val="auto"/>
                <w:kern w:val="0"/>
                <w:highlight w:val="none"/>
              </w:rPr>
              <w:t>有组织废气进行达标判定。</w:t>
            </w:r>
            <w:r>
              <w:rPr>
                <w:rFonts w:hint="default" w:ascii="Times New Roman" w:hAnsi="Times New Roman" w:eastAsia="宋体" w:cs="Times New Roman"/>
                <w:bCs/>
                <w:color w:val="auto"/>
                <w:szCs w:val="24"/>
                <w:highlight w:val="none"/>
              </w:rPr>
              <w:t>项目有组织生产废气达标情况详见下表</w:t>
            </w:r>
            <w:r>
              <w:rPr>
                <w:rFonts w:hint="default" w:ascii="Times New Roman" w:hAnsi="Times New Roman" w:eastAsia="宋体" w:cs="Times New Roman"/>
                <w:bCs/>
                <w:color w:val="auto"/>
                <w:szCs w:val="24"/>
                <w:highlight w:val="none"/>
                <w:lang w:val="en-US" w:eastAsia="zh-CN"/>
              </w:rPr>
              <w:t>4-</w:t>
            </w:r>
            <w:r>
              <w:rPr>
                <w:rFonts w:hint="eastAsia" w:cs="Times New Roman"/>
                <w:bCs/>
                <w:color w:val="auto"/>
                <w:szCs w:val="24"/>
                <w:highlight w:val="none"/>
                <w:lang w:val="en-US" w:eastAsia="zh-CN"/>
              </w:rPr>
              <w:t>8</w:t>
            </w:r>
            <w:r>
              <w:rPr>
                <w:rFonts w:hint="default" w:ascii="Times New Roman" w:hAnsi="Times New Roman" w:eastAsia="宋体" w:cs="Times New Roman"/>
                <w:bCs/>
                <w:color w:val="auto"/>
                <w:szCs w:val="24"/>
                <w:highlight w:val="none"/>
              </w:rPr>
              <w:t>所示。</w:t>
            </w:r>
          </w:p>
          <w:p w14:paraId="66A8B21A">
            <w:pPr>
              <w:pStyle w:val="29"/>
              <w:ind w:firstLine="0" w:firstLineChars="0"/>
              <w:jc w:val="center"/>
              <w:rPr>
                <w:b/>
                <w:color w:val="auto"/>
                <w:kern w:val="0"/>
                <w:sz w:val="18"/>
                <w:szCs w:val="18"/>
                <w:lang w:bidi="ar"/>
              </w:rPr>
            </w:pPr>
            <w:r>
              <w:rPr>
                <w:rFonts w:hint="default" w:ascii="Times New Roman" w:hAnsi="Times New Roman" w:eastAsia="宋体" w:cs="Times New Roman"/>
                <w:b/>
                <w:bCs w:val="0"/>
                <w:color w:val="auto"/>
                <w:spacing w:val="0"/>
                <w:kern w:val="0"/>
                <w:sz w:val="21"/>
                <w:szCs w:val="21"/>
                <w:highlight w:val="none"/>
                <w:lang w:bidi="ar"/>
              </w:rPr>
              <w:t>表</w:t>
            </w:r>
            <w:r>
              <w:rPr>
                <w:rFonts w:hint="default" w:ascii="Times New Roman" w:hAnsi="Times New Roman" w:eastAsia="宋体" w:cs="Times New Roman"/>
                <w:b/>
                <w:bCs w:val="0"/>
                <w:color w:val="auto"/>
                <w:spacing w:val="0"/>
                <w:kern w:val="0"/>
                <w:sz w:val="21"/>
                <w:szCs w:val="21"/>
                <w:highlight w:val="none"/>
                <w:lang w:val="en-US" w:eastAsia="zh-CN" w:bidi="ar"/>
              </w:rPr>
              <w:t>4-</w:t>
            </w:r>
            <w:r>
              <w:rPr>
                <w:rFonts w:hint="eastAsia" w:cs="Times New Roman"/>
                <w:b/>
                <w:bCs w:val="0"/>
                <w:color w:val="auto"/>
                <w:spacing w:val="0"/>
                <w:kern w:val="0"/>
                <w:sz w:val="21"/>
                <w:szCs w:val="21"/>
                <w:highlight w:val="none"/>
                <w:lang w:val="en-US" w:eastAsia="zh-CN" w:bidi="ar"/>
              </w:rPr>
              <w:t>8</w:t>
            </w:r>
            <w:r>
              <w:rPr>
                <w:rFonts w:hint="default" w:ascii="Times New Roman" w:hAnsi="Times New Roman" w:eastAsia="宋体" w:cs="Times New Roman"/>
                <w:b/>
                <w:bCs w:val="0"/>
                <w:color w:val="auto"/>
                <w:spacing w:val="0"/>
                <w:kern w:val="0"/>
                <w:sz w:val="21"/>
                <w:szCs w:val="21"/>
                <w:highlight w:val="none"/>
                <w:lang w:bidi="ar"/>
              </w:rPr>
              <w:t xml:space="preserve">  达标情况分析表</w:t>
            </w:r>
          </w:p>
          <w:tbl>
            <w:tblPr>
              <w:tblStyle w:val="30"/>
              <w:tblW w:w="8523" w:type="dxa"/>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613"/>
              <w:gridCol w:w="890"/>
              <w:gridCol w:w="873"/>
              <w:gridCol w:w="825"/>
              <w:gridCol w:w="775"/>
              <w:gridCol w:w="725"/>
              <w:gridCol w:w="813"/>
              <w:gridCol w:w="812"/>
              <w:gridCol w:w="725"/>
              <w:gridCol w:w="870"/>
              <w:gridCol w:w="602"/>
            </w:tblGrid>
            <w:tr w14:paraId="5265A82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PrEx>
              <w:trPr>
                <w:jc w:val="center"/>
              </w:trPr>
              <w:tc>
                <w:tcPr>
                  <w:tcW w:w="613" w:type="dxa"/>
                  <w:vMerge w:val="restart"/>
                  <w:tcBorders>
                    <w:tl2br w:val="nil"/>
                    <w:tr2bl w:val="nil"/>
                  </w:tcBorders>
                  <w:vAlign w:val="center"/>
                </w:tcPr>
                <w:p w14:paraId="04891306">
                  <w:pPr>
                    <w:jc w:val="center"/>
                    <w:rPr>
                      <w:b/>
                      <w:color w:val="auto"/>
                      <w:szCs w:val="21"/>
                    </w:rPr>
                  </w:pPr>
                  <w:r>
                    <w:rPr>
                      <w:b/>
                      <w:color w:val="auto"/>
                      <w:szCs w:val="21"/>
                    </w:rPr>
                    <w:t>工程</w:t>
                  </w:r>
                </w:p>
              </w:tc>
              <w:tc>
                <w:tcPr>
                  <w:tcW w:w="890" w:type="dxa"/>
                  <w:vMerge w:val="restart"/>
                  <w:tcBorders>
                    <w:tl2br w:val="nil"/>
                    <w:tr2bl w:val="nil"/>
                  </w:tcBorders>
                  <w:vAlign w:val="center"/>
                </w:tcPr>
                <w:p w14:paraId="35539D20">
                  <w:pPr>
                    <w:jc w:val="center"/>
                    <w:rPr>
                      <w:b/>
                      <w:color w:val="auto"/>
                      <w:szCs w:val="21"/>
                    </w:rPr>
                  </w:pPr>
                  <w:r>
                    <w:rPr>
                      <w:b/>
                      <w:color w:val="auto"/>
                      <w:szCs w:val="21"/>
                    </w:rPr>
                    <w:t>污染因子</w:t>
                  </w:r>
                </w:p>
              </w:tc>
              <w:tc>
                <w:tcPr>
                  <w:tcW w:w="2473" w:type="dxa"/>
                  <w:gridSpan w:val="3"/>
                  <w:tcBorders>
                    <w:tl2br w:val="nil"/>
                    <w:tr2bl w:val="nil"/>
                  </w:tcBorders>
                  <w:vAlign w:val="center"/>
                </w:tcPr>
                <w:p w14:paraId="2DB91511">
                  <w:pPr>
                    <w:jc w:val="center"/>
                    <w:rPr>
                      <w:b/>
                      <w:color w:val="auto"/>
                      <w:szCs w:val="21"/>
                    </w:rPr>
                  </w:pPr>
                  <w:r>
                    <w:rPr>
                      <w:b/>
                      <w:color w:val="auto"/>
                      <w:szCs w:val="21"/>
                    </w:rPr>
                    <w:t>产生情况</w:t>
                  </w:r>
                </w:p>
              </w:tc>
              <w:tc>
                <w:tcPr>
                  <w:tcW w:w="725" w:type="dxa"/>
                  <w:vMerge w:val="restart"/>
                  <w:tcBorders>
                    <w:tl2br w:val="nil"/>
                    <w:tr2bl w:val="nil"/>
                  </w:tcBorders>
                  <w:vAlign w:val="center"/>
                </w:tcPr>
                <w:p w14:paraId="68553CD5">
                  <w:pPr>
                    <w:jc w:val="center"/>
                    <w:rPr>
                      <w:b/>
                      <w:color w:val="auto"/>
                      <w:szCs w:val="21"/>
                    </w:rPr>
                  </w:pPr>
                  <w:r>
                    <w:rPr>
                      <w:b/>
                      <w:color w:val="auto"/>
                      <w:szCs w:val="21"/>
                    </w:rPr>
                    <w:t>处理效率%</w:t>
                  </w:r>
                </w:p>
              </w:tc>
              <w:tc>
                <w:tcPr>
                  <w:tcW w:w="2350" w:type="dxa"/>
                  <w:gridSpan w:val="3"/>
                  <w:tcBorders>
                    <w:tl2br w:val="nil"/>
                    <w:tr2bl w:val="nil"/>
                  </w:tcBorders>
                  <w:vAlign w:val="center"/>
                </w:tcPr>
                <w:p w14:paraId="6E3D5102">
                  <w:pPr>
                    <w:jc w:val="center"/>
                    <w:rPr>
                      <w:b/>
                      <w:color w:val="auto"/>
                      <w:szCs w:val="21"/>
                    </w:rPr>
                  </w:pPr>
                  <w:r>
                    <w:rPr>
                      <w:b/>
                      <w:color w:val="auto"/>
                      <w:szCs w:val="21"/>
                    </w:rPr>
                    <w:t>排放情况</w:t>
                  </w:r>
                </w:p>
              </w:tc>
              <w:tc>
                <w:tcPr>
                  <w:tcW w:w="870" w:type="dxa"/>
                  <w:tcBorders>
                    <w:tl2br w:val="nil"/>
                    <w:tr2bl w:val="nil"/>
                  </w:tcBorders>
                  <w:vAlign w:val="center"/>
                </w:tcPr>
                <w:p w14:paraId="3CC8003F">
                  <w:pPr>
                    <w:jc w:val="center"/>
                    <w:rPr>
                      <w:b/>
                      <w:color w:val="auto"/>
                      <w:szCs w:val="21"/>
                    </w:rPr>
                  </w:pPr>
                  <w:r>
                    <w:rPr>
                      <w:b/>
                      <w:color w:val="auto"/>
                      <w:szCs w:val="21"/>
                    </w:rPr>
                    <w:t>标准值</w:t>
                  </w:r>
                </w:p>
              </w:tc>
              <w:tc>
                <w:tcPr>
                  <w:tcW w:w="602" w:type="dxa"/>
                  <w:vMerge w:val="restart"/>
                  <w:tcBorders>
                    <w:tl2br w:val="nil"/>
                    <w:tr2bl w:val="nil"/>
                  </w:tcBorders>
                  <w:vAlign w:val="center"/>
                </w:tcPr>
                <w:p w14:paraId="616E25D8">
                  <w:pPr>
                    <w:jc w:val="center"/>
                    <w:rPr>
                      <w:b/>
                      <w:color w:val="auto"/>
                      <w:szCs w:val="21"/>
                    </w:rPr>
                  </w:pPr>
                  <w:r>
                    <w:rPr>
                      <w:b/>
                      <w:color w:val="auto"/>
                      <w:szCs w:val="21"/>
                    </w:rPr>
                    <w:t>达标情况</w:t>
                  </w:r>
                </w:p>
              </w:tc>
            </w:tr>
            <w:tr w14:paraId="4701D81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jc w:val="center"/>
              </w:trPr>
              <w:tc>
                <w:tcPr>
                  <w:tcW w:w="613" w:type="dxa"/>
                  <w:vMerge w:val="continue"/>
                  <w:tcBorders>
                    <w:tl2br w:val="nil"/>
                    <w:tr2bl w:val="nil"/>
                  </w:tcBorders>
                  <w:vAlign w:val="center"/>
                </w:tcPr>
                <w:p w14:paraId="5DE75AA4">
                  <w:pPr>
                    <w:jc w:val="center"/>
                    <w:rPr>
                      <w:b/>
                      <w:color w:val="auto"/>
                      <w:szCs w:val="21"/>
                    </w:rPr>
                  </w:pPr>
                </w:p>
              </w:tc>
              <w:tc>
                <w:tcPr>
                  <w:tcW w:w="890" w:type="dxa"/>
                  <w:vMerge w:val="continue"/>
                  <w:tcBorders>
                    <w:tl2br w:val="nil"/>
                    <w:tr2bl w:val="nil"/>
                  </w:tcBorders>
                  <w:vAlign w:val="center"/>
                </w:tcPr>
                <w:p w14:paraId="1F1A4B25">
                  <w:pPr>
                    <w:jc w:val="center"/>
                    <w:rPr>
                      <w:b/>
                      <w:color w:val="auto"/>
                      <w:szCs w:val="21"/>
                    </w:rPr>
                  </w:pPr>
                </w:p>
              </w:tc>
              <w:tc>
                <w:tcPr>
                  <w:tcW w:w="873" w:type="dxa"/>
                  <w:tcBorders>
                    <w:tl2br w:val="nil"/>
                    <w:tr2bl w:val="nil"/>
                  </w:tcBorders>
                  <w:vAlign w:val="center"/>
                </w:tcPr>
                <w:p w14:paraId="0C4C1B37">
                  <w:pPr>
                    <w:jc w:val="center"/>
                    <w:rPr>
                      <w:b/>
                      <w:color w:val="auto"/>
                      <w:szCs w:val="21"/>
                    </w:rPr>
                  </w:pPr>
                  <w:r>
                    <w:rPr>
                      <w:b/>
                      <w:color w:val="auto"/>
                      <w:szCs w:val="21"/>
                    </w:rPr>
                    <w:t>产生量（t/a）</w:t>
                  </w:r>
                </w:p>
              </w:tc>
              <w:tc>
                <w:tcPr>
                  <w:tcW w:w="825" w:type="dxa"/>
                  <w:tcBorders>
                    <w:tl2br w:val="nil"/>
                    <w:tr2bl w:val="nil"/>
                  </w:tcBorders>
                  <w:vAlign w:val="center"/>
                </w:tcPr>
                <w:p w14:paraId="01A4FF23">
                  <w:pPr>
                    <w:jc w:val="center"/>
                    <w:rPr>
                      <w:b/>
                      <w:color w:val="auto"/>
                      <w:szCs w:val="21"/>
                    </w:rPr>
                  </w:pPr>
                  <w:r>
                    <w:rPr>
                      <w:b/>
                      <w:bCs/>
                      <w:color w:val="auto"/>
                      <w:szCs w:val="21"/>
                    </w:rPr>
                    <w:t>产生速率（kg/h）</w:t>
                  </w:r>
                </w:p>
              </w:tc>
              <w:tc>
                <w:tcPr>
                  <w:tcW w:w="775" w:type="dxa"/>
                  <w:tcBorders>
                    <w:tl2br w:val="nil"/>
                    <w:tr2bl w:val="nil"/>
                  </w:tcBorders>
                  <w:vAlign w:val="center"/>
                </w:tcPr>
                <w:p w14:paraId="406AF5AB">
                  <w:pPr>
                    <w:jc w:val="center"/>
                    <w:rPr>
                      <w:b/>
                      <w:color w:val="auto"/>
                      <w:szCs w:val="21"/>
                    </w:rPr>
                  </w:pPr>
                  <w:r>
                    <w:rPr>
                      <w:b/>
                      <w:color w:val="auto"/>
                      <w:szCs w:val="21"/>
                    </w:rPr>
                    <w:t>产生浓度（mg/m</w:t>
                  </w:r>
                  <w:r>
                    <w:rPr>
                      <w:b/>
                      <w:color w:val="auto"/>
                      <w:szCs w:val="21"/>
                      <w:vertAlign w:val="superscript"/>
                    </w:rPr>
                    <w:t>3</w:t>
                  </w:r>
                  <w:r>
                    <w:rPr>
                      <w:b/>
                      <w:color w:val="auto"/>
                      <w:szCs w:val="21"/>
                    </w:rPr>
                    <w:t>）</w:t>
                  </w:r>
                </w:p>
              </w:tc>
              <w:tc>
                <w:tcPr>
                  <w:tcW w:w="725" w:type="dxa"/>
                  <w:vMerge w:val="continue"/>
                  <w:tcBorders>
                    <w:tl2br w:val="nil"/>
                    <w:tr2bl w:val="nil"/>
                  </w:tcBorders>
                  <w:vAlign w:val="center"/>
                </w:tcPr>
                <w:p w14:paraId="501E7646">
                  <w:pPr>
                    <w:jc w:val="center"/>
                    <w:rPr>
                      <w:b/>
                      <w:color w:val="auto"/>
                      <w:szCs w:val="21"/>
                    </w:rPr>
                  </w:pPr>
                </w:p>
              </w:tc>
              <w:tc>
                <w:tcPr>
                  <w:tcW w:w="813" w:type="dxa"/>
                  <w:tcBorders>
                    <w:tl2br w:val="nil"/>
                    <w:tr2bl w:val="nil"/>
                  </w:tcBorders>
                  <w:vAlign w:val="center"/>
                </w:tcPr>
                <w:p w14:paraId="4BCDB0F7">
                  <w:pPr>
                    <w:jc w:val="center"/>
                    <w:rPr>
                      <w:b/>
                      <w:color w:val="auto"/>
                      <w:szCs w:val="21"/>
                    </w:rPr>
                  </w:pPr>
                  <w:r>
                    <w:rPr>
                      <w:b/>
                      <w:color w:val="auto"/>
                      <w:szCs w:val="21"/>
                    </w:rPr>
                    <w:t>排放量（t/a）</w:t>
                  </w:r>
                </w:p>
              </w:tc>
              <w:tc>
                <w:tcPr>
                  <w:tcW w:w="812" w:type="dxa"/>
                  <w:tcBorders>
                    <w:tl2br w:val="nil"/>
                    <w:tr2bl w:val="nil"/>
                  </w:tcBorders>
                  <w:vAlign w:val="center"/>
                </w:tcPr>
                <w:p w14:paraId="2D828D3A">
                  <w:pPr>
                    <w:jc w:val="center"/>
                    <w:rPr>
                      <w:b/>
                      <w:color w:val="auto"/>
                      <w:szCs w:val="21"/>
                    </w:rPr>
                  </w:pPr>
                  <w:r>
                    <w:rPr>
                      <w:b/>
                      <w:color w:val="auto"/>
                      <w:szCs w:val="21"/>
                    </w:rPr>
                    <w:t>排放速率</w:t>
                  </w:r>
                  <w:r>
                    <w:rPr>
                      <w:b/>
                      <w:bCs/>
                      <w:color w:val="auto"/>
                      <w:szCs w:val="21"/>
                    </w:rPr>
                    <w:t>（kg/h）</w:t>
                  </w:r>
                </w:p>
              </w:tc>
              <w:tc>
                <w:tcPr>
                  <w:tcW w:w="725" w:type="dxa"/>
                  <w:tcBorders>
                    <w:tl2br w:val="nil"/>
                    <w:tr2bl w:val="nil"/>
                  </w:tcBorders>
                  <w:vAlign w:val="center"/>
                </w:tcPr>
                <w:p w14:paraId="295E93FB">
                  <w:pPr>
                    <w:jc w:val="center"/>
                    <w:rPr>
                      <w:b/>
                      <w:color w:val="auto"/>
                      <w:szCs w:val="21"/>
                    </w:rPr>
                  </w:pPr>
                  <w:r>
                    <w:rPr>
                      <w:b/>
                      <w:color w:val="auto"/>
                      <w:szCs w:val="21"/>
                    </w:rPr>
                    <w:t>排放浓度（mg/m</w:t>
                  </w:r>
                  <w:r>
                    <w:rPr>
                      <w:b/>
                      <w:color w:val="auto"/>
                      <w:szCs w:val="21"/>
                      <w:vertAlign w:val="superscript"/>
                    </w:rPr>
                    <w:t>3</w:t>
                  </w:r>
                  <w:r>
                    <w:rPr>
                      <w:b/>
                      <w:color w:val="auto"/>
                      <w:szCs w:val="21"/>
                    </w:rPr>
                    <w:t>）</w:t>
                  </w:r>
                </w:p>
              </w:tc>
              <w:tc>
                <w:tcPr>
                  <w:tcW w:w="870" w:type="dxa"/>
                  <w:tcBorders>
                    <w:tl2br w:val="nil"/>
                    <w:tr2bl w:val="nil"/>
                  </w:tcBorders>
                  <w:vAlign w:val="center"/>
                </w:tcPr>
                <w:p w14:paraId="582308D9">
                  <w:pPr>
                    <w:jc w:val="center"/>
                    <w:rPr>
                      <w:b/>
                      <w:color w:val="auto"/>
                      <w:szCs w:val="21"/>
                    </w:rPr>
                  </w:pPr>
                  <w:r>
                    <w:rPr>
                      <w:b/>
                      <w:color w:val="auto"/>
                      <w:szCs w:val="21"/>
                    </w:rPr>
                    <w:t>浓度（mg/m</w:t>
                  </w:r>
                  <w:r>
                    <w:rPr>
                      <w:b/>
                      <w:color w:val="auto"/>
                      <w:szCs w:val="21"/>
                      <w:vertAlign w:val="superscript"/>
                    </w:rPr>
                    <w:t>3</w:t>
                  </w:r>
                  <w:r>
                    <w:rPr>
                      <w:b/>
                      <w:color w:val="auto"/>
                      <w:szCs w:val="21"/>
                    </w:rPr>
                    <w:t>）</w:t>
                  </w:r>
                </w:p>
              </w:tc>
              <w:tc>
                <w:tcPr>
                  <w:tcW w:w="602" w:type="dxa"/>
                  <w:vMerge w:val="continue"/>
                  <w:tcBorders>
                    <w:tl2br w:val="nil"/>
                    <w:tr2bl w:val="nil"/>
                  </w:tcBorders>
                  <w:vAlign w:val="center"/>
                </w:tcPr>
                <w:p w14:paraId="5160CA05">
                  <w:pPr>
                    <w:jc w:val="center"/>
                    <w:rPr>
                      <w:b/>
                      <w:color w:val="auto"/>
                      <w:szCs w:val="21"/>
                    </w:rPr>
                  </w:pPr>
                </w:p>
              </w:tc>
            </w:tr>
            <w:tr w14:paraId="744217E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13" w:type="dxa"/>
                  <w:vMerge w:val="restart"/>
                  <w:tcBorders>
                    <w:tl2br w:val="nil"/>
                    <w:tr2bl w:val="nil"/>
                  </w:tcBorders>
                  <w:vAlign w:val="center"/>
                </w:tcPr>
                <w:p w14:paraId="1776783D">
                  <w:pPr>
                    <w:jc w:val="center"/>
                    <w:rPr>
                      <w:rFonts w:hint="eastAsia" w:eastAsia="宋体"/>
                      <w:bCs/>
                      <w:color w:val="auto"/>
                      <w:szCs w:val="21"/>
                      <w:lang w:eastAsia="zh-CN"/>
                    </w:rPr>
                  </w:pPr>
                  <w:r>
                    <w:rPr>
                      <w:bCs/>
                      <w:color w:val="auto"/>
                      <w:szCs w:val="21"/>
                    </w:rPr>
                    <w:t>DA00</w:t>
                  </w:r>
                  <w:r>
                    <w:rPr>
                      <w:rFonts w:hint="eastAsia"/>
                      <w:bCs/>
                      <w:color w:val="auto"/>
                      <w:szCs w:val="21"/>
                      <w:lang w:val="en-US" w:eastAsia="zh-CN"/>
                    </w:rPr>
                    <w:t>1</w:t>
                  </w:r>
                </w:p>
              </w:tc>
              <w:tc>
                <w:tcPr>
                  <w:tcW w:w="890" w:type="dxa"/>
                  <w:tcBorders>
                    <w:tl2br w:val="nil"/>
                    <w:tr2bl w:val="nil"/>
                  </w:tcBorders>
                  <w:vAlign w:val="center"/>
                </w:tcPr>
                <w:p w14:paraId="1B36CB00">
                  <w:pPr>
                    <w:widowControl/>
                    <w:jc w:val="center"/>
                    <w:textAlignment w:val="center"/>
                    <w:rPr>
                      <w:bCs/>
                      <w:color w:val="auto"/>
                      <w:szCs w:val="21"/>
                    </w:rPr>
                  </w:pPr>
                  <w:r>
                    <w:rPr>
                      <w:color w:val="auto"/>
                      <w:kern w:val="0"/>
                      <w:szCs w:val="21"/>
                      <w:lang w:bidi="ar"/>
                    </w:rPr>
                    <w:t>非甲烷总烃</w:t>
                  </w:r>
                </w:p>
              </w:tc>
              <w:tc>
                <w:tcPr>
                  <w:tcW w:w="873" w:type="dxa"/>
                  <w:tcBorders>
                    <w:tl2br w:val="nil"/>
                    <w:tr2bl w:val="nil"/>
                  </w:tcBorders>
                  <w:vAlign w:val="center"/>
                </w:tcPr>
                <w:p w14:paraId="4BDC3DE2">
                  <w:pPr>
                    <w:widowControl/>
                    <w:jc w:val="center"/>
                    <w:textAlignment w:val="center"/>
                    <w:rPr>
                      <w:bCs/>
                      <w:color w:val="auto"/>
                      <w:spacing w:val="-10"/>
                      <w:szCs w:val="21"/>
                    </w:rPr>
                  </w:pPr>
                  <w:r>
                    <w:rPr>
                      <w:rFonts w:hint="eastAsia"/>
                      <w:color w:val="auto"/>
                      <w:kern w:val="0"/>
                      <w:szCs w:val="21"/>
                      <w:lang w:val="en-US" w:eastAsia="zh-CN" w:bidi="ar"/>
                    </w:rPr>
                    <w:t>18.7726</w:t>
                  </w:r>
                </w:p>
              </w:tc>
              <w:tc>
                <w:tcPr>
                  <w:tcW w:w="825" w:type="dxa"/>
                  <w:tcBorders>
                    <w:tl2br w:val="nil"/>
                    <w:tr2bl w:val="nil"/>
                  </w:tcBorders>
                  <w:vAlign w:val="center"/>
                </w:tcPr>
                <w:p w14:paraId="7E555FD4">
                  <w:pPr>
                    <w:widowControl/>
                    <w:jc w:val="center"/>
                    <w:textAlignment w:val="center"/>
                    <w:rPr>
                      <w:bCs/>
                      <w:color w:val="auto"/>
                      <w:spacing w:val="-10"/>
                      <w:szCs w:val="21"/>
                    </w:rPr>
                  </w:pPr>
                  <w:r>
                    <w:rPr>
                      <w:rFonts w:hint="eastAsia"/>
                      <w:color w:val="auto"/>
                      <w:kern w:val="0"/>
                      <w:szCs w:val="21"/>
                      <w:lang w:val="en-US" w:eastAsia="zh-CN" w:bidi="ar"/>
                    </w:rPr>
                    <w:t>7.8219</w:t>
                  </w:r>
                </w:p>
              </w:tc>
              <w:tc>
                <w:tcPr>
                  <w:tcW w:w="775" w:type="dxa"/>
                  <w:tcBorders>
                    <w:tl2br w:val="nil"/>
                    <w:tr2bl w:val="nil"/>
                  </w:tcBorders>
                  <w:vAlign w:val="center"/>
                </w:tcPr>
                <w:p w14:paraId="4A9A493C">
                  <w:pPr>
                    <w:widowControl/>
                    <w:jc w:val="center"/>
                    <w:textAlignment w:val="center"/>
                    <w:rPr>
                      <w:rFonts w:hint="default"/>
                      <w:bCs/>
                      <w:color w:val="auto"/>
                      <w:kern w:val="0"/>
                      <w:szCs w:val="21"/>
                      <w:lang w:val="en-US" w:bidi="ar"/>
                    </w:rPr>
                  </w:pPr>
                  <w:r>
                    <w:rPr>
                      <w:rFonts w:hint="eastAsia"/>
                      <w:color w:val="auto"/>
                      <w:szCs w:val="21"/>
                      <w:lang w:val="en-US" w:eastAsia="zh-CN"/>
                    </w:rPr>
                    <w:t>391.10</w:t>
                  </w:r>
                </w:p>
              </w:tc>
              <w:tc>
                <w:tcPr>
                  <w:tcW w:w="725" w:type="dxa"/>
                  <w:tcBorders>
                    <w:tl2br w:val="nil"/>
                    <w:tr2bl w:val="nil"/>
                  </w:tcBorders>
                  <w:vAlign w:val="center"/>
                </w:tcPr>
                <w:p w14:paraId="2D5A4894">
                  <w:pPr>
                    <w:jc w:val="center"/>
                    <w:rPr>
                      <w:bCs/>
                      <w:color w:val="auto"/>
                      <w:szCs w:val="21"/>
                    </w:rPr>
                  </w:pPr>
                  <w:r>
                    <w:rPr>
                      <w:rFonts w:hint="eastAsia"/>
                      <w:bCs/>
                      <w:color w:val="auto"/>
                      <w:szCs w:val="21"/>
                    </w:rPr>
                    <w:t>80</w:t>
                  </w:r>
                  <w:r>
                    <w:rPr>
                      <w:bCs/>
                      <w:color w:val="auto"/>
                      <w:szCs w:val="21"/>
                    </w:rPr>
                    <w:t>%</w:t>
                  </w:r>
                </w:p>
              </w:tc>
              <w:tc>
                <w:tcPr>
                  <w:tcW w:w="813" w:type="dxa"/>
                  <w:tcBorders>
                    <w:tl2br w:val="nil"/>
                    <w:tr2bl w:val="nil"/>
                  </w:tcBorders>
                  <w:vAlign w:val="center"/>
                </w:tcPr>
                <w:p w14:paraId="356E1938">
                  <w:pPr>
                    <w:widowControl/>
                    <w:jc w:val="center"/>
                    <w:textAlignment w:val="center"/>
                    <w:rPr>
                      <w:bCs/>
                      <w:color w:val="auto"/>
                      <w:kern w:val="0"/>
                      <w:szCs w:val="21"/>
                      <w:lang w:bidi="ar"/>
                    </w:rPr>
                  </w:pPr>
                  <w:r>
                    <w:rPr>
                      <w:rFonts w:hint="eastAsia"/>
                      <w:color w:val="auto"/>
                      <w:szCs w:val="21"/>
                      <w:lang w:val="en-US" w:eastAsia="zh-CN"/>
                    </w:rPr>
                    <w:t>3.7545</w:t>
                  </w:r>
                </w:p>
              </w:tc>
              <w:tc>
                <w:tcPr>
                  <w:tcW w:w="812" w:type="dxa"/>
                  <w:tcBorders>
                    <w:tl2br w:val="nil"/>
                    <w:tr2bl w:val="nil"/>
                  </w:tcBorders>
                  <w:vAlign w:val="center"/>
                </w:tcPr>
                <w:p w14:paraId="04F1D441">
                  <w:pPr>
                    <w:widowControl/>
                    <w:jc w:val="center"/>
                    <w:textAlignment w:val="center"/>
                    <w:rPr>
                      <w:bCs/>
                      <w:color w:val="auto"/>
                      <w:kern w:val="0"/>
                      <w:szCs w:val="21"/>
                      <w:lang w:bidi="ar"/>
                    </w:rPr>
                  </w:pPr>
                  <w:r>
                    <w:rPr>
                      <w:rFonts w:hint="eastAsia"/>
                      <w:color w:val="auto"/>
                      <w:kern w:val="0"/>
                      <w:szCs w:val="21"/>
                      <w:lang w:val="en-US" w:eastAsia="zh-CN" w:bidi="ar"/>
                    </w:rPr>
                    <w:t>1.5644</w:t>
                  </w:r>
                </w:p>
              </w:tc>
              <w:tc>
                <w:tcPr>
                  <w:tcW w:w="725" w:type="dxa"/>
                  <w:tcBorders>
                    <w:tl2br w:val="nil"/>
                    <w:tr2bl w:val="nil"/>
                  </w:tcBorders>
                  <w:vAlign w:val="center"/>
                </w:tcPr>
                <w:p w14:paraId="07A9BE74">
                  <w:pPr>
                    <w:widowControl/>
                    <w:jc w:val="center"/>
                    <w:textAlignment w:val="center"/>
                    <w:rPr>
                      <w:rFonts w:hint="default"/>
                      <w:bCs/>
                      <w:color w:val="auto"/>
                      <w:kern w:val="0"/>
                      <w:szCs w:val="21"/>
                      <w:lang w:val="en-US" w:bidi="ar"/>
                    </w:rPr>
                  </w:pPr>
                  <w:r>
                    <w:rPr>
                      <w:rFonts w:hint="eastAsia"/>
                      <w:color w:val="auto"/>
                      <w:szCs w:val="21"/>
                      <w:lang w:val="en-US" w:eastAsia="zh-CN"/>
                    </w:rPr>
                    <w:t>78.22</w:t>
                  </w:r>
                </w:p>
              </w:tc>
              <w:tc>
                <w:tcPr>
                  <w:tcW w:w="870" w:type="dxa"/>
                  <w:tcBorders>
                    <w:tl2br w:val="nil"/>
                    <w:tr2bl w:val="nil"/>
                  </w:tcBorders>
                  <w:vAlign w:val="center"/>
                </w:tcPr>
                <w:p w14:paraId="4D251091">
                  <w:pPr>
                    <w:adjustRightInd w:val="0"/>
                    <w:snapToGrid w:val="0"/>
                    <w:jc w:val="center"/>
                    <w:rPr>
                      <w:color w:val="auto"/>
                      <w:szCs w:val="21"/>
                    </w:rPr>
                  </w:pPr>
                  <w:r>
                    <w:rPr>
                      <w:rFonts w:hint="eastAsia"/>
                      <w:color w:val="auto"/>
                      <w:szCs w:val="21"/>
                    </w:rPr>
                    <w:t>100</w:t>
                  </w:r>
                </w:p>
              </w:tc>
              <w:tc>
                <w:tcPr>
                  <w:tcW w:w="602" w:type="dxa"/>
                  <w:tcBorders>
                    <w:tl2br w:val="nil"/>
                    <w:tr2bl w:val="nil"/>
                  </w:tcBorders>
                  <w:vAlign w:val="center"/>
                </w:tcPr>
                <w:p w14:paraId="2FF5F974">
                  <w:pPr>
                    <w:adjustRightInd w:val="0"/>
                    <w:snapToGrid w:val="0"/>
                    <w:jc w:val="center"/>
                    <w:rPr>
                      <w:bCs/>
                      <w:color w:val="auto"/>
                      <w:szCs w:val="21"/>
                    </w:rPr>
                  </w:pPr>
                  <w:r>
                    <w:rPr>
                      <w:color w:val="auto"/>
                      <w:szCs w:val="21"/>
                    </w:rPr>
                    <w:t>达标</w:t>
                  </w:r>
                </w:p>
              </w:tc>
            </w:tr>
            <w:tr w14:paraId="6DCDBD8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13" w:type="dxa"/>
                  <w:vMerge w:val="continue"/>
                  <w:tcBorders>
                    <w:tl2br w:val="nil"/>
                    <w:tr2bl w:val="nil"/>
                  </w:tcBorders>
                  <w:vAlign w:val="center"/>
                </w:tcPr>
                <w:p w14:paraId="3CAC3A6A">
                  <w:pPr>
                    <w:jc w:val="center"/>
                    <w:rPr>
                      <w:bCs/>
                      <w:color w:val="auto"/>
                      <w:szCs w:val="21"/>
                    </w:rPr>
                  </w:pPr>
                </w:p>
              </w:tc>
              <w:tc>
                <w:tcPr>
                  <w:tcW w:w="890" w:type="dxa"/>
                  <w:tcBorders>
                    <w:tl2br w:val="nil"/>
                    <w:tr2bl w:val="nil"/>
                  </w:tcBorders>
                  <w:vAlign w:val="center"/>
                </w:tcPr>
                <w:p w14:paraId="3E191B9F">
                  <w:pPr>
                    <w:widowControl/>
                    <w:jc w:val="center"/>
                    <w:textAlignment w:val="center"/>
                    <w:rPr>
                      <w:bCs/>
                      <w:color w:val="auto"/>
                      <w:szCs w:val="21"/>
                    </w:rPr>
                  </w:pPr>
                  <w:r>
                    <w:rPr>
                      <w:rFonts w:hint="eastAsia"/>
                      <w:color w:val="auto"/>
                      <w:kern w:val="0"/>
                      <w:szCs w:val="21"/>
                      <w:lang w:bidi="ar"/>
                    </w:rPr>
                    <w:t>臭气浓度</w:t>
                  </w:r>
                </w:p>
              </w:tc>
              <w:tc>
                <w:tcPr>
                  <w:tcW w:w="873" w:type="dxa"/>
                  <w:tcBorders>
                    <w:tl2br w:val="nil"/>
                    <w:tr2bl w:val="nil"/>
                  </w:tcBorders>
                  <w:vAlign w:val="center"/>
                </w:tcPr>
                <w:p w14:paraId="5EBBBAEC">
                  <w:pPr>
                    <w:widowControl/>
                    <w:jc w:val="center"/>
                    <w:textAlignment w:val="center"/>
                    <w:rPr>
                      <w:bCs/>
                      <w:color w:val="auto"/>
                      <w:spacing w:val="-10"/>
                      <w:szCs w:val="21"/>
                    </w:rPr>
                  </w:pPr>
                  <w:r>
                    <w:rPr>
                      <w:rFonts w:hint="eastAsia"/>
                      <w:color w:val="auto"/>
                      <w:szCs w:val="21"/>
                    </w:rPr>
                    <w:t>少量</w:t>
                  </w:r>
                </w:p>
              </w:tc>
              <w:tc>
                <w:tcPr>
                  <w:tcW w:w="825" w:type="dxa"/>
                  <w:tcBorders>
                    <w:tl2br w:val="nil"/>
                    <w:tr2bl w:val="nil"/>
                  </w:tcBorders>
                  <w:vAlign w:val="center"/>
                </w:tcPr>
                <w:p w14:paraId="46C53C7C">
                  <w:pPr>
                    <w:widowControl/>
                    <w:jc w:val="center"/>
                    <w:textAlignment w:val="center"/>
                    <w:rPr>
                      <w:bCs/>
                      <w:color w:val="auto"/>
                      <w:spacing w:val="-10"/>
                      <w:szCs w:val="21"/>
                    </w:rPr>
                  </w:pPr>
                  <w:r>
                    <w:rPr>
                      <w:rFonts w:hint="eastAsia"/>
                      <w:color w:val="auto"/>
                      <w:kern w:val="0"/>
                      <w:szCs w:val="21"/>
                      <w:lang w:bidi="ar"/>
                    </w:rPr>
                    <w:t>/</w:t>
                  </w:r>
                </w:p>
              </w:tc>
              <w:tc>
                <w:tcPr>
                  <w:tcW w:w="775" w:type="dxa"/>
                  <w:tcBorders>
                    <w:tl2br w:val="nil"/>
                    <w:tr2bl w:val="nil"/>
                  </w:tcBorders>
                  <w:vAlign w:val="center"/>
                </w:tcPr>
                <w:p w14:paraId="51DAD28B">
                  <w:pPr>
                    <w:widowControl/>
                    <w:jc w:val="center"/>
                    <w:textAlignment w:val="center"/>
                    <w:rPr>
                      <w:bCs/>
                      <w:color w:val="auto"/>
                      <w:kern w:val="0"/>
                      <w:szCs w:val="21"/>
                      <w:lang w:bidi="ar"/>
                    </w:rPr>
                  </w:pPr>
                  <w:r>
                    <w:rPr>
                      <w:rFonts w:hint="eastAsia"/>
                      <w:color w:val="auto"/>
                      <w:szCs w:val="21"/>
                      <w:lang w:val="en-US" w:eastAsia="zh-CN"/>
                    </w:rPr>
                    <w:t>6975</w:t>
                  </w:r>
                  <w:r>
                    <w:rPr>
                      <w:rFonts w:hint="eastAsia"/>
                      <w:color w:val="auto"/>
                      <w:szCs w:val="21"/>
                    </w:rPr>
                    <w:t>（无量纲）</w:t>
                  </w:r>
                </w:p>
              </w:tc>
              <w:tc>
                <w:tcPr>
                  <w:tcW w:w="725" w:type="dxa"/>
                  <w:tcBorders>
                    <w:tl2br w:val="nil"/>
                    <w:tr2bl w:val="nil"/>
                  </w:tcBorders>
                  <w:vAlign w:val="center"/>
                </w:tcPr>
                <w:p w14:paraId="49CD7604">
                  <w:pPr>
                    <w:jc w:val="center"/>
                    <w:rPr>
                      <w:bCs/>
                      <w:color w:val="auto"/>
                      <w:szCs w:val="21"/>
                    </w:rPr>
                  </w:pPr>
                  <w:r>
                    <w:rPr>
                      <w:rFonts w:hint="eastAsia"/>
                      <w:bCs/>
                      <w:color w:val="auto"/>
                      <w:szCs w:val="21"/>
                    </w:rPr>
                    <w:t>80</w:t>
                  </w:r>
                  <w:r>
                    <w:rPr>
                      <w:bCs/>
                      <w:color w:val="auto"/>
                      <w:szCs w:val="21"/>
                    </w:rPr>
                    <w:t>%</w:t>
                  </w:r>
                </w:p>
              </w:tc>
              <w:tc>
                <w:tcPr>
                  <w:tcW w:w="813" w:type="dxa"/>
                  <w:tcBorders>
                    <w:tl2br w:val="nil"/>
                    <w:tr2bl w:val="nil"/>
                  </w:tcBorders>
                  <w:vAlign w:val="center"/>
                </w:tcPr>
                <w:p w14:paraId="6AD8C0DE">
                  <w:pPr>
                    <w:widowControl/>
                    <w:jc w:val="center"/>
                    <w:textAlignment w:val="center"/>
                    <w:rPr>
                      <w:bCs/>
                      <w:color w:val="auto"/>
                      <w:kern w:val="0"/>
                      <w:szCs w:val="21"/>
                      <w:lang w:bidi="ar"/>
                    </w:rPr>
                  </w:pPr>
                  <w:r>
                    <w:rPr>
                      <w:rFonts w:hint="eastAsia"/>
                      <w:color w:val="auto"/>
                      <w:kern w:val="0"/>
                      <w:szCs w:val="21"/>
                      <w:lang w:bidi="ar"/>
                    </w:rPr>
                    <w:t>少量</w:t>
                  </w:r>
                </w:p>
              </w:tc>
              <w:tc>
                <w:tcPr>
                  <w:tcW w:w="812" w:type="dxa"/>
                  <w:tcBorders>
                    <w:tl2br w:val="nil"/>
                    <w:tr2bl w:val="nil"/>
                  </w:tcBorders>
                  <w:vAlign w:val="center"/>
                </w:tcPr>
                <w:p w14:paraId="2AF3E572">
                  <w:pPr>
                    <w:widowControl/>
                    <w:jc w:val="center"/>
                    <w:textAlignment w:val="center"/>
                    <w:rPr>
                      <w:bCs/>
                      <w:color w:val="auto"/>
                      <w:kern w:val="0"/>
                      <w:szCs w:val="21"/>
                      <w:lang w:bidi="ar"/>
                    </w:rPr>
                  </w:pPr>
                  <w:r>
                    <w:rPr>
                      <w:rFonts w:hint="eastAsia"/>
                      <w:color w:val="auto"/>
                      <w:kern w:val="0"/>
                      <w:szCs w:val="21"/>
                      <w:lang w:bidi="ar"/>
                    </w:rPr>
                    <w:t>/</w:t>
                  </w:r>
                </w:p>
              </w:tc>
              <w:tc>
                <w:tcPr>
                  <w:tcW w:w="725" w:type="dxa"/>
                  <w:tcBorders>
                    <w:tl2br w:val="nil"/>
                    <w:tr2bl w:val="nil"/>
                  </w:tcBorders>
                  <w:vAlign w:val="center"/>
                </w:tcPr>
                <w:p w14:paraId="385E29C6">
                  <w:pPr>
                    <w:widowControl/>
                    <w:jc w:val="center"/>
                    <w:textAlignment w:val="center"/>
                    <w:rPr>
                      <w:bCs/>
                      <w:color w:val="auto"/>
                      <w:kern w:val="0"/>
                      <w:szCs w:val="21"/>
                      <w:lang w:bidi="ar"/>
                    </w:rPr>
                  </w:pPr>
                  <w:r>
                    <w:rPr>
                      <w:rFonts w:hint="eastAsia"/>
                      <w:color w:val="auto"/>
                      <w:szCs w:val="21"/>
                      <w:lang w:val="en-US" w:eastAsia="zh-CN"/>
                    </w:rPr>
                    <w:t>1395</w:t>
                  </w:r>
                  <w:r>
                    <w:rPr>
                      <w:rFonts w:hint="eastAsia"/>
                      <w:color w:val="auto"/>
                      <w:szCs w:val="21"/>
                    </w:rPr>
                    <w:t>（无量纲）</w:t>
                  </w:r>
                </w:p>
              </w:tc>
              <w:tc>
                <w:tcPr>
                  <w:tcW w:w="870" w:type="dxa"/>
                  <w:tcBorders>
                    <w:tl2br w:val="nil"/>
                    <w:tr2bl w:val="nil"/>
                  </w:tcBorders>
                  <w:vAlign w:val="center"/>
                </w:tcPr>
                <w:p w14:paraId="18CB83CA">
                  <w:pPr>
                    <w:adjustRightInd w:val="0"/>
                    <w:snapToGrid w:val="0"/>
                    <w:jc w:val="center"/>
                    <w:rPr>
                      <w:rFonts w:hint="eastAsia" w:eastAsia="宋体"/>
                      <w:color w:val="auto"/>
                      <w:szCs w:val="21"/>
                      <w:lang w:eastAsia="zh-CN"/>
                    </w:rPr>
                  </w:pPr>
                  <w:r>
                    <w:rPr>
                      <w:rFonts w:hint="eastAsia"/>
                      <w:color w:val="auto"/>
                      <w:szCs w:val="21"/>
                    </w:rPr>
                    <w:t>200</w:t>
                  </w:r>
                  <w:r>
                    <w:rPr>
                      <w:color w:val="auto"/>
                      <w:szCs w:val="21"/>
                    </w:rPr>
                    <w:t>0</w:t>
                  </w:r>
                  <w:r>
                    <w:rPr>
                      <w:rFonts w:hint="eastAsia"/>
                      <w:color w:val="auto"/>
                      <w:szCs w:val="21"/>
                      <w:lang w:eastAsia="zh-CN"/>
                    </w:rPr>
                    <w:t>（无量纲）</w:t>
                  </w:r>
                </w:p>
              </w:tc>
              <w:tc>
                <w:tcPr>
                  <w:tcW w:w="602" w:type="dxa"/>
                  <w:tcBorders>
                    <w:tl2br w:val="nil"/>
                    <w:tr2bl w:val="nil"/>
                  </w:tcBorders>
                  <w:vAlign w:val="center"/>
                </w:tcPr>
                <w:p w14:paraId="364E571A">
                  <w:pPr>
                    <w:adjustRightInd w:val="0"/>
                    <w:snapToGrid w:val="0"/>
                    <w:jc w:val="center"/>
                    <w:rPr>
                      <w:bCs/>
                      <w:color w:val="auto"/>
                      <w:szCs w:val="21"/>
                    </w:rPr>
                  </w:pPr>
                  <w:r>
                    <w:rPr>
                      <w:color w:val="auto"/>
                      <w:szCs w:val="21"/>
                    </w:rPr>
                    <w:t>达标</w:t>
                  </w:r>
                </w:p>
              </w:tc>
            </w:tr>
            <w:tr w14:paraId="5DD2D2A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613" w:type="dxa"/>
                  <w:tcBorders>
                    <w:tl2br w:val="nil"/>
                    <w:tr2bl w:val="nil"/>
                  </w:tcBorders>
                  <w:vAlign w:val="center"/>
                </w:tcPr>
                <w:p w14:paraId="07DD3018">
                  <w:pPr>
                    <w:jc w:val="center"/>
                    <w:rPr>
                      <w:rFonts w:hint="default" w:eastAsia="宋体"/>
                      <w:bCs/>
                      <w:color w:val="auto"/>
                      <w:szCs w:val="21"/>
                      <w:lang w:val="en-US" w:eastAsia="zh-CN"/>
                    </w:rPr>
                  </w:pPr>
                  <w:r>
                    <w:rPr>
                      <w:rFonts w:hint="eastAsia"/>
                      <w:bCs/>
                      <w:color w:val="auto"/>
                      <w:szCs w:val="21"/>
                      <w:lang w:val="en-US" w:eastAsia="zh-CN"/>
                    </w:rPr>
                    <w:t>DA002</w:t>
                  </w:r>
                </w:p>
              </w:tc>
              <w:tc>
                <w:tcPr>
                  <w:tcW w:w="890" w:type="dxa"/>
                  <w:tcBorders>
                    <w:tl2br w:val="nil"/>
                    <w:tr2bl w:val="nil"/>
                  </w:tcBorders>
                  <w:vAlign w:val="center"/>
                </w:tcPr>
                <w:p w14:paraId="190BC112">
                  <w:pPr>
                    <w:widowControl/>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颗粒物</w:t>
                  </w:r>
                </w:p>
              </w:tc>
              <w:tc>
                <w:tcPr>
                  <w:tcW w:w="873" w:type="dxa"/>
                  <w:tcBorders>
                    <w:tl2br w:val="nil"/>
                    <w:tr2bl w:val="nil"/>
                  </w:tcBorders>
                  <w:vAlign w:val="center"/>
                </w:tcPr>
                <w:p w14:paraId="105910AF">
                  <w:pPr>
                    <w:widowControl/>
                    <w:jc w:val="center"/>
                    <w:textAlignment w:val="center"/>
                    <w:rPr>
                      <w:rFonts w:hint="eastAsia"/>
                      <w:color w:val="auto"/>
                      <w:szCs w:val="21"/>
                    </w:rPr>
                  </w:pPr>
                  <w:r>
                    <w:rPr>
                      <w:rFonts w:hint="eastAsia" w:eastAsia="宋体"/>
                      <w:color w:val="auto"/>
                      <w:kern w:val="0"/>
                      <w:szCs w:val="21"/>
                      <w:lang w:val="en-US" w:eastAsia="zh-CN" w:bidi="ar"/>
                    </w:rPr>
                    <w:t>0.0065</w:t>
                  </w:r>
                </w:p>
              </w:tc>
              <w:tc>
                <w:tcPr>
                  <w:tcW w:w="825" w:type="dxa"/>
                  <w:tcBorders>
                    <w:tl2br w:val="nil"/>
                    <w:tr2bl w:val="nil"/>
                  </w:tcBorders>
                  <w:vAlign w:val="center"/>
                </w:tcPr>
                <w:p w14:paraId="59AEA276">
                  <w:pPr>
                    <w:widowControl/>
                    <w:jc w:val="center"/>
                    <w:textAlignment w:val="center"/>
                    <w:rPr>
                      <w:rFonts w:hint="eastAsia"/>
                      <w:color w:val="auto"/>
                      <w:kern w:val="0"/>
                      <w:szCs w:val="21"/>
                      <w:lang w:bidi="ar"/>
                    </w:rPr>
                  </w:pPr>
                  <w:r>
                    <w:rPr>
                      <w:rFonts w:hint="eastAsia" w:eastAsia="宋体"/>
                      <w:color w:val="auto"/>
                      <w:kern w:val="0"/>
                      <w:szCs w:val="21"/>
                      <w:lang w:val="en-US" w:eastAsia="zh-CN" w:bidi="ar"/>
                    </w:rPr>
                    <w:t>0.2708</w:t>
                  </w:r>
                </w:p>
              </w:tc>
              <w:tc>
                <w:tcPr>
                  <w:tcW w:w="775" w:type="dxa"/>
                  <w:tcBorders>
                    <w:tl2br w:val="nil"/>
                    <w:tr2bl w:val="nil"/>
                  </w:tcBorders>
                  <w:vAlign w:val="center"/>
                </w:tcPr>
                <w:p w14:paraId="0560EA79">
                  <w:pPr>
                    <w:widowControl/>
                    <w:jc w:val="center"/>
                    <w:textAlignment w:val="center"/>
                    <w:rPr>
                      <w:rFonts w:hint="eastAsia"/>
                      <w:color w:val="auto"/>
                      <w:szCs w:val="21"/>
                      <w:lang w:val="en-US" w:eastAsia="zh-CN"/>
                    </w:rPr>
                  </w:pPr>
                  <w:r>
                    <w:rPr>
                      <w:rFonts w:hint="eastAsia"/>
                      <w:color w:val="auto"/>
                      <w:kern w:val="0"/>
                      <w:szCs w:val="21"/>
                      <w:lang w:val="en-US" w:eastAsia="zh-CN" w:bidi="ar"/>
                    </w:rPr>
                    <w:t>270.8</w:t>
                  </w:r>
                </w:p>
              </w:tc>
              <w:tc>
                <w:tcPr>
                  <w:tcW w:w="725" w:type="dxa"/>
                  <w:tcBorders>
                    <w:tl2br w:val="nil"/>
                    <w:tr2bl w:val="nil"/>
                  </w:tcBorders>
                  <w:vAlign w:val="center"/>
                </w:tcPr>
                <w:p w14:paraId="6D997762">
                  <w:pPr>
                    <w:jc w:val="center"/>
                    <w:rPr>
                      <w:rFonts w:hint="default" w:eastAsia="宋体"/>
                      <w:bCs/>
                      <w:color w:val="auto"/>
                      <w:szCs w:val="21"/>
                      <w:lang w:val="en-US" w:eastAsia="zh-CN"/>
                    </w:rPr>
                  </w:pPr>
                  <w:r>
                    <w:rPr>
                      <w:rFonts w:hint="eastAsia"/>
                      <w:bCs/>
                      <w:color w:val="auto"/>
                      <w:szCs w:val="21"/>
                      <w:lang w:val="en-US" w:eastAsia="zh-CN"/>
                    </w:rPr>
                    <w:t>95%</w:t>
                  </w:r>
                </w:p>
              </w:tc>
              <w:tc>
                <w:tcPr>
                  <w:tcW w:w="813" w:type="dxa"/>
                  <w:tcBorders>
                    <w:tl2br w:val="nil"/>
                    <w:tr2bl w:val="nil"/>
                  </w:tcBorders>
                  <w:vAlign w:val="center"/>
                </w:tcPr>
                <w:p w14:paraId="597D2D15">
                  <w:pPr>
                    <w:widowControl/>
                    <w:jc w:val="center"/>
                    <w:textAlignment w:val="center"/>
                    <w:rPr>
                      <w:rFonts w:hint="eastAsia"/>
                      <w:color w:val="auto"/>
                      <w:kern w:val="0"/>
                      <w:szCs w:val="21"/>
                      <w:lang w:bidi="ar"/>
                    </w:rPr>
                  </w:pPr>
                  <w:r>
                    <w:rPr>
                      <w:rFonts w:hint="eastAsia" w:eastAsia="宋体"/>
                      <w:color w:val="auto"/>
                      <w:kern w:val="0"/>
                      <w:szCs w:val="21"/>
                      <w:lang w:val="en-US" w:eastAsia="zh-CN" w:bidi="ar"/>
                    </w:rPr>
                    <w:t>0.0003</w:t>
                  </w:r>
                </w:p>
              </w:tc>
              <w:tc>
                <w:tcPr>
                  <w:tcW w:w="812" w:type="dxa"/>
                  <w:tcBorders>
                    <w:tl2br w:val="nil"/>
                    <w:tr2bl w:val="nil"/>
                  </w:tcBorders>
                  <w:vAlign w:val="center"/>
                </w:tcPr>
                <w:p w14:paraId="1AAED47A">
                  <w:pPr>
                    <w:widowControl/>
                    <w:jc w:val="center"/>
                    <w:textAlignment w:val="center"/>
                    <w:rPr>
                      <w:rFonts w:hint="eastAsia"/>
                      <w:color w:val="auto"/>
                      <w:kern w:val="0"/>
                      <w:szCs w:val="21"/>
                      <w:lang w:bidi="ar"/>
                    </w:rPr>
                  </w:pPr>
                  <w:r>
                    <w:rPr>
                      <w:rFonts w:hint="eastAsia" w:eastAsia="宋体"/>
                      <w:color w:val="auto"/>
                      <w:kern w:val="0"/>
                      <w:szCs w:val="21"/>
                      <w:lang w:val="en-US" w:eastAsia="zh-CN" w:bidi="ar"/>
                    </w:rPr>
                    <w:t>0.0125</w:t>
                  </w:r>
                </w:p>
              </w:tc>
              <w:tc>
                <w:tcPr>
                  <w:tcW w:w="725" w:type="dxa"/>
                  <w:tcBorders>
                    <w:tl2br w:val="nil"/>
                    <w:tr2bl w:val="nil"/>
                  </w:tcBorders>
                  <w:vAlign w:val="center"/>
                </w:tcPr>
                <w:p w14:paraId="3AF49C78">
                  <w:pPr>
                    <w:widowControl/>
                    <w:jc w:val="center"/>
                    <w:textAlignment w:val="center"/>
                    <w:rPr>
                      <w:rFonts w:hint="eastAsia"/>
                      <w:color w:val="auto"/>
                      <w:szCs w:val="21"/>
                      <w:lang w:val="en-US" w:eastAsia="zh-CN"/>
                    </w:rPr>
                  </w:pPr>
                  <w:r>
                    <w:rPr>
                      <w:rFonts w:hint="eastAsia"/>
                      <w:color w:val="auto"/>
                      <w:kern w:val="0"/>
                      <w:szCs w:val="21"/>
                      <w:lang w:val="en-US" w:eastAsia="zh-CN" w:bidi="ar"/>
                    </w:rPr>
                    <w:t>12.5</w:t>
                  </w:r>
                </w:p>
              </w:tc>
              <w:tc>
                <w:tcPr>
                  <w:tcW w:w="870" w:type="dxa"/>
                  <w:tcBorders>
                    <w:tl2br w:val="nil"/>
                    <w:tr2bl w:val="nil"/>
                  </w:tcBorders>
                  <w:vAlign w:val="center"/>
                </w:tcPr>
                <w:p w14:paraId="64F57063">
                  <w:pPr>
                    <w:adjustRightInd w:val="0"/>
                    <w:snapToGrid w:val="0"/>
                    <w:jc w:val="center"/>
                    <w:rPr>
                      <w:rFonts w:hint="default" w:eastAsia="宋体"/>
                      <w:color w:val="auto"/>
                      <w:szCs w:val="21"/>
                      <w:lang w:val="en-US" w:eastAsia="zh-CN"/>
                    </w:rPr>
                  </w:pPr>
                  <w:r>
                    <w:rPr>
                      <w:rFonts w:hint="eastAsia"/>
                      <w:color w:val="auto"/>
                      <w:szCs w:val="21"/>
                      <w:lang w:val="en-US" w:eastAsia="zh-CN"/>
                    </w:rPr>
                    <w:t>30</w:t>
                  </w:r>
                </w:p>
              </w:tc>
              <w:tc>
                <w:tcPr>
                  <w:tcW w:w="602" w:type="dxa"/>
                  <w:tcBorders>
                    <w:tl2br w:val="nil"/>
                    <w:tr2bl w:val="nil"/>
                  </w:tcBorders>
                  <w:vAlign w:val="center"/>
                </w:tcPr>
                <w:p w14:paraId="64999DD6">
                  <w:pPr>
                    <w:adjustRightInd w:val="0"/>
                    <w:snapToGrid w:val="0"/>
                    <w:jc w:val="center"/>
                    <w:rPr>
                      <w:rFonts w:hint="eastAsia" w:eastAsia="宋体"/>
                      <w:color w:val="auto"/>
                      <w:szCs w:val="21"/>
                      <w:lang w:val="en-US" w:eastAsia="zh-CN"/>
                    </w:rPr>
                  </w:pPr>
                  <w:r>
                    <w:rPr>
                      <w:rFonts w:hint="eastAsia"/>
                      <w:color w:val="auto"/>
                      <w:szCs w:val="21"/>
                      <w:lang w:val="en-US" w:eastAsia="zh-CN"/>
                    </w:rPr>
                    <w:t>达标</w:t>
                  </w:r>
                </w:p>
              </w:tc>
            </w:tr>
          </w:tbl>
          <w:p w14:paraId="68DDD2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lang w:val="en-US"/>
              </w:rPr>
            </w:pPr>
            <w:r>
              <w:rPr>
                <w:rFonts w:hint="default" w:ascii="Times New Roman" w:hAnsi="Times New Roman" w:eastAsia="宋体" w:cs="Times New Roman"/>
                <w:color w:val="auto"/>
                <w:kern w:val="0"/>
                <w:sz w:val="24"/>
                <w:szCs w:val="24"/>
                <w:highlight w:val="none"/>
              </w:rPr>
              <w:t>根据</w:t>
            </w:r>
            <w:r>
              <w:rPr>
                <w:rFonts w:hint="default" w:ascii="Times New Roman" w:hAnsi="Times New Roman" w:eastAsia="宋体" w:cs="Times New Roman"/>
                <w:color w:val="auto"/>
                <w:kern w:val="0"/>
                <w:sz w:val="24"/>
                <w:szCs w:val="24"/>
                <w:highlight w:val="none"/>
                <w:lang w:val="en-US" w:eastAsia="zh-CN"/>
              </w:rPr>
              <w:t>上文</w:t>
            </w:r>
            <w:r>
              <w:rPr>
                <w:rFonts w:hint="default" w:ascii="Times New Roman" w:hAnsi="Times New Roman" w:eastAsia="宋体" w:cs="Times New Roman"/>
                <w:color w:val="auto"/>
                <w:kern w:val="0"/>
                <w:sz w:val="24"/>
                <w:szCs w:val="24"/>
                <w:highlight w:val="none"/>
                <w:lang w:eastAsia="zh-CN"/>
              </w:rPr>
              <w:t>核算</w:t>
            </w:r>
            <w:r>
              <w:rPr>
                <w:rFonts w:hint="default" w:ascii="Times New Roman" w:hAnsi="Times New Roman" w:eastAsia="宋体" w:cs="Times New Roman"/>
                <w:color w:val="auto"/>
                <w:kern w:val="0"/>
                <w:sz w:val="24"/>
                <w:szCs w:val="24"/>
                <w:highlight w:val="none"/>
                <w:lang w:val="en-US" w:eastAsia="zh-CN"/>
              </w:rPr>
              <w:t>可知</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CN"/>
              </w:rPr>
              <w:t>项目</w:t>
            </w:r>
            <w:r>
              <w:rPr>
                <w:rFonts w:hint="default" w:ascii="Times New Roman" w:hAnsi="Times New Roman" w:eastAsia="宋体" w:cs="Times New Roman"/>
                <w:color w:val="auto"/>
                <w:kern w:val="0"/>
                <w:sz w:val="24"/>
                <w:szCs w:val="24"/>
                <w:highlight w:val="none"/>
                <w:lang w:val="en-US" w:eastAsia="zh-CN"/>
              </w:rPr>
              <w:t>DA001排气筒中各污染物</w:t>
            </w:r>
            <w:r>
              <w:rPr>
                <w:rFonts w:hint="default" w:ascii="Times New Roman" w:hAnsi="Times New Roman" w:eastAsia="宋体" w:cs="Times New Roman"/>
                <w:color w:val="auto"/>
                <w:sz w:val="24"/>
                <w:szCs w:val="24"/>
                <w:highlight w:val="none"/>
                <w:lang w:val="en-US" w:eastAsia="zh-CN"/>
              </w:rPr>
              <w:t>排放浓度均能满足</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合成树脂工业污染物排放标准</w:t>
            </w:r>
            <w:r>
              <w:rPr>
                <w:rFonts w:hint="default" w:ascii="Times New Roman" w:hAnsi="Times New Roman" w:eastAsia="宋体" w:cs="Times New Roman"/>
                <w:color w:val="auto"/>
                <w:sz w:val="24"/>
                <w:szCs w:val="24"/>
              </w:rPr>
              <w:t>》（GB</w:t>
            </w:r>
            <w:r>
              <w:rPr>
                <w:rFonts w:hint="default" w:ascii="Times New Roman" w:hAnsi="Times New Roman" w:eastAsia="宋体" w:cs="Times New Roman"/>
                <w:color w:val="auto"/>
                <w:sz w:val="24"/>
                <w:szCs w:val="24"/>
                <w:lang w:val="en-US" w:eastAsia="zh-CN"/>
              </w:rPr>
              <w:t>31572</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2015</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highlight w:val="none"/>
                <w:lang w:val="en-US" w:eastAsia="zh-CN"/>
              </w:rPr>
              <w:t>及2024年修改单中</w:t>
            </w:r>
            <w:r>
              <w:rPr>
                <w:rFonts w:hint="default" w:ascii="Times New Roman" w:hAnsi="Times New Roman" w:eastAsia="宋体" w:cs="Times New Roman"/>
                <w:color w:val="auto"/>
                <w:sz w:val="24"/>
                <w:szCs w:val="24"/>
                <w:lang w:eastAsia="zh-CN"/>
              </w:rPr>
              <w:t>相关</w:t>
            </w:r>
            <w:r>
              <w:rPr>
                <w:rFonts w:hint="default" w:ascii="Times New Roman" w:hAnsi="Times New Roman" w:eastAsia="宋体" w:cs="Times New Roman"/>
                <w:color w:val="auto"/>
                <w:sz w:val="24"/>
                <w:szCs w:val="24"/>
                <w:lang w:val="en-US" w:eastAsia="zh-CN"/>
              </w:rPr>
              <w:t>大气污染物排放限值要求</w:t>
            </w:r>
            <w:r>
              <w:rPr>
                <w:rFonts w:hint="eastAsia" w:cs="Times New Roman"/>
                <w:color w:val="auto"/>
                <w:sz w:val="24"/>
                <w:szCs w:val="24"/>
                <w:lang w:val="en-US" w:eastAsia="zh-CN"/>
              </w:rPr>
              <w:t>及</w:t>
            </w:r>
            <w:r>
              <w:rPr>
                <w:rFonts w:hint="default" w:ascii="Times New Roman" w:hAnsi="Times New Roman" w:eastAsia="宋体" w:cs="Times New Roman"/>
                <w:color w:val="auto"/>
                <w:sz w:val="24"/>
                <w:szCs w:val="24"/>
                <w:highlight w:val="none"/>
                <w:lang w:val="zh-CN" w:eastAsia="zh-CN"/>
              </w:rPr>
              <w:t>《恶臭污染物排放标准》（GB14554-93）表</w:t>
            </w:r>
            <w:r>
              <w:rPr>
                <w:rFonts w:hint="eastAsia" w:ascii="Times New Roman" w:hAns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中二级</w:t>
            </w:r>
            <w:r>
              <w:rPr>
                <w:rFonts w:hint="eastAsia" w:ascii="Times New Roman" w:hAnsi="Times New Roman" w:cs="Times New Roman"/>
                <w:color w:val="auto"/>
                <w:sz w:val="24"/>
                <w:szCs w:val="24"/>
                <w:highlight w:val="none"/>
                <w:lang w:val="en-US" w:eastAsia="zh-CN"/>
              </w:rPr>
              <w:t>恶臭污染物</w:t>
            </w:r>
            <w:r>
              <w:rPr>
                <w:rFonts w:hint="default" w:ascii="Times New Roman" w:hAnsi="Times New Roman" w:eastAsia="宋体" w:cs="Times New Roman"/>
                <w:color w:val="auto"/>
                <w:sz w:val="24"/>
                <w:szCs w:val="24"/>
                <w:highlight w:val="none"/>
                <w:lang w:val="zh-CN" w:eastAsia="zh-CN"/>
              </w:rPr>
              <w:t>排放标准</w:t>
            </w:r>
            <w:r>
              <w:rPr>
                <w:rFonts w:hint="eastAsia" w:ascii="Times New Roman" w:hAnsi="Times New Roman" w:cs="Times New Roman"/>
                <w:color w:val="auto"/>
                <w:sz w:val="24"/>
                <w:szCs w:val="24"/>
                <w:highlight w:val="none"/>
                <w:lang w:val="zh-CN" w:eastAsia="zh-CN"/>
              </w:rPr>
              <w:t>值</w:t>
            </w:r>
            <w:r>
              <w:rPr>
                <w:rFonts w:hint="eastAsia" w:cs="Times New Roman"/>
                <w:color w:val="auto"/>
                <w:sz w:val="24"/>
                <w:szCs w:val="24"/>
                <w:highlight w:val="none"/>
                <w:lang w:val="zh-CN" w:eastAsia="zh-CN"/>
              </w:rPr>
              <w:t>；</w:t>
            </w:r>
            <w:r>
              <w:rPr>
                <w:rFonts w:hint="eastAsia" w:cs="Times New Roman"/>
                <w:color w:val="auto"/>
                <w:kern w:val="0"/>
                <w:sz w:val="24"/>
                <w:szCs w:val="24"/>
                <w:highlight w:val="none"/>
                <w:lang w:val="en-US" w:eastAsia="zh-CN"/>
              </w:rPr>
              <w:t>DA002</w:t>
            </w:r>
            <w:r>
              <w:rPr>
                <w:rFonts w:hint="default" w:ascii="Times New Roman" w:hAnsi="Times New Roman" w:eastAsia="宋体" w:cs="Times New Roman"/>
                <w:color w:val="auto"/>
                <w:kern w:val="0"/>
                <w:sz w:val="24"/>
                <w:szCs w:val="24"/>
                <w:highlight w:val="none"/>
                <w:lang w:val="en-US" w:eastAsia="zh-CN"/>
              </w:rPr>
              <w:t>排气筒中各污染物</w:t>
            </w:r>
            <w:r>
              <w:rPr>
                <w:rFonts w:hint="default" w:ascii="Times New Roman" w:hAnsi="Times New Roman" w:eastAsia="宋体" w:cs="Times New Roman"/>
                <w:color w:val="auto"/>
                <w:sz w:val="24"/>
                <w:szCs w:val="24"/>
                <w:highlight w:val="none"/>
                <w:lang w:val="en-US" w:eastAsia="zh-CN"/>
              </w:rPr>
              <w:t>排放浓度均能满足</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合成树脂工业污染物排放标准</w:t>
            </w:r>
            <w:r>
              <w:rPr>
                <w:rFonts w:hint="default" w:ascii="Times New Roman" w:hAnsi="Times New Roman" w:eastAsia="宋体" w:cs="Times New Roman"/>
                <w:color w:val="auto"/>
                <w:sz w:val="24"/>
                <w:szCs w:val="24"/>
              </w:rPr>
              <w:t>》（GB</w:t>
            </w:r>
            <w:r>
              <w:rPr>
                <w:rFonts w:hint="default" w:ascii="Times New Roman" w:hAnsi="Times New Roman" w:eastAsia="宋体" w:cs="Times New Roman"/>
                <w:color w:val="auto"/>
                <w:sz w:val="24"/>
                <w:szCs w:val="24"/>
                <w:lang w:val="en-US" w:eastAsia="zh-CN"/>
              </w:rPr>
              <w:t>31572</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2015</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highlight w:val="none"/>
                <w:lang w:val="en-US" w:eastAsia="zh-CN"/>
              </w:rPr>
              <w:t>及2024年修改单中</w:t>
            </w:r>
            <w:r>
              <w:rPr>
                <w:rFonts w:hint="default" w:ascii="Times New Roman" w:hAnsi="Times New Roman" w:eastAsia="宋体" w:cs="Times New Roman"/>
                <w:color w:val="auto"/>
                <w:sz w:val="24"/>
                <w:szCs w:val="24"/>
                <w:lang w:eastAsia="zh-CN"/>
              </w:rPr>
              <w:t>相关</w:t>
            </w:r>
            <w:r>
              <w:rPr>
                <w:rFonts w:hint="default" w:ascii="Times New Roman" w:hAnsi="Times New Roman" w:eastAsia="宋体" w:cs="Times New Roman"/>
                <w:color w:val="auto"/>
                <w:sz w:val="24"/>
                <w:szCs w:val="24"/>
                <w:lang w:val="en-US" w:eastAsia="zh-CN"/>
              </w:rPr>
              <w:t>大气污染物排放限值要求</w:t>
            </w:r>
            <w:r>
              <w:rPr>
                <w:rFonts w:hint="default" w:ascii="Times New Roman" w:hAnsi="Times New Roman" w:eastAsia="宋体" w:cs="Times New Roman"/>
                <w:color w:val="auto"/>
                <w:sz w:val="24"/>
                <w:szCs w:val="24"/>
                <w:highlight w:val="none"/>
                <w:lang w:eastAsia="zh-CN"/>
              </w:rPr>
              <w:t>。</w:t>
            </w:r>
          </w:p>
          <w:p w14:paraId="4EF195A0">
            <w:pPr>
              <w:adjustRightInd w:val="0"/>
              <w:snapToGrid w:val="0"/>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②</w:t>
            </w:r>
            <w:r>
              <w:rPr>
                <w:rFonts w:hint="default" w:ascii="Times New Roman" w:hAnsi="Times New Roman" w:eastAsia="宋体" w:cs="Times New Roman"/>
                <w:b w:val="0"/>
                <w:bCs w:val="0"/>
                <w:color w:val="auto"/>
                <w:kern w:val="0"/>
                <w:sz w:val="24"/>
                <w:szCs w:val="24"/>
                <w:highlight w:val="none"/>
              </w:rPr>
              <w:t>单位产品非甲烷总烃排放量</w:t>
            </w:r>
            <w:r>
              <w:rPr>
                <w:rFonts w:hint="default" w:ascii="Times New Roman" w:hAnsi="Times New Roman" w:eastAsia="宋体" w:cs="Times New Roman"/>
                <w:b w:val="0"/>
                <w:bCs w:val="0"/>
                <w:color w:val="auto"/>
                <w:kern w:val="0"/>
                <w:sz w:val="24"/>
                <w:highlight w:val="none"/>
              </w:rPr>
              <w:t>达标情况分析</w:t>
            </w:r>
          </w:p>
          <w:p w14:paraId="2D18AD02">
            <w:pPr>
              <w:adjustRightInd w:val="0"/>
              <w:snapToGrid w:val="0"/>
              <w:spacing w:line="360" w:lineRule="auto"/>
              <w:ind w:firstLine="480" w:firstLineChars="200"/>
              <w:rPr>
                <w:rFonts w:hint="default" w:ascii="Times New Roman" w:hAnsi="Times New Roman" w:eastAsia="宋体" w:cs="Times New Roman"/>
                <w:color w:val="auto"/>
                <w:kern w:val="0"/>
                <w:sz w:val="24"/>
                <w:highlight w:val="yellow"/>
              </w:rPr>
            </w:pPr>
            <w:r>
              <w:rPr>
                <w:rFonts w:hint="default" w:ascii="Times New Roman" w:hAnsi="Times New Roman" w:eastAsia="宋体" w:cs="Times New Roman"/>
                <w:color w:val="auto"/>
                <w:kern w:val="0"/>
                <w:sz w:val="24"/>
                <w:highlight w:val="none"/>
              </w:rPr>
              <w:t>单位产品非甲烷总烃含量根据《合成树脂工业污染物排放标准》（GB31572-2015）</w:t>
            </w:r>
            <w:r>
              <w:rPr>
                <w:rFonts w:hint="default" w:ascii="Times New Roman" w:hAnsi="Times New Roman" w:eastAsia="宋体" w:cs="Times New Roman"/>
                <w:color w:val="auto"/>
                <w:sz w:val="24"/>
                <w:szCs w:val="24"/>
                <w:highlight w:val="none"/>
                <w:lang w:val="en-US" w:eastAsia="zh-CN"/>
              </w:rPr>
              <w:t>及2024年修改单中</w:t>
            </w:r>
            <w:r>
              <w:rPr>
                <w:rFonts w:hint="default" w:ascii="Times New Roman" w:hAnsi="Times New Roman" w:eastAsia="宋体" w:cs="Times New Roman"/>
                <w:color w:val="auto"/>
                <w:kern w:val="0"/>
                <w:sz w:val="24"/>
                <w:highlight w:val="none"/>
              </w:rPr>
              <w:t>附录B公式计算：</w:t>
            </w:r>
          </w:p>
          <w:p w14:paraId="2692D9B6">
            <w:pPr>
              <w:adjustRightInd w:val="0"/>
              <w:snapToGrid w:val="0"/>
              <w:spacing w:line="360" w:lineRule="auto"/>
              <w:ind w:firstLine="480" w:firstLineChars="200"/>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highlight w:val="none"/>
              </w:rPr>
              <w:drawing>
                <wp:anchor distT="0" distB="0" distL="114300" distR="114300" simplePos="0" relativeHeight="251662336" behindDoc="0" locked="0" layoutInCell="1" allowOverlap="1">
                  <wp:simplePos x="0" y="0"/>
                  <wp:positionH relativeFrom="column">
                    <wp:posOffset>2124075</wp:posOffset>
                  </wp:positionH>
                  <wp:positionV relativeFrom="paragraph">
                    <wp:posOffset>34925</wp:posOffset>
                  </wp:positionV>
                  <wp:extent cx="1844040" cy="616585"/>
                  <wp:effectExtent l="0" t="0" r="3810" b="12065"/>
                  <wp:wrapSquare wrapText="bothSides"/>
                  <wp:docPr id="19" name="图片 26" descr="16288452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6" descr="1628845270(1)"/>
                          <pic:cNvPicPr>
                            <a:picLocks noChangeAspect="1"/>
                          </pic:cNvPicPr>
                        </pic:nvPicPr>
                        <pic:blipFill>
                          <a:blip r:embed="rId20"/>
                          <a:srcRect l="29050" t="14525"/>
                          <a:stretch>
                            <a:fillRect/>
                          </a:stretch>
                        </pic:blipFill>
                        <pic:spPr>
                          <a:xfrm>
                            <a:off x="0" y="0"/>
                            <a:ext cx="1844040" cy="616585"/>
                          </a:xfrm>
                          <a:prstGeom prst="rect">
                            <a:avLst/>
                          </a:prstGeom>
                          <a:noFill/>
                          <a:ln>
                            <a:noFill/>
                          </a:ln>
                        </pic:spPr>
                      </pic:pic>
                    </a:graphicData>
                  </a:graphic>
                </wp:anchor>
              </w:drawing>
            </w:r>
          </w:p>
          <w:p w14:paraId="15717A15">
            <w:pPr>
              <w:adjustRightInd w:val="0"/>
              <w:snapToGrid w:val="0"/>
              <w:spacing w:line="360" w:lineRule="auto"/>
              <w:ind w:firstLine="480" w:firstLineChars="200"/>
              <w:rPr>
                <w:rFonts w:hint="default" w:ascii="Times New Roman" w:hAnsi="Times New Roman" w:eastAsia="宋体" w:cs="Times New Roman"/>
                <w:color w:val="auto"/>
                <w:kern w:val="0"/>
                <w:sz w:val="24"/>
              </w:rPr>
            </w:pPr>
          </w:p>
          <w:p w14:paraId="7B2A10ED">
            <w:pPr>
              <w:adjustRightInd w:val="0"/>
              <w:snapToGrid w:val="0"/>
              <w:spacing w:line="360" w:lineRule="auto"/>
              <w:rPr>
                <w:rFonts w:hint="default" w:ascii="Times New Roman" w:hAnsi="Times New Roman" w:eastAsia="宋体" w:cs="Times New Roman"/>
                <w:color w:val="auto"/>
                <w:kern w:val="0"/>
                <w:sz w:val="24"/>
              </w:rPr>
            </w:pPr>
          </w:p>
          <w:p w14:paraId="6A2F4A0B">
            <w:pPr>
              <w:adjustRightInd w:val="0"/>
              <w:snapToGrid w:val="0"/>
              <w:spacing w:line="360" w:lineRule="auto"/>
              <w:ind w:firstLine="480" w:firstLineChars="200"/>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式中：</w:t>
            </w:r>
            <w:r>
              <w:rPr>
                <w:rFonts w:hint="default" w:ascii="Times New Roman" w:hAnsi="Times New Roman" w:eastAsia="宋体" w:cs="Times New Roman"/>
                <w:i/>
                <w:iCs/>
                <w:color w:val="auto"/>
                <w:kern w:val="0"/>
                <w:sz w:val="24"/>
              </w:rPr>
              <w:t>A</w:t>
            </w:r>
            <w:r>
              <w:rPr>
                <w:rFonts w:hint="default" w:ascii="Times New Roman" w:hAnsi="Times New Roman" w:eastAsia="宋体" w:cs="Times New Roman"/>
                <w:color w:val="auto"/>
                <w:kern w:val="0"/>
                <w:sz w:val="24"/>
              </w:rPr>
              <w:t>—单位合成树脂产品非甲烷总烃排放量，kg/t-产品；</w:t>
            </w:r>
          </w:p>
          <w:p w14:paraId="0456EE46">
            <w:pPr>
              <w:adjustRightInd w:val="0"/>
              <w:snapToGrid w:val="0"/>
              <w:spacing w:line="360" w:lineRule="auto"/>
              <w:ind w:firstLine="960" w:firstLineChars="4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rPr>
              <w:t>C实—排气筒中非甲烷总烃实测浓度，mg/m</w:t>
            </w:r>
            <w:r>
              <w:rPr>
                <w:rFonts w:hint="default" w:ascii="Times New Roman" w:hAnsi="Times New Roman" w:eastAsia="宋体" w:cs="Times New Roman"/>
                <w:color w:val="auto"/>
                <w:kern w:val="0"/>
                <w:sz w:val="24"/>
                <w:vertAlign w:val="superscript"/>
              </w:rPr>
              <w:t>3</w:t>
            </w:r>
            <w:r>
              <w:rPr>
                <w:rFonts w:hint="default" w:ascii="Times New Roman" w:hAnsi="Times New Roman" w:eastAsia="宋体" w:cs="Times New Roman"/>
                <w:color w:val="auto"/>
                <w:kern w:val="0"/>
                <w:sz w:val="24"/>
              </w:rPr>
              <w:t>；</w:t>
            </w:r>
            <w:r>
              <w:rPr>
                <w:rFonts w:hint="default" w:ascii="Times New Roman" w:hAnsi="Times New Roman" w:eastAsia="宋体" w:cs="Times New Roman"/>
                <w:color w:val="auto"/>
                <w:kern w:val="0"/>
                <w:sz w:val="24"/>
                <w:lang w:val="en-US" w:eastAsia="zh-CN"/>
              </w:rPr>
              <w:t>DA00</w:t>
            </w:r>
            <w:r>
              <w:rPr>
                <w:rFonts w:hint="eastAsia" w:ascii="Times New Roman" w:hAnsi="Times New Roman" w:eastAsia="宋体" w:cs="Times New Roman"/>
                <w:color w:val="auto"/>
                <w:kern w:val="0"/>
                <w:sz w:val="24"/>
                <w:lang w:val="en-US" w:eastAsia="zh-CN"/>
              </w:rPr>
              <w:t>1</w:t>
            </w:r>
            <w:r>
              <w:rPr>
                <w:rFonts w:hint="default" w:ascii="Times New Roman" w:hAnsi="Times New Roman" w:eastAsia="宋体" w:cs="Times New Roman"/>
                <w:color w:val="auto"/>
                <w:kern w:val="0"/>
                <w:sz w:val="24"/>
                <w:lang w:val="en-US" w:eastAsia="zh-CN"/>
              </w:rPr>
              <w:t>排气筒中非甲烷总烃浓度</w:t>
            </w:r>
            <w:r>
              <w:rPr>
                <w:rFonts w:hint="default" w:ascii="Times New Roman" w:hAnsi="Times New Roman" w:eastAsia="宋体" w:cs="Times New Roman"/>
                <w:color w:val="auto"/>
                <w:kern w:val="0"/>
                <w:sz w:val="24"/>
              </w:rPr>
              <w:t>取</w:t>
            </w:r>
            <w:r>
              <w:rPr>
                <w:rFonts w:hint="eastAsia" w:cs="Times New Roman"/>
                <w:color w:val="auto"/>
                <w:kern w:val="0"/>
                <w:sz w:val="24"/>
                <w:lang w:val="en-US" w:eastAsia="zh-CN"/>
              </w:rPr>
              <w:t>78.22</w:t>
            </w:r>
            <w:r>
              <w:rPr>
                <w:rFonts w:hint="default" w:ascii="Times New Roman" w:hAnsi="Times New Roman" w:eastAsia="宋体" w:cs="Times New Roman"/>
                <w:color w:val="auto"/>
                <w:kern w:val="0"/>
                <w:sz w:val="24"/>
                <w:highlight w:val="none"/>
              </w:rPr>
              <w:t>mg/m</w:t>
            </w:r>
            <w:r>
              <w:rPr>
                <w:rFonts w:hint="default" w:ascii="Times New Roman" w:hAnsi="Times New Roman" w:eastAsia="宋体" w:cs="Times New Roman"/>
                <w:color w:val="auto"/>
                <w:kern w:val="0"/>
                <w:sz w:val="24"/>
                <w:highlight w:val="none"/>
                <w:vertAlign w:val="superscript"/>
              </w:rPr>
              <w:t>3</w:t>
            </w:r>
            <w:r>
              <w:rPr>
                <w:rFonts w:hint="default" w:ascii="Times New Roman" w:hAnsi="Times New Roman" w:eastAsia="宋体" w:cs="Times New Roman"/>
                <w:color w:val="auto"/>
                <w:kern w:val="0"/>
                <w:sz w:val="24"/>
                <w:highlight w:val="none"/>
              </w:rPr>
              <w:t>；</w:t>
            </w:r>
          </w:p>
          <w:p w14:paraId="48BECFAB">
            <w:pPr>
              <w:adjustRightInd w:val="0"/>
              <w:snapToGrid w:val="0"/>
              <w:spacing w:line="360" w:lineRule="auto"/>
              <w:ind w:firstLine="960" w:firstLineChars="400"/>
              <w:rPr>
                <w:rFonts w:hint="default" w:ascii="Times New Roman" w:hAnsi="Times New Roman" w:eastAsia="宋体" w:cs="Times New Roman"/>
                <w:color w:val="auto"/>
                <w:kern w:val="0"/>
                <w:sz w:val="24"/>
                <w:lang w:eastAsia="zh-CN"/>
              </w:rPr>
            </w:pPr>
            <w:r>
              <w:rPr>
                <w:rFonts w:hint="default" w:ascii="Times New Roman" w:hAnsi="Times New Roman" w:eastAsia="宋体" w:cs="Times New Roman"/>
                <w:color w:val="auto"/>
                <w:kern w:val="0"/>
                <w:sz w:val="24"/>
              </w:rPr>
              <w:t>Q—排气筒单位事件内排气量，m</w:t>
            </w:r>
            <w:r>
              <w:rPr>
                <w:rFonts w:hint="default" w:ascii="Times New Roman" w:hAnsi="Times New Roman" w:eastAsia="宋体" w:cs="Times New Roman"/>
                <w:color w:val="auto"/>
                <w:kern w:val="0"/>
                <w:sz w:val="24"/>
                <w:vertAlign w:val="superscript"/>
              </w:rPr>
              <w:t>3</w:t>
            </w:r>
            <w:r>
              <w:rPr>
                <w:rFonts w:hint="default" w:ascii="Times New Roman" w:hAnsi="Times New Roman" w:eastAsia="宋体" w:cs="Times New Roman"/>
                <w:color w:val="auto"/>
                <w:kern w:val="0"/>
                <w:sz w:val="24"/>
              </w:rPr>
              <w:t>/h；</w:t>
            </w:r>
            <w:r>
              <w:rPr>
                <w:rFonts w:hint="default" w:ascii="Times New Roman" w:hAnsi="Times New Roman" w:eastAsia="宋体" w:cs="Times New Roman"/>
                <w:color w:val="auto"/>
                <w:kern w:val="0"/>
                <w:sz w:val="24"/>
                <w:lang w:val="en-US" w:eastAsia="zh-CN"/>
              </w:rPr>
              <w:t>DA00</w:t>
            </w:r>
            <w:r>
              <w:rPr>
                <w:rFonts w:hint="eastAsia" w:ascii="Times New Roman" w:hAnsi="Times New Roman" w:eastAsia="宋体" w:cs="Times New Roman"/>
                <w:color w:val="auto"/>
                <w:kern w:val="0"/>
                <w:sz w:val="24"/>
                <w:lang w:val="en-US" w:eastAsia="zh-CN"/>
              </w:rPr>
              <w:t>1</w:t>
            </w:r>
            <w:r>
              <w:rPr>
                <w:rFonts w:hint="default" w:ascii="Times New Roman" w:hAnsi="Times New Roman" w:eastAsia="宋体" w:cs="Times New Roman"/>
                <w:color w:val="auto"/>
                <w:kern w:val="0"/>
                <w:sz w:val="24"/>
                <w:lang w:val="en-US" w:eastAsia="zh-CN"/>
              </w:rPr>
              <w:t>排气筒风量为</w:t>
            </w:r>
            <w:r>
              <w:rPr>
                <w:rFonts w:hint="eastAsia" w:cs="Times New Roman"/>
                <w:color w:val="auto"/>
                <w:kern w:val="0"/>
                <w:sz w:val="24"/>
                <w:lang w:val="en-US" w:eastAsia="zh-CN"/>
              </w:rPr>
              <w:t>20000</w:t>
            </w:r>
            <w:r>
              <w:rPr>
                <w:rFonts w:hint="default" w:ascii="Times New Roman" w:hAnsi="Times New Roman" w:eastAsia="宋体" w:cs="Times New Roman"/>
                <w:color w:val="auto"/>
                <w:kern w:val="0"/>
                <w:sz w:val="24"/>
              </w:rPr>
              <w:t>m</w:t>
            </w:r>
            <w:r>
              <w:rPr>
                <w:rFonts w:hint="default" w:ascii="Times New Roman" w:hAnsi="Times New Roman" w:eastAsia="宋体" w:cs="Times New Roman"/>
                <w:color w:val="auto"/>
                <w:kern w:val="0"/>
                <w:sz w:val="24"/>
                <w:vertAlign w:val="superscript"/>
              </w:rPr>
              <w:t>3</w:t>
            </w:r>
            <w:r>
              <w:rPr>
                <w:rFonts w:hint="default" w:ascii="Times New Roman" w:hAnsi="Times New Roman" w:eastAsia="宋体" w:cs="Times New Roman"/>
                <w:color w:val="auto"/>
                <w:kern w:val="0"/>
                <w:sz w:val="24"/>
              </w:rPr>
              <w:t>/h</w:t>
            </w:r>
            <w:r>
              <w:rPr>
                <w:rFonts w:hint="default" w:ascii="Times New Roman" w:hAnsi="Times New Roman" w:eastAsia="宋体" w:cs="Times New Roman"/>
                <w:color w:val="auto"/>
                <w:kern w:val="0"/>
                <w:sz w:val="24"/>
                <w:lang w:eastAsia="zh-CN"/>
              </w:rPr>
              <w:t>；</w:t>
            </w:r>
          </w:p>
          <w:p w14:paraId="16743C37">
            <w:pPr>
              <w:adjustRightInd w:val="0"/>
              <w:snapToGrid w:val="0"/>
              <w:spacing w:line="360" w:lineRule="auto"/>
              <w:ind w:firstLine="960" w:firstLineChars="4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rPr>
              <w:t>T产—单位时间内合成树脂的产量，t/h；</w:t>
            </w:r>
            <w:r>
              <w:rPr>
                <w:rFonts w:hint="default" w:ascii="Times New Roman" w:hAnsi="Times New Roman" w:eastAsia="宋体" w:cs="Times New Roman"/>
                <w:color w:val="auto"/>
                <w:kern w:val="0"/>
                <w:sz w:val="24"/>
                <w:highlight w:val="none"/>
                <w:lang w:val="en-US" w:eastAsia="zh-CN"/>
              </w:rPr>
              <w:t>项目年生产</w:t>
            </w:r>
            <w:r>
              <w:rPr>
                <w:rFonts w:hint="eastAsia" w:cs="Times New Roman"/>
                <w:color w:val="auto"/>
                <w:kern w:val="0"/>
                <w:sz w:val="24"/>
                <w:highlight w:val="none"/>
                <w:lang w:val="en-US" w:eastAsia="zh-CN"/>
              </w:rPr>
              <w:t>24</w:t>
            </w:r>
            <w:r>
              <w:rPr>
                <w:rFonts w:hint="default" w:ascii="Times New Roman" w:hAnsi="Times New Roman" w:eastAsia="宋体" w:cs="Times New Roman"/>
                <w:color w:val="auto"/>
                <w:kern w:val="0"/>
                <w:sz w:val="24"/>
                <w:highlight w:val="none"/>
                <w:lang w:val="en-US" w:eastAsia="zh-CN"/>
              </w:rPr>
              <w:t>00h，本项目</w:t>
            </w:r>
            <w:r>
              <w:rPr>
                <w:rFonts w:hint="default" w:ascii="Times New Roman" w:hAnsi="Times New Roman" w:eastAsia="宋体" w:cs="Times New Roman"/>
                <w:color w:val="auto"/>
                <w:sz w:val="24"/>
                <w:szCs w:val="24"/>
                <w:highlight w:val="none"/>
                <w:lang w:val="en-US" w:eastAsia="zh-CN"/>
              </w:rPr>
              <w:t>年产</w:t>
            </w:r>
            <w:r>
              <w:rPr>
                <w:rFonts w:hint="eastAsia" w:ascii="Times New Roman" w:hAnsi="Times New Roman" w:eastAsia="宋体" w:cs="Times New Roman"/>
                <w:color w:val="auto"/>
                <w:sz w:val="24"/>
                <w:szCs w:val="24"/>
                <w:highlight w:val="none"/>
                <w:lang w:val="en-US" w:eastAsia="zh-CN"/>
              </w:rPr>
              <w:t>各类塑料包装箱及容器8691吨</w:t>
            </w:r>
            <w:r>
              <w:rPr>
                <w:rFonts w:hint="default" w:ascii="Times New Roman" w:hAnsi="Times New Roman" w:eastAsia="宋体" w:cs="Times New Roman"/>
                <w:color w:val="auto"/>
                <w:kern w:val="0"/>
                <w:sz w:val="24"/>
                <w:highlight w:val="none"/>
              </w:rPr>
              <w:t>，</w:t>
            </w:r>
            <w:r>
              <w:rPr>
                <w:rFonts w:hint="default" w:ascii="Times New Roman" w:hAnsi="Times New Roman" w:eastAsia="宋体" w:cs="Times New Roman"/>
                <w:color w:val="auto"/>
                <w:kern w:val="0"/>
                <w:sz w:val="24"/>
                <w:highlight w:val="none"/>
                <w:lang w:val="en-US" w:eastAsia="zh-CN"/>
              </w:rPr>
              <w:t>即</w:t>
            </w:r>
            <w:r>
              <w:rPr>
                <w:rFonts w:hint="eastAsia" w:cs="Times New Roman"/>
                <w:color w:val="auto"/>
                <w:kern w:val="0"/>
                <w:sz w:val="24"/>
                <w:highlight w:val="none"/>
                <w:lang w:val="en-US" w:eastAsia="zh-CN"/>
              </w:rPr>
              <w:t>3.6213</w:t>
            </w:r>
            <w:r>
              <w:rPr>
                <w:rFonts w:hint="default" w:ascii="Times New Roman" w:hAnsi="Times New Roman" w:eastAsia="宋体" w:cs="Times New Roman"/>
                <w:color w:val="auto"/>
                <w:kern w:val="0"/>
                <w:sz w:val="24"/>
                <w:highlight w:val="none"/>
                <w:lang w:val="en-US" w:eastAsia="zh-CN"/>
              </w:rPr>
              <w:t>t/h；</w:t>
            </w:r>
          </w:p>
          <w:p w14:paraId="12CD142B">
            <w:pPr>
              <w:adjustRightInd w:val="0"/>
              <w:snapToGrid w:val="0"/>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rPr>
              <w:t>根据上式计算得</w:t>
            </w:r>
            <w:r>
              <w:rPr>
                <w:rFonts w:hint="default" w:ascii="Times New Roman" w:hAnsi="Times New Roman" w:eastAsia="宋体" w:cs="Times New Roman"/>
                <w:color w:val="auto"/>
                <w:kern w:val="0"/>
                <w:sz w:val="24"/>
                <w:highlight w:val="none"/>
                <w:lang w:val="en-US" w:eastAsia="zh-CN"/>
              </w:rPr>
              <w:t>本项目</w:t>
            </w:r>
            <w:r>
              <w:rPr>
                <w:rFonts w:hint="default" w:ascii="Times New Roman" w:hAnsi="Times New Roman" w:eastAsia="宋体" w:cs="Times New Roman"/>
                <w:color w:val="auto"/>
                <w:kern w:val="0"/>
                <w:sz w:val="24"/>
                <w:highlight w:val="none"/>
              </w:rPr>
              <w:t>单位产品非甲烷总烃排放量为</w:t>
            </w:r>
            <w:r>
              <w:rPr>
                <w:rFonts w:hint="default" w:ascii="Times New Roman" w:hAnsi="Times New Roman" w:eastAsia="宋体" w:cs="Times New Roman"/>
                <w:color w:val="auto"/>
                <w:kern w:val="0"/>
                <w:sz w:val="24"/>
                <w:highlight w:val="none"/>
                <w:lang w:val="en-US" w:eastAsia="zh-CN"/>
              </w:rPr>
              <w:t>0.</w:t>
            </w:r>
            <w:r>
              <w:rPr>
                <w:rFonts w:hint="eastAsia" w:cs="Times New Roman"/>
                <w:color w:val="auto"/>
                <w:kern w:val="0"/>
                <w:sz w:val="24"/>
                <w:highlight w:val="none"/>
                <w:lang w:val="en-US" w:eastAsia="zh-CN"/>
              </w:rPr>
              <w:t>4320</w:t>
            </w:r>
            <w:r>
              <w:rPr>
                <w:rFonts w:hint="default" w:ascii="Times New Roman" w:hAnsi="Times New Roman" w:eastAsia="宋体" w:cs="Times New Roman"/>
                <w:color w:val="auto"/>
                <w:kern w:val="0"/>
                <w:sz w:val="24"/>
                <w:highlight w:val="none"/>
              </w:rPr>
              <w:t>kg/t-产品</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lang w:val="en-US" w:eastAsia="zh-CN"/>
              </w:rPr>
              <w:t>能满足</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合成树脂工业污染物排放标准</w:t>
            </w:r>
            <w:r>
              <w:rPr>
                <w:rFonts w:hint="default" w:ascii="Times New Roman" w:hAnsi="Times New Roman" w:eastAsia="宋体" w:cs="Times New Roman"/>
                <w:color w:val="auto"/>
                <w:sz w:val="24"/>
                <w:szCs w:val="24"/>
              </w:rPr>
              <w:t>》（GB</w:t>
            </w:r>
            <w:r>
              <w:rPr>
                <w:rFonts w:hint="default" w:ascii="Times New Roman" w:hAnsi="Times New Roman" w:eastAsia="宋体" w:cs="Times New Roman"/>
                <w:color w:val="auto"/>
                <w:sz w:val="24"/>
                <w:szCs w:val="24"/>
                <w:lang w:val="en-US" w:eastAsia="zh-CN"/>
              </w:rPr>
              <w:t>31572</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2015</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highlight w:val="none"/>
                <w:lang w:val="en-US" w:eastAsia="zh-CN"/>
              </w:rPr>
              <w:t>及2024年修改单中</w:t>
            </w:r>
            <w:r>
              <w:rPr>
                <w:rFonts w:hint="default" w:ascii="Times New Roman" w:hAnsi="Times New Roman" w:eastAsia="宋体" w:cs="Times New Roman"/>
                <w:color w:val="auto"/>
                <w:sz w:val="24"/>
                <w:szCs w:val="24"/>
                <w:highlight w:val="none"/>
              </w:rPr>
              <w:t>单位产品非甲烷总烃排放量</w:t>
            </w:r>
            <w:r>
              <w:rPr>
                <w:rFonts w:hint="default" w:ascii="Times New Roman" w:hAnsi="Times New Roman" w:eastAsia="宋体" w:cs="Times New Roman"/>
                <w:color w:val="auto"/>
                <w:sz w:val="24"/>
                <w:szCs w:val="24"/>
                <w:highlight w:val="none"/>
                <w:lang w:val="en-US" w:eastAsia="zh-CN"/>
              </w:rPr>
              <w:t>满足0.5</w:t>
            </w:r>
            <w:r>
              <w:rPr>
                <w:rFonts w:hint="default" w:ascii="Times New Roman" w:hAnsi="Times New Roman" w:eastAsia="宋体" w:cs="Times New Roman"/>
                <w:color w:val="auto"/>
                <w:sz w:val="24"/>
                <w:szCs w:val="24"/>
                <w:highlight w:val="none"/>
              </w:rPr>
              <w:t>kg/t产品</w:t>
            </w:r>
            <w:r>
              <w:rPr>
                <w:rFonts w:hint="default" w:ascii="Times New Roman" w:hAnsi="Times New Roman" w:eastAsia="宋体" w:cs="Times New Roman"/>
                <w:color w:val="auto"/>
                <w:sz w:val="24"/>
                <w:szCs w:val="24"/>
                <w:highlight w:val="none"/>
                <w:lang w:val="en-US" w:eastAsia="zh-CN"/>
              </w:rPr>
              <w:t>的要求。</w:t>
            </w:r>
          </w:p>
          <w:p w14:paraId="685D8461">
            <w:pPr>
              <w:adjustRightInd w:val="0"/>
              <w:snapToGrid w:val="0"/>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eastAsia" w:cs="Times New Roman"/>
                <w:color w:val="auto"/>
                <w:kern w:val="0"/>
                <w:sz w:val="24"/>
                <w:highlight w:val="none"/>
                <w:lang w:val="en-US" w:eastAsia="zh-CN"/>
              </w:rPr>
              <w:t>③</w:t>
            </w:r>
            <w:r>
              <w:rPr>
                <w:rFonts w:hint="default" w:ascii="Times New Roman" w:hAnsi="Times New Roman" w:eastAsia="宋体" w:cs="Times New Roman"/>
                <w:color w:val="auto"/>
                <w:kern w:val="0"/>
                <w:sz w:val="24"/>
                <w:highlight w:val="none"/>
                <w:lang w:val="en-US" w:eastAsia="zh-CN"/>
              </w:rPr>
              <w:t>无组织废气达标分析</w:t>
            </w:r>
          </w:p>
          <w:p w14:paraId="6EA9CF58">
            <w:pPr>
              <w:adjustRightInd w:val="0"/>
              <w:snapToGrid w:val="0"/>
              <w:spacing w:line="360" w:lineRule="auto"/>
              <w:ind w:firstLine="482"/>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rPr>
              <w:t>本环评采用AERSCREEN模型估算</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项目建成后排放的污染物对周围环境的影响，估算模式为国家环境保护部工程评估中心环境质量模拟重点实验室提供。根据估算模式估算结果，</w:t>
            </w:r>
            <w:r>
              <w:rPr>
                <w:bCs/>
                <w:color w:val="auto"/>
                <w:sz w:val="24"/>
              </w:rPr>
              <w:t>项目无组织排放的污染物最大地面落地浓度距源距离为源下风向</w:t>
            </w:r>
            <w:r>
              <w:rPr>
                <w:rFonts w:hint="eastAsia"/>
                <w:bCs/>
                <w:color w:val="auto"/>
                <w:sz w:val="24"/>
              </w:rPr>
              <w:t>7</w:t>
            </w:r>
            <w:r>
              <w:rPr>
                <w:rFonts w:hint="eastAsia"/>
                <w:bCs/>
                <w:color w:val="auto"/>
                <w:sz w:val="24"/>
                <w:lang w:val="en-US" w:eastAsia="zh-CN"/>
              </w:rPr>
              <w:t>9</w:t>
            </w:r>
            <w:r>
              <w:rPr>
                <w:bCs/>
                <w:color w:val="auto"/>
                <w:sz w:val="24"/>
              </w:rPr>
              <w:t>m，</w:t>
            </w:r>
            <w:r>
              <w:rPr>
                <w:bCs/>
                <w:color w:val="auto"/>
                <w:sz w:val="24"/>
                <w:highlight w:val="none"/>
              </w:rPr>
              <w:t>无组织颗粒物最大落地浓度为0.0</w:t>
            </w:r>
            <w:r>
              <w:rPr>
                <w:rFonts w:hint="eastAsia"/>
                <w:bCs/>
                <w:color w:val="auto"/>
                <w:sz w:val="24"/>
                <w:highlight w:val="none"/>
                <w:lang w:val="en-US" w:eastAsia="zh-CN"/>
              </w:rPr>
              <w:t>233</w:t>
            </w:r>
            <w:r>
              <w:rPr>
                <w:bCs/>
                <w:color w:val="auto"/>
                <w:sz w:val="24"/>
                <w:highlight w:val="none"/>
              </w:rPr>
              <w:t>mg/m</w:t>
            </w:r>
            <w:r>
              <w:rPr>
                <w:bCs/>
                <w:color w:val="auto"/>
                <w:sz w:val="24"/>
                <w:highlight w:val="none"/>
                <w:vertAlign w:val="superscript"/>
              </w:rPr>
              <w:t>3</w:t>
            </w:r>
            <w:r>
              <w:rPr>
                <w:bCs/>
                <w:color w:val="auto"/>
                <w:sz w:val="24"/>
                <w:highlight w:val="none"/>
              </w:rPr>
              <w:t>，占标率为</w:t>
            </w:r>
            <w:r>
              <w:rPr>
                <w:rFonts w:hint="eastAsia"/>
                <w:bCs/>
                <w:color w:val="auto"/>
                <w:sz w:val="24"/>
                <w:highlight w:val="none"/>
                <w:lang w:val="en-US" w:eastAsia="zh-CN"/>
              </w:rPr>
              <w:t>2.59</w:t>
            </w:r>
            <w:r>
              <w:rPr>
                <w:bCs/>
                <w:color w:val="auto"/>
                <w:sz w:val="24"/>
                <w:highlight w:val="none"/>
              </w:rPr>
              <w:t>%；</w:t>
            </w:r>
            <w:r>
              <w:rPr>
                <w:rFonts w:hint="eastAsia"/>
                <w:bCs/>
                <w:color w:val="auto"/>
                <w:sz w:val="24"/>
              </w:rPr>
              <w:t>非甲烷总烃</w:t>
            </w:r>
            <w:r>
              <w:rPr>
                <w:bCs/>
                <w:color w:val="auto"/>
                <w:sz w:val="24"/>
              </w:rPr>
              <w:t>最大落地浓度为0.</w:t>
            </w:r>
            <w:r>
              <w:rPr>
                <w:rFonts w:hint="eastAsia"/>
                <w:bCs/>
                <w:color w:val="auto"/>
                <w:sz w:val="24"/>
                <w:lang w:val="en-US" w:eastAsia="zh-CN"/>
              </w:rPr>
              <w:t>683</w:t>
            </w:r>
            <w:r>
              <w:rPr>
                <w:bCs/>
                <w:color w:val="auto"/>
                <w:sz w:val="24"/>
              </w:rPr>
              <w:t>mg/m</w:t>
            </w:r>
            <w:r>
              <w:rPr>
                <w:bCs/>
                <w:color w:val="auto"/>
                <w:sz w:val="24"/>
                <w:vertAlign w:val="superscript"/>
              </w:rPr>
              <w:t>3</w:t>
            </w:r>
            <w:r>
              <w:rPr>
                <w:bCs/>
                <w:color w:val="auto"/>
                <w:sz w:val="24"/>
              </w:rPr>
              <w:t>，占标率为</w:t>
            </w:r>
            <w:r>
              <w:rPr>
                <w:rFonts w:hint="eastAsia"/>
                <w:bCs/>
                <w:color w:val="auto"/>
                <w:sz w:val="24"/>
                <w:lang w:val="en-US" w:eastAsia="zh-CN"/>
              </w:rPr>
              <w:t>28.47</w:t>
            </w:r>
            <w:r>
              <w:rPr>
                <w:bCs/>
                <w:color w:val="auto"/>
                <w:sz w:val="24"/>
              </w:rPr>
              <w:t>%</w:t>
            </w:r>
            <w:r>
              <w:rPr>
                <w:rFonts w:hint="eastAsia"/>
                <w:bCs/>
                <w:color w:val="auto"/>
                <w:sz w:val="24"/>
              </w:rPr>
              <w:t>。颗粒物无组织最大落地浓度满足</w:t>
            </w:r>
            <w:r>
              <w:rPr>
                <w:bCs/>
                <w:color w:val="auto"/>
                <w:sz w:val="24"/>
                <w:lang w:val="zh-CN"/>
              </w:rPr>
              <w:t>《环境空气质量标准》（GB3095-2012）二级标准</w:t>
            </w:r>
            <w:r>
              <w:rPr>
                <w:rFonts w:hint="eastAsia"/>
                <w:bCs/>
                <w:color w:val="auto"/>
                <w:sz w:val="24"/>
                <w:lang w:val="zh-CN"/>
              </w:rPr>
              <w:t>；</w:t>
            </w:r>
            <w:r>
              <w:rPr>
                <w:bCs/>
                <w:color w:val="auto"/>
                <w:sz w:val="24"/>
              </w:rPr>
              <w:t>非甲烷总烃</w:t>
            </w:r>
            <w:r>
              <w:rPr>
                <w:rFonts w:hint="eastAsia"/>
                <w:bCs/>
                <w:color w:val="auto"/>
                <w:sz w:val="24"/>
              </w:rPr>
              <w:t>无组织最大落地浓度满足</w:t>
            </w:r>
            <w:r>
              <w:rPr>
                <w:bCs/>
                <w:color w:val="auto"/>
                <w:sz w:val="24"/>
              </w:rPr>
              <w:t>《大气污染物综合排放标准详解》</w:t>
            </w:r>
            <w:r>
              <w:rPr>
                <w:rFonts w:hint="eastAsia"/>
                <w:bCs/>
                <w:color w:val="auto"/>
                <w:sz w:val="24"/>
              </w:rPr>
              <w:t>中的浓度限值要求。</w:t>
            </w:r>
            <w:r>
              <w:rPr>
                <w:bCs/>
                <w:color w:val="auto"/>
                <w:sz w:val="24"/>
              </w:rPr>
              <w:t>厂区内无组织非甲烷总烃满足《挥发性有机物无组织排放控制标准》</w:t>
            </w:r>
            <w:r>
              <w:rPr>
                <w:bCs/>
                <w:color w:val="auto"/>
                <w:sz w:val="24"/>
                <w:lang w:val="zh-CN"/>
              </w:rPr>
              <w:t>（GB</w:t>
            </w:r>
            <w:r>
              <w:rPr>
                <w:bCs/>
                <w:color w:val="auto"/>
                <w:sz w:val="24"/>
              </w:rPr>
              <w:t>37822</w:t>
            </w:r>
            <w:r>
              <w:rPr>
                <w:bCs/>
                <w:color w:val="auto"/>
                <w:sz w:val="24"/>
                <w:lang w:val="zh-CN"/>
              </w:rPr>
              <w:t>-</w:t>
            </w:r>
            <w:r>
              <w:rPr>
                <w:bCs/>
                <w:color w:val="auto"/>
                <w:sz w:val="24"/>
              </w:rPr>
              <w:t>2019</w:t>
            </w:r>
            <w:r>
              <w:rPr>
                <w:bCs/>
                <w:color w:val="auto"/>
                <w:sz w:val="24"/>
                <w:lang w:val="zh-CN"/>
              </w:rPr>
              <w:t>）</w:t>
            </w:r>
            <w:r>
              <w:rPr>
                <w:bCs/>
                <w:color w:val="auto"/>
                <w:sz w:val="24"/>
              </w:rPr>
              <w:t>中要求</w:t>
            </w:r>
            <w:r>
              <w:rPr>
                <w:bCs/>
                <w:color w:val="auto"/>
                <w:sz w:val="24"/>
                <w:lang w:val="zh-CN"/>
              </w:rPr>
              <w:t>；</w:t>
            </w:r>
            <w:r>
              <w:rPr>
                <w:bCs/>
                <w:color w:val="auto"/>
                <w:sz w:val="24"/>
              </w:rPr>
              <w:t>厂界</w:t>
            </w:r>
            <w:r>
              <w:rPr>
                <w:rFonts w:hint="eastAsia"/>
                <w:bCs/>
                <w:color w:val="auto"/>
                <w:sz w:val="24"/>
              </w:rPr>
              <w:t>颗粒物、非甲烷总烃</w:t>
            </w:r>
            <w:r>
              <w:rPr>
                <w:bCs/>
                <w:color w:val="auto"/>
                <w:sz w:val="24"/>
              </w:rPr>
              <w:t>满足《合成树脂工业污染物排放标准》（GB31572-2015）</w:t>
            </w:r>
            <w:r>
              <w:rPr>
                <w:rFonts w:hint="default" w:ascii="Times New Roman" w:hAnsi="Times New Roman" w:eastAsia="宋体" w:cs="Times New Roman"/>
                <w:color w:val="auto"/>
                <w:sz w:val="24"/>
                <w:szCs w:val="24"/>
                <w:highlight w:val="none"/>
                <w:lang w:val="en-US" w:eastAsia="zh-CN"/>
              </w:rPr>
              <w:t>及2024年修改单中</w:t>
            </w:r>
            <w:r>
              <w:rPr>
                <w:bCs/>
                <w:color w:val="auto"/>
                <w:sz w:val="24"/>
              </w:rPr>
              <w:t>相关大气污染物排放限值要求；</w:t>
            </w:r>
            <w:r>
              <w:rPr>
                <w:rFonts w:hint="eastAsia"/>
                <w:bCs/>
                <w:color w:val="auto"/>
                <w:sz w:val="24"/>
              </w:rPr>
              <w:t>厂界无组织二氧化硫、氮氧化物满足</w:t>
            </w:r>
            <w:r>
              <w:rPr>
                <w:bCs/>
                <w:color w:val="auto"/>
                <w:sz w:val="24"/>
                <w:lang w:val="zh-CN"/>
              </w:rPr>
              <w:t>《大气污染物综合排放标准》（GB16297-1996）</w:t>
            </w:r>
            <w:r>
              <w:rPr>
                <w:bCs/>
                <w:color w:val="auto"/>
                <w:sz w:val="24"/>
              </w:rPr>
              <w:t>表2中二级浓度及无组织排放监控浓度限值要求</w:t>
            </w:r>
            <w:r>
              <w:rPr>
                <w:rFonts w:hint="eastAsia"/>
                <w:bCs/>
                <w:color w:val="auto"/>
                <w:sz w:val="24"/>
              </w:rPr>
              <w:t>；</w:t>
            </w:r>
            <w:r>
              <w:rPr>
                <w:bCs/>
                <w:color w:val="auto"/>
                <w:sz w:val="24"/>
              </w:rPr>
              <w:t>厂界无组织臭气浓度满足</w:t>
            </w:r>
            <w:r>
              <w:rPr>
                <w:bCs/>
                <w:color w:val="auto"/>
                <w:sz w:val="24"/>
                <w:lang w:val="zh-CN"/>
              </w:rPr>
              <w:t>《恶臭污染物排放标准》（GB14554-93）</w:t>
            </w:r>
            <w:r>
              <w:rPr>
                <w:bCs/>
                <w:color w:val="auto"/>
                <w:sz w:val="24"/>
              </w:rPr>
              <w:t>中</w:t>
            </w:r>
            <w:r>
              <w:rPr>
                <w:bCs/>
                <w:color w:val="auto"/>
                <w:sz w:val="24"/>
                <w:lang w:val="zh-CN"/>
              </w:rPr>
              <w:t>标准</w:t>
            </w:r>
            <w:r>
              <w:rPr>
                <w:bCs/>
                <w:color w:val="auto"/>
                <w:sz w:val="24"/>
              </w:rPr>
              <w:t>限值</w:t>
            </w:r>
            <w:r>
              <w:rPr>
                <w:bCs/>
                <w:color w:val="auto"/>
                <w:sz w:val="24"/>
                <w:lang w:val="zh-CN"/>
              </w:rPr>
              <w:t>要求。</w:t>
            </w:r>
          </w:p>
          <w:p w14:paraId="3566BDEA">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color w:val="auto"/>
                <w:kern w:val="0"/>
                <w:sz w:val="24"/>
                <w:highlight w:val="none"/>
              </w:rPr>
              <w:t>综上，本项目废气对周边大气环境影响较小。</w:t>
            </w:r>
          </w:p>
          <w:p w14:paraId="4BF478A6">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2）</w:t>
            </w:r>
            <w:r>
              <w:rPr>
                <w:rFonts w:hint="default" w:ascii="Times New Roman" w:hAnsi="Times New Roman" w:eastAsia="宋体" w:cs="Times New Roman"/>
                <w:b/>
                <w:color w:val="auto"/>
                <w:sz w:val="24"/>
                <w:szCs w:val="24"/>
                <w:highlight w:val="none"/>
              </w:rPr>
              <w:t>污染物排放量核算</w:t>
            </w:r>
          </w:p>
          <w:p w14:paraId="3BF42F3C">
            <w:pPr>
              <w:keepNext w:val="0"/>
              <w:keepLines w:val="0"/>
              <w:pageBreakBefore w:val="0"/>
              <w:widowControl w:val="0"/>
              <w:kinsoku/>
              <w:wordWrap/>
              <w:overflowPunct/>
              <w:topLinePunct w:val="0"/>
              <w:autoSpaceDE/>
              <w:autoSpaceDN/>
              <w:bidi w:val="0"/>
              <w:adjustRightInd w:val="0"/>
              <w:snapToGrid w:val="0"/>
              <w:spacing w:line="360" w:lineRule="auto"/>
              <w:ind w:firstLine="482"/>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val="0"/>
                <w:bCs/>
                <w:color w:val="auto"/>
                <w:sz w:val="24"/>
                <w:szCs w:val="24"/>
                <w:highlight w:val="none"/>
                <w:lang w:val="en-US" w:eastAsia="zh-CN"/>
              </w:rPr>
              <w:t>根据《环境影响评价技术导则 大气环境》（HJ2.2-2018）中8.1.2内容，结合项目废气排放形式，根据附录C.6.2 无组织排放量核算，对项目污染物排放量进行核算，详见下表所示。</w:t>
            </w:r>
          </w:p>
          <w:p w14:paraId="439DE681">
            <w:pPr>
              <w:jc w:val="center"/>
              <w:rPr>
                <w:b/>
                <w:bCs/>
                <w:color w:val="auto"/>
                <w:szCs w:val="21"/>
              </w:rPr>
            </w:pPr>
            <w:r>
              <w:rPr>
                <w:rFonts w:hint="default" w:ascii="Times New Roman" w:hAnsi="Times New Roman" w:eastAsia="宋体" w:cs="Times New Roman"/>
                <w:b/>
                <w:bCs/>
                <w:color w:val="auto"/>
                <w:sz w:val="21"/>
                <w:szCs w:val="21"/>
                <w:highlight w:val="none"/>
                <w:lang w:eastAsia="zh-CN"/>
              </w:rPr>
              <w:t>表</w:t>
            </w:r>
            <w:r>
              <w:rPr>
                <w:rFonts w:hint="default" w:ascii="Times New Roman" w:hAnsi="Times New Roman" w:eastAsia="宋体" w:cs="Times New Roman"/>
                <w:b/>
                <w:bCs/>
                <w:color w:val="auto"/>
                <w:sz w:val="21"/>
                <w:szCs w:val="21"/>
                <w:highlight w:val="none"/>
                <w:lang w:val="en-US" w:eastAsia="zh-CN"/>
              </w:rPr>
              <w:t>4-</w:t>
            </w:r>
            <w:r>
              <w:rPr>
                <w:rFonts w:hint="eastAsia" w:cs="Times New Roman"/>
                <w:b/>
                <w:bCs/>
                <w:color w:val="auto"/>
                <w:sz w:val="21"/>
                <w:szCs w:val="21"/>
                <w:highlight w:val="none"/>
                <w:lang w:val="en-US" w:eastAsia="zh-CN"/>
              </w:rPr>
              <w:t>9</w:t>
            </w:r>
            <w:r>
              <w:rPr>
                <w:rFonts w:hint="default"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eastAsia="zh-CN"/>
              </w:rPr>
              <w:t xml:space="preserve"> 大气污染物有组织排放量核算表</w:t>
            </w:r>
          </w:p>
          <w:tbl>
            <w:tblPr>
              <w:tblStyle w:val="30"/>
              <w:tblW w:w="8400" w:type="dxa"/>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1699"/>
              <w:gridCol w:w="929"/>
              <w:gridCol w:w="1346"/>
              <w:gridCol w:w="1468"/>
              <w:gridCol w:w="1438"/>
              <w:gridCol w:w="1520"/>
            </w:tblGrid>
            <w:tr w14:paraId="249FA0B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99" w:type="dxa"/>
                  <w:vMerge w:val="restart"/>
                  <w:tcBorders>
                    <w:tl2br w:val="nil"/>
                    <w:tr2bl w:val="nil"/>
                  </w:tcBorders>
                  <w:vAlign w:val="center"/>
                </w:tcPr>
                <w:p w14:paraId="7C3DED0D">
                  <w:pPr>
                    <w:jc w:val="center"/>
                    <w:rPr>
                      <w:b/>
                      <w:bCs/>
                      <w:color w:val="auto"/>
                      <w:szCs w:val="21"/>
                    </w:rPr>
                  </w:pPr>
                  <w:r>
                    <w:rPr>
                      <w:b/>
                      <w:bCs/>
                      <w:color w:val="auto"/>
                      <w:szCs w:val="21"/>
                    </w:rPr>
                    <w:t>产污环节</w:t>
                  </w:r>
                </w:p>
              </w:tc>
              <w:tc>
                <w:tcPr>
                  <w:tcW w:w="929" w:type="dxa"/>
                  <w:vMerge w:val="restart"/>
                  <w:tcBorders>
                    <w:tl2br w:val="nil"/>
                    <w:tr2bl w:val="nil"/>
                  </w:tcBorders>
                  <w:vAlign w:val="center"/>
                </w:tcPr>
                <w:p w14:paraId="2394394E">
                  <w:pPr>
                    <w:jc w:val="center"/>
                    <w:rPr>
                      <w:b/>
                      <w:color w:val="auto"/>
                      <w:szCs w:val="21"/>
                    </w:rPr>
                  </w:pPr>
                  <w:r>
                    <w:rPr>
                      <w:b/>
                      <w:bCs/>
                      <w:color w:val="auto"/>
                      <w:szCs w:val="21"/>
                    </w:rPr>
                    <w:t>排放口编号</w:t>
                  </w:r>
                </w:p>
              </w:tc>
              <w:tc>
                <w:tcPr>
                  <w:tcW w:w="1346" w:type="dxa"/>
                  <w:vMerge w:val="restart"/>
                  <w:tcBorders>
                    <w:tl2br w:val="nil"/>
                    <w:tr2bl w:val="nil"/>
                  </w:tcBorders>
                  <w:vAlign w:val="center"/>
                </w:tcPr>
                <w:p w14:paraId="50D83263">
                  <w:pPr>
                    <w:jc w:val="center"/>
                    <w:rPr>
                      <w:b/>
                      <w:color w:val="auto"/>
                      <w:szCs w:val="21"/>
                    </w:rPr>
                  </w:pPr>
                  <w:r>
                    <w:rPr>
                      <w:b/>
                      <w:color w:val="auto"/>
                      <w:szCs w:val="21"/>
                    </w:rPr>
                    <w:t>污染因子</w:t>
                  </w:r>
                </w:p>
              </w:tc>
              <w:tc>
                <w:tcPr>
                  <w:tcW w:w="1468" w:type="dxa"/>
                  <w:vMerge w:val="restart"/>
                  <w:tcBorders>
                    <w:tl2br w:val="nil"/>
                    <w:tr2bl w:val="nil"/>
                  </w:tcBorders>
                  <w:vAlign w:val="center"/>
                </w:tcPr>
                <w:p w14:paraId="52E6BAFE">
                  <w:pPr>
                    <w:jc w:val="center"/>
                    <w:rPr>
                      <w:b/>
                      <w:color w:val="auto"/>
                      <w:szCs w:val="21"/>
                    </w:rPr>
                  </w:pPr>
                  <w:r>
                    <w:rPr>
                      <w:b/>
                      <w:bCs/>
                      <w:color w:val="auto"/>
                      <w:szCs w:val="21"/>
                    </w:rPr>
                    <w:t>核算排放浓度（mg/m</w:t>
                  </w:r>
                  <w:r>
                    <w:rPr>
                      <w:b/>
                      <w:bCs/>
                      <w:color w:val="auto"/>
                      <w:szCs w:val="21"/>
                      <w:vertAlign w:val="superscript"/>
                    </w:rPr>
                    <w:t>3</w:t>
                  </w:r>
                  <w:r>
                    <w:rPr>
                      <w:b/>
                      <w:bCs/>
                      <w:color w:val="auto"/>
                      <w:szCs w:val="21"/>
                    </w:rPr>
                    <w:t>）</w:t>
                  </w:r>
                </w:p>
              </w:tc>
              <w:tc>
                <w:tcPr>
                  <w:tcW w:w="1438" w:type="dxa"/>
                  <w:vMerge w:val="restart"/>
                  <w:tcBorders>
                    <w:tl2br w:val="nil"/>
                    <w:tr2bl w:val="nil"/>
                  </w:tcBorders>
                  <w:vAlign w:val="center"/>
                </w:tcPr>
                <w:p w14:paraId="75F7CD69">
                  <w:pPr>
                    <w:jc w:val="center"/>
                    <w:rPr>
                      <w:b/>
                      <w:color w:val="auto"/>
                      <w:szCs w:val="21"/>
                    </w:rPr>
                  </w:pPr>
                  <w:r>
                    <w:rPr>
                      <w:b/>
                      <w:bCs/>
                      <w:color w:val="auto"/>
                      <w:szCs w:val="21"/>
                    </w:rPr>
                    <w:t>核算排放速率（kg/h）</w:t>
                  </w:r>
                </w:p>
              </w:tc>
              <w:tc>
                <w:tcPr>
                  <w:tcW w:w="1520" w:type="dxa"/>
                  <w:vMerge w:val="restart"/>
                  <w:tcBorders>
                    <w:tl2br w:val="nil"/>
                    <w:tr2bl w:val="nil"/>
                  </w:tcBorders>
                  <w:vAlign w:val="center"/>
                </w:tcPr>
                <w:p w14:paraId="4B0CA7A5">
                  <w:pPr>
                    <w:jc w:val="center"/>
                    <w:rPr>
                      <w:b/>
                      <w:color w:val="auto"/>
                      <w:szCs w:val="21"/>
                    </w:rPr>
                  </w:pPr>
                  <w:r>
                    <w:rPr>
                      <w:b/>
                      <w:bCs/>
                      <w:color w:val="auto"/>
                      <w:szCs w:val="21"/>
                    </w:rPr>
                    <w:t>核算年排放量（t/a）</w:t>
                  </w:r>
                </w:p>
              </w:tc>
            </w:tr>
            <w:tr w14:paraId="439826B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99" w:type="dxa"/>
                  <w:vMerge w:val="continue"/>
                  <w:tcBorders>
                    <w:tl2br w:val="nil"/>
                    <w:tr2bl w:val="nil"/>
                  </w:tcBorders>
                  <w:vAlign w:val="center"/>
                </w:tcPr>
                <w:p w14:paraId="063E7D48">
                  <w:pPr>
                    <w:jc w:val="center"/>
                    <w:rPr>
                      <w:b/>
                      <w:color w:val="auto"/>
                      <w:szCs w:val="21"/>
                    </w:rPr>
                  </w:pPr>
                </w:p>
              </w:tc>
              <w:tc>
                <w:tcPr>
                  <w:tcW w:w="929" w:type="dxa"/>
                  <w:vMerge w:val="continue"/>
                  <w:tcBorders>
                    <w:tl2br w:val="nil"/>
                    <w:tr2bl w:val="nil"/>
                  </w:tcBorders>
                  <w:vAlign w:val="center"/>
                </w:tcPr>
                <w:p w14:paraId="19A4F51C">
                  <w:pPr>
                    <w:jc w:val="center"/>
                    <w:rPr>
                      <w:b/>
                      <w:color w:val="auto"/>
                      <w:szCs w:val="21"/>
                    </w:rPr>
                  </w:pPr>
                </w:p>
              </w:tc>
              <w:tc>
                <w:tcPr>
                  <w:tcW w:w="1346" w:type="dxa"/>
                  <w:vMerge w:val="continue"/>
                  <w:tcBorders>
                    <w:tl2br w:val="nil"/>
                    <w:tr2bl w:val="nil"/>
                  </w:tcBorders>
                  <w:vAlign w:val="center"/>
                </w:tcPr>
                <w:p w14:paraId="2918518F">
                  <w:pPr>
                    <w:jc w:val="center"/>
                    <w:rPr>
                      <w:b/>
                      <w:color w:val="auto"/>
                      <w:szCs w:val="21"/>
                    </w:rPr>
                  </w:pPr>
                </w:p>
              </w:tc>
              <w:tc>
                <w:tcPr>
                  <w:tcW w:w="1468" w:type="dxa"/>
                  <w:vMerge w:val="continue"/>
                  <w:tcBorders>
                    <w:tl2br w:val="nil"/>
                    <w:tr2bl w:val="nil"/>
                  </w:tcBorders>
                  <w:vAlign w:val="center"/>
                </w:tcPr>
                <w:p w14:paraId="02448E57">
                  <w:pPr>
                    <w:jc w:val="center"/>
                    <w:rPr>
                      <w:b/>
                      <w:color w:val="auto"/>
                      <w:szCs w:val="21"/>
                    </w:rPr>
                  </w:pPr>
                </w:p>
              </w:tc>
              <w:tc>
                <w:tcPr>
                  <w:tcW w:w="1438" w:type="dxa"/>
                  <w:vMerge w:val="continue"/>
                  <w:tcBorders>
                    <w:tl2br w:val="nil"/>
                    <w:tr2bl w:val="nil"/>
                  </w:tcBorders>
                  <w:vAlign w:val="center"/>
                </w:tcPr>
                <w:p w14:paraId="613E2D08">
                  <w:pPr>
                    <w:jc w:val="center"/>
                    <w:rPr>
                      <w:b/>
                      <w:color w:val="auto"/>
                      <w:szCs w:val="21"/>
                    </w:rPr>
                  </w:pPr>
                </w:p>
              </w:tc>
              <w:tc>
                <w:tcPr>
                  <w:tcW w:w="1520" w:type="dxa"/>
                  <w:vMerge w:val="continue"/>
                  <w:tcBorders>
                    <w:tl2br w:val="nil"/>
                    <w:tr2bl w:val="nil"/>
                  </w:tcBorders>
                  <w:vAlign w:val="center"/>
                </w:tcPr>
                <w:p w14:paraId="6EF97B30">
                  <w:pPr>
                    <w:jc w:val="center"/>
                    <w:rPr>
                      <w:b/>
                      <w:color w:val="auto"/>
                      <w:szCs w:val="21"/>
                    </w:rPr>
                  </w:pPr>
                </w:p>
              </w:tc>
            </w:tr>
            <w:tr w14:paraId="76C37DD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699" w:type="dxa"/>
                  <w:vMerge w:val="restart"/>
                  <w:tcBorders>
                    <w:tl2br w:val="nil"/>
                    <w:tr2bl w:val="nil"/>
                  </w:tcBorders>
                  <w:vAlign w:val="center"/>
                </w:tcPr>
                <w:p w14:paraId="46BE4646">
                  <w:pPr>
                    <w:jc w:val="center"/>
                    <w:rPr>
                      <w:bCs/>
                      <w:color w:val="auto"/>
                      <w:szCs w:val="21"/>
                    </w:rPr>
                  </w:pPr>
                  <w:r>
                    <w:rPr>
                      <w:rFonts w:hint="eastAsia"/>
                      <w:color w:val="auto"/>
                      <w:szCs w:val="21"/>
                    </w:rPr>
                    <w:t>吹塑</w:t>
                  </w:r>
                  <w:r>
                    <w:rPr>
                      <w:color w:val="auto"/>
                      <w:szCs w:val="21"/>
                    </w:rPr>
                    <w:t>废气</w:t>
                  </w:r>
                </w:p>
              </w:tc>
              <w:tc>
                <w:tcPr>
                  <w:tcW w:w="929" w:type="dxa"/>
                  <w:vMerge w:val="restart"/>
                  <w:tcBorders>
                    <w:tl2br w:val="nil"/>
                    <w:tr2bl w:val="nil"/>
                  </w:tcBorders>
                  <w:vAlign w:val="center"/>
                </w:tcPr>
                <w:p w14:paraId="2BC8D077">
                  <w:pPr>
                    <w:jc w:val="center"/>
                    <w:rPr>
                      <w:rFonts w:hint="eastAsia" w:eastAsia="宋体"/>
                      <w:bCs/>
                      <w:color w:val="auto"/>
                      <w:szCs w:val="21"/>
                      <w:lang w:eastAsia="zh-CN"/>
                    </w:rPr>
                  </w:pPr>
                  <w:r>
                    <w:rPr>
                      <w:bCs/>
                      <w:color w:val="auto"/>
                      <w:szCs w:val="21"/>
                    </w:rPr>
                    <w:t>DA00</w:t>
                  </w:r>
                  <w:r>
                    <w:rPr>
                      <w:rFonts w:hint="eastAsia"/>
                      <w:bCs/>
                      <w:color w:val="auto"/>
                      <w:szCs w:val="21"/>
                      <w:lang w:val="en-US" w:eastAsia="zh-CN"/>
                    </w:rPr>
                    <w:t>1</w:t>
                  </w:r>
                </w:p>
              </w:tc>
              <w:tc>
                <w:tcPr>
                  <w:tcW w:w="1346" w:type="dxa"/>
                  <w:tcBorders>
                    <w:tl2br w:val="nil"/>
                    <w:tr2bl w:val="nil"/>
                  </w:tcBorders>
                  <w:vAlign w:val="center"/>
                </w:tcPr>
                <w:p w14:paraId="17EE31D5">
                  <w:pPr>
                    <w:widowControl/>
                    <w:jc w:val="center"/>
                    <w:textAlignment w:val="center"/>
                    <w:rPr>
                      <w:bCs/>
                      <w:color w:val="auto"/>
                      <w:szCs w:val="21"/>
                    </w:rPr>
                  </w:pPr>
                  <w:r>
                    <w:rPr>
                      <w:color w:val="auto"/>
                      <w:kern w:val="0"/>
                      <w:szCs w:val="21"/>
                      <w:lang w:bidi="ar"/>
                    </w:rPr>
                    <w:t>非甲烷总烃</w:t>
                  </w:r>
                </w:p>
              </w:tc>
              <w:tc>
                <w:tcPr>
                  <w:tcW w:w="1468" w:type="dxa"/>
                  <w:tcBorders>
                    <w:tl2br w:val="nil"/>
                    <w:tr2bl w:val="nil"/>
                  </w:tcBorders>
                  <w:vAlign w:val="center"/>
                </w:tcPr>
                <w:p w14:paraId="006A2A46">
                  <w:pPr>
                    <w:widowControl/>
                    <w:jc w:val="center"/>
                    <w:textAlignment w:val="center"/>
                    <w:rPr>
                      <w:rFonts w:hint="default" w:eastAsia="宋体"/>
                      <w:bCs/>
                      <w:color w:val="auto"/>
                      <w:kern w:val="0"/>
                      <w:szCs w:val="21"/>
                      <w:lang w:val="en-US" w:eastAsia="zh-CN" w:bidi="ar"/>
                    </w:rPr>
                  </w:pPr>
                  <w:r>
                    <w:rPr>
                      <w:rFonts w:hint="eastAsia"/>
                      <w:bCs/>
                      <w:color w:val="auto"/>
                      <w:kern w:val="0"/>
                      <w:szCs w:val="21"/>
                      <w:lang w:val="en-US" w:eastAsia="zh-CN" w:bidi="ar"/>
                    </w:rPr>
                    <w:t>78.22</w:t>
                  </w:r>
                </w:p>
              </w:tc>
              <w:tc>
                <w:tcPr>
                  <w:tcW w:w="1438" w:type="dxa"/>
                  <w:tcBorders>
                    <w:tl2br w:val="nil"/>
                    <w:tr2bl w:val="nil"/>
                  </w:tcBorders>
                  <w:vAlign w:val="center"/>
                </w:tcPr>
                <w:p w14:paraId="249A9384">
                  <w:pPr>
                    <w:widowControl/>
                    <w:jc w:val="center"/>
                    <w:textAlignment w:val="center"/>
                    <w:rPr>
                      <w:rFonts w:hint="default" w:eastAsia="宋体"/>
                      <w:bCs/>
                      <w:color w:val="auto"/>
                      <w:kern w:val="0"/>
                      <w:szCs w:val="21"/>
                      <w:lang w:val="en-US" w:eastAsia="zh-CN" w:bidi="ar"/>
                    </w:rPr>
                  </w:pPr>
                  <w:r>
                    <w:rPr>
                      <w:rFonts w:hint="eastAsia"/>
                      <w:color w:val="auto"/>
                      <w:kern w:val="0"/>
                      <w:szCs w:val="21"/>
                      <w:lang w:val="en-US" w:eastAsia="zh-CN" w:bidi="ar"/>
                    </w:rPr>
                    <w:t>1.5644</w:t>
                  </w:r>
                </w:p>
              </w:tc>
              <w:tc>
                <w:tcPr>
                  <w:tcW w:w="1520" w:type="dxa"/>
                  <w:tcBorders>
                    <w:tl2br w:val="nil"/>
                    <w:tr2bl w:val="nil"/>
                  </w:tcBorders>
                  <w:vAlign w:val="center"/>
                </w:tcPr>
                <w:p w14:paraId="2CA5929B">
                  <w:pPr>
                    <w:widowControl/>
                    <w:jc w:val="center"/>
                    <w:textAlignment w:val="center"/>
                    <w:rPr>
                      <w:rFonts w:hint="default" w:eastAsia="宋体"/>
                      <w:bCs/>
                      <w:color w:val="auto"/>
                      <w:kern w:val="0"/>
                      <w:szCs w:val="21"/>
                      <w:lang w:val="en-US" w:eastAsia="zh-CN" w:bidi="ar"/>
                    </w:rPr>
                  </w:pPr>
                  <w:r>
                    <w:rPr>
                      <w:rFonts w:hint="eastAsia"/>
                      <w:color w:val="auto"/>
                      <w:kern w:val="0"/>
                      <w:szCs w:val="21"/>
                      <w:lang w:val="en-US" w:eastAsia="zh-CN" w:bidi="ar"/>
                    </w:rPr>
                    <w:t>3.7545</w:t>
                  </w:r>
                </w:p>
              </w:tc>
            </w:tr>
            <w:tr w14:paraId="68C2B65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699" w:type="dxa"/>
                  <w:vMerge w:val="continue"/>
                  <w:tcBorders>
                    <w:tl2br w:val="nil"/>
                    <w:tr2bl w:val="nil"/>
                  </w:tcBorders>
                  <w:vAlign w:val="center"/>
                </w:tcPr>
                <w:p w14:paraId="282D2856">
                  <w:pPr>
                    <w:jc w:val="center"/>
                    <w:rPr>
                      <w:bCs/>
                      <w:color w:val="auto"/>
                      <w:szCs w:val="21"/>
                    </w:rPr>
                  </w:pPr>
                </w:p>
              </w:tc>
              <w:tc>
                <w:tcPr>
                  <w:tcW w:w="929" w:type="dxa"/>
                  <w:vMerge w:val="continue"/>
                  <w:tcBorders>
                    <w:tl2br w:val="nil"/>
                    <w:tr2bl w:val="nil"/>
                  </w:tcBorders>
                  <w:vAlign w:val="center"/>
                </w:tcPr>
                <w:p w14:paraId="78C695DB">
                  <w:pPr>
                    <w:jc w:val="center"/>
                    <w:rPr>
                      <w:bCs/>
                      <w:color w:val="auto"/>
                      <w:szCs w:val="21"/>
                    </w:rPr>
                  </w:pPr>
                </w:p>
              </w:tc>
              <w:tc>
                <w:tcPr>
                  <w:tcW w:w="1346" w:type="dxa"/>
                  <w:tcBorders>
                    <w:tl2br w:val="nil"/>
                    <w:tr2bl w:val="nil"/>
                  </w:tcBorders>
                  <w:vAlign w:val="center"/>
                </w:tcPr>
                <w:p w14:paraId="045AE6BA">
                  <w:pPr>
                    <w:widowControl/>
                    <w:jc w:val="center"/>
                    <w:textAlignment w:val="center"/>
                    <w:rPr>
                      <w:bCs/>
                      <w:color w:val="auto"/>
                      <w:szCs w:val="21"/>
                    </w:rPr>
                  </w:pPr>
                  <w:r>
                    <w:rPr>
                      <w:rFonts w:hint="eastAsia"/>
                      <w:color w:val="auto"/>
                      <w:kern w:val="0"/>
                      <w:szCs w:val="21"/>
                      <w:lang w:bidi="ar"/>
                    </w:rPr>
                    <w:t>臭气浓度</w:t>
                  </w:r>
                </w:p>
              </w:tc>
              <w:tc>
                <w:tcPr>
                  <w:tcW w:w="1468" w:type="dxa"/>
                  <w:tcBorders>
                    <w:tl2br w:val="nil"/>
                    <w:tr2bl w:val="nil"/>
                  </w:tcBorders>
                  <w:vAlign w:val="center"/>
                </w:tcPr>
                <w:p w14:paraId="20654051">
                  <w:pPr>
                    <w:widowControl/>
                    <w:jc w:val="center"/>
                    <w:textAlignment w:val="center"/>
                    <w:rPr>
                      <w:bCs/>
                      <w:color w:val="auto"/>
                      <w:kern w:val="0"/>
                      <w:szCs w:val="21"/>
                      <w:lang w:bidi="ar"/>
                    </w:rPr>
                  </w:pPr>
                  <w:r>
                    <w:rPr>
                      <w:rFonts w:hint="eastAsia"/>
                      <w:color w:val="auto"/>
                      <w:szCs w:val="21"/>
                      <w:lang w:val="en-US" w:eastAsia="zh-CN"/>
                    </w:rPr>
                    <w:t>1395</w:t>
                  </w:r>
                  <w:r>
                    <w:rPr>
                      <w:rFonts w:hint="eastAsia"/>
                      <w:color w:val="auto"/>
                      <w:szCs w:val="21"/>
                    </w:rPr>
                    <w:t>（无量纲）</w:t>
                  </w:r>
                </w:p>
              </w:tc>
              <w:tc>
                <w:tcPr>
                  <w:tcW w:w="1438" w:type="dxa"/>
                  <w:tcBorders>
                    <w:tl2br w:val="nil"/>
                    <w:tr2bl w:val="nil"/>
                  </w:tcBorders>
                  <w:vAlign w:val="center"/>
                </w:tcPr>
                <w:p w14:paraId="3C7D068B">
                  <w:pPr>
                    <w:widowControl/>
                    <w:jc w:val="center"/>
                    <w:textAlignment w:val="center"/>
                    <w:rPr>
                      <w:bCs/>
                      <w:color w:val="auto"/>
                      <w:kern w:val="0"/>
                      <w:szCs w:val="21"/>
                      <w:lang w:bidi="ar"/>
                    </w:rPr>
                  </w:pPr>
                  <w:r>
                    <w:rPr>
                      <w:color w:val="auto"/>
                      <w:kern w:val="0"/>
                      <w:szCs w:val="21"/>
                      <w:lang w:bidi="ar"/>
                    </w:rPr>
                    <w:t>/</w:t>
                  </w:r>
                </w:p>
              </w:tc>
              <w:tc>
                <w:tcPr>
                  <w:tcW w:w="1520" w:type="dxa"/>
                  <w:tcBorders>
                    <w:tl2br w:val="nil"/>
                    <w:tr2bl w:val="nil"/>
                  </w:tcBorders>
                  <w:vAlign w:val="center"/>
                </w:tcPr>
                <w:p w14:paraId="2487C1DD">
                  <w:pPr>
                    <w:widowControl/>
                    <w:jc w:val="center"/>
                    <w:textAlignment w:val="center"/>
                    <w:rPr>
                      <w:bCs/>
                      <w:color w:val="auto"/>
                      <w:kern w:val="0"/>
                      <w:szCs w:val="21"/>
                      <w:lang w:bidi="ar"/>
                    </w:rPr>
                  </w:pPr>
                  <w:r>
                    <w:rPr>
                      <w:color w:val="auto"/>
                      <w:kern w:val="0"/>
                      <w:szCs w:val="21"/>
                      <w:lang w:bidi="ar"/>
                    </w:rPr>
                    <w:t>少量</w:t>
                  </w:r>
                </w:p>
              </w:tc>
            </w:tr>
            <w:tr w14:paraId="696170C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699" w:type="dxa"/>
                  <w:tcBorders>
                    <w:tl2br w:val="nil"/>
                    <w:tr2bl w:val="nil"/>
                  </w:tcBorders>
                  <w:vAlign w:val="center"/>
                </w:tcPr>
                <w:p w14:paraId="76E7FEF1">
                  <w:pPr>
                    <w:jc w:val="center"/>
                    <w:rPr>
                      <w:rFonts w:hint="default" w:eastAsia="宋体"/>
                      <w:bCs/>
                      <w:color w:val="auto"/>
                      <w:szCs w:val="21"/>
                      <w:lang w:val="en-US" w:eastAsia="zh-CN"/>
                    </w:rPr>
                  </w:pPr>
                  <w:r>
                    <w:rPr>
                      <w:rFonts w:hint="eastAsia"/>
                      <w:bCs/>
                      <w:color w:val="auto"/>
                      <w:szCs w:val="21"/>
                      <w:lang w:val="en-US" w:eastAsia="zh-CN"/>
                    </w:rPr>
                    <w:t>破碎废气</w:t>
                  </w:r>
                </w:p>
              </w:tc>
              <w:tc>
                <w:tcPr>
                  <w:tcW w:w="929" w:type="dxa"/>
                  <w:tcBorders>
                    <w:tl2br w:val="nil"/>
                    <w:tr2bl w:val="nil"/>
                  </w:tcBorders>
                  <w:vAlign w:val="center"/>
                </w:tcPr>
                <w:p w14:paraId="41770204">
                  <w:pPr>
                    <w:jc w:val="center"/>
                    <w:rPr>
                      <w:rFonts w:hint="default" w:eastAsia="宋体"/>
                      <w:bCs/>
                      <w:color w:val="auto"/>
                      <w:szCs w:val="21"/>
                      <w:lang w:val="en-US" w:eastAsia="zh-CN"/>
                    </w:rPr>
                  </w:pPr>
                  <w:r>
                    <w:rPr>
                      <w:rFonts w:hint="eastAsia"/>
                      <w:bCs/>
                      <w:color w:val="auto"/>
                      <w:szCs w:val="21"/>
                      <w:lang w:val="en-US" w:eastAsia="zh-CN"/>
                    </w:rPr>
                    <w:t>DA002</w:t>
                  </w:r>
                </w:p>
              </w:tc>
              <w:tc>
                <w:tcPr>
                  <w:tcW w:w="1346" w:type="dxa"/>
                  <w:tcBorders>
                    <w:tl2br w:val="nil"/>
                    <w:tr2bl w:val="nil"/>
                  </w:tcBorders>
                  <w:vAlign w:val="center"/>
                </w:tcPr>
                <w:p w14:paraId="450D724D">
                  <w:pPr>
                    <w:widowControl/>
                    <w:jc w:val="center"/>
                    <w:textAlignment w:val="center"/>
                    <w:rPr>
                      <w:rFonts w:hint="eastAsia" w:eastAsia="宋体"/>
                      <w:color w:val="auto"/>
                      <w:kern w:val="0"/>
                      <w:szCs w:val="21"/>
                      <w:lang w:val="en-US" w:eastAsia="zh-CN" w:bidi="ar"/>
                    </w:rPr>
                  </w:pPr>
                  <w:r>
                    <w:rPr>
                      <w:rFonts w:hint="eastAsia"/>
                      <w:color w:val="auto"/>
                      <w:kern w:val="0"/>
                      <w:szCs w:val="21"/>
                      <w:lang w:val="en-US" w:eastAsia="zh-CN" w:bidi="ar"/>
                    </w:rPr>
                    <w:t>颗粒物</w:t>
                  </w:r>
                </w:p>
              </w:tc>
              <w:tc>
                <w:tcPr>
                  <w:tcW w:w="1468" w:type="dxa"/>
                  <w:tcBorders>
                    <w:tl2br w:val="nil"/>
                    <w:tr2bl w:val="nil"/>
                  </w:tcBorders>
                  <w:vAlign w:val="center"/>
                </w:tcPr>
                <w:p w14:paraId="265E7A07">
                  <w:pPr>
                    <w:widowControl/>
                    <w:jc w:val="center"/>
                    <w:textAlignment w:val="center"/>
                    <w:rPr>
                      <w:rFonts w:hint="default"/>
                      <w:color w:val="auto"/>
                      <w:szCs w:val="21"/>
                      <w:lang w:val="en-US" w:eastAsia="zh-CN"/>
                    </w:rPr>
                  </w:pPr>
                  <w:r>
                    <w:rPr>
                      <w:rFonts w:hint="eastAsia"/>
                      <w:color w:val="auto"/>
                      <w:szCs w:val="21"/>
                      <w:lang w:val="en-US" w:eastAsia="zh-CN"/>
                    </w:rPr>
                    <w:t>12.5</w:t>
                  </w:r>
                </w:p>
              </w:tc>
              <w:tc>
                <w:tcPr>
                  <w:tcW w:w="1438" w:type="dxa"/>
                  <w:tcBorders>
                    <w:tl2br w:val="nil"/>
                    <w:tr2bl w:val="nil"/>
                  </w:tcBorders>
                  <w:vAlign w:val="center"/>
                </w:tcPr>
                <w:p w14:paraId="4F997207">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0.0125</w:t>
                  </w:r>
                </w:p>
              </w:tc>
              <w:tc>
                <w:tcPr>
                  <w:tcW w:w="1520" w:type="dxa"/>
                  <w:tcBorders>
                    <w:tl2br w:val="nil"/>
                    <w:tr2bl w:val="nil"/>
                  </w:tcBorders>
                  <w:vAlign w:val="center"/>
                </w:tcPr>
                <w:p w14:paraId="121CA4A1">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0.0003</w:t>
                  </w:r>
                </w:p>
              </w:tc>
            </w:tr>
            <w:tr w14:paraId="622B732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2628" w:type="dxa"/>
                  <w:gridSpan w:val="2"/>
                  <w:vMerge w:val="restart"/>
                  <w:tcBorders>
                    <w:tl2br w:val="nil"/>
                    <w:tr2bl w:val="nil"/>
                  </w:tcBorders>
                  <w:vAlign w:val="center"/>
                </w:tcPr>
                <w:p w14:paraId="4EC9AF87">
                  <w:pPr>
                    <w:jc w:val="center"/>
                    <w:rPr>
                      <w:rFonts w:hint="eastAsia" w:eastAsia="宋体"/>
                      <w:bCs/>
                      <w:color w:val="auto"/>
                      <w:szCs w:val="21"/>
                      <w:lang w:eastAsia="zh-CN"/>
                    </w:rPr>
                  </w:pPr>
                  <w:r>
                    <w:rPr>
                      <w:rFonts w:hint="eastAsia"/>
                      <w:bCs/>
                      <w:color w:val="auto"/>
                      <w:szCs w:val="21"/>
                      <w:lang w:eastAsia="zh-CN"/>
                    </w:rPr>
                    <w:t>有组织小计</w:t>
                  </w:r>
                </w:p>
              </w:tc>
              <w:tc>
                <w:tcPr>
                  <w:tcW w:w="1346" w:type="dxa"/>
                  <w:tcBorders>
                    <w:tl2br w:val="nil"/>
                    <w:tr2bl w:val="nil"/>
                  </w:tcBorders>
                  <w:vAlign w:val="center"/>
                </w:tcPr>
                <w:p w14:paraId="57C1366A">
                  <w:pPr>
                    <w:widowControl/>
                    <w:jc w:val="center"/>
                    <w:textAlignment w:val="center"/>
                    <w:rPr>
                      <w:color w:val="auto"/>
                      <w:szCs w:val="21"/>
                    </w:rPr>
                  </w:pPr>
                  <w:r>
                    <w:rPr>
                      <w:color w:val="auto"/>
                      <w:kern w:val="0"/>
                      <w:szCs w:val="21"/>
                      <w:lang w:bidi="ar"/>
                    </w:rPr>
                    <w:t>非甲烷总烃</w:t>
                  </w:r>
                </w:p>
              </w:tc>
              <w:tc>
                <w:tcPr>
                  <w:tcW w:w="1468" w:type="dxa"/>
                  <w:tcBorders>
                    <w:tl2br w:val="nil"/>
                    <w:tr2bl w:val="nil"/>
                  </w:tcBorders>
                  <w:vAlign w:val="center"/>
                </w:tcPr>
                <w:p w14:paraId="697BBA26">
                  <w:pPr>
                    <w:widowControl/>
                    <w:jc w:val="center"/>
                    <w:textAlignment w:val="center"/>
                    <w:rPr>
                      <w:color w:val="auto"/>
                      <w:kern w:val="0"/>
                      <w:szCs w:val="21"/>
                      <w:lang w:bidi="ar"/>
                    </w:rPr>
                  </w:pPr>
                  <w:r>
                    <w:rPr>
                      <w:color w:val="auto"/>
                      <w:kern w:val="0"/>
                      <w:szCs w:val="21"/>
                      <w:lang w:bidi="ar"/>
                    </w:rPr>
                    <w:t>/</w:t>
                  </w:r>
                </w:p>
              </w:tc>
              <w:tc>
                <w:tcPr>
                  <w:tcW w:w="1438" w:type="dxa"/>
                  <w:tcBorders>
                    <w:tl2br w:val="nil"/>
                    <w:tr2bl w:val="nil"/>
                  </w:tcBorders>
                  <w:vAlign w:val="center"/>
                </w:tcPr>
                <w:p w14:paraId="7DD65011">
                  <w:pPr>
                    <w:widowControl/>
                    <w:jc w:val="center"/>
                    <w:textAlignment w:val="center"/>
                    <w:rPr>
                      <w:color w:val="auto"/>
                      <w:kern w:val="0"/>
                      <w:szCs w:val="21"/>
                      <w:lang w:bidi="ar"/>
                    </w:rPr>
                  </w:pPr>
                  <w:r>
                    <w:rPr>
                      <w:color w:val="auto"/>
                      <w:kern w:val="0"/>
                      <w:szCs w:val="21"/>
                      <w:lang w:bidi="ar"/>
                    </w:rPr>
                    <w:t>/</w:t>
                  </w:r>
                </w:p>
              </w:tc>
              <w:tc>
                <w:tcPr>
                  <w:tcW w:w="1520" w:type="dxa"/>
                  <w:tcBorders>
                    <w:tl2br w:val="nil"/>
                    <w:tr2bl w:val="nil"/>
                  </w:tcBorders>
                  <w:vAlign w:val="center"/>
                </w:tcPr>
                <w:p w14:paraId="3973B79B">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3.7545</w:t>
                  </w:r>
                </w:p>
              </w:tc>
            </w:tr>
            <w:tr w14:paraId="186E8B0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2628" w:type="dxa"/>
                  <w:gridSpan w:val="2"/>
                  <w:vMerge w:val="continue"/>
                  <w:tcBorders>
                    <w:tl2br w:val="nil"/>
                    <w:tr2bl w:val="nil"/>
                  </w:tcBorders>
                  <w:vAlign w:val="center"/>
                </w:tcPr>
                <w:p w14:paraId="695573EE">
                  <w:pPr>
                    <w:jc w:val="center"/>
                    <w:rPr>
                      <w:bCs/>
                      <w:color w:val="auto"/>
                      <w:szCs w:val="21"/>
                    </w:rPr>
                  </w:pPr>
                </w:p>
              </w:tc>
              <w:tc>
                <w:tcPr>
                  <w:tcW w:w="1346" w:type="dxa"/>
                  <w:tcBorders>
                    <w:tl2br w:val="nil"/>
                    <w:tr2bl w:val="nil"/>
                  </w:tcBorders>
                  <w:vAlign w:val="center"/>
                </w:tcPr>
                <w:p w14:paraId="2519CB90">
                  <w:pPr>
                    <w:widowControl/>
                    <w:jc w:val="center"/>
                    <w:textAlignment w:val="center"/>
                    <w:rPr>
                      <w:color w:val="auto"/>
                      <w:szCs w:val="21"/>
                    </w:rPr>
                  </w:pPr>
                  <w:r>
                    <w:rPr>
                      <w:rFonts w:hint="eastAsia"/>
                      <w:color w:val="auto"/>
                      <w:kern w:val="0"/>
                      <w:szCs w:val="21"/>
                      <w:lang w:bidi="ar"/>
                    </w:rPr>
                    <w:t>臭气浓度</w:t>
                  </w:r>
                </w:p>
              </w:tc>
              <w:tc>
                <w:tcPr>
                  <w:tcW w:w="1468" w:type="dxa"/>
                  <w:tcBorders>
                    <w:tl2br w:val="nil"/>
                    <w:tr2bl w:val="nil"/>
                  </w:tcBorders>
                  <w:vAlign w:val="center"/>
                </w:tcPr>
                <w:p w14:paraId="5A9AAD53">
                  <w:pPr>
                    <w:widowControl/>
                    <w:jc w:val="center"/>
                    <w:textAlignment w:val="center"/>
                    <w:rPr>
                      <w:color w:val="auto"/>
                      <w:kern w:val="0"/>
                      <w:szCs w:val="21"/>
                      <w:lang w:bidi="ar"/>
                    </w:rPr>
                  </w:pPr>
                  <w:r>
                    <w:rPr>
                      <w:color w:val="auto"/>
                      <w:kern w:val="0"/>
                      <w:szCs w:val="21"/>
                      <w:lang w:bidi="ar"/>
                    </w:rPr>
                    <w:t>/</w:t>
                  </w:r>
                </w:p>
              </w:tc>
              <w:tc>
                <w:tcPr>
                  <w:tcW w:w="1438" w:type="dxa"/>
                  <w:tcBorders>
                    <w:tl2br w:val="nil"/>
                    <w:tr2bl w:val="nil"/>
                  </w:tcBorders>
                  <w:vAlign w:val="center"/>
                </w:tcPr>
                <w:p w14:paraId="4EB5CFE2">
                  <w:pPr>
                    <w:widowControl/>
                    <w:jc w:val="center"/>
                    <w:textAlignment w:val="center"/>
                    <w:rPr>
                      <w:color w:val="auto"/>
                      <w:kern w:val="0"/>
                      <w:szCs w:val="21"/>
                      <w:lang w:bidi="ar"/>
                    </w:rPr>
                  </w:pPr>
                  <w:r>
                    <w:rPr>
                      <w:color w:val="auto"/>
                      <w:kern w:val="0"/>
                      <w:szCs w:val="21"/>
                      <w:lang w:bidi="ar"/>
                    </w:rPr>
                    <w:t>/</w:t>
                  </w:r>
                </w:p>
              </w:tc>
              <w:tc>
                <w:tcPr>
                  <w:tcW w:w="1520" w:type="dxa"/>
                  <w:tcBorders>
                    <w:tl2br w:val="nil"/>
                    <w:tr2bl w:val="nil"/>
                  </w:tcBorders>
                  <w:vAlign w:val="center"/>
                </w:tcPr>
                <w:p w14:paraId="2EB847DD">
                  <w:pPr>
                    <w:widowControl/>
                    <w:jc w:val="center"/>
                    <w:textAlignment w:val="center"/>
                    <w:rPr>
                      <w:color w:val="auto"/>
                      <w:kern w:val="0"/>
                      <w:szCs w:val="21"/>
                      <w:lang w:bidi="ar"/>
                    </w:rPr>
                  </w:pPr>
                  <w:r>
                    <w:rPr>
                      <w:color w:val="auto"/>
                      <w:kern w:val="0"/>
                      <w:szCs w:val="21"/>
                      <w:lang w:bidi="ar"/>
                    </w:rPr>
                    <w:t>少量</w:t>
                  </w:r>
                </w:p>
              </w:tc>
            </w:tr>
            <w:tr w14:paraId="6071279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2628" w:type="dxa"/>
                  <w:gridSpan w:val="2"/>
                  <w:vMerge w:val="continue"/>
                  <w:tcBorders>
                    <w:tl2br w:val="nil"/>
                    <w:tr2bl w:val="nil"/>
                  </w:tcBorders>
                  <w:vAlign w:val="center"/>
                </w:tcPr>
                <w:p w14:paraId="68120E8B">
                  <w:pPr>
                    <w:jc w:val="center"/>
                    <w:rPr>
                      <w:bCs/>
                      <w:color w:val="auto"/>
                      <w:szCs w:val="21"/>
                    </w:rPr>
                  </w:pPr>
                </w:p>
              </w:tc>
              <w:tc>
                <w:tcPr>
                  <w:tcW w:w="1346" w:type="dxa"/>
                  <w:tcBorders>
                    <w:tl2br w:val="nil"/>
                    <w:tr2bl w:val="nil"/>
                  </w:tcBorders>
                  <w:vAlign w:val="center"/>
                </w:tcPr>
                <w:p w14:paraId="174DE013">
                  <w:pPr>
                    <w:widowControl/>
                    <w:jc w:val="center"/>
                    <w:textAlignment w:val="center"/>
                    <w:rPr>
                      <w:rFonts w:hint="eastAsia"/>
                      <w:color w:val="auto"/>
                      <w:kern w:val="0"/>
                      <w:szCs w:val="21"/>
                      <w:lang w:bidi="ar"/>
                    </w:rPr>
                  </w:pPr>
                  <w:r>
                    <w:rPr>
                      <w:rFonts w:hint="eastAsia"/>
                      <w:color w:val="auto"/>
                      <w:kern w:val="0"/>
                      <w:szCs w:val="21"/>
                      <w:lang w:val="en-US" w:eastAsia="zh-CN" w:bidi="ar"/>
                    </w:rPr>
                    <w:t>颗粒物</w:t>
                  </w:r>
                </w:p>
              </w:tc>
              <w:tc>
                <w:tcPr>
                  <w:tcW w:w="1468" w:type="dxa"/>
                  <w:tcBorders>
                    <w:tl2br w:val="nil"/>
                    <w:tr2bl w:val="nil"/>
                  </w:tcBorders>
                  <w:vAlign w:val="center"/>
                </w:tcPr>
                <w:p w14:paraId="5FF358A8">
                  <w:pPr>
                    <w:widowControl/>
                    <w:jc w:val="center"/>
                    <w:textAlignment w:val="center"/>
                    <w:rPr>
                      <w:color w:val="auto"/>
                      <w:kern w:val="0"/>
                      <w:szCs w:val="21"/>
                      <w:lang w:bidi="ar"/>
                    </w:rPr>
                  </w:pPr>
                  <w:r>
                    <w:rPr>
                      <w:rFonts w:hint="eastAsia"/>
                      <w:color w:val="auto"/>
                      <w:szCs w:val="21"/>
                      <w:lang w:val="en-US" w:eastAsia="zh-CN"/>
                    </w:rPr>
                    <w:t>/</w:t>
                  </w:r>
                </w:p>
              </w:tc>
              <w:tc>
                <w:tcPr>
                  <w:tcW w:w="1438" w:type="dxa"/>
                  <w:tcBorders>
                    <w:tl2br w:val="nil"/>
                    <w:tr2bl w:val="nil"/>
                  </w:tcBorders>
                  <w:vAlign w:val="center"/>
                </w:tcPr>
                <w:p w14:paraId="30C350C9">
                  <w:pPr>
                    <w:widowControl/>
                    <w:jc w:val="center"/>
                    <w:textAlignment w:val="center"/>
                    <w:rPr>
                      <w:color w:val="auto"/>
                      <w:kern w:val="0"/>
                      <w:szCs w:val="21"/>
                      <w:lang w:bidi="ar"/>
                    </w:rPr>
                  </w:pPr>
                  <w:r>
                    <w:rPr>
                      <w:rFonts w:hint="eastAsia"/>
                      <w:color w:val="auto"/>
                      <w:kern w:val="0"/>
                      <w:szCs w:val="21"/>
                      <w:lang w:val="en-US" w:eastAsia="zh-CN" w:bidi="ar"/>
                    </w:rPr>
                    <w:t>/</w:t>
                  </w:r>
                </w:p>
              </w:tc>
              <w:tc>
                <w:tcPr>
                  <w:tcW w:w="1520" w:type="dxa"/>
                  <w:tcBorders>
                    <w:tl2br w:val="nil"/>
                    <w:tr2bl w:val="nil"/>
                  </w:tcBorders>
                  <w:vAlign w:val="center"/>
                </w:tcPr>
                <w:p w14:paraId="683C182E">
                  <w:pPr>
                    <w:widowControl/>
                    <w:jc w:val="center"/>
                    <w:textAlignment w:val="center"/>
                    <w:rPr>
                      <w:color w:val="auto"/>
                      <w:kern w:val="0"/>
                      <w:szCs w:val="21"/>
                      <w:lang w:bidi="ar"/>
                    </w:rPr>
                  </w:pPr>
                  <w:r>
                    <w:rPr>
                      <w:rFonts w:hint="eastAsia"/>
                      <w:color w:val="auto"/>
                      <w:kern w:val="0"/>
                      <w:szCs w:val="21"/>
                      <w:lang w:val="en-US" w:eastAsia="zh-CN" w:bidi="ar"/>
                    </w:rPr>
                    <w:t>0.0003</w:t>
                  </w:r>
                </w:p>
              </w:tc>
            </w:tr>
          </w:tbl>
          <w:p w14:paraId="6AD86F76">
            <w:pPr>
              <w:pStyle w:val="8"/>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jc w:val="left"/>
              <w:textAlignment w:val="auto"/>
              <w:outlineLvl w:val="9"/>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b w:val="0"/>
                <w:bCs/>
                <w:color w:val="auto"/>
                <w:sz w:val="24"/>
                <w:szCs w:val="24"/>
                <w:highlight w:val="none"/>
              </w:rPr>
              <w:t>项目</w:t>
            </w:r>
            <w:r>
              <w:rPr>
                <w:rFonts w:hint="default" w:ascii="Times New Roman" w:hAnsi="Times New Roman" w:eastAsia="宋体" w:cs="Times New Roman"/>
                <w:b w:val="0"/>
                <w:bCs/>
                <w:color w:val="auto"/>
                <w:sz w:val="24"/>
                <w:szCs w:val="24"/>
                <w:highlight w:val="none"/>
                <w:lang w:eastAsia="zh-CN"/>
              </w:rPr>
              <w:t>大气污染物无</w:t>
            </w:r>
            <w:r>
              <w:rPr>
                <w:rFonts w:hint="default" w:ascii="Times New Roman" w:hAnsi="Times New Roman" w:eastAsia="宋体" w:cs="Times New Roman"/>
                <w:b w:val="0"/>
                <w:bCs/>
                <w:color w:val="auto"/>
                <w:sz w:val="24"/>
                <w:szCs w:val="24"/>
                <w:highlight w:val="none"/>
              </w:rPr>
              <w:t>组织排放</w:t>
            </w:r>
            <w:r>
              <w:rPr>
                <w:rFonts w:hint="default" w:ascii="Times New Roman" w:hAnsi="Times New Roman" w:eastAsia="宋体" w:cs="Times New Roman"/>
                <w:b w:val="0"/>
                <w:bCs/>
                <w:color w:val="auto"/>
                <w:sz w:val="24"/>
                <w:szCs w:val="24"/>
                <w:highlight w:val="none"/>
                <w:lang w:eastAsia="zh-CN"/>
              </w:rPr>
              <w:t>量</w:t>
            </w:r>
            <w:r>
              <w:rPr>
                <w:rFonts w:hint="default" w:ascii="Times New Roman" w:hAnsi="Times New Roman" w:eastAsia="宋体" w:cs="Times New Roman"/>
                <w:b w:val="0"/>
                <w:bCs/>
                <w:color w:val="auto"/>
                <w:sz w:val="24"/>
                <w:szCs w:val="24"/>
                <w:highlight w:val="none"/>
              </w:rPr>
              <w:t>情况见下表</w:t>
            </w:r>
            <w:r>
              <w:rPr>
                <w:rFonts w:hint="default" w:ascii="Times New Roman" w:hAnsi="Times New Roman" w:eastAsia="宋体" w:cs="Times New Roman"/>
                <w:b w:val="0"/>
                <w:bCs/>
                <w:color w:val="auto"/>
                <w:sz w:val="24"/>
                <w:szCs w:val="24"/>
                <w:highlight w:val="none"/>
                <w:lang w:val="en-US" w:eastAsia="zh-CN"/>
              </w:rPr>
              <w:t>4-</w:t>
            </w:r>
            <w:r>
              <w:rPr>
                <w:rFonts w:hint="eastAsia" w:ascii="Times New Roman" w:hAnsi="Times New Roman" w:eastAsia="宋体" w:cs="Times New Roman"/>
                <w:b w:val="0"/>
                <w:bCs/>
                <w:color w:val="auto"/>
                <w:sz w:val="24"/>
                <w:szCs w:val="24"/>
                <w:highlight w:val="none"/>
                <w:lang w:val="en-US" w:eastAsia="zh-CN"/>
              </w:rPr>
              <w:t>10</w:t>
            </w:r>
            <w:r>
              <w:rPr>
                <w:rFonts w:hint="default" w:ascii="Times New Roman" w:hAnsi="Times New Roman" w:eastAsia="宋体" w:cs="Times New Roman"/>
                <w:b w:val="0"/>
                <w:bCs/>
                <w:color w:val="auto"/>
                <w:sz w:val="24"/>
                <w:szCs w:val="24"/>
                <w:highlight w:val="none"/>
                <w:lang w:eastAsia="zh-CN"/>
              </w:rPr>
              <w:t>。</w:t>
            </w:r>
          </w:p>
          <w:p w14:paraId="25EEF72D">
            <w:pPr>
              <w:pStyle w:val="8"/>
              <w:adjustRightInd w:val="0"/>
              <w:snapToGrid w:val="0"/>
              <w:spacing w:line="240" w:lineRule="auto"/>
              <w:ind w:firstLine="0" w:firstLineChars="0"/>
              <w:jc w:val="center"/>
              <w:rPr>
                <w:rFonts w:ascii="Times New Roman" w:hAnsi="Times New Roman"/>
                <w:color w:val="auto"/>
              </w:rPr>
            </w:pPr>
            <w:r>
              <w:rPr>
                <w:rFonts w:hint="default" w:ascii="Times New Roman" w:hAnsi="Times New Roman" w:eastAsia="宋体" w:cs="Times New Roman"/>
                <w:color w:val="auto"/>
                <w:sz w:val="21"/>
                <w:szCs w:val="21"/>
                <w:highlight w:val="none"/>
                <w:lang w:val="en-US"/>
              </w:rPr>
              <w:t>表</w:t>
            </w:r>
            <w:r>
              <w:rPr>
                <w:rFonts w:hint="default" w:ascii="Times New Roman" w:hAnsi="Times New Roman" w:eastAsia="宋体" w:cs="Times New Roman"/>
                <w:color w:val="auto"/>
                <w:sz w:val="21"/>
                <w:szCs w:val="21"/>
                <w:highlight w:val="none"/>
                <w:lang w:val="en-US" w:eastAsia="zh-CN"/>
              </w:rPr>
              <w:t>4-</w:t>
            </w:r>
            <w:r>
              <w:rPr>
                <w:rFonts w:hint="eastAsia"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rPr>
              <w:t xml:space="preserve"> </w:t>
            </w:r>
            <w:r>
              <w:rPr>
                <w:rFonts w:hint="default" w:ascii="Times New Roman" w:hAnsi="Times New Roman" w:eastAsia="宋体" w:cs="Times New Roman"/>
                <w:color w:val="auto"/>
                <w:sz w:val="21"/>
                <w:szCs w:val="21"/>
                <w:highlight w:val="none"/>
                <w:lang w:val="en-US" w:eastAsia="zh-CN"/>
              </w:rPr>
              <w:t>废气</w:t>
            </w:r>
            <w:r>
              <w:rPr>
                <w:rFonts w:hint="default" w:ascii="Times New Roman" w:hAnsi="Times New Roman" w:eastAsia="宋体" w:cs="Times New Roman"/>
                <w:color w:val="auto"/>
                <w:sz w:val="21"/>
                <w:szCs w:val="21"/>
                <w:highlight w:val="none"/>
                <w:lang w:val="en-US"/>
              </w:rPr>
              <w:t>污染物无组织排放量核算表</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1326"/>
              <w:gridCol w:w="2058"/>
              <w:gridCol w:w="1768"/>
              <w:gridCol w:w="1372"/>
            </w:tblGrid>
            <w:tr w14:paraId="5272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113" w:type="pct"/>
                  <w:vMerge w:val="restart"/>
                  <w:vAlign w:val="center"/>
                </w:tcPr>
                <w:p w14:paraId="0C6A0926">
                  <w:pPr>
                    <w:jc w:val="center"/>
                    <w:rPr>
                      <w:b/>
                      <w:bCs/>
                      <w:color w:val="auto"/>
                      <w:szCs w:val="21"/>
                    </w:rPr>
                  </w:pPr>
                  <w:r>
                    <w:rPr>
                      <w:b/>
                      <w:bCs/>
                      <w:color w:val="auto"/>
                      <w:szCs w:val="21"/>
                    </w:rPr>
                    <w:t>产污环节</w:t>
                  </w:r>
                </w:p>
              </w:tc>
              <w:tc>
                <w:tcPr>
                  <w:tcW w:w="789" w:type="pct"/>
                  <w:vMerge w:val="restart"/>
                  <w:vAlign w:val="center"/>
                </w:tcPr>
                <w:p w14:paraId="01531D96">
                  <w:pPr>
                    <w:jc w:val="center"/>
                    <w:rPr>
                      <w:b/>
                      <w:bCs/>
                      <w:color w:val="auto"/>
                      <w:szCs w:val="21"/>
                    </w:rPr>
                  </w:pPr>
                  <w:r>
                    <w:rPr>
                      <w:b/>
                      <w:bCs/>
                      <w:color w:val="auto"/>
                      <w:szCs w:val="21"/>
                    </w:rPr>
                    <w:t>污染物名称</w:t>
                  </w:r>
                </w:p>
              </w:tc>
              <w:tc>
                <w:tcPr>
                  <w:tcW w:w="2279" w:type="pct"/>
                  <w:gridSpan w:val="2"/>
                  <w:vAlign w:val="center"/>
                </w:tcPr>
                <w:p w14:paraId="35A9EC66">
                  <w:pPr>
                    <w:pStyle w:val="17"/>
                    <w:ind w:left="-105" w:leftChars="-50" w:right="-105" w:rightChars="-50"/>
                    <w:jc w:val="center"/>
                    <w:rPr>
                      <w:rFonts w:ascii="Times New Roman" w:hAnsi="Times New Roman"/>
                      <w:b/>
                      <w:bCs/>
                      <w:color w:val="auto"/>
                      <w:szCs w:val="21"/>
                    </w:rPr>
                  </w:pPr>
                  <w:r>
                    <w:rPr>
                      <w:rFonts w:ascii="Times New Roman" w:hAnsi="Times New Roman"/>
                      <w:b/>
                      <w:bCs/>
                      <w:color w:val="auto"/>
                      <w:szCs w:val="21"/>
                    </w:rPr>
                    <w:t>国家或地方污染物排放标准</w:t>
                  </w:r>
                </w:p>
              </w:tc>
              <w:tc>
                <w:tcPr>
                  <w:tcW w:w="817" w:type="pct"/>
                  <w:vMerge w:val="restart"/>
                  <w:vAlign w:val="center"/>
                </w:tcPr>
                <w:p w14:paraId="045C7ED6">
                  <w:pPr>
                    <w:jc w:val="center"/>
                    <w:rPr>
                      <w:b/>
                      <w:bCs/>
                      <w:color w:val="auto"/>
                      <w:szCs w:val="21"/>
                    </w:rPr>
                  </w:pPr>
                  <w:r>
                    <w:rPr>
                      <w:b/>
                      <w:bCs/>
                      <w:color w:val="auto"/>
                      <w:szCs w:val="21"/>
                    </w:rPr>
                    <w:t>核算年排放量（t/a）</w:t>
                  </w:r>
                </w:p>
              </w:tc>
            </w:tr>
            <w:tr w14:paraId="386D6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113" w:type="pct"/>
                  <w:vMerge w:val="continue"/>
                  <w:vAlign w:val="center"/>
                </w:tcPr>
                <w:p w14:paraId="068D57A5">
                  <w:pPr>
                    <w:jc w:val="center"/>
                    <w:rPr>
                      <w:color w:val="auto"/>
                      <w:szCs w:val="21"/>
                    </w:rPr>
                  </w:pPr>
                </w:p>
              </w:tc>
              <w:tc>
                <w:tcPr>
                  <w:tcW w:w="789" w:type="pct"/>
                  <w:vMerge w:val="continue"/>
                  <w:vAlign w:val="center"/>
                </w:tcPr>
                <w:p w14:paraId="0F275DBD">
                  <w:pPr>
                    <w:jc w:val="center"/>
                    <w:rPr>
                      <w:color w:val="auto"/>
                      <w:szCs w:val="21"/>
                    </w:rPr>
                  </w:pPr>
                </w:p>
              </w:tc>
              <w:tc>
                <w:tcPr>
                  <w:tcW w:w="1225" w:type="pct"/>
                  <w:vAlign w:val="center"/>
                </w:tcPr>
                <w:p w14:paraId="7396C02E">
                  <w:pPr>
                    <w:pStyle w:val="17"/>
                    <w:ind w:left="-105" w:leftChars="-50" w:right="-105" w:rightChars="-50"/>
                    <w:jc w:val="center"/>
                    <w:rPr>
                      <w:rFonts w:ascii="Times New Roman" w:hAnsi="Times New Roman"/>
                      <w:b/>
                      <w:bCs/>
                      <w:color w:val="auto"/>
                      <w:szCs w:val="21"/>
                    </w:rPr>
                  </w:pPr>
                  <w:r>
                    <w:rPr>
                      <w:rFonts w:ascii="Times New Roman" w:hAnsi="Times New Roman"/>
                      <w:b/>
                      <w:bCs/>
                      <w:color w:val="auto"/>
                      <w:szCs w:val="21"/>
                    </w:rPr>
                    <w:t>标准名称</w:t>
                  </w:r>
                </w:p>
              </w:tc>
              <w:tc>
                <w:tcPr>
                  <w:tcW w:w="1053" w:type="pct"/>
                  <w:vAlign w:val="center"/>
                </w:tcPr>
                <w:p w14:paraId="5329AE28">
                  <w:pPr>
                    <w:pStyle w:val="17"/>
                    <w:ind w:left="-105" w:leftChars="-50" w:right="-105" w:rightChars="-50"/>
                    <w:jc w:val="center"/>
                    <w:rPr>
                      <w:rFonts w:ascii="Times New Roman" w:hAnsi="Times New Roman"/>
                      <w:b/>
                      <w:bCs/>
                      <w:color w:val="auto"/>
                      <w:szCs w:val="21"/>
                    </w:rPr>
                  </w:pPr>
                  <w:r>
                    <w:rPr>
                      <w:rFonts w:ascii="Times New Roman" w:hAnsi="Times New Roman"/>
                      <w:b/>
                      <w:bCs/>
                      <w:color w:val="auto"/>
                      <w:szCs w:val="21"/>
                    </w:rPr>
                    <w:t>浓度限值/（mg/m</w:t>
                  </w:r>
                  <w:r>
                    <w:rPr>
                      <w:rFonts w:ascii="Times New Roman" w:hAnsi="Times New Roman"/>
                      <w:b/>
                      <w:bCs/>
                      <w:color w:val="auto"/>
                      <w:szCs w:val="21"/>
                      <w:vertAlign w:val="superscript"/>
                    </w:rPr>
                    <w:t>3</w:t>
                  </w:r>
                  <w:r>
                    <w:rPr>
                      <w:rFonts w:ascii="Times New Roman" w:hAnsi="Times New Roman"/>
                      <w:b/>
                      <w:bCs/>
                      <w:color w:val="auto"/>
                      <w:szCs w:val="21"/>
                    </w:rPr>
                    <w:t>）</w:t>
                  </w:r>
                </w:p>
              </w:tc>
              <w:tc>
                <w:tcPr>
                  <w:tcW w:w="817" w:type="pct"/>
                  <w:vMerge w:val="continue"/>
                  <w:vAlign w:val="center"/>
                </w:tcPr>
                <w:p w14:paraId="0B95FA8C">
                  <w:pPr>
                    <w:jc w:val="center"/>
                    <w:rPr>
                      <w:b/>
                      <w:bCs/>
                      <w:color w:val="auto"/>
                      <w:szCs w:val="21"/>
                    </w:rPr>
                  </w:pPr>
                </w:p>
              </w:tc>
            </w:tr>
            <w:tr w14:paraId="4F6F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113" w:type="pct"/>
                  <w:vMerge w:val="restart"/>
                  <w:vAlign w:val="center"/>
                </w:tcPr>
                <w:p w14:paraId="31287DA2">
                  <w:pPr>
                    <w:jc w:val="center"/>
                    <w:rPr>
                      <w:rFonts w:hint="eastAsia" w:eastAsia="宋体"/>
                      <w:color w:val="auto"/>
                      <w:szCs w:val="21"/>
                      <w:lang w:eastAsia="zh-CN"/>
                    </w:rPr>
                  </w:pPr>
                  <w:r>
                    <w:rPr>
                      <w:rFonts w:hint="eastAsia"/>
                      <w:color w:val="auto"/>
                      <w:szCs w:val="21"/>
                      <w:lang w:val="en-US" w:eastAsia="zh-CN"/>
                    </w:rPr>
                    <w:t>投料、</w:t>
                  </w:r>
                  <w:r>
                    <w:rPr>
                      <w:rFonts w:hint="eastAsia"/>
                      <w:color w:val="auto"/>
                      <w:szCs w:val="21"/>
                      <w:lang w:eastAsia="zh-CN"/>
                    </w:rPr>
                    <w:t>注塑、破碎工段</w:t>
                  </w:r>
                </w:p>
              </w:tc>
              <w:tc>
                <w:tcPr>
                  <w:tcW w:w="789" w:type="pct"/>
                  <w:vAlign w:val="center"/>
                </w:tcPr>
                <w:p w14:paraId="49AB0CB2">
                  <w:pPr>
                    <w:adjustRightInd w:val="0"/>
                    <w:snapToGrid w:val="0"/>
                    <w:jc w:val="center"/>
                    <w:rPr>
                      <w:bCs/>
                      <w:color w:val="auto"/>
                      <w:spacing w:val="-10"/>
                      <w:szCs w:val="21"/>
                    </w:rPr>
                  </w:pPr>
                  <w:r>
                    <w:rPr>
                      <w:color w:val="auto"/>
                      <w:szCs w:val="21"/>
                    </w:rPr>
                    <w:t>颗粒物</w:t>
                  </w:r>
                </w:p>
              </w:tc>
              <w:tc>
                <w:tcPr>
                  <w:tcW w:w="1225" w:type="pct"/>
                  <w:vMerge w:val="restart"/>
                  <w:vAlign w:val="center"/>
                </w:tcPr>
                <w:p w14:paraId="240F061A">
                  <w:pPr>
                    <w:widowControl/>
                    <w:jc w:val="center"/>
                    <w:textAlignment w:val="center"/>
                    <w:rPr>
                      <w:color w:val="auto"/>
                      <w:szCs w:val="21"/>
                    </w:rPr>
                  </w:pPr>
                  <w:r>
                    <w:rPr>
                      <w:color w:val="auto"/>
                      <w:szCs w:val="21"/>
                    </w:rPr>
                    <w:t>《合成树脂工业污染物排放标准》（</w:t>
                  </w:r>
                  <w:r>
                    <w:rPr>
                      <w:color w:val="auto"/>
                      <w:sz w:val="21"/>
                      <w:szCs w:val="21"/>
                    </w:rPr>
                    <w:t>GB31572-2015）</w:t>
                  </w:r>
                  <w:r>
                    <w:rPr>
                      <w:rFonts w:hint="default" w:ascii="Times New Roman" w:hAnsi="Times New Roman" w:eastAsia="宋体" w:cs="Times New Roman"/>
                      <w:color w:val="auto"/>
                      <w:sz w:val="21"/>
                      <w:szCs w:val="21"/>
                      <w:highlight w:val="none"/>
                      <w:lang w:val="en-US" w:eastAsia="zh-CN"/>
                    </w:rPr>
                    <w:t>及2024年修改单中</w:t>
                  </w:r>
                  <w:r>
                    <w:rPr>
                      <w:color w:val="auto"/>
                      <w:szCs w:val="21"/>
                    </w:rPr>
                    <w:t>相关大气污染物排放限值要求</w:t>
                  </w:r>
                  <w:r>
                    <w:rPr>
                      <w:rFonts w:hint="eastAsia"/>
                      <w:color w:val="auto"/>
                      <w:szCs w:val="21"/>
                    </w:rPr>
                    <w:t>、</w:t>
                  </w:r>
                  <w:r>
                    <w:rPr>
                      <w:color w:val="auto"/>
                      <w:szCs w:val="21"/>
                      <w:lang w:val="zh-CN"/>
                    </w:rPr>
                    <w:t>《恶臭污染物排放标准》（GB14554-93）</w:t>
                  </w:r>
                  <w:r>
                    <w:rPr>
                      <w:color w:val="auto"/>
                      <w:szCs w:val="21"/>
                    </w:rPr>
                    <w:t>中</w:t>
                  </w:r>
                  <w:r>
                    <w:rPr>
                      <w:color w:val="auto"/>
                      <w:szCs w:val="21"/>
                      <w:lang w:val="zh-CN"/>
                    </w:rPr>
                    <w:t>标准</w:t>
                  </w:r>
                  <w:r>
                    <w:rPr>
                      <w:color w:val="auto"/>
                      <w:szCs w:val="21"/>
                    </w:rPr>
                    <w:t>限值</w:t>
                  </w:r>
                  <w:r>
                    <w:rPr>
                      <w:color w:val="auto"/>
                      <w:szCs w:val="21"/>
                      <w:lang w:val="zh-CN"/>
                    </w:rPr>
                    <w:t>要求</w:t>
                  </w:r>
                </w:p>
              </w:tc>
              <w:tc>
                <w:tcPr>
                  <w:tcW w:w="1053" w:type="pct"/>
                  <w:vAlign w:val="center"/>
                </w:tcPr>
                <w:p w14:paraId="35D4DC4F">
                  <w:pPr>
                    <w:adjustRightInd w:val="0"/>
                    <w:snapToGrid w:val="0"/>
                    <w:jc w:val="center"/>
                    <w:rPr>
                      <w:color w:val="auto"/>
                      <w:szCs w:val="21"/>
                    </w:rPr>
                  </w:pPr>
                  <w:r>
                    <w:rPr>
                      <w:color w:val="auto"/>
                      <w:szCs w:val="21"/>
                    </w:rPr>
                    <w:t>1.0</w:t>
                  </w:r>
                </w:p>
              </w:tc>
              <w:tc>
                <w:tcPr>
                  <w:tcW w:w="817" w:type="pct"/>
                  <w:vAlign w:val="center"/>
                </w:tcPr>
                <w:p w14:paraId="28AD57E7">
                  <w:pPr>
                    <w:widowControl/>
                    <w:jc w:val="center"/>
                    <w:textAlignment w:val="center"/>
                    <w:rPr>
                      <w:rFonts w:hint="default" w:eastAsia="宋体"/>
                      <w:color w:val="auto"/>
                      <w:szCs w:val="21"/>
                      <w:lang w:val="en-US" w:eastAsia="zh-CN"/>
                    </w:rPr>
                  </w:pPr>
                  <w:r>
                    <w:rPr>
                      <w:rFonts w:hint="eastAsia"/>
                      <w:color w:val="auto"/>
                      <w:szCs w:val="21"/>
                    </w:rPr>
                    <w:t>0.</w:t>
                  </w:r>
                  <w:r>
                    <w:rPr>
                      <w:rFonts w:hint="eastAsia"/>
                      <w:color w:val="auto"/>
                      <w:szCs w:val="21"/>
                      <w:lang w:val="en-US" w:eastAsia="zh-CN"/>
                    </w:rPr>
                    <w:t>0016</w:t>
                  </w:r>
                </w:p>
              </w:tc>
            </w:tr>
            <w:tr w14:paraId="2751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113" w:type="pct"/>
                  <w:vMerge w:val="continue"/>
                  <w:vAlign w:val="center"/>
                </w:tcPr>
                <w:p w14:paraId="61E01554">
                  <w:pPr>
                    <w:jc w:val="center"/>
                    <w:rPr>
                      <w:color w:val="auto"/>
                      <w:szCs w:val="21"/>
                    </w:rPr>
                  </w:pPr>
                </w:p>
              </w:tc>
              <w:tc>
                <w:tcPr>
                  <w:tcW w:w="789" w:type="pct"/>
                  <w:vAlign w:val="center"/>
                </w:tcPr>
                <w:p w14:paraId="098BA55B">
                  <w:pPr>
                    <w:widowControl/>
                    <w:jc w:val="center"/>
                    <w:textAlignment w:val="center"/>
                    <w:rPr>
                      <w:bCs/>
                      <w:color w:val="auto"/>
                      <w:spacing w:val="-10"/>
                      <w:szCs w:val="21"/>
                    </w:rPr>
                  </w:pPr>
                  <w:r>
                    <w:rPr>
                      <w:color w:val="auto"/>
                      <w:kern w:val="0"/>
                      <w:szCs w:val="21"/>
                      <w:lang w:bidi="ar"/>
                    </w:rPr>
                    <w:t>非甲烷总烃</w:t>
                  </w:r>
                </w:p>
              </w:tc>
              <w:tc>
                <w:tcPr>
                  <w:tcW w:w="1225" w:type="pct"/>
                  <w:vMerge w:val="continue"/>
                  <w:vAlign w:val="center"/>
                </w:tcPr>
                <w:p w14:paraId="0078F077">
                  <w:pPr>
                    <w:widowControl/>
                    <w:jc w:val="center"/>
                    <w:textAlignment w:val="center"/>
                    <w:rPr>
                      <w:color w:val="auto"/>
                      <w:szCs w:val="21"/>
                    </w:rPr>
                  </w:pPr>
                </w:p>
              </w:tc>
              <w:tc>
                <w:tcPr>
                  <w:tcW w:w="1053" w:type="pct"/>
                  <w:vAlign w:val="center"/>
                </w:tcPr>
                <w:p w14:paraId="08FED38C">
                  <w:pPr>
                    <w:adjustRightInd w:val="0"/>
                    <w:snapToGrid w:val="0"/>
                    <w:jc w:val="center"/>
                    <w:rPr>
                      <w:color w:val="auto"/>
                      <w:szCs w:val="21"/>
                    </w:rPr>
                  </w:pPr>
                  <w:r>
                    <w:rPr>
                      <w:rFonts w:hint="eastAsia"/>
                      <w:color w:val="auto"/>
                      <w:szCs w:val="21"/>
                    </w:rPr>
                    <w:t>4.0</w:t>
                  </w:r>
                </w:p>
              </w:tc>
              <w:tc>
                <w:tcPr>
                  <w:tcW w:w="817" w:type="pct"/>
                  <w:vAlign w:val="center"/>
                </w:tcPr>
                <w:p w14:paraId="2B03D35B">
                  <w:pPr>
                    <w:widowControl/>
                    <w:jc w:val="center"/>
                    <w:textAlignment w:val="center"/>
                    <w:rPr>
                      <w:rFonts w:hint="default" w:eastAsia="宋体"/>
                      <w:color w:val="auto"/>
                      <w:kern w:val="0"/>
                      <w:szCs w:val="21"/>
                      <w:lang w:val="en-US" w:eastAsia="zh-CN" w:bidi="ar"/>
                    </w:rPr>
                  </w:pPr>
                  <w:r>
                    <w:rPr>
                      <w:rFonts w:hint="eastAsia"/>
                      <w:color w:val="auto"/>
                      <w:kern w:val="0"/>
                      <w:szCs w:val="21"/>
                      <w:lang w:val="en-US" w:eastAsia="zh-CN" w:bidi="ar"/>
                    </w:rPr>
                    <w:t>4.6931</w:t>
                  </w:r>
                </w:p>
              </w:tc>
            </w:tr>
            <w:tr w14:paraId="37EC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1113" w:type="pct"/>
                  <w:vMerge w:val="continue"/>
                  <w:vAlign w:val="center"/>
                </w:tcPr>
                <w:p w14:paraId="73C3F3B9">
                  <w:pPr>
                    <w:jc w:val="center"/>
                    <w:rPr>
                      <w:color w:val="auto"/>
                      <w:szCs w:val="21"/>
                    </w:rPr>
                  </w:pPr>
                </w:p>
              </w:tc>
              <w:tc>
                <w:tcPr>
                  <w:tcW w:w="789" w:type="pct"/>
                  <w:vAlign w:val="center"/>
                </w:tcPr>
                <w:p w14:paraId="7061CCA7">
                  <w:pPr>
                    <w:widowControl/>
                    <w:jc w:val="center"/>
                    <w:textAlignment w:val="center"/>
                    <w:rPr>
                      <w:bCs/>
                      <w:color w:val="auto"/>
                      <w:spacing w:val="-10"/>
                      <w:szCs w:val="21"/>
                    </w:rPr>
                  </w:pPr>
                  <w:r>
                    <w:rPr>
                      <w:rFonts w:hint="eastAsia"/>
                      <w:color w:val="auto"/>
                      <w:kern w:val="0"/>
                      <w:szCs w:val="21"/>
                      <w:lang w:bidi="ar"/>
                    </w:rPr>
                    <w:t>臭气浓度</w:t>
                  </w:r>
                </w:p>
              </w:tc>
              <w:tc>
                <w:tcPr>
                  <w:tcW w:w="1225" w:type="pct"/>
                  <w:vMerge w:val="continue"/>
                  <w:vAlign w:val="center"/>
                </w:tcPr>
                <w:p w14:paraId="793C94E3">
                  <w:pPr>
                    <w:widowControl/>
                    <w:jc w:val="center"/>
                    <w:textAlignment w:val="center"/>
                    <w:rPr>
                      <w:color w:val="auto"/>
                      <w:szCs w:val="21"/>
                    </w:rPr>
                  </w:pPr>
                </w:p>
              </w:tc>
              <w:tc>
                <w:tcPr>
                  <w:tcW w:w="1053" w:type="pct"/>
                  <w:vAlign w:val="center"/>
                </w:tcPr>
                <w:p w14:paraId="05102EC9">
                  <w:pPr>
                    <w:adjustRightInd w:val="0"/>
                    <w:snapToGrid w:val="0"/>
                    <w:jc w:val="center"/>
                    <w:rPr>
                      <w:color w:val="auto"/>
                      <w:szCs w:val="21"/>
                    </w:rPr>
                  </w:pPr>
                  <w:r>
                    <w:rPr>
                      <w:color w:val="auto"/>
                      <w:szCs w:val="21"/>
                    </w:rPr>
                    <w:t>20（无量纲）</w:t>
                  </w:r>
                </w:p>
              </w:tc>
              <w:tc>
                <w:tcPr>
                  <w:tcW w:w="817" w:type="pct"/>
                  <w:vAlign w:val="center"/>
                </w:tcPr>
                <w:p w14:paraId="4537D097">
                  <w:pPr>
                    <w:widowControl/>
                    <w:jc w:val="center"/>
                    <w:textAlignment w:val="center"/>
                    <w:rPr>
                      <w:color w:val="auto"/>
                      <w:kern w:val="0"/>
                      <w:szCs w:val="21"/>
                      <w:lang w:bidi="ar"/>
                    </w:rPr>
                  </w:pPr>
                  <w:r>
                    <w:rPr>
                      <w:color w:val="auto"/>
                      <w:kern w:val="0"/>
                      <w:szCs w:val="21"/>
                      <w:lang w:bidi="ar"/>
                    </w:rPr>
                    <w:t>少量</w:t>
                  </w:r>
                </w:p>
              </w:tc>
            </w:tr>
          </w:tbl>
          <w:p w14:paraId="3037D371">
            <w:pPr>
              <w:pStyle w:val="8"/>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0" w:firstLineChars="200"/>
              <w:jc w:val="left"/>
              <w:textAlignment w:val="auto"/>
              <w:outlineLvl w:val="9"/>
              <w:rPr>
                <w:rFonts w:hint="default" w:ascii="Times New Roman" w:hAnsi="Times New Roman" w:eastAsia="宋体" w:cs="Times New Roman"/>
                <w:b w:val="0"/>
                <w:bCs/>
                <w:color w:val="auto"/>
                <w:sz w:val="21"/>
                <w:szCs w:val="21"/>
                <w:highlight w:val="none"/>
                <w:lang w:val="en-US"/>
              </w:rPr>
            </w:pPr>
            <w:r>
              <w:rPr>
                <w:rFonts w:hint="default" w:ascii="Times New Roman" w:hAnsi="Times New Roman" w:eastAsia="宋体" w:cs="Times New Roman"/>
                <w:b w:val="0"/>
                <w:bCs/>
                <w:color w:val="auto"/>
                <w:sz w:val="24"/>
                <w:szCs w:val="24"/>
                <w:highlight w:val="none"/>
              </w:rPr>
              <w:t>项目运营过程中大气污染物年排放量核算表详见表</w:t>
            </w:r>
            <w:r>
              <w:rPr>
                <w:rFonts w:hint="default" w:ascii="Times New Roman" w:hAnsi="Times New Roman" w:eastAsia="宋体" w:cs="Times New Roman"/>
                <w:b w:val="0"/>
                <w:bCs/>
                <w:color w:val="auto"/>
                <w:sz w:val="24"/>
                <w:szCs w:val="24"/>
                <w:highlight w:val="none"/>
                <w:lang w:val="en-US" w:eastAsia="zh-CN"/>
              </w:rPr>
              <w:t>4-</w:t>
            </w:r>
            <w:r>
              <w:rPr>
                <w:rFonts w:hint="eastAsia" w:ascii="Times New Roman" w:hAnsi="Times New Roman" w:eastAsia="宋体" w:cs="Times New Roman"/>
                <w:b w:val="0"/>
                <w:bCs/>
                <w:color w:val="auto"/>
                <w:sz w:val="24"/>
                <w:szCs w:val="24"/>
                <w:highlight w:val="none"/>
                <w:lang w:val="en-US" w:eastAsia="zh-CN"/>
              </w:rPr>
              <w:t>11</w:t>
            </w:r>
            <w:r>
              <w:rPr>
                <w:rFonts w:hint="default" w:ascii="Times New Roman" w:hAnsi="Times New Roman" w:eastAsia="宋体" w:cs="Times New Roman"/>
                <w:b w:val="0"/>
                <w:bCs/>
                <w:color w:val="auto"/>
                <w:sz w:val="24"/>
                <w:szCs w:val="24"/>
                <w:highlight w:val="none"/>
              </w:rPr>
              <w:t>。</w:t>
            </w:r>
          </w:p>
          <w:p w14:paraId="0B17BBAC">
            <w:pPr>
              <w:pStyle w:val="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宋体" w:cs="Times New Roman"/>
                <w:b/>
                <w:bCs w:val="0"/>
                <w:color w:val="auto"/>
                <w:sz w:val="21"/>
                <w:szCs w:val="21"/>
                <w:highlight w:val="none"/>
                <w:lang w:val="en-US"/>
              </w:rPr>
            </w:pPr>
            <w:r>
              <w:rPr>
                <w:rFonts w:hint="default" w:ascii="Times New Roman" w:hAnsi="Times New Roman" w:eastAsia="宋体" w:cs="Times New Roman"/>
                <w:color w:val="auto"/>
                <w:sz w:val="21"/>
                <w:szCs w:val="21"/>
                <w:highlight w:val="none"/>
                <w:lang w:val="en-US"/>
              </w:rPr>
              <w:t>表</w:t>
            </w:r>
            <w:r>
              <w:rPr>
                <w:rFonts w:hint="default" w:ascii="Times New Roman" w:hAnsi="Times New Roman" w:eastAsia="宋体" w:cs="Times New Roman"/>
                <w:color w:val="auto"/>
                <w:sz w:val="21"/>
                <w:szCs w:val="21"/>
                <w:highlight w:val="none"/>
                <w:lang w:val="en-US" w:eastAsia="zh-CN"/>
              </w:rPr>
              <w:t>4-</w:t>
            </w:r>
            <w:r>
              <w:rPr>
                <w:rFonts w:hint="eastAsia" w:ascii="Times New Roman" w:hAnsi="Times New Roman" w:eastAsia="宋体" w:cs="Times New Roman"/>
                <w:color w:val="auto"/>
                <w:sz w:val="21"/>
                <w:szCs w:val="21"/>
                <w:highlight w:val="none"/>
                <w:lang w:val="en-US" w:eastAsia="zh-CN"/>
              </w:rPr>
              <w:t>11</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lang w:val="en-US"/>
              </w:rPr>
              <w:t xml:space="preserve"> 大气污染物年排放量核算表</w:t>
            </w:r>
          </w:p>
          <w:tbl>
            <w:tblPr>
              <w:tblStyle w:val="30"/>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2"/>
              <w:gridCol w:w="2691"/>
              <w:gridCol w:w="3301"/>
            </w:tblGrid>
            <w:tr w14:paraId="457A5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30" w:type="pct"/>
                  <w:noWrap w:val="0"/>
                  <w:vAlign w:val="center"/>
                </w:tcPr>
                <w:p w14:paraId="523BADA3">
                  <w:pPr>
                    <w:keepNext w:val="0"/>
                    <w:keepLines w:val="0"/>
                    <w:pageBreakBefore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b/>
                      <w:bCs w:val="0"/>
                      <w:color w:val="auto"/>
                      <w:sz w:val="21"/>
                      <w:szCs w:val="21"/>
                      <w:highlight w:val="none"/>
                      <w:lang w:eastAsia="zh-CN"/>
                    </w:rPr>
                  </w:pPr>
                  <w:r>
                    <w:rPr>
                      <w:rFonts w:hint="default" w:ascii="Times New Roman" w:hAnsi="Times New Roman" w:eastAsia="宋体" w:cs="Times New Roman"/>
                      <w:b/>
                      <w:bCs w:val="0"/>
                      <w:color w:val="auto"/>
                      <w:sz w:val="21"/>
                      <w:szCs w:val="21"/>
                      <w:highlight w:val="none"/>
                      <w:lang w:eastAsia="zh-CN"/>
                    </w:rPr>
                    <w:t>生产阶段</w:t>
                  </w:r>
                </w:p>
              </w:tc>
              <w:tc>
                <w:tcPr>
                  <w:tcW w:w="1602" w:type="pct"/>
                  <w:noWrap w:val="0"/>
                  <w:vAlign w:val="center"/>
                </w:tcPr>
                <w:p w14:paraId="33F38096">
                  <w:pPr>
                    <w:keepNext w:val="0"/>
                    <w:keepLines w:val="0"/>
                    <w:pageBreakBefore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污染物</w:t>
                  </w:r>
                </w:p>
              </w:tc>
              <w:tc>
                <w:tcPr>
                  <w:tcW w:w="1966" w:type="pct"/>
                  <w:noWrap w:val="0"/>
                  <w:vAlign w:val="center"/>
                </w:tcPr>
                <w:p w14:paraId="43EF67AD">
                  <w:pPr>
                    <w:keepNext w:val="0"/>
                    <w:keepLines w:val="0"/>
                    <w:pageBreakBefore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年排放量（t/a）</w:t>
                  </w:r>
                </w:p>
              </w:tc>
            </w:tr>
            <w:tr w14:paraId="6C17D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1430" w:type="pct"/>
                  <w:vMerge w:val="restart"/>
                  <w:noWrap w:val="0"/>
                  <w:vAlign w:val="center"/>
                </w:tcPr>
                <w:p w14:paraId="0BAAA1B8">
                  <w:pPr>
                    <w:keepNext w:val="0"/>
                    <w:keepLines w:val="0"/>
                    <w:pageBreakBefore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整个生产车间</w:t>
                  </w:r>
                </w:p>
              </w:tc>
              <w:tc>
                <w:tcPr>
                  <w:tcW w:w="1602" w:type="pct"/>
                  <w:noWrap w:val="0"/>
                  <w:vAlign w:val="center"/>
                </w:tcPr>
                <w:p w14:paraId="0C0598D7">
                  <w:pPr>
                    <w:snapToGrid w:val="0"/>
                    <w:spacing w:afterLines="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颗粒物</w:t>
                  </w:r>
                </w:p>
              </w:tc>
              <w:tc>
                <w:tcPr>
                  <w:tcW w:w="1966" w:type="pct"/>
                  <w:noWrap w:val="0"/>
                  <w:vAlign w:val="center"/>
                </w:tcPr>
                <w:p w14:paraId="772BF53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0019</w:t>
                  </w:r>
                </w:p>
              </w:tc>
            </w:tr>
            <w:tr w14:paraId="7971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1430" w:type="pct"/>
                  <w:vMerge w:val="continue"/>
                  <w:noWrap w:val="0"/>
                  <w:vAlign w:val="center"/>
                </w:tcPr>
                <w:p w14:paraId="4A15B458">
                  <w:pPr>
                    <w:keepNext w:val="0"/>
                    <w:keepLines w:val="0"/>
                    <w:pageBreakBefore w:val="0"/>
                    <w:kinsoku/>
                    <w:wordWrap/>
                    <w:overflowPunct/>
                    <w:topLinePunct w:val="0"/>
                    <w:autoSpaceDE/>
                    <w:autoSpaceDN/>
                    <w:bidi w:val="0"/>
                    <w:adjustRightInd w:val="0"/>
                    <w:snapToGrid w:val="0"/>
                    <w:spacing w:line="240" w:lineRule="auto"/>
                    <w:ind w:firstLine="0" w:firstLineChars="0"/>
                    <w:jc w:val="center"/>
                    <w:outlineLvl w:val="9"/>
                    <w:rPr>
                      <w:rFonts w:hint="default" w:ascii="Times New Roman" w:hAnsi="Times New Roman" w:eastAsia="宋体" w:cs="Times New Roman"/>
                      <w:color w:val="auto"/>
                      <w:sz w:val="21"/>
                      <w:szCs w:val="21"/>
                      <w:highlight w:val="none"/>
                      <w:lang w:eastAsia="zh-CN"/>
                    </w:rPr>
                  </w:pPr>
                </w:p>
              </w:tc>
              <w:tc>
                <w:tcPr>
                  <w:tcW w:w="1602" w:type="pct"/>
                  <w:noWrap w:val="0"/>
                  <w:vAlign w:val="center"/>
                </w:tcPr>
                <w:p w14:paraId="443FB91A">
                  <w:pPr>
                    <w:keepNext w:val="0"/>
                    <w:keepLines w:val="0"/>
                    <w:pageBreakBefore w:val="0"/>
                    <w:widowControl w:val="0"/>
                    <w:kinsoku/>
                    <w:wordWrap/>
                    <w:overflowPunct/>
                    <w:topLinePunct w:val="0"/>
                    <w:autoSpaceDE/>
                    <w:autoSpaceDN/>
                    <w:bidi w:val="0"/>
                    <w:adjustRightInd w:val="0"/>
                    <w:snapToGrid w:val="0"/>
                    <w:ind w:left="0" w:leftChars="0" w:right="0" w:rightChars="0" w:firstLine="0" w:firstLineChars="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color w:val="auto"/>
                      <w:sz w:val="21"/>
                      <w:szCs w:val="21"/>
                      <w:lang w:val="en-US" w:eastAsia="zh-CN"/>
                    </w:rPr>
                    <w:t>非甲烷总烃</w:t>
                  </w:r>
                </w:p>
              </w:tc>
              <w:tc>
                <w:tcPr>
                  <w:tcW w:w="1966" w:type="pct"/>
                  <w:noWrap w:val="0"/>
                  <w:vAlign w:val="center"/>
                </w:tcPr>
                <w:p w14:paraId="3EC85438">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8.4476</w:t>
                  </w:r>
                </w:p>
              </w:tc>
            </w:tr>
            <w:tr w14:paraId="4C21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1430" w:type="pct"/>
                  <w:vMerge w:val="continue"/>
                  <w:noWrap w:val="0"/>
                  <w:vAlign w:val="center"/>
                </w:tcPr>
                <w:p w14:paraId="56279968">
                  <w:pPr>
                    <w:keepNext w:val="0"/>
                    <w:keepLines w:val="0"/>
                    <w:widowControl/>
                    <w:suppressLineNumbers w:val="0"/>
                    <w:jc w:val="center"/>
                    <w:textAlignment w:val="center"/>
                    <w:rPr>
                      <w:color w:val="auto"/>
                    </w:rPr>
                  </w:pPr>
                </w:p>
              </w:tc>
              <w:tc>
                <w:tcPr>
                  <w:tcW w:w="1602" w:type="pct"/>
                  <w:noWrap w:val="0"/>
                  <w:vAlign w:val="center"/>
                </w:tcPr>
                <w:p w14:paraId="2A733369">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臭气浓度</w:t>
                  </w:r>
                </w:p>
              </w:tc>
              <w:tc>
                <w:tcPr>
                  <w:tcW w:w="1966" w:type="pct"/>
                  <w:noWrap w:val="0"/>
                  <w:vAlign w:val="center"/>
                </w:tcPr>
                <w:p w14:paraId="3AFD8C32">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少量</w:t>
                  </w:r>
                </w:p>
              </w:tc>
            </w:tr>
          </w:tbl>
          <w:p w14:paraId="65FA372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highlight w:val="none"/>
                <w:lang w:val="zh-CN"/>
              </w:rPr>
            </w:pPr>
            <w:r>
              <w:rPr>
                <w:rFonts w:hint="default" w:ascii="Times New Roman" w:hAnsi="Times New Roman" w:eastAsia="宋体" w:cs="Times New Roman"/>
                <w:b/>
                <w:bCs/>
                <w:color w:val="auto"/>
                <w:sz w:val="24"/>
                <w:highlight w:val="none"/>
                <w:lang w:val="zh-CN"/>
              </w:rPr>
              <w:t>（</w:t>
            </w:r>
            <w:r>
              <w:rPr>
                <w:rFonts w:hint="default"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lang w:val="zh-CN"/>
              </w:rPr>
              <w:t>）食堂油烟</w:t>
            </w:r>
          </w:p>
          <w:p w14:paraId="41DD9648">
            <w:pPr>
              <w:adjustRightInd w:val="0"/>
              <w:snapToGrid w:val="0"/>
              <w:spacing w:line="360" w:lineRule="auto"/>
              <w:ind w:firstLine="480" w:firstLineChars="200"/>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szCs w:val="24"/>
                <w:highlight w:val="none"/>
                <w:lang w:val="en-US" w:eastAsia="zh-CN"/>
              </w:rPr>
              <w:t>项目区食堂油烟</w:t>
            </w:r>
            <w:r>
              <w:rPr>
                <w:rFonts w:hint="default" w:ascii="Times New Roman" w:hAnsi="Times New Roman" w:eastAsia="宋体" w:cs="Times New Roman"/>
                <w:color w:val="auto"/>
                <w:sz w:val="24"/>
                <w:szCs w:val="24"/>
                <w:highlight w:val="none"/>
                <w:lang w:val="zh-CN" w:eastAsia="zh-CN"/>
              </w:rPr>
              <w:t>能达到</w:t>
            </w:r>
            <w:r>
              <w:rPr>
                <w:rFonts w:hint="default" w:ascii="Times New Roman" w:hAnsi="Times New Roman" w:eastAsia="宋体" w:cs="Times New Roman"/>
                <w:color w:val="auto"/>
                <w:sz w:val="24"/>
                <w:highlight w:val="none"/>
                <w:lang w:val="en-US" w:eastAsia="zh-CN"/>
              </w:rPr>
              <w:t>《饮食业油烟排放标准（试行）》（GB18483-2001）中的</w:t>
            </w:r>
            <w:r>
              <w:rPr>
                <w:rFonts w:hint="default" w:ascii="Times New Roman" w:hAnsi="Times New Roman" w:eastAsia="宋体" w:cs="Times New Roman"/>
                <w:color w:val="auto"/>
                <w:sz w:val="24"/>
                <w:szCs w:val="24"/>
                <w:highlight w:val="none"/>
                <w:lang w:val="en-US" w:eastAsia="zh-CN"/>
              </w:rPr>
              <w:t>小型规模</w:t>
            </w:r>
            <w:r>
              <w:rPr>
                <w:rFonts w:hint="default" w:ascii="Times New Roman" w:hAnsi="Times New Roman" w:eastAsia="宋体" w:cs="Times New Roman"/>
                <w:color w:val="auto"/>
                <w:sz w:val="24"/>
                <w:szCs w:val="24"/>
                <w:highlight w:val="none"/>
              </w:rPr>
              <w:t>最高允许排放浓度，即油烟≤</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.0mg/m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highlight w:val="none"/>
                <w:lang w:val="zh-CN"/>
              </w:rPr>
              <w:t>项目食堂油烟经净化器处理后可达标排放，油烟排放经空气扩散稀释后对环境影响较小。</w:t>
            </w:r>
          </w:p>
          <w:p w14:paraId="07FF63C6">
            <w:pPr>
              <w:keepNext w:val="0"/>
              <w:keepLines w:val="0"/>
              <w:pageBreakBefore w:val="0"/>
              <w:widowControl w:val="0"/>
              <w:kinsoku/>
              <w:wordWrap/>
              <w:overflowPunct/>
              <w:topLinePunct w:val="0"/>
              <w:autoSpaceDE/>
              <w:autoSpaceDN/>
              <w:bidi w:val="0"/>
              <w:spacing w:line="360" w:lineRule="auto"/>
              <w:ind w:left="0" w:right="0" w:firstLine="482" w:firstLineChars="200"/>
              <w:outlineLvl w:val="9"/>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（3）</w:t>
            </w:r>
            <w:r>
              <w:rPr>
                <w:rFonts w:hint="default" w:ascii="Times New Roman" w:hAnsi="Times New Roman" w:eastAsia="宋体" w:cs="Times New Roman"/>
                <w:b/>
                <w:color w:val="auto"/>
                <w:sz w:val="24"/>
                <w:szCs w:val="24"/>
                <w:highlight w:val="none"/>
              </w:rPr>
              <w:t>异味环境影响分析</w:t>
            </w:r>
          </w:p>
          <w:p w14:paraId="1EF64055">
            <w:pPr>
              <w:shd w:val="clear"/>
              <w:spacing w:line="360" w:lineRule="auto"/>
              <w:ind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color w:val="auto"/>
                <w:sz w:val="24"/>
                <w:szCs w:val="24"/>
                <w:highlight w:val="none"/>
                <w:lang w:val="zh-CN"/>
              </w:rPr>
              <w:t>本项目</w:t>
            </w:r>
            <w:r>
              <w:rPr>
                <w:rFonts w:hint="default" w:ascii="Times New Roman" w:hAnsi="Times New Roman" w:eastAsia="宋体" w:cs="Times New Roman"/>
                <w:color w:val="auto"/>
                <w:sz w:val="24"/>
                <w:szCs w:val="24"/>
                <w:highlight w:val="none"/>
                <w:lang w:val="en-US" w:eastAsia="zh-CN"/>
              </w:rPr>
              <w:t>生产过程产生的废气</w:t>
            </w:r>
            <w:r>
              <w:rPr>
                <w:rFonts w:hint="default" w:ascii="Times New Roman" w:hAnsi="Times New Roman" w:eastAsia="宋体" w:cs="Times New Roman"/>
                <w:color w:val="auto"/>
                <w:sz w:val="24"/>
                <w:szCs w:val="24"/>
                <w:highlight w:val="none"/>
                <w:lang w:val="zh-CN"/>
              </w:rPr>
              <w:t>除</w:t>
            </w:r>
            <w:r>
              <w:rPr>
                <w:rFonts w:hint="default" w:ascii="Times New Roman" w:hAnsi="Times New Roman" w:eastAsia="宋体" w:cs="Times New Roman"/>
                <w:color w:val="auto"/>
                <w:sz w:val="24"/>
                <w:szCs w:val="24"/>
                <w:highlight w:val="none"/>
                <w:lang w:val="en-US" w:eastAsia="zh-CN"/>
              </w:rPr>
              <w:t>含有</w:t>
            </w:r>
            <w:r>
              <w:rPr>
                <w:rFonts w:hint="default" w:ascii="Times New Roman" w:hAnsi="Times New Roman" w:eastAsia="宋体" w:cs="Times New Roman"/>
                <w:color w:val="auto"/>
                <w:kern w:val="2"/>
                <w:sz w:val="24"/>
                <w:szCs w:val="24"/>
                <w:highlight w:val="none"/>
                <w:lang w:val="en-US" w:eastAsia="zh-CN" w:bidi="ar-SA"/>
              </w:rPr>
              <w:t>挥发性有机物</w:t>
            </w:r>
            <w:r>
              <w:rPr>
                <w:rFonts w:hint="default" w:ascii="Times New Roman" w:hAnsi="Times New Roman" w:eastAsia="宋体" w:cs="Times New Roman"/>
                <w:color w:val="auto"/>
                <w:sz w:val="24"/>
                <w:szCs w:val="24"/>
                <w:highlight w:val="none"/>
                <w:lang w:val="zh-CN"/>
              </w:rPr>
              <w:t>外，同时还会伴有轻微异味产生，以臭气浓度表征，</w:t>
            </w:r>
            <w:r>
              <w:rPr>
                <w:rFonts w:hint="default" w:ascii="Times New Roman" w:hAnsi="Times New Roman" w:eastAsia="宋体" w:cs="Times New Roman"/>
                <w:color w:val="auto"/>
                <w:sz w:val="24"/>
                <w:szCs w:val="24"/>
                <w:highlight w:val="none"/>
                <w:lang w:val="en-US" w:eastAsia="zh-CN"/>
              </w:rPr>
              <w:t>产生量较小</w:t>
            </w:r>
            <w:r>
              <w:rPr>
                <w:rFonts w:hint="default" w:ascii="Times New Roman" w:hAnsi="Times New Roman" w:eastAsia="宋体" w:cs="Times New Roman"/>
                <w:color w:val="auto"/>
                <w:sz w:val="24"/>
                <w:szCs w:val="24"/>
                <w:highlight w:val="none"/>
                <w:lang w:val="zh-CN"/>
              </w:rPr>
              <w:t>。</w:t>
            </w:r>
            <w:r>
              <w:rPr>
                <w:rFonts w:hint="default" w:ascii="Times New Roman" w:hAnsi="Times New Roman" w:eastAsia="宋体" w:cs="Times New Roman"/>
                <w:color w:val="auto"/>
                <w:sz w:val="24"/>
                <w:highlight w:val="none"/>
                <w:lang w:val="en-US" w:eastAsia="zh-CN"/>
              </w:rPr>
              <w:t>生产废气中的臭气浓度大部分随有机废气一同收集为有组织排放，少量未收集部分为无组织排放。</w:t>
            </w:r>
            <w:r>
              <w:rPr>
                <w:rFonts w:hint="default" w:ascii="Times New Roman" w:hAnsi="Times New Roman" w:eastAsia="宋体" w:cs="Times New Roman"/>
                <w:color w:val="auto"/>
                <w:kern w:val="0"/>
                <w:sz w:val="24"/>
                <w:szCs w:val="24"/>
                <w:highlight w:val="none"/>
              </w:rPr>
              <w:t>根据</w:t>
            </w:r>
            <w:r>
              <w:rPr>
                <w:rFonts w:hint="default" w:ascii="Times New Roman" w:hAnsi="Times New Roman" w:eastAsia="宋体" w:cs="Times New Roman"/>
                <w:color w:val="auto"/>
                <w:kern w:val="0"/>
                <w:sz w:val="24"/>
                <w:szCs w:val="24"/>
                <w:highlight w:val="none"/>
                <w:lang w:val="en-US" w:eastAsia="zh-CN"/>
              </w:rPr>
              <w:t>上文</w:t>
            </w:r>
            <w:r>
              <w:rPr>
                <w:rFonts w:hint="default" w:ascii="Times New Roman" w:hAnsi="Times New Roman" w:eastAsia="宋体" w:cs="Times New Roman"/>
                <w:color w:val="auto"/>
                <w:kern w:val="0"/>
                <w:sz w:val="24"/>
                <w:szCs w:val="24"/>
                <w:highlight w:val="none"/>
                <w:lang w:eastAsia="zh-CN"/>
              </w:rPr>
              <w:t>核算</w:t>
            </w:r>
            <w:r>
              <w:rPr>
                <w:rFonts w:hint="default" w:ascii="Times New Roman" w:hAnsi="Times New Roman" w:eastAsia="宋体" w:cs="Times New Roman"/>
                <w:color w:val="auto"/>
                <w:kern w:val="0"/>
                <w:sz w:val="24"/>
                <w:szCs w:val="24"/>
                <w:highlight w:val="none"/>
                <w:lang w:val="en-US" w:eastAsia="zh-CN"/>
              </w:rPr>
              <w:t>可知</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CN"/>
              </w:rPr>
              <w:t>项目</w:t>
            </w:r>
            <w:r>
              <w:rPr>
                <w:rFonts w:hint="default" w:ascii="Times New Roman" w:hAnsi="Times New Roman" w:eastAsia="宋体" w:cs="Times New Roman"/>
                <w:color w:val="auto"/>
                <w:kern w:val="0"/>
                <w:sz w:val="24"/>
                <w:szCs w:val="24"/>
                <w:highlight w:val="none"/>
                <w:lang w:val="en-US" w:eastAsia="zh-CN"/>
              </w:rPr>
              <w:t>DA00</w:t>
            </w:r>
            <w:r>
              <w:rPr>
                <w:rFonts w:hint="eastAsia" w:ascii="Times New Roman" w:hAnsi="Times New Roman" w:eastAsia="宋体" w:cs="Times New Roman"/>
                <w:color w:val="auto"/>
                <w:kern w:val="0"/>
                <w:sz w:val="24"/>
                <w:szCs w:val="24"/>
                <w:highlight w:val="none"/>
                <w:lang w:val="en-US" w:eastAsia="zh-CN"/>
              </w:rPr>
              <w:t>1</w:t>
            </w:r>
            <w:r>
              <w:rPr>
                <w:rFonts w:hint="default" w:ascii="Times New Roman" w:hAnsi="Times New Roman" w:eastAsia="宋体" w:cs="Times New Roman"/>
                <w:color w:val="auto"/>
                <w:kern w:val="0"/>
                <w:sz w:val="24"/>
                <w:szCs w:val="24"/>
                <w:highlight w:val="none"/>
                <w:lang w:val="en-US" w:eastAsia="zh-CN"/>
              </w:rPr>
              <w:t>排气筒中</w:t>
            </w:r>
            <w:r>
              <w:rPr>
                <w:rFonts w:hint="default" w:ascii="Times New Roman" w:hAnsi="Times New Roman" w:eastAsia="宋体" w:cs="Times New Roman"/>
                <w:color w:val="auto"/>
                <w:sz w:val="24"/>
                <w:szCs w:val="24"/>
                <w:highlight w:val="none"/>
                <w:lang w:val="en-US" w:eastAsia="zh-CN"/>
              </w:rPr>
              <w:t>臭气浓度、厂界臭气浓度满足</w:t>
            </w:r>
            <w:r>
              <w:rPr>
                <w:rFonts w:hint="default" w:ascii="Times New Roman" w:hAnsi="Times New Roman" w:eastAsia="宋体" w:cs="Times New Roman"/>
                <w:color w:val="auto"/>
                <w:sz w:val="24"/>
                <w:szCs w:val="24"/>
                <w:highlight w:val="none"/>
                <w:lang w:val="zh-CN" w:eastAsia="zh-CN"/>
              </w:rPr>
              <w:t>《恶臭污染物排放标准》（GB14554-93）</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eastAsia="宋体" w:cs="Times New Roman"/>
                <w:color w:val="auto"/>
                <w:sz w:val="24"/>
                <w:szCs w:val="24"/>
                <w:highlight w:val="none"/>
                <w:lang w:val="zh-CN" w:eastAsia="zh-CN"/>
              </w:rPr>
              <w:t>标准</w:t>
            </w:r>
            <w:r>
              <w:rPr>
                <w:rFonts w:hint="default" w:ascii="Times New Roman" w:hAnsi="Times New Roman" w:eastAsia="宋体" w:cs="Times New Roman"/>
                <w:color w:val="auto"/>
                <w:sz w:val="24"/>
                <w:szCs w:val="24"/>
                <w:highlight w:val="none"/>
                <w:lang w:val="en-US" w:eastAsia="zh-CN"/>
              </w:rPr>
              <w:t>限值</w:t>
            </w:r>
            <w:r>
              <w:rPr>
                <w:rFonts w:hint="default" w:ascii="Times New Roman" w:hAnsi="Times New Roman" w:eastAsia="宋体" w:cs="Times New Roman"/>
                <w:color w:val="auto"/>
                <w:sz w:val="24"/>
                <w:szCs w:val="24"/>
                <w:highlight w:val="none"/>
                <w:lang w:val="zh-CN" w:eastAsia="zh-CN"/>
              </w:rPr>
              <w:t>要求</w:t>
            </w:r>
            <w:r>
              <w:rPr>
                <w:rFonts w:hint="default" w:ascii="Times New Roman" w:hAnsi="Times New Roman" w:eastAsia="宋体" w:cs="Times New Roman"/>
                <w:color w:val="auto"/>
                <w:kern w:val="0"/>
                <w:sz w:val="24"/>
                <w:highlight w:val="none"/>
                <w:lang w:eastAsia="zh-CN"/>
              </w:rPr>
              <w:t>。本项目生产过程中排放的少量</w:t>
            </w:r>
            <w:r>
              <w:rPr>
                <w:rFonts w:hint="default" w:ascii="Times New Roman" w:hAnsi="Times New Roman" w:eastAsia="宋体" w:cs="Times New Roman"/>
                <w:color w:val="auto"/>
                <w:kern w:val="0"/>
                <w:sz w:val="24"/>
                <w:highlight w:val="none"/>
                <w:lang w:val="en-US" w:eastAsia="zh-CN"/>
              </w:rPr>
              <w:t>臭气浓度</w:t>
            </w:r>
            <w:r>
              <w:rPr>
                <w:rFonts w:hint="default" w:ascii="Times New Roman" w:hAnsi="Times New Roman" w:eastAsia="宋体" w:cs="Times New Roman"/>
                <w:color w:val="auto"/>
                <w:kern w:val="0"/>
                <w:sz w:val="24"/>
                <w:highlight w:val="none"/>
                <w:lang w:eastAsia="zh-CN"/>
              </w:rPr>
              <w:t>经大气稀释后对项目所在地周围环境空气质量影响较小，不会改变其环境空气功能。</w:t>
            </w:r>
          </w:p>
          <w:p w14:paraId="394031AB">
            <w:pPr>
              <w:keepNext w:val="0"/>
              <w:keepLines w:val="0"/>
              <w:pageBreakBefore w:val="0"/>
              <w:shd w:val="clear"/>
              <w:kinsoku/>
              <w:wordWrap/>
              <w:overflowPunct/>
              <w:topLinePunct w:val="0"/>
              <w:autoSpaceDE/>
              <w:autoSpaceDN/>
              <w:bidi w:val="0"/>
              <w:adjustRightInd/>
              <w:spacing w:line="360" w:lineRule="auto"/>
              <w:ind w:right="0" w:firstLine="488"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pacing w:val="2"/>
                <w:sz w:val="24"/>
                <w:szCs w:val="24"/>
                <w:highlight w:val="none"/>
                <w:lang w:val="en-US" w:eastAsia="zh-CN"/>
              </w:rPr>
              <w:t>同时，</w:t>
            </w:r>
            <w:r>
              <w:rPr>
                <w:rFonts w:hint="default" w:ascii="Times New Roman" w:hAnsi="Times New Roman" w:eastAsia="宋体" w:cs="Times New Roman"/>
                <w:color w:val="auto"/>
                <w:spacing w:val="2"/>
                <w:sz w:val="24"/>
                <w:szCs w:val="24"/>
                <w:highlight w:val="none"/>
                <w:lang w:eastAsia="zh-CN"/>
              </w:rPr>
              <w:t>项目</w:t>
            </w:r>
            <w:r>
              <w:rPr>
                <w:rFonts w:hint="default" w:ascii="Times New Roman" w:hAnsi="Times New Roman" w:eastAsia="宋体" w:cs="Times New Roman"/>
                <w:color w:val="auto"/>
                <w:spacing w:val="2"/>
                <w:sz w:val="24"/>
                <w:szCs w:val="24"/>
                <w:highlight w:val="none"/>
              </w:rPr>
              <w:t>化粪池</w:t>
            </w:r>
            <w:r>
              <w:rPr>
                <w:rFonts w:hint="default" w:ascii="Times New Roman" w:hAnsi="Times New Roman" w:eastAsia="宋体" w:cs="Times New Roman"/>
                <w:color w:val="auto"/>
                <w:spacing w:val="2"/>
                <w:sz w:val="24"/>
                <w:szCs w:val="24"/>
                <w:highlight w:val="none"/>
                <w:lang w:eastAsia="zh-CN"/>
              </w:rPr>
              <w:t>为</w:t>
            </w:r>
            <w:r>
              <w:rPr>
                <w:rFonts w:hint="default" w:ascii="Times New Roman" w:hAnsi="Times New Roman" w:eastAsia="宋体" w:cs="Times New Roman"/>
                <w:color w:val="auto"/>
                <w:spacing w:val="2"/>
                <w:sz w:val="24"/>
                <w:szCs w:val="24"/>
                <w:highlight w:val="none"/>
              </w:rPr>
              <w:t>全封闭</w:t>
            </w:r>
            <w:r>
              <w:rPr>
                <w:rFonts w:hint="default" w:ascii="Times New Roman" w:hAnsi="Times New Roman" w:eastAsia="宋体" w:cs="Times New Roman"/>
                <w:color w:val="auto"/>
                <w:spacing w:val="2"/>
                <w:sz w:val="24"/>
                <w:szCs w:val="24"/>
                <w:highlight w:val="none"/>
                <w:lang w:eastAsia="zh-CN"/>
              </w:rPr>
              <w:t>式</w:t>
            </w:r>
            <w:r>
              <w:rPr>
                <w:rFonts w:hint="default" w:ascii="Times New Roman" w:hAnsi="Times New Roman" w:eastAsia="宋体" w:cs="Times New Roman"/>
                <w:color w:val="auto"/>
                <w:spacing w:val="2"/>
                <w:sz w:val="24"/>
                <w:szCs w:val="24"/>
                <w:highlight w:val="none"/>
              </w:rPr>
              <w:t>加盖设计</w:t>
            </w:r>
            <w:r>
              <w:rPr>
                <w:rFonts w:hint="default" w:ascii="Times New Roman" w:hAnsi="Times New Roman" w:eastAsia="宋体" w:cs="Times New Roman"/>
                <w:color w:val="auto"/>
                <w:spacing w:val="2"/>
                <w:sz w:val="24"/>
                <w:szCs w:val="24"/>
                <w:highlight w:val="none"/>
                <w:lang w:eastAsia="zh-CN"/>
              </w:rPr>
              <w:t>，异味产生量较少，呈无组织排放。</w:t>
            </w:r>
            <w:r>
              <w:rPr>
                <w:rFonts w:hint="default" w:ascii="Times New Roman" w:hAnsi="Times New Roman" w:eastAsia="宋体" w:cs="Times New Roman"/>
                <w:color w:val="auto"/>
                <w:sz w:val="24"/>
                <w:szCs w:val="24"/>
                <w:highlight w:val="none"/>
                <w:lang w:eastAsia="zh-CN"/>
              </w:rPr>
              <w:t>同时在周边设置绿化带，</w:t>
            </w:r>
            <w:r>
              <w:rPr>
                <w:rFonts w:hint="default" w:ascii="Times New Roman" w:hAnsi="Times New Roman" w:eastAsia="宋体" w:cs="Times New Roman"/>
                <w:color w:val="auto"/>
                <w:sz w:val="24"/>
                <w:highlight w:val="none"/>
              </w:rPr>
              <w:t>项目</w:t>
            </w:r>
            <w:r>
              <w:rPr>
                <w:rFonts w:hint="default" w:ascii="Times New Roman" w:hAnsi="Times New Roman" w:eastAsia="宋体" w:cs="Times New Roman"/>
                <w:color w:val="auto"/>
                <w:sz w:val="24"/>
                <w:highlight w:val="none"/>
                <w:lang w:eastAsia="zh-CN"/>
              </w:rPr>
              <w:t>卫生间加强管理，做到日产日清</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生产过程生产车间加强通风，</w:t>
            </w:r>
            <w:r>
              <w:rPr>
                <w:rFonts w:hint="default" w:ascii="Times New Roman" w:hAnsi="Times New Roman" w:eastAsia="宋体" w:cs="Times New Roman"/>
                <w:color w:val="auto"/>
                <w:sz w:val="24"/>
                <w:szCs w:val="24"/>
                <w:highlight w:val="none"/>
                <w:lang w:eastAsia="zh-CN"/>
              </w:rPr>
              <w:t>确保</w:t>
            </w:r>
            <w:r>
              <w:rPr>
                <w:rFonts w:hint="default" w:ascii="Times New Roman" w:hAnsi="Times New Roman" w:eastAsia="宋体" w:cs="Times New Roman"/>
                <w:color w:val="auto"/>
                <w:sz w:val="24"/>
                <w:szCs w:val="24"/>
                <w:highlight w:val="none"/>
                <w:lang w:val="en-US" w:eastAsia="zh-CN"/>
              </w:rPr>
              <w:t>厂界臭气</w:t>
            </w:r>
            <w:r>
              <w:rPr>
                <w:rFonts w:hint="default" w:ascii="Times New Roman" w:hAnsi="Times New Roman" w:eastAsia="宋体" w:cs="Times New Roman"/>
                <w:color w:val="auto"/>
                <w:sz w:val="24"/>
                <w:highlight w:val="none"/>
              </w:rPr>
              <w:t>排放</w:t>
            </w:r>
            <w:r>
              <w:rPr>
                <w:rFonts w:hint="default" w:ascii="Times New Roman" w:hAnsi="Times New Roman" w:eastAsia="宋体" w:cs="Times New Roman"/>
                <w:color w:val="auto"/>
                <w:sz w:val="24"/>
                <w:highlight w:val="none"/>
                <w:lang w:eastAsia="zh-CN"/>
              </w:rPr>
              <w:t>浓度</w:t>
            </w:r>
            <w:r>
              <w:rPr>
                <w:rFonts w:hint="default" w:ascii="Times New Roman" w:hAnsi="Times New Roman" w:eastAsia="宋体" w:cs="Times New Roman"/>
                <w:color w:val="auto"/>
                <w:sz w:val="24"/>
                <w:highlight w:val="none"/>
              </w:rPr>
              <w:t>达到《恶臭污染物排放标准》（GB14554-93）</w:t>
            </w:r>
            <w:r>
              <w:rPr>
                <w:rFonts w:hint="default" w:ascii="Times New Roman" w:hAnsi="Times New Roman" w:eastAsia="宋体" w:cs="Times New Roman"/>
                <w:color w:val="auto"/>
                <w:sz w:val="24"/>
                <w:highlight w:val="none"/>
                <w:lang w:eastAsia="zh-CN"/>
              </w:rPr>
              <w:t>中相关标准</w:t>
            </w:r>
            <w:r>
              <w:rPr>
                <w:rFonts w:hint="default" w:ascii="Times New Roman" w:hAnsi="Times New Roman" w:eastAsia="宋体" w:cs="Times New Roman"/>
                <w:color w:val="auto"/>
                <w:sz w:val="24"/>
                <w:highlight w:val="none"/>
              </w:rPr>
              <w:t>。</w:t>
            </w:r>
          </w:p>
          <w:p w14:paraId="302F8B05">
            <w:pPr>
              <w:keepNext w:val="0"/>
              <w:keepLines w:val="0"/>
              <w:pageBreakBefore w:val="0"/>
              <w:numPr>
                <w:ilvl w:val="0"/>
                <w:numId w:val="0"/>
              </w:numPr>
              <w:shd w:val="clear"/>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color w:val="auto"/>
                <w:sz w:val="24"/>
                <w:szCs w:val="24"/>
                <w:highlight w:val="none"/>
                <w:lang w:eastAsia="zh-CN"/>
              </w:rPr>
              <w:t>综上</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项目</w:t>
            </w:r>
            <w:r>
              <w:rPr>
                <w:rFonts w:hint="default" w:ascii="Times New Roman" w:hAnsi="Times New Roman" w:eastAsia="宋体" w:cs="Times New Roman"/>
                <w:color w:val="auto"/>
                <w:sz w:val="24"/>
                <w:highlight w:val="none"/>
              </w:rPr>
              <w:t>异味产生量很小，对环境的影响较小</w:t>
            </w:r>
            <w:r>
              <w:rPr>
                <w:rFonts w:hint="default" w:ascii="Times New Roman" w:hAnsi="Times New Roman" w:eastAsia="宋体" w:cs="Times New Roman"/>
                <w:color w:val="auto"/>
                <w:sz w:val="24"/>
                <w:szCs w:val="24"/>
                <w:highlight w:val="none"/>
                <w:lang w:eastAsia="zh-CN"/>
              </w:rPr>
              <w:t>。</w:t>
            </w:r>
          </w:p>
          <w:p w14:paraId="2778D45C">
            <w:pPr>
              <w:keepNext w:val="0"/>
              <w:keepLines w:val="0"/>
              <w:pageBreakBefore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color w:val="auto"/>
                <w:sz w:val="24"/>
                <w:szCs w:val="24"/>
                <w:highlight w:val="none"/>
                <w:lang w:eastAsia="zh-CN"/>
              </w:rPr>
            </w:pPr>
            <w:r>
              <w:rPr>
                <w:rFonts w:hint="default" w:ascii="Times New Roman" w:hAnsi="Times New Roman" w:eastAsia="宋体" w:cs="Times New Roman"/>
                <w:b/>
                <w:color w:val="auto"/>
                <w:sz w:val="24"/>
                <w:szCs w:val="24"/>
                <w:highlight w:val="none"/>
                <w:lang w:val="en-US" w:eastAsia="zh-CN"/>
              </w:rPr>
              <w:t>3、废气处理措施可行性分析</w:t>
            </w:r>
          </w:p>
          <w:p w14:paraId="6B85C14E">
            <w:pPr>
              <w:keepNext w:val="0"/>
              <w:keepLines w:val="0"/>
              <w:pageBreakBefore w:val="0"/>
              <w:kinsoku/>
              <w:wordWrap/>
              <w:overflowPunct/>
              <w:topLinePunct w:val="0"/>
              <w:autoSpaceDE/>
              <w:autoSpaceDN/>
              <w:bidi w:val="0"/>
              <w:adjustRightInd/>
              <w:spacing w:line="360" w:lineRule="auto"/>
              <w:ind w:right="0" w:firstLine="482" w:firstLineChars="200"/>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（1）可行技术分析</w:t>
            </w:r>
          </w:p>
          <w:p w14:paraId="1B154420">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根据</w:t>
            </w:r>
            <w:r>
              <w:rPr>
                <w:rFonts w:hint="default" w:ascii="Times New Roman" w:hAnsi="Times New Roman" w:eastAsia="宋体" w:cs="Times New Roman"/>
                <w:color w:val="auto"/>
                <w:sz w:val="24"/>
                <w:highlight w:val="none"/>
              </w:rPr>
              <w:t>《排污许可证申请与核发技术规范</w:t>
            </w:r>
            <w:r>
              <w:rPr>
                <w:rFonts w:hint="default" w:ascii="Times New Roman" w:hAnsi="Times New Roman" w:eastAsia="宋体"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rPr>
              <w:t>总则》（HJ 942-2018）</w:t>
            </w:r>
            <w:r>
              <w:rPr>
                <w:rFonts w:hint="default" w:ascii="Times New Roman" w:hAnsi="Times New Roman" w:eastAsia="宋体" w:cs="Times New Roman"/>
                <w:color w:val="auto"/>
                <w:sz w:val="24"/>
                <w:highlight w:val="none"/>
                <w:lang w:val="en-US" w:eastAsia="zh-CN"/>
              </w:rPr>
              <w:t>及</w:t>
            </w:r>
            <w:r>
              <w:rPr>
                <w:rFonts w:hint="default" w:ascii="Times New Roman" w:hAnsi="Times New Roman" w:eastAsia="宋体" w:cs="Times New Roman"/>
                <w:color w:val="auto"/>
                <w:sz w:val="24"/>
                <w:highlight w:val="none"/>
                <w:lang w:eastAsia="zh-CN"/>
              </w:rPr>
              <w:t>《排污许可证申请与核发技术规范 橡胶和塑料制品工业》（HJ1122-2020）</w:t>
            </w:r>
            <w:r>
              <w:rPr>
                <w:rFonts w:hint="default"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rPr>
              <w:t>有机废气收集治理设施包括吸附</w:t>
            </w:r>
            <w:r>
              <w:rPr>
                <w:rFonts w:hint="default" w:ascii="Times New Roman" w:hAnsi="Times New Roman" w:eastAsia="宋体" w:cs="Times New Roman"/>
                <w:color w:val="auto"/>
                <w:sz w:val="24"/>
                <w:highlight w:val="none"/>
                <w:lang w:val="en-US" w:eastAsia="zh-CN"/>
              </w:rPr>
              <w:t>、燃烧、低温等离子体、UV光氧化/光催化、生物法</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以上组合技术</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rPr>
              <w:t>颗粒物收集治理设施包括袋式、滤筒、喷淋除尘</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无组织排放控制要求：粉状、粒状挥发性有机物物料应采用气力输送设备、管状带式输送机、螺旋输送机等密闭输送方式，或者采用密闭的包装袋、容器进行物料转移。</w:t>
            </w:r>
          </w:p>
          <w:p w14:paraId="26479BD0">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eastAsia"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本项目</w:t>
            </w:r>
            <w:r>
              <w:rPr>
                <w:rFonts w:hint="eastAsia" w:ascii="Times New Roman" w:hAnsi="Times New Roman" w:eastAsia="宋体" w:cs="Times New Roman"/>
                <w:color w:val="auto"/>
                <w:sz w:val="24"/>
                <w:highlight w:val="none"/>
                <w:lang w:eastAsia="zh-CN"/>
              </w:rPr>
              <w:t>注塑</w:t>
            </w:r>
            <w:r>
              <w:rPr>
                <w:rFonts w:hint="default" w:ascii="Times New Roman" w:hAnsi="Times New Roman" w:eastAsia="宋体" w:cs="Times New Roman"/>
                <w:color w:val="auto"/>
                <w:sz w:val="24"/>
                <w:highlight w:val="none"/>
                <w:lang w:val="en-US" w:eastAsia="zh-CN"/>
              </w:rPr>
              <w:t>生产过程</w:t>
            </w:r>
            <w:r>
              <w:rPr>
                <w:rFonts w:hint="default" w:ascii="Times New Roman" w:hAnsi="Times New Roman" w:eastAsia="宋体" w:cs="Times New Roman"/>
                <w:color w:val="auto"/>
                <w:sz w:val="24"/>
                <w:highlight w:val="none"/>
              </w:rPr>
              <w:t>产生的有机废气经集气罩收集后采用</w:t>
            </w:r>
            <w:r>
              <w:rPr>
                <w:rFonts w:hint="eastAsia" w:ascii="Times New Roman" w:hAnsi="Times New Roman" w:eastAsia="宋体" w:cs="Times New Roman"/>
                <w:color w:val="auto"/>
                <w:sz w:val="24"/>
                <w:highlight w:val="none"/>
                <w:lang w:val="en-US" w:eastAsia="zh-CN"/>
              </w:rPr>
              <w:t>1套</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eastAsia="zh-CN"/>
              </w:rPr>
              <w:t>三级活性炭吸附装置</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处理后</w:t>
            </w:r>
            <w:r>
              <w:rPr>
                <w:rFonts w:hint="default" w:ascii="Times New Roman" w:hAnsi="Times New Roman" w:eastAsia="宋体" w:cs="Times New Roman"/>
                <w:color w:val="auto"/>
                <w:sz w:val="24"/>
                <w:highlight w:val="none"/>
                <w:lang w:val="en-US" w:eastAsia="zh-CN"/>
              </w:rPr>
              <w:t>由1根</w:t>
            </w:r>
            <w:r>
              <w:rPr>
                <w:rFonts w:hint="default" w:ascii="Times New Roman" w:hAnsi="Times New Roman" w:eastAsia="宋体" w:cs="Times New Roman"/>
                <w:color w:val="auto"/>
                <w:sz w:val="24"/>
                <w:highlight w:val="none"/>
              </w:rPr>
              <w:t>15m高的排气筒</w:t>
            </w:r>
            <w:r>
              <w:rPr>
                <w:rFonts w:hint="default" w:ascii="Times New Roman" w:hAnsi="Times New Roman" w:eastAsia="宋体" w:cs="Times New Roman"/>
                <w:color w:val="auto"/>
                <w:sz w:val="24"/>
                <w:highlight w:val="none"/>
                <w:lang w:val="en-US" w:eastAsia="zh-CN"/>
              </w:rPr>
              <w:t>（DA00</w:t>
            </w: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rPr>
              <w:t>排放，属于可行性技术中的</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吸附</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本项目</w:t>
            </w:r>
            <w:r>
              <w:rPr>
                <w:rFonts w:hint="eastAsia" w:ascii="Times New Roman" w:hAnsi="Times New Roman" w:eastAsia="宋体" w:cs="Times New Roman"/>
                <w:color w:val="auto"/>
                <w:sz w:val="24"/>
                <w:highlight w:val="none"/>
              </w:rPr>
              <w:t>破碎</w:t>
            </w:r>
            <w:r>
              <w:rPr>
                <w:rFonts w:hint="default" w:ascii="Times New Roman" w:hAnsi="Times New Roman" w:eastAsia="宋体" w:cs="Times New Roman"/>
                <w:color w:val="auto"/>
                <w:sz w:val="24"/>
                <w:highlight w:val="none"/>
              </w:rPr>
              <w:t>废气经</w:t>
            </w:r>
            <w:r>
              <w:rPr>
                <w:rFonts w:hint="eastAsia" w:ascii="Times New Roman" w:hAnsi="Times New Roman" w:eastAsia="宋体" w:cs="Times New Roman"/>
                <w:color w:val="auto"/>
                <w:sz w:val="24"/>
                <w:highlight w:val="none"/>
                <w:lang w:val="en-US" w:eastAsia="zh-CN"/>
              </w:rPr>
              <w:t>集气罩收集后采用1套</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布袋</w:t>
            </w:r>
            <w:r>
              <w:rPr>
                <w:rFonts w:hint="default" w:ascii="Times New Roman" w:hAnsi="Times New Roman" w:eastAsia="宋体" w:cs="Times New Roman"/>
                <w:color w:val="auto"/>
                <w:sz w:val="24"/>
                <w:highlight w:val="none"/>
              </w:rPr>
              <w:t>除尘器</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处理后由1根15m高排气筒（DA00</w:t>
            </w:r>
            <w:r>
              <w:rPr>
                <w:rFonts w:hint="eastAsia"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）排放，属于可行性技术中的</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袋式除尘</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本项目投料过程将采用密闭包装袋的原辅料投入注塑机料仓中，属于可行技术中的“采用密闭的包装袋、容器进行物料转移”</w:t>
            </w:r>
            <w:r>
              <w:rPr>
                <w:rFonts w:hint="eastAsia" w:ascii="Times New Roman" w:hAnsi="Times New Roman" w:eastAsia="宋体" w:cs="Times New Roman"/>
                <w:color w:val="auto"/>
                <w:sz w:val="24"/>
                <w:highlight w:val="none"/>
                <w:lang w:eastAsia="zh-CN"/>
              </w:rPr>
              <w:t>。</w:t>
            </w:r>
          </w:p>
          <w:p w14:paraId="1C128E89">
            <w:pPr>
              <w:keepNext w:val="0"/>
              <w:keepLines w:val="0"/>
              <w:pageBreakBefore w:val="0"/>
              <w:kinsoku/>
              <w:wordWrap/>
              <w:overflowPunct/>
              <w:topLinePunct w:val="0"/>
              <w:autoSpaceDE/>
              <w:autoSpaceDN/>
              <w:bidi w:val="0"/>
              <w:adjustRightInd/>
              <w:spacing w:line="360" w:lineRule="auto"/>
              <w:ind w:right="0" w:firstLine="482" w:firstLineChars="200"/>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lang w:eastAsia="zh-CN"/>
              </w:rPr>
              <w:t>）</w:t>
            </w:r>
            <w:r>
              <w:rPr>
                <w:rFonts w:hint="default" w:ascii="Times New Roman" w:hAnsi="Times New Roman" w:eastAsia="宋体" w:cs="Times New Roman"/>
                <w:b/>
                <w:bCs/>
                <w:color w:val="auto"/>
                <w:sz w:val="24"/>
                <w:highlight w:val="none"/>
                <w:lang w:val="en-US" w:eastAsia="zh-CN"/>
              </w:rPr>
              <w:t>处理装置原理</w:t>
            </w:r>
          </w:p>
          <w:p w14:paraId="7C32D033">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①活性炭吸附装置</w:t>
            </w:r>
          </w:p>
          <w:p w14:paraId="560C6611">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活性炭吸附装置</w:t>
            </w:r>
            <w:r>
              <w:rPr>
                <w:rFonts w:hint="default" w:ascii="Times New Roman" w:hAnsi="Times New Roman" w:eastAsia="宋体" w:cs="Times New Roman"/>
                <w:color w:val="auto"/>
                <w:sz w:val="24"/>
                <w:highlight w:val="none"/>
              </w:rPr>
              <w:t>原理：利用活性炭或炭纤维表面的高比表面积对废气中挥发性有机化合物进行吸附，从而达到净化效果。</w:t>
            </w:r>
          </w:p>
          <w:p w14:paraId="47D5002E">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优点：在短时间内能吸附一定的污染物，主要是针对总挥发性有机物和异味。物理吸附，产品本身无二次污染。</w:t>
            </w:r>
          </w:p>
          <w:p w14:paraId="3C97278E">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highlight w:val="none"/>
              </w:rPr>
              <w:t>缺点：活性炭很容易达到吸附饱和，吸附达到饱和不再具有吸附能力时，就必须更换过滤材料，如不及时更换，其所吸附的污染物等将随时被释放出来形成二次污染。活性吸附饱和后，需要经过活化处理才能二次使用。活性炭吸附装置由活</w:t>
            </w:r>
            <w:r>
              <w:rPr>
                <w:rFonts w:hint="default" w:ascii="Times New Roman" w:hAnsi="Times New Roman" w:eastAsia="宋体" w:cs="Times New Roman"/>
                <w:color w:val="auto"/>
                <w:sz w:val="24"/>
                <w:szCs w:val="24"/>
                <w:highlight w:val="none"/>
              </w:rPr>
              <w:t>性炭、排气管和排风机、排气筒等组成。该装置在系统主风机的作用下，废气从塔进风口处进入吸附塔体内的各吸附单元，利用高性能活性炭吸附剂固体本身的表面作用力将有机废气分子吸附质吸附附着在吸附剂表面，经吸附后干净气体透过吸附单元进入塔体内的净化室并汇集至风口排出。</w:t>
            </w:r>
          </w:p>
          <w:p w14:paraId="0EFACE8A">
            <w:pPr>
              <w:keepNext w:val="0"/>
              <w:keepLines w:val="0"/>
              <w:pageBreakBefore w:val="0"/>
              <w:shd w:val="clear"/>
              <w:kinsoku/>
              <w:wordWrap/>
              <w:overflowPunct/>
              <w:topLinePunct w:val="0"/>
              <w:autoSpaceDE/>
              <w:autoSpaceDN/>
              <w:bidi w:val="0"/>
              <w:adjustRightInd/>
              <w:spacing w:line="360" w:lineRule="auto"/>
              <w:ind w:right="0" w:firstLine="480" w:firstLineChars="200"/>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highlight w:val="none"/>
              </w:rPr>
              <w:t>本项目采用</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三</w:t>
            </w:r>
            <w:r>
              <w:rPr>
                <w:rFonts w:hint="default" w:ascii="Times New Roman" w:hAnsi="Times New Roman" w:eastAsia="宋体" w:cs="Times New Roman"/>
                <w:color w:val="auto"/>
                <w:sz w:val="24"/>
                <w:szCs w:val="24"/>
                <w:highlight w:val="none"/>
                <w:lang w:eastAsia="zh-CN"/>
              </w:rPr>
              <w:t>级活性炭吸附装置”</w:t>
            </w:r>
            <w:r>
              <w:rPr>
                <w:rFonts w:hint="default" w:ascii="Times New Roman" w:hAnsi="Times New Roman" w:eastAsia="宋体" w:cs="Times New Roman"/>
                <w:color w:val="auto"/>
                <w:sz w:val="24"/>
                <w:szCs w:val="24"/>
                <w:highlight w:val="none"/>
              </w:rPr>
              <w:t>对项目产生的有机废气进行处置，</w:t>
            </w:r>
            <w:r>
              <w:rPr>
                <w:color w:val="auto"/>
                <w:kern w:val="0"/>
                <w:sz w:val="24"/>
              </w:rPr>
              <w:t>参考《</w:t>
            </w:r>
            <w:r>
              <w:rPr>
                <w:rFonts w:ascii="Times New Roman" w:hAnsi="Times New Roman"/>
                <w:color w:val="auto"/>
                <w:sz w:val="24"/>
                <w:szCs w:val="24"/>
              </w:rPr>
              <w:t>元谋滇桂塑业有限公司年产400万只塑料筐生产项目</w:t>
            </w:r>
            <w:r>
              <w:rPr>
                <w:color w:val="auto"/>
                <w:kern w:val="0"/>
                <w:sz w:val="24"/>
              </w:rPr>
              <w:t>竣工环境保护验收报告</w:t>
            </w:r>
            <w:r>
              <w:rPr>
                <w:rFonts w:hint="eastAsia"/>
                <w:color w:val="auto"/>
                <w:kern w:val="0"/>
                <w:sz w:val="24"/>
                <w:lang w:eastAsia="zh-CN"/>
              </w:rPr>
              <w:t>书</w:t>
            </w:r>
            <w:r>
              <w:rPr>
                <w:color w:val="auto"/>
                <w:kern w:val="0"/>
                <w:sz w:val="24"/>
              </w:rPr>
              <w:t>》进行类比计算</w:t>
            </w:r>
            <w:r>
              <w:rPr>
                <w:rFonts w:hint="default" w:ascii="Times New Roman" w:hAnsi="Times New Roman" w:eastAsia="宋体" w:cs="Times New Roman"/>
                <w:color w:val="auto"/>
                <w:sz w:val="24"/>
                <w:szCs w:val="24"/>
                <w:highlight w:val="none"/>
              </w:rPr>
              <w:t>，</w:t>
            </w:r>
            <w:r>
              <w:rPr>
                <w:rFonts w:hint="default" w:ascii="Times New Roman" w:hAnsi="Times New Roman" w:eastAsia="Times New Roman"/>
                <w:color w:val="auto"/>
                <w:sz w:val="24"/>
                <w:szCs w:val="24"/>
                <w:lang w:val="zh-CN"/>
              </w:rPr>
              <w:t>该项目监测结果，</w:t>
            </w:r>
            <w:r>
              <w:rPr>
                <w:rFonts w:hint="eastAsia" w:ascii="Times New Roman" w:hAnsi="Times New Roman" w:eastAsia="Times New Roman"/>
                <w:color w:val="auto"/>
                <w:sz w:val="24"/>
                <w:szCs w:val="24"/>
                <w:lang w:val="zh-CN"/>
              </w:rPr>
              <w:t>验收期间监测</w:t>
            </w:r>
            <w:r>
              <w:rPr>
                <w:rFonts w:hint="eastAsia" w:ascii="Times New Roman" w:hAnsi="Times New Roman" w:eastAsia="宋体"/>
                <w:color w:val="auto"/>
                <w:sz w:val="24"/>
                <w:szCs w:val="24"/>
                <w:lang w:val="en-US" w:eastAsia="zh-CN"/>
              </w:rPr>
              <w:t>2天，</w:t>
            </w:r>
            <w:r>
              <w:rPr>
                <w:rFonts w:hint="default" w:ascii="Times New Roman" w:hAnsi="Times New Roman" w:eastAsia="Times New Roman"/>
                <w:color w:val="auto"/>
                <w:sz w:val="24"/>
                <w:szCs w:val="24"/>
                <w:lang w:val="zh-CN"/>
              </w:rPr>
              <w:t>废气进口平均浓度</w:t>
            </w:r>
            <w:r>
              <w:rPr>
                <w:rFonts w:hint="eastAsia" w:ascii="Times New Roman" w:hAnsi="Times New Roman" w:eastAsia="Times New Roman"/>
                <w:color w:val="auto"/>
                <w:sz w:val="24"/>
                <w:szCs w:val="24"/>
                <w:lang w:val="zh-CN"/>
              </w:rPr>
              <w:t>分别为</w:t>
            </w:r>
            <w:r>
              <w:rPr>
                <w:rFonts w:hint="eastAsia" w:ascii="Times New Roman" w:hAnsi="Times New Roman" w:eastAsia="宋体"/>
                <w:color w:val="auto"/>
                <w:sz w:val="24"/>
                <w:szCs w:val="24"/>
                <w:lang w:val="en-US" w:eastAsia="zh-CN"/>
              </w:rPr>
              <w:t>21.7</w:t>
            </w:r>
            <w:r>
              <w:rPr>
                <w:rFonts w:hint="default" w:ascii="Times New Roman" w:hAnsi="Times New Roman" w:eastAsia="Times New Roman"/>
                <w:color w:val="auto"/>
                <w:sz w:val="24"/>
                <w:szCs w:val="24"/>
                <w:lang w:val="zh-CN"/>
              </w:rPr>
              <w:t>mg/m</w:t>
            </w:r>
            <w:r>
              <w:rPr>
                <w:rFonts w:hint="default" w:ascii="Times New Roman" w:hAnsi="Times New Roman" w:eastAsia="Times New Roman"/>
                <w:color w:val="auto"/>
                <w:sz w:val="24"/>
                <w:szCs w:val="24"/>
                <w:vertAlign w:val="superscript"/>
                <w:lang w:val="zh-CN"/>
              </w:rPr>
              <w:t>3</w:t>
            </w:r>
            <w:r>
              <w:rPr>
                <w:rFonts w:hint="eastAsia" w:ascii="Times New Roman" w:hAnsi="Times New Roman" w:eastAsia="宋体"/>
                <w:color w:val="auto"/>
                <w:sz w:val="24"/>
                <w:szCs w:val="24"/>
                <w:lang w:val="en-US" w:eastAsia="zh-CN"/>
              </w:rPr>
              <w:t>、24.9</w:t>
            </w:r>
            <w:r>
              <w:rPr>
                <w:rFonts w:hint="default" w:ascii="Times New Roman" w:hAnsi="Times New Roman" w:eastAsia="Times New Roman"/>
                <w:color w:val="auto"/>
                <w:sz w:val="24"/>
                <w:szCs w:val="24"/>
                <w:lang w:val="zh-CN"/>
              </w:rPr>
              <w:t>mg/m</w:t>
            </w:r>
            <w:r>
              <w:rPr>
                <w:rFonts w:hint="default" w:ascii="Times New Roman" w:hAnsi="Times New Roman" w:eastAsia="Times New Roman"/>
                <w:color w:val="auto"/>
                <w:sz w:val="24"/>
                <w:szCs w:val="24"/>
                <w:vertAlign w:val="superscript"/>
                <w:lang w:val="zh-CN"/>
              </w:rPr>
              <w:t>3</w:t>
            </w:r>
            <w:r>
              <w:rPr>
                <w:rFonts w:hint="default" w:ascii="Times New Roman" w:hAnsi="Times New Roman" w:eastAsia="Times New Roman"/>
                <w:color w:val="auto"/>
                <w:sz w:val="24"/>
                <w:szCs w:val="24"/>
                <w:lang w:val="zh-CN"/>
              </w:rPr>
              <w:t>，出口平均浓度</w:t>
            </w:r>
            <w:r>
              <w:rPr>
                <w:rFonts w:hint="eastAsia" w:ascii="Times New Roman" w:hAnsi="Times New Roman" w:eastAsia="Times New Roman"/>
                <w:color w:val="auto"/>
                <w:sz w:val="24"/>
                <w:szCs w:val="24"/>
                <w:lang w:val="zh-CN"/>
              </w:rPr>
              <w:t>分别为</w:t>
            </w:r>
            <w:r>
              <w:rPr>
                <w:rFonts w:hint="eastAsia" w:ascii="Times New Roman" w:hAnsi="Times New Roman" w:eastAsia="宋体"/>
                <w:color w:val="auto"/>
                <w:sz w:val="24"/>
                <w:szCs w:val="24"/>
                <w:lang w:val="en-US" w:eastAsia="zh-CN"/>
              </w:rPr>
              <w:t>1.72</w:t>
            </w:r>
            <w:r>
              <w:rPr>
                <w:rFonts w:hint="default" w:ascii="Times New Roman" w:hAnsi="Times New Roman" w:eastAsia="Times New Roman"/>
                <w:color w:val="auto"/>
                <w:sz w:val="24"/>
                <w:szCs w:val="24"/>
                <w:lang w:val="zh-CN"/>
              </w:rPr>
              <w:t>mg/m</w:t>
            </w:r>
            <w:r>
              <w:rPr>
                <w:rFonts w:hint="default" w:ascii="Times New Roman" w:hAnsi="Times New Roman" w:eastAsia="Times New Roman"/>
                <w:color w:val="auto"/>
                <w:sz w:val="24"/>
                <w:szCs w:val="24"/>
                <w:vertAlign w:val="superscript"/>
                <w:lang w:val="zh-CN"/>
              </w:rPr>
              <w:t>3</w:t>
            </w:r>
            <w:r>
              <w:rPr>
                <w:rFonts w:hint="eastAsia" w:ascii="Times New Roman" w:hAnsi="Times New Roman" w:eastAsia="Times New Roman"/>
                <w:color w:val="auto"/>
                <w:sz w:val="24"/>
                <w:szCs w:val="24"/>
                <w:lang w:val="zh-CN"/>
              </w:rPr>
              <w:t>、</w:t>
            </w:r>
            <w:r>
              <w:rPr>
                <w:rFonts w:hint="eastAsia" w:ascii="Times New Roman" w:hAnsi="Times New Roman" w:eastAsia="宋体"/>
                <w:color w:val="auto"/>
                <w:sz w:val="24"/>
                <w:szCs w:val="24"/>
                <w:lang w:val="en-US" w:eastAsia="zh-CN"/>
              </w:rPr>
              <w:t>1.78</w:t>
            </w:r>
            <w:r>
              <w:rPr>
                <w:rFonts w:hint="default" w:ascii="Times New Roman" w:hAnsi="Times New Roman" w:eastAsia="Times New Roman"/>
                <w:color w:val="auto"/>
                <w:sz w:val="24"/>
                <w:szCs w:val="24"/>
                <w:lang w:val="zh-CN"/>
              </w:rPr>
              <w:t>mg/m</w:t>
            </w:r>
            <w:r>
              <w:rPr>
                <w:rFonts w:hint="default" w:ascii="Times New Roman" w:hAnsi="Times New Roman" w:eastAsia="Times New Roman"/>
                <w:color w:val="auto"/>
                <w:sz w:val="24"/>
                <w:szCs w:val="24"/>
                <w:vertAlign w:val="superscript"/>
                <w:lang w:val="zh-CN"/>
              </w:rPr>
              <w:t>3</w:t>
            </w:r>
            <w:r>
              <w:rPr>
                <w:rFonts w:hint="default" w:ascii="Times New Roman" w:hAnsi="Times New Roman" w:eastAsia="Times New Roman"/>
                <w:color w:val="auto"/>
                <w:sz w:val="24"/>
                <w:szCs w:val="24"/>
                <w:lang w:val="zh-CN"/>
              </w:rPr>
              <w:t>，去除效率为</w:t>
            </w:r>
            <w:r>
              <w:rPr>
                <w:rFonts w:hint="eastAsia" w:ascii="Times New Roman" w:hAnsi="Times New Roman" w:eastAsia="宋体"/>
                <w:color w:val="auto"/>
                <w:sz w:val="24"/>
                <w:szCs w:val="24"/>
                <w:lang w:val="en-US" w:eastAsia="zh-CN"/>
              </w:rPr>
              <w:t>92.07-92.85</w:t>
            </w:r>
            <w:r>
              <w:rPr>
                <w:rFonts w:hint="default" w:ascii="Times New Roman" w:hAnsi="Times New Roman" w:eastAsia="Times New Roman"/>
                <w:color w:val="auto"/>
                <w:sz w:val="24"/>
                <w:szCs w:val="24"/>
                <w:lang w:val="zh-CN"/>
              </w:rPr>
              <w:t>%</w:t>
            </w:r>
            <w:r>
              <w:rPr>
                <w:rFonts w:hint="eastAsia" w:ascii="Times New Roman" w:hAnsi="Times New Roman" w:eastAsia="Times New Roman"/>
                <w:color w:val="auto"/>
                <w:sz w:val="24"/>
                <w:szCs w:val="24"/>
                <w:lang w:val="zh-CN"/>
              </w:rPr>
              <w:t>，</w:t>
            </w:r>
            <w:r>
              <w:rPr>
                <w:rFonts w:hint="default" w:ascii="Times New Roman" w:hAnsi="Times New Roman" w:eastAsia="宋体" w:cs="Times New Roman"/>
                <w:color w:val="auto"/>
                <w:sz w:val="24"/>
                <w:szCs w:val="24"/>
                <w:highlight w:val="none"/>
                <w:lang w:val="en-US" w:eastAsia="zh-CN"/>
              </w:rPr>
              <w:t>则</w:t>
            </w:r>
            <w:r>
              <w:rPr>
                <w:rFonts w:hint="default" w:ascii="Times New Roman" w:hAnsi="Times New Roman" w:eastAsia="Times New Roman"/>
                <w:color w:val="auto"/>
                <w:sz w:val="24"/>
                <w:szCs w:val="24"/>
                <w:lang w:val="zh-CN"/>
              </w:rPr>
              <w:t>项目产生的非甲烷总烃经过</w:t>
            </w:r>
            <w:r>
              <w:rPr>
                <w:rFonts w:hint="default" w:ascii="Times New Roman" w:hAnsi="Times New Roman" w:eastAsia="Times New Roman"/>
                <w:color w:val="auto"/>
                <w:sz w:val="24"/>
                <w:szCs w:val="24"/>
                <w:highlight w:val="none"/>
                <w:lang w:val="zh-CN"/>
              </w:rPr>
              <w:t>“</w:t>
            </w:r>
            <w:r>
              <w:rPr>
                <w:rFonts w:hint="default" w:ascii="Times New Roman" w:hAnsi="Times New Roman" w:eastAsia="宋体" w:cs="Times New Roman"/>
                <w:color w:val="auto"/>
                <w:sz w:val="24"/>
                <w:szCs w:val="24"/>
                <w:highlight w:val="none"/>
                <w:lang w:val="en-US" w:eastAsia="zh-CN"/>
              </w:rPr>
              <w:t>三</w:t>
            </w:r>
            <w:r>
              <w:rPr>
                <w:rFonts w:hint="default" w:ascii="Times New Roman" w:hAnsi="Times New Roman" w:eastAsia="宋体" w:cs="Times New Roman"/>
                <w:color w:val="auto"/>
                <w:sz w:val="24"/>
                <w:szCs w:val="24"/>
                <w:highlight w:val="none"/>
                <w:lang w:eastAsia="zh-CN"/>
              </w:rPr>
              <w:t>级活性炭吸附装置</w:t>
            </w:r>
            <w:r>
              <w:rPr>
                <w:rFonts w:hint="default" w:ascii="Times New Roman" w:hAnsi="Times New Roman" w:eastAsia="Times New Roman"/>
                <w:color w:val="auto"/>
                <w:sz w:val="24"/>
                <w:szCs w:val="24"/>
                <w:highlight w:val="none"/>
                <w:lang w:val="zh-CN"/>
              </w:rPr>
              <w:t>”</w:t>
            </w:r>
            <w:r>
              <w:rPr>
                <w:rFonts w:hint="default" w:ascii="Times New Roman" w:hAnsi="Times New Roman" w:eastAsia="Times New Roman"/>
                <w:color w:val="auto"/>
                <w:sz w:val="24"/>
                <w:szCs w:val="24"/>
                <w:lang w:val="zh-CN"/>
              </w:rPr>
              <w:t>处理，综合去除效率保守采用80%是可行的。</w:t>
            </w:r>
          </w:p>
          <w:p w14:paraId="4C4B5A14">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highlight w:val="none"/>
              </w:rPr>
              <w:t>综上所述，项目</w:t>
            </w:r>
            <w:r>
              <w:rPr>
                <w:rFonts w:hint="eastAsia" w:cs="Times New Roman"/>
                <w:color w:val="auto"/>
                <w:sz w:val="24"/>
                <w:szCs w:val="24"/>
                <w:highlight w:val="none"/>
                <w:lang w:val="en-US" w:eastAsia="zh-CN"/>
              </w:rPr>
              <w:t>注塑废气</w:t>
            </w:r>
            <w:r>
              <w:rPr>
                <w:rFonts w:hint="default" w:ascii="Times New Roman" w:hAnsi="Times New Roman" w:eastAsia="宋体" w:cs="Times New Roman"/>
                <w:color w:val="auto"/>
                <w:sz w:val="24"/>
                <w:szCs w:val="24"/>
                <w:highlight w:val="none"/>
              </w:rPr>
              <w:t>采用</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三</w:t>
            </w:r>
            <w:r>
              <w:rPr>
                <w:rFonts w:hint="default" w:ascii="Times New Roman" w:hAnsi="Times New Roman" w:eastAsia="宋体" w:cs="Times New Roman"/>
                <w:color w:val="auto"/>
                <w:sz w:val="24"/>
                <w:szCs w:val="24"/>
                <w:highlight w:val="none"/>
                <w:lang w:eastAsia="zh-CN"/>
              </w:rPr>
              <w:t>级活性炭吸附装置”</w:t>
            </w:r>
            <w:r>
              <w:rPr>
                <w:rFonts w:hint="default" w:ascii="Times New Roman" w:hAnsi="Times New Roman" w:eastAsia="宋体" w:cs="Times New Roman"/>
                <w:color w:val="auto"/>
                <w:sz w:val="24"/>
                <w:szCs w:val="24"/>
                <w:highlight w:val="none"/>
              </w:rPr>
              <w:t>处理废气</w:t>
            </w:r>
            <w:r>
              <w:rPr>
                <w:rFonts w:hint="default" w:ascii="Times New Roman" w:hAnsi="Times New Roman" w:eastAsia="宋体" w:cs="Times New Roman"/>
                <w:color w:val="auto"/>
                <w:sz w:val="24"/>
                <w:szCs w:val="24"/>
              </w:rPr>
              <w:t>可达标排放，故环保设施设施设置合理。</w:t>
            </w:r>
          </w:p>
          <w:p w14:paraId="53E6D7B9">
            <w:pPr>
              <w:spacing w:line="360" w:lineRule="auto"/>
              <w:ind w:firstLine="480" w:firstLineChars="200"/>
              <w:rPr>
                <w:color w:val="auto"/>
                <w:sz w:val="24"/>
              </w:rPr>
            </w:pPr>
            <w:r>
              <w:rPr>
                <w:rFonts w:hint="eastAsia" w:cs="Times New Roman"/>
                <w:color w:val="auto"/>
                <w:sz w:val="24"/>
                <w:szCs w:val="24"/>
                <w:lang w:val="en-US" w:eastAsia="zh-CN"/>
              </w:rPr>
              <w:t>②</w:t>
            </w:r>
            <w:r>
              <w:rPr>
                <w:rFonts w:hint="eastAsia"/>
                <w:color w:val="auto"/>
                <w:sz w:val="24"/>
              </w:rPr>
              <w:t>布袋</w:t>
            </w:r>
            <w:r>
              <w:rPr>
                <w:color w:val="auto"/>
                <w:sz w:val="24"/>
              </w:rPr>
              <w:t>除尘器</w:t>
            </w:r>
          </w:p>
          <w:p w14:paraId="078B487E">
            <w:pPr>
              <w:pStyle w:val="27"/>
              <w:spacing w:before="0" w:beforeAutospacing="0" w:after="0" w:afterAutospacing="0" w:line="360" w:lineRule="auto"/>
              <w:ind w:firstLine="480" w:firstLineChars="200"/>
              <w:rPr>
                <w:rFonts w:ascii="Times New Roman" w:hAnsi="Times New Roman"/>
                <w:color w:val="auto"/>
              </w:rPr>
            </w:pPr>
            <w:r>
              <w:rPr>
                <w:rFonts w:ascii="Times New Roman" w:hAnsi="Times New Roman"/>
                <w:color w:val="auto"/>
                <w:kern w:val="2"/>
              </w:rPr>
              <w:t>布袋除尘器有净化效率高、处理气体能力大、性能稳定、操作方便、滤袋寿命长、维修工作量小等优点。</w:t>
            </w:r>
            <w:r>
              <w:rPr>
                <w:rFonts w:ascii="Times New Roman" w:hAnsi="Times New Roman"/>
                <w:color w:val="auto"/>
              </w:rPr>
              <w:t>由灰斗、上箱体、中箱体、下箱体等部分组成，上、中、下箱体为分室结构。工作时，含尘气体由进风道进入灰斗，粗尘粒直接落入灰斗底部，细尘粒随气流转折向上进入中、下箱体，粉尘积附在滤袋外表面，过滤后的气体进入上箱体至净气集合管-排风道，经排风机排至大气。清灰时先切断该室的净气出口风道，使该室的布袋处于无气流通过的状态(分室停风清灰)。然后开启脉冲阀用压缩空气进行脉冲喷吹清灰，切断阀关闭时间足以保证在喷吹后从滤袋上剥离的粉尘沉降至灰斗，避免了粉尘在脱离滤袋表面后又随气流附集到相邻滤袋表面的现象，使滤袋清灰彻底，并由可编程序控制仪对排气阀、脉冲阀及卸灰阀等进行全自动控制。同时，布袋除尘器工艺属于国家推荐的常用除尘设备，除尘效率有保证，可达9</w:t>
            </w:r>
            <w:r>
              <w:rPr>
                <w:rFonts w:hint="eastAsia" w:ascii="Times New Roman" w:hAnsi="Times New Roman"/>
                <w:color w:val="auto"/>
              </w:rPr>
              <w:t>5</w:t>
            </w:r>
            <w:r>
              <w:rPr>
                <w:rFonts w:ascii="Times New Roman" w:hAnsi="Times New Roman"/>
                <w:color w:val="auto"/>
              </w:rPr>
              <w:t>%以上。</w:t>
            </w:r>
          </w:p>
          <w:p w14:paraId="4E2E7E2D">
            <w:pPr>
              <w:spacing w:line="360" w:lineRule="auto"/>
              <w:ind w:firstLine="480" w:firstLineChars="200"/>
              <w:rPr>
                <w:rFonts w:hint="eastAsia" w:ascii="Times New Roman" w:hAnsi="Times New Roman" w:eastAsia="宋体" w:cs="Times New Roman"/>
                <w:color w:val="auto"/>
                <w:sz w:val="24"/>
                <w:szCs w:val="24"/>
                <w:lang w:val="en-US" w:eastAsia="zh-CN"/>
              </w:rPr>
            </w:pPr>
            <w:r>
              <w:rPr>
                <w:color w:val="auto"/>
                <w:sz w:val="24"/>
              </w:rPr>
              <w:t>布袋除尘技术除尘效率一般为95%-99.7%，本项目</w:t>
            </w:r>
            <w:r>
              <w:rPr>
                <w:rFonts w:hint="eastAsia"/>
                <w:color w:val="auto"/>
                <w:sz w:val="24"/>
                <w:lang w:val="en-US" w:eastAsia="zh-CN"/>
              </w:rPr>
              <w:t>破碎</w:t>
            </w:r>
            <w:r>
              <w:rPr>
                <w:rFonts w:hint="eastAsia"/>
                <w:color w:val="auto"/>
                <w:sz w:val="24"/>
              </w:rPr>
              <w:t>废气经</w:t>
            </w:r>
            <w:r>
              <w:rPr>
                <w:color w:val="auto"/>
                <w:sz w:val="24"/>
              </w:rPr>
              <w:t>“布袋除尘器”处理</w:t>
            </w:r>
            <w:r>
              <w:rPr>
                <w:rFonts w:hint="eastAsia"/>
                <w:color w:val="auto"/>
                <w:sz w:val="24"/>
              </w:rPr>
              <w:t>后</w:t>
            </w:r>
            <w:r>
              <w:rPr>
                <w:color w:val="auto"/>
                <w:sz w:val="24"/>
              </w:rPr>
              <w:t>可达标排放，故环保设施设施设置合理。</w:t>
            </w:r>
          </w:p>
          <w:p w14:paraId="436E0F44">
            <w:pPr>
              <w:keepNext w:val="0"/>
              <w:keepLines w:val="0"/>
              <w:pageBreakBefore w:val="0"/>
              <w:shd w:val="clear"/>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③</w:t>
            </w:r>
            <w:r>
              <w:rPr>
                <w:rFonts w:hint="default" w:ascii="Times New Roman" w:hAnsi="Times New Roman" w:eastAsia="宋体" w:cs="Times New Roman"/>
                <w:color w:val="auto"/>
                <w:sz w:val="24"/>
                <w:szCs w:val="24"/>
                <w:highlight w:val="none"/>
                <w:lang w:val="en-US" w:eastAsia="zh-CN"/>
              </w:rPr>
              <w:t>风机风量设置合理性分析</w:t>
            </w:r>
          </w:p>
          <w:p w14:paraId="74A63250">
            <w:pPr>
              <w:keepNext w:val="0"/>
              <w:keepLines w:val="0"/>
              <w:pageBreakBefore w:val="0"/>
              <w:shd w:val="clear"/>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szCs w:val="24"/>
                <w:highlight w:val="none"/>
                <w:lang w:val="en-US" w:eastAsia="zh-CN"/>
              </w:rPr>
            </w:pPr>
            <w:r>
              <w:rPr>
                <w:color w:val="auto"/>
                <w:sz w:val="24"/>
              </w:rPr>
              <w:t xml:space="preserve">根据《挥发性有机物无组织排放控制标准》（GB37822-2019）中10.2废气收集系统要求—10.2.2 </w:t>
            </w:r>
            <w:r>
              <w:rPr>
                <w:color w:val="auto"/>
                <w:sz w:val="24"/>
                <w:lang w:bidi="ar"/>
              </w:rPr>
              <w:t>废气收集系统排风罩（集气罩）的设置应符合GB/T</w:t>
            </w:r>
            <w:r>
              <w:rPr>
                <w:rFonts w:hint="eastAsia"/>
                <w:color w:val="auto"/>
                <w:sz w:val="24"/>
                <w:lang w:bidi="ar"/>
              </w:rPr>
              <w:t xml:space="preserve"> </w:t>
            </w:r>
            <w:r>
              <w:rPr>
                <w:color w:val="auto"/>
                <w:sz w:val="24"/>
                <w:lang w:bidi="ar"/>
              </w:rPr>
              <w:t>16758的规定。采用外部排风罩的，应按GB/T 16758、AQ/T 4274—2016规定的方法测量控制风速，测量点应选取在距排风罩开口面最远处的VOCs无组织排放位置，控制风速不应低于0.3m/s。</w:t>
            </w:r>
            <w:r>
              <w:rPr>
                <w:rFonts w:hint="default" w:ascii="Times New Roman" w:hAnsi="Times New Roman" w:eastAsia="宋体" w:cs="Times New Roman"/>
                <w:color w:val="auto"/>
                <w:sz w:val="24"/>
                <w:szCs w:val="24"/>
                <w:highlight w:val="none"/>
                <w:lang w:eastAsia="zh-CN"/>
              </w:rPr>
              <w:t>根据本项目生产设备实际情况，单台</w:t>
            </w:r>
            <w:r>
              <w:rPr>
                <w:rFonts w:hint="eastAsia" w:ascii="Times New Roman" w:hAnsi="Times New Roman" w:eastAsia="宋体" w:cs="Times New Roman"/>
                <w:color w:val="auto"/>
                <w:sz w:val="24"/>
                <w:szCs w:val="24"/>
                <w:highlight w:val="none"/>
                <w:lang w:val="en-US" w:eastAsia="zh-CN"/>
              </w:rPr>
              <w:t>注塑</w:t>
            </w:r>
            <w:r>
              <w:rPr>
                <w:rFonts w:hint="default" w:ascii="Times New Roman" w:hAnsi="Times New Roman" w:eastAsia="宋体" w:cs="Times New Roman"/>
                <w:color w:val="auto"/>
                <w:sz w:val="24"/>
                <w:szCs w:val="24"/>
                <w:highlight w:val="none"/>
                <w:lang w:val="en-US" w:eastAsia="zh-CN"/>
              </w:rPr>
              <w:t>设备集气罩投影面积按0.</w:t>
            </w:r>
            <w:r>
              <w:rPr>
                <w:rFonts w:hint="eastAsia" w:ascii="Times New Roman" w:hAnsi="Times New Roman" w:eastAsia="宋体" w:cs="Times New Roman"/>
                <w:color w:val="auto"/>
                <w:sz w:val="24"/>
                <w:szCs w:val="24"/>
                <w:highlight w:val="none"/>
                <w:lang w:val="en-US" w:eastAsia="zh-CN"/>
              </w:rPr>
              <w:t>36</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vertAlign w:val="baseline"/>
                <w:lang w:val="en-US" w:eastAsia="zh-CN"/>
              </w:rPr>
              <w:t>计，则单个集气罩风量不低于</w:t>
            </w:r>
            <w:r>
              <w:rPr>
                <w:rFonts w:hint="eastAsia" w:cs="Times New Roman"/>
                <w:color w:val="auto"/>
                <w:sz w:val="24"/>
                <w:szCs w:val="24"/>
                <w:highlight w:val="none"/>
                <w:vertAlign w:val="baseline"/>
                <w:lang w:val="en-US" w:eastAsia="zh-CN"/>
              </w:rPr>
              <w:t>952.2</w:t>
            </w:r>
            <w:r>
              <w:rPr>
                <w:rFonts w:hint="default" w:ascii="Times New Roman" w:hAnsi="Times New Roman" w:eastAsia="宋体" w:cs="Times New Roman"/>
                <w:color w:val="auto"/>
                <w:sz w:val="24"/>
                <w:highlight w:val="none"/>
              </w:rPr>
              <w:t>m</w:t>
            </w:r>
            <w:r>
              <w:rPr>
                <w:rFonts w:hint="default" w:ascii="Times New Roman" w:hAnsi="Times New Roman" w:eastAsia="宋体" w:cs="Times New Roman"/>
                <w:color w:val="auto"/>
                <w:sz w:val="24"/>
                <w:highlight w:val="none"/>
                <w:vertAlign w:val="superscript"/>
              </w:rPr>
              <w:t>3</w:t>
            </w:r>
            <w:r>
              <w:rPr>
                <w:rFonts w:hint="default" w:ascii="Times New Roman" w:hAnsi="Times New Roman" w:eastAsia="宋体" w:cs="Times New Roman"/>
                <w:color w:val="auto"/>
                <w:sz w:val="24"/>
                <w:highlight w:val="none"/>
              </w:rPr>
              <w:t>/h</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因此</w:t>
            </w:r>
            <w:r>
              <w:rPr>
                <w:rFonts w:hint="eastAsia" w:ascii="Times New Roman" w:hAnsi="Times New Roman" w:eastAsia="宋体" w:cs="Times New Roman"/>
                <w:color w:val="auto"/>
                <w:sz w:val="24"/>
                <w:highlight w:val="none"/>
                <w:lang w:val="en-US" w:eastAsia="zh-CN"/>
              </w:rPr>
              <w:t>20</w:t>
            </w:r>
            <w:r>
              <w:rPr>
                <w:rFonts w:hint="default" w:ascii="Times New Roman" w:hAnsi="Times New Roman" w:eastAsia="宋体" w:cs="Times New Roman"/>
                <w:color w:val="auto"/>
                <w:sz w:val="24"/>
                <w:szCs w:val="24"/>
                <w:highlight w:val="none"/>
                <w:lang w:val="en-US" w:eastAsia="zh-CN"/>
              </w:rPr>
              <w:t>台</w:t>
            </w:r>
            <w:r>
              <w:rPr>
                <w:rFonts w:hint="eastAsia" w:ascii="Times New Roman" w:hAnsi="Times New Roman" w:eastAsia="宋体" w:cs="Times New Roman"/>
                <w:color w:val="auto"/>
                <w:sz w:val="24"/>
                <w:szCs w:val="24"/>
                <w:highlight w:val="none"/>
                <w:lang w:val="en-US" w:eastAsia="zh-CN"/>
              </w:rPr>
              <w:t>注塑</w:t>
            </w:r>
            <w:r>
              <w:rPr>
                <w:rFonts w:hint="default" w:ascii="Times New Roman" w:hAnsi="Times New Roman" w:eastAsia="宋体" w:cs="Times New Roman"/>
                <w:color w:val="auto"/>
                <w:sz w:val="24"/>
                <w:szCs w:val="24"/>
                <w:highlight w:val="none"/>
                <w:lang w:val="en-US" w:eastAsia="zh-CN"/>
              </w:rPr>
              <w:t>机</w:t>
            </w:r>
            <w:r>
              <w:rPr>
                <w:rFonts w:hint="default" w:ascii="Times New Roman" w:hAnsi="Times New Roman" w:eastAsia="宋体" w:cs="Times New Roman"/>
                <w:color w:val="auto"/>
                <w:sz w:val="24"/>
                <w:szCs w:val="24"/>
                <w:highlight w:val="none"/>
                <w:lang w:eastAsia="zh-CN"/>
              </w:rPr>
              <w:t>集气罩</w:t>
            </w:r>
            <w:r>
              <w:rPr>
                <w:rFonts w:hint="default" w:ascii="Times New Roman" w:hAnsi="Times New Roman" w:eastAsia="宋体" w:cs="Times New Roman"/>
                <w:color w:val="auto"/>
                <w:kern w:val="0"/>
                <w:sz w:val="24"/>
                <w:szCs w:val="24"/>
                <w:highlight w:val="none"/>
                <w:lang w:eastAsia="zh-CN"/>
              </w:rPr>
              <w:t>配套</w:t>
            </w:r>
            <w:r>
              <w:rPr>
                <w:rFonts w:hint="default" w:ascii="Times New Roman" w:hAnsi="Times New Roman" w:eastAsia="宋体" w:cs="Times New Roman"/>
                <w:color w:val="auto"/>
                <w:kern w:val="0"/>
                <w:sz w:val="24"/>
                <w:szCs w:val="24"/>
                <w:highlight w:val="none"/>
              </w:rPr>
              <w:t>风量</w:t>
            </w:r>
            <w:r>
              <w:rPr>
                <w:rFonts w:hint="default" w:ascii="Times New Roman" w:hAnsi="Times New Roman" w:eastAsia="宋体" w:cs="Times New Roman"/>
                <w:color w:val="auto"/>
                <w:kern w:val="0"/>
                <w:sz w:val="24"/>
                <w:szCs w:val="24"/>
                <w:highlight w:val="none"/>
                <w:lang w:val="en-US" w:eastAsia="zh-CN"/>
              </w:rPr>
              <w:t>不低于</w:t>
            </w:r>
            <w:r>
              <w:rPr>
                <w:rFonts w:hint="default" w:ascii="Times New Roman" w:hAnsi="Times New Roman" w:eastAsia="宋体" w:cs="Times New Roman"/>
                <w:color w:val="auto"/>
                <w:kern w:val="0"/>
                <w:sz w:val="24"/>
                <w:szCs w:val="24"/>
                <w:highlight w:val="none"/>
              </w:rPr>
              <w:t>为</w:t>
            </w:r>
            <w:r>
              <w:rPr>
                <w:rFonts w:hint="eastAsia" w:ascii="Times New Roman" w:hAnsi="Times New Roman" w:eastAsia="宋体" w:cs="Times New Roman"/>
                <w:color w:val="auto"/>
                <w:kern w:val="0"/>
                <w:sz w:val="24"/>
                <w:szCs w:val="24"/>
                <w:highlight w:val="none"/>
                <w:lang w:val="en-US" w:eastAsia="zh-CN"/>
              </w:rPr>
              <w:t>19044</w:t>
            </w:r>
            <w:r>
              <w:rPr>
                <w:rFonts w:hint="default" w:ascii="Times New Roman" w:hAnsi="Times New Roman" w:eastAsia="宋体" w:cs="Times New Roman"/>
                <w:color w:val="auto"/>
                <w:kern w:val="0"/>
                <w:sz w:val="24"/>
                <w:szCs w:val="24"/>
                <w:highlight w:val="none"/>
              </w:rPr>
              <w:t>m</w:t>
            </w:r>
            <w:r>
              <w:rPr>
                <w:rFonts w:hint="default" w:ascii="Times New Roman" w:hAnsi="Times New Roman" w:eastAsia="宋体" w:cs="Times New Roman"/>
                <w:color w:val="auto"/>
                <w:kern w:val="0"/>
                <w:sz w:val="24"/>
                <w:szCs w:val="24"/>
                <w:highlight w:val="none"/>
                <w:vertAlign w:val="superscript"/>
              </w:rPr>
              <w:t>3</w:t>
            </w:r>
            <w:r>
              <w:rPr>
                <w:rFonts w:hint="default" w:ascii="Times New Roman" w:hAnsi="Times New Roman" w:eastAsia="宋体" w:cs="Times New Roman"/>
                <w:color w:val="auto"/>
                <w:kern w:val="0"/>
                <w:sz w:val="24"/>
                <w:szCs w:val="24"/>
                <w:highlight w:val="none"/>
              </w:rPr>
              <w:t>/h</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本项目设置为</w:t>
            </w:r>
            <w:r>
              <w:rPr>
                <w:rFonts w:hint="eastAsia" w:ascii="Times New Roman" w:hAnsi="Times New Roman" w:eastAsia="宋体" w:cs="Times New Roman"/>
                <w:color w:val="auto"/>
                <w:kern w:val="0"/>
                <w:sz w:val="24"/>
                <w:szCs w:val="24"/>
                <w:highlight w:val="none"/>
                <w:lang w:val="en-US" w:eastAsia="zh-CN"/>
              </w:rPr>
              <w:t>2</w:t>
            </w:r>
            <w:r>
              <w:rPr>
                <w:rFonts w:hint="eastAsia" w:cs="Times New Roman"/>
                <w:color w:val="auto"/>
                <w:kern w:val="0"/>
                <w:sz w:val="24"/>
                <w:szCs w:val="24"/>
                <w:highlight w:val="none"/>
                <w:lang w:val="en-US" w:eastAsia="zh-CN"/>
              </w:rPr>
              <w:t>0000</w:t>
            </w:r>
            <w:r>
              <w:rPr>
                <w:rFonts w:hint="default" w:ascii="Times New Roman" w:hAnsi="Times New Roman" w:eastAsia="宋体" w:cs="Times New Roman"/>
                <w:color w:val="auto"/>
                <w:kern w:val="0"/>
                <w:sz w:val="24"/>
                <w:szCs w:val="24"/>
                <w:highlight w:val="none"/>
              </w:rPr>
              <w:t>m</w:t>
            </w:r>
            <w:r>
              <w:rPr>
                <w:rFonts w:hint="default" w:ascii="Times New Roman" w:hAnsi="Times New Roman" w:eastAsia="宋体" w:cs="Times New Roman"/>
                <w:color w:val="auto"/>
                <w:kern w:val="0"/>
                <w:sz w:val="24"/>
                <w:szCs w:val="24"/>
                <w:highlight w:val="none"/>
                <w:vertAlign w:val="superscript"/>
              </w:rPr>
              <w:t>3</w:t>
            </w:r>
            <w:r>
              <w:rPr>
                <w:rFonts w:hint="default" w:ascii="Times New Roman" w:hAnsi="Times New Roman" w:eastAsia="宋体" w:cs="Times New Roman"/>
                <w:color w:val="auto"/>
                <w:kern w:val="0"/>
                <w:sz w:val="24"/>
                <w:szCs w:val="24"/>
                <w:highlight w:val="none"/>
              </w:rPr>
              <w:t>/h</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能够满足要求。</w:t>
            </w:r>
          </w:p>
          <w:p w14:paraId="75E8532F">
            <w:pPr>
              <w:keepNext w:val="0"/>
              <w:keepLines w:val="0"/>
              <w:pageBreakBefore w:val="0"/>
              <w:shd w:val="clear"/>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④</w:t>
            </w:r>
            <w:r>
              <w:rPr>
                <w:rFonts w:hint="default" w:ascii="Times New Roman" w:hAnsi="Times New Roman" w:eastAsia="宋体" w:cs="Times New Roman"/>
                <w:color w:val="auto"/>
                <w:sz w:val="24"/>
                <w:szCs w:val="24"/>
                <w:highlight w:val="none"/>
                <w:lang w:val="en-US" w:eastAsia="zh-CN"/>
              </w:rPr>
              <w:t>排气筒高度及内径设置合理性分析</w:t>
            </w:r>
          </w:p>
          <w:p w14:paraId="1E74A07C">
            <w:pPr>
              <w:keepNext w:val="0"/>
              <w:keepLines w:val="0"/>
              <w:pageBreakBefore w:val="0"/>
              <w:shd w:val="clear"/>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根据</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合成树脂工业污染物排放标准</w:t>
            </w:r>
            <w:r>
              <w:rPr>
                <w:rFonts w:hint="default" w:ascii="Times New Roman" w:hAnsi="Times New Roman" w:eastAsia="宋体" w:cs="Times New Roman"/>
                <w:color w:val="auto"/>
                <w:sz w:val="24"/>
                <w:szCs w:val="24"/>
                <w:highlight w:val="none"/>
              </w:rPr>
              <w:t>》（GB</w:t>
            </w:r>
            <w:r>
              <w:rPr>
                <w:rFonts w:hint="default" w:ascii="Times New Roman" w:hAnsi="Times New Roman" w:eastAsia="宋体" w:cs="Times New Roman"/>
                <w:color w:val="auto"/>
                <w:sz w:val="24"/>
                <w:szCs w:val="24"/>
                <w:highlight w:val="none"/>
                <w:lang w:val="en-US" w:eastAsia="zh-CN"/>
              </w:rPr>
              <w:t>31572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2015</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及</w:t>
            </w:r>
            <w:r>
              <w:rPr>
                <w:rFonts w:hint="default" w:ascii="Times New Roman" w:hAnsi="Times New Roman" w:eastAsia="宋体" w:cs="Times New Roman"/>
                <w:color w:val="auto"/>
                <w:sz w:val="24"/>
                <w:highlight w:val="none"/>
                <w:lang w:val="en-US" w:eastAsia="zh-CN"/>
              </w:rPr>
              <w:t>2024年修改单</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5.4.2 排气筒高度不低于15 m</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要求，结合</w:t>
            </w:r>
            <w:r>
              <w:rPr>
                <w:rFonts w:hint="default" w:ascii="Times New Roman" w:hAnsi="Times New Roman" w:eastAsia="宋体" w:cs="Times New Roman"/>
                <w:color w:val="auto"/>
                <w:kern w:val="0"/>
                <w:sz w:val="24"/>
                <w:szCs w:val="24"/>
                <w:highlight w:val="none"/>
                <w:lang w:val="en-US" w:eastAsia="zh-CN" w:bidi="ar-SA"/>
              </w:rPr>
              <w:t>项目生产厂房总高为</w:t>
            </w:r>
            <w:r>
              <w:rPr>
                <w:rFonts w:hint="eastAsia" w:ascii="Times New Roman" w:hAnsi="Times New Roman" w:eastAsia="宋体" w:cs="Times New Roman"/>
                <w:color w:val="auto"/>
                <w:kern w:val="0"/>
                <w:sz w:val="24"/>
                <w:szCs w:val="24"/>
                <w:highlight w:val="none"/>
                <w:lang w:val="en-US" w:eastAsia="zh-CN" w:bidi="ar-SA"/>
              </w:rPr>
              <w:t>12</w:t>
            </w:r>
            <w:r>
              <w:rPr>
                <w:rFonts w:hint="default" w:ascii="Times New Roman" w:hAnsi="Times New Roman" w:eastAsia="宋体" w:cs="Times New Roman"/>
                <w:color w:val="auto"/>
                <w:kern w:val="0"/>
                <w:sz w:val="24"/>
                <w:szCs w:val="24"/>
                <w:highlight w:val="none"/>
                <w:lang w:val="en-US" w:eastAsia="zh-CN" w:bidi="ar-SA"/>
              </w:rPr>
              <w:t>m，要求</w:t>
            </w:r>
            <w:r>
              <w:rPr>
                <w:rFonts w:hint="default" w:ascii="Times New Roman" w:hAnsi="Times New Roman" w:eastAsia="宋体" w:cs="Times New Roman"/>
                <w:color w:val="auto"/>
                <w:sz w:val="24"/>
                <w:szCs w:val="24"/>
                <w:highlight w:val="none"/>
                <w:lang w:val="en-US" w:eastAsia="zh-CN"/>
              </w:rPr>
              <w:t>设置DA00</w:t>
            </w:r>
            <w:r>
              <w:rPr>
                <w:rFonts w:hint="eastAsia" w:ascii="Times New Roman" w:hAnsi="Times New Roman" w:eastAsia="宋体" w:cs="Times New Roman"/>
                <w:color w:val="auto"/>
                <w:sz w:val="24"/>
                <w:szCs w:val="24"/>
                <w:highlight w:val="none"/>
                <w:lang w:val="en-US" w:eastAsia="zh-CN"/>
              </w:rPr>
              <w:t>1</w:t>
            </w:r>
            <w:r>
              <w:rPr>
                <w:rFonts w:hint="eastAsia" w:cs="Times New Roman"/>
                <w:color w:val="auto"/>
                <w:sz w:val="24"/>
                <w:szCs w:val="24"/>
                <w:highlight w:val="none"/>
                <w:lang w:val="en-US" w:eastAsia="zh-CN"/>
              </w:rPr>
              <w:t>、DA002</w:t>
            </w:r>
            <w:r>
              <w:rPr>
                <w:rFonts w:hint="default" w:ascii="Times New Roman" w:hAnsi="Times New Roman" w:eastAsia="宋体" w:cs="Times New Roman"/>
                <w:color w:val="auto"/>
                <w:sz w:val="24"/>
                <w:szCs w:val="24"/>
                <w:highlight w:val="none"/>
                <w:lang w:val="en-US" w:eastAsia="zh-CN"/>
              </w:rPr>
              <w:t>排气筒高度为15m符合相关要求。</w:t>
            </w:r>
          </w:p>
          <w:p w14:paraId="7640D689">
            <w:pPr>
              <w:spacing w:line="360" w:lineRule="auto"/>
              <w:ind w:firstLine="480" w:firstLineChars="200"/>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bidi="ar-SA"/>
              </w:rPr>
              <w:t>同时，根据</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大气污染治理工程技术导则</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HJ2000-2010</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中5.3.5排气筒的出口直径应根据出口流速确定，流速宜取15m/s左右。</w:t>
            </w:r>
            <w:r>
              <w:rPr>
                <w:color w:val="auto"/>
                <w:sz w:val="24"/>
              </w:rPr>
              <w:t>本项目DA00</w:t>
            </w:r>
            <w:r>
              <w:rPr>
                <w:rFonts w:hint="eastAsia"/>
                <w:color w:val="auto"/>
                <w:sz w:val="24"/>
                <w:lang w:val="en-US" w:eastAsia="zh-CN"/>
              </w:rPr>
              <w:t>1</w:t>
            </w:r>
            <w:r>
              <w:rPr>
                <w:color w:val="auto"/>
                <w:sz w:val="24"/>
              </w:rPr>
              <w:t>排气筒废气量为</w:t>
            </w:r>
            <w:r>
              <w:rPr>
                <w:rFonts w:hint="eastAsia"/>
                <w:color w:val="auto"/>
                <w:sz w:val="24"/>
                <w:lang w:val="en-US" w:eastAsia="zh-CN"/>
              </w:rPr>
              <w:t>20000</w:t>
            </w:r>
            <w:r>
              <w:rPr>
                <w:color w:val="auto"/>
                <w:sz w:val="24"/>
              </w:rPr>
              <w:t>m</w:t>
            </w:r>
            <w:r>
              <w:rPr>
                <w:color w:val="auto"/>
                <w:sz w:val="24"/>
                <w:vertAlign w:val="superscript"/>
              </w:rPr>
              <w:t>3</w:t>
            </w:r>
            <w:r>
              <w:rPr>
                <w:color w:val="auto"/>
                <w:sz w:val="24"/>
              </w:rPr>
              <w:t>/h，内径取0.</w:t>
            </w:r>
            <w:r>
              <w:rPr>
                <w:rFonts w:hint="eastAsia"/>
                <w:color w:val="auto"/>
                <w:sz w:val="24"/>
                <w:lang w:val="en-US" w:eastAsia="zh-CN"/>
              </w:rPr>
              <w:t>6</w:t>
            </w:r>
            <w:r>
              <w:rPr>
                <w:color w:val="auto"/>
                <w:sz w:val="24"/>
              </w:rPr>
              <w:t>m，此时对应的烟气流速为</w:t>
            </w:r>
            <w:r>
              <w:rPr>
                <w:rFonts w:hint="eastAsia"/>
                <w:color w:val="auto"/>
                <w:sz w:val="24"/>
                <w:lang w:val="en-US" w:eastAsia="zh-CN"/>
              </w:rPr>
              <w:t>19.66</w:t>
            </w:r>
            <w:r>
              <w:rPr>
                <w:color w:val="auto"/>
                <w:sz w:val="24"/>
              </w:rPr>
              <w:t>m/s，能够符合导则要求</w:t>
            </w:r>
            <w:r>
              <w:rPr>
                <w:rFonts w:hint="eastAsia"/>
                <w:color w:val="auto"/>
                <w:sz w:val="24"/>
                <w:lang w:eastAsia="zh-CN"/>
              </w:rPr>
              <w:t>；</w:t>
            </w:r>
            <w:r>
              <w:rPr>
                <w:color w:val="auto"/>
                <w:sz w:val="24"/>
              </w:rPr>
              <w:t>本项目DA00</w:t>
            </w:r>
            <w:r>
              <w:rPr>
                <w:rFonts w:hint="eastAsia"/>
                <w:color w:val="auto"/>
                <w:sz w:val="24"/>
                <w:lang w:val="en-US" w:eastAsia="zh-CN"/>
              </w:rPr>
              <w:t>2</w:t>
            </w:r>
            <w:r>
              <w:rPr>
                <w:color w:val="auto"/>
                <w:sz w:val="24"/>
              </w:rPr>
              <w:t>排气筒废气量为</w:t>
            </w:r>
            <w:r>
              <w:rPr>
                <w:rFonts w:hint="eastAsia"/>
                <w:color w:val="auto"/>
                <w:sz w:val="24"/>
              </w:rPr>
              <w:t>1000</w:t>
            </w:r>
            <w:r>
              <w:rPr>
                <w:color w:val="auto"/>
                <w:sz w:val="24"/>
              </w:rPr>
              <w:t>m</w:t>
            </w:r>
            <w:r>
              <w:rPr>
                <w:color w:val="auto"/>
                <w:sz w:val="24"/>
                <w:vertAlign w:val="superscript"/>
              </w:rPr>
              <w:t>3</w:t>
            </w:r>
            <w:r>
              <w:rPr>
                <w:color w:val="auto"/>
                <w:sz w:val="24"/>
              </w:rPr>
              <w:t>/h，内径取0.</w:t>
            </w:r>
            <w:r>
              <w:rPr>
                <w:rFonts w:hint="eastAsia"/>
                <w:color w:val="auto"/>
                <w:sz w:val="24"/>
              </w:rPr>
              <w:t>15</w:t>
            </w:r>
            <w:r>
              <w:rPr>
                <w:color w:val="auto"/>
                <w:sz w:val="24"/>
              </w:rPr>
              <w:t>m，此时对应的烟气流速为</w:t>
            </w:r>
            <w:r>
              <w:rPr>
                <w:rFonts w:hint="eastAsia"/>
                <w:color w:val="auto"/>
                <w:sz w:val="24"/>
              </w:rPr>
              <w:t>15.72</w:t>
            </w:r>
            <w:r>
              <w:rPr>
                <w:color w:val="auto"/>
                <w:sz w:val="24"/>
              </w:rPr>
              <w:t>m/s，能够符合导则要求。</w:t>
            </w:r>
          </w:p>
          <w:p w14:paraId="02A31B7A">
            <w:pPr>
              <w:widowControl/>
              <w:spacing w:line="360" w:lineRule="auto"/>
              <w:ind w:firstLine="482" w:firstLineChars="200"/>
              <w:jc w:val="left"/>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4、无组织排放废气防治措施</w:t>
            </w:r>
          </w:p>
          <w:p w14:paraId="3DBF18E8">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本项目无组织废气为未收集的有机废气。为了进一步减少废气对生产车间环境空气的影响和保障工人健康，建议建设单位采取下列措施：</w:t>
            </w:r>
          </w:p>
          <w:p w14:paraId="7DF67ED3">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①加强生产车间内通风，并设置较强的排风系统；</w:t>
            </w:r>
          </w:p>
          <w:p w14:paraId="33BD0512">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②提高集气罩废气收集效率，加强</w:t>
            </w:r>
            <w:r>
              <w:rPr>
                <w:rFonts w:hint="eastAsia" w:cs="Times New Roman"/>
                <w:color w:val="auto"/>
                <w:sz w:val="24"/>
                <w:highlight w:val="none"/>
                <w:lang w:val="en-US" w:eastAsia="zh-CN"/>
              </w:rPr>
              <w:t>破碎、注塑</w:t>
            </w:r>
            <w:r>
              <w:rPr>
                <w:rFonts w:hint="default" w:ascii="Times New Roman" w:hAnsi="Times New Roman" w:eastAsia="宋体" w:cs="Times New Roman"/>
                <w:color w:val="auto"/>
                <w:sz w:val="24"/>
                <w:highlight w:val="none"/>
                <w:lang w:val="en-US" w:eastAsia="zh-CN"/>
              </w:rPr>
              <w:t>工段的风量控制，确保生产过程产生的废气能够有效收集；</w:t>
            </w:r>
          </w:p>
          <w:p w14:paraId="7723D4AB">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③加强设备维护，防止不良工况下的有机废气产生；</w:t>
            </w:r>
          </w:p>
          <w:p w14:paraId="02D5DE31">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④建议生产车间操作人员操作时佩戴口罩；</w:t>
            </w:r>
          </w:p>
          <w:p w14:paraId="3BEA15D4">
            <w:pPr>
              <w:keepNext w:val="0"/>
              <w:keepLines w:val="0"/>
              <w:pageBreakBefore w:val="0"/>
              <w:kinsoku/>
              <w:wordWrap/>
              <w:overflowPunct/>
              <w:topLinePunct w:val="0"/>
              <w:autoSpaceDE/>
              <w:autoSpaceDN/>
              <w:bidi w:val="0"/>
              <w:adjustRightInd/>
              <w:spacing w:line="360" w:lineRule="auto"/>
              <w:ind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⑤加强操作工的培训和管理，所有操作严格按照既定的规程进行，以减少人为造成的对环境的污染。</w:t>
            </w:r>
          </w:p>
          <w:p w14:paraId="6DA4F3FF">
            <w:pPr>
              <w:widowControl/>
              <w:spacing w:line="360" w:lineRule="auto"/>
              <w:ind w:firstLine="482" w:firstLineChars="200"/>
              <w:jc w:val="left"/>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lang w:val="en-US" w:eastAsia="zh-CN"/>
              </w:rPr>
              <w:t>5</w:t>
            </w:r>
            <w:r>
              <w:rPr>
                <w:rFonts w:hint="default" w:ascii="Times New Roman" w:hAnsi="Times New Roman" w:eastAsia="宋体" w:cs="Times New Roman"/>
                <w:b/>
                <w:color w:val="auto"/>
                <w:sz w:val="24"/>
                <w:highlight w:val="none"/>
              </w:rPr>
              <w:t>、监测要求</w:t>
            </w:r>
          </w:p>
          <w:p w14:paraId="7D0C4677">
            <w:pPr>
              <w:adjustRightInd w:val="0"/>
              <w:snapToGrid w:val="0"/>
              <w:spacing w:line="360" w:lineRule="auto"/>
              <w:ind w:firstLine="480" w:firstLineChars="200"/>
              <w:rPr>
                <w:rFonts w:hint="default" w:ascii="Times New Roman" w:hAnsi="Times New Roman" w:eastAsia="宋体" w:cs="Times New Roman"/>
                <w:b/>
                <w:color w:val="auto"/>
                <w:szCs w:val="21"/>
                <w:highlight w:val="none"/>
              </w:rPr>
            </w:pPr>
            <w:r>
              <w:rPr>
                <w:bCs/>
                <w:color w:val="auto"/>
                <w:sz w:val="24"/>
              </w:rPr>
              <w:t>根据</w:t>
            </w:r>
            <w:r>
              <w:rPr>
                <w:color w:val="auto"/>
                <w:sz w:val="24"/>
                <w:lang w:bidi="ar"/>
              </w:rPr>
              <w:t>《排污单位自行监测技术指南 总则》（HJ819-2017）、《排污单位自行监测技术指南 橡胶和塑料制品》（HJ1207-2021）</w:t>
            </w:r>
            <w:r>
              <w:rPr>
                <w:rFonts w:hint="default" w:ascii="Times New Roman" w:hAnsi="Times New Roman" w:eastAsia="宋体" w:cs="Times New Roman"/>
                <w:bCs/>
                <w:color w:val="auto"/>
                <w:sz w:val="24"/>
                <w:szCs w:val="24"/>
                <w:highlight w:val="none"/>
              </w:rPr>
              <w:t>，项</w:t>
            </w:r>
            <w:r>
              <w:rPr>
                <w:rFonts w:hint="default" w:ascii="Times New Roman" w:hAnsi="Times New Roman" w:eastAsia="宋体" w:cs="Times New Roman"/>
                <w:bCs/>
                <w:color w:val="auto"/>
                <w:sz w:val="24"/>
                <w:highlight w:val="none"/>
              </w:rPr>
              <w:t>目的监测计划如表4-</w:t>
            </w:r>
            <w:r>
              <w:rPr>
                <w:rFonts w:hint="default" w:ascii="Times New Roman" w:hAnsi="Times New Roman" w:eastAsia="宋体" w:cs="Times New Roman"/>
                <w:bCs/>
                <w:color w:val="auto"/>
                <w:sz w:val="24"/>
                <w:highlight w:val="none"/>
                <w:lang w:val="en-US" w:eastAsia="zh-CN"/>
              </w:rPr>
              <w:t>1</w:t>
            </w:r>
            <w:r>
              <w:rPr>
                <w:rFonts w:hint="eastAsia" w:cs="Times New Roman"/>
                <w:bCs/>
                <w:color w:val="auto"/>
                <w:sz w:val="24"/>
                <w:highlight w:val="none"/>
                <w:lang w:val="en-US" w:eastAsia="zh-CN"/>
              </w:rPr>
              <w:t>2</w:t>
            </w:r>
            <w:r>
              <w:rPr>
                <w:rFonts w:hint="default" w:ascii="Times New Roman" w:hAnsi="Times New Roman" w:eastAsia="宋体" w:cs="Times New Roman"/>
                <w:bCs/>
                <w:color w:val="auto"/>
                <w:sz w:val="24"/>
                <w:highlight w:val="none"/>
              </w:rPr>
              <w:t>。</w:t>
            </w:r>
          </w:p>
          <w:p w14:paraId="56C560FB">
            <w:pPr>
              <w:tabs>
                <w:tab w:val="left" w:pos="630"/>
              </w:tabs>
              <w:adjustRightInd w:val="0"/>
              <w:snapToGrid w:val="0"/>
              <w:jc w:val="center"/>
              <w:rPr>
                <w:b/>
                <w:color w:val="auto"/>
                <w:szCs w:val="21"/>
              </w:rPr>
            </w:pPr>
            <w:r>
              <w:rPr>
                <w:rFonts w:hint="default" w:ascii="Times New Roman" w:hAnsi="Times New Roman" w:eastAsia="宋体" w:cs="Times New Roman"/>
                <w:b/>
                <w:color w:val="auto"/>
                <w:szCs w:val="21"/>
                <w:highlight w:val="none"/>
              </w:rPr>
              <w:t>表4-</w:t>
            </w:r>
            <w:r>
              <w:rPr>
                <w:rFonts w:hint="default" w:ascii="Times New Roman" w:hAnsi="Times New Roman" w:eastAsia="宋体" w:cs="Times New Roman"/>
                <w:b/>
                <w:color w:val="auto"/>
                <w:szCs w:val="21"/>
                <w:highlight w:val="none"/>
                <w:lang w:val="en-US" w:eastAsia="zh-CN"/>
              </w:rPr>
              <w:t>1</w:t>
            </w:r>
            <w:r>
              <w:rPr>
                <w:rFonts w:hint="eastAsia" w:cs="Times New Roman"/>
                <w:b/>
                <w:color w:val="auto"/>
                <w:szCs w:val="21"/>
                <w:highlight w:val="none"/>
                <w:lang w:val="en-US" w:eastAsia="zh-CN"/>
              </w:rPr>
              <w:t>2</w:t>
            </w:r>
            <w:r>
              <w:rPr>
                <w:rFonts w:hint="default" w:ascii="Times New Roman" w:hAnsi="Times New Roman" w:eastAsia="宋体" w:cs="Times New Roman"/>
                <w:b/>
                <w:color w:val="auto"/>
                <w:szCs w:val="21"/>
                <w:highlight w:val="none"/>
              </w:rPr>
              <w:t xml:space="preserve">  自行监测计划</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
              <w:gridCol w:w="1523"/>
              <w:gridCol w:w="990"/>
              <w:gridCol w:w="2003"/>
              <w:gridCol w:w="2404"/>
              <w:gridCol w:w="1053"/>
            </w:tblGrid>
            <w:tr w14:paraId="6DF89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 w:type="pct"/>
                  <w:vAlign w:val="center"/>
                </w:tcPr>
                <w:p w14:paraId="4BBD4FC6">
                  <w:pPr>
                    <w:jc w:val="center"/>
                    <w:rPr>
                      <w:b/>
                      <w:color w:val="auto"/>
                      <w:szCs w:val="21"/>
                    </w:rPr>
                  </w:pPr>
                  <w:r>
                    <w:rPr>
                      <w:b/>
                      <w:color w:val="auto"/>
                      <w:szCs w:val="21"/>
                    </w:rPr>
                    <w:t>项目</w:t>
                  </w:r>
                </w:p>
              </w:tc>
              <w:tc>
                <w:tcPr>
                  <w:tcW w:w="907" w:type="pct"/>
                  <w:vAlign w:val="center"/>
                </w:tcPr>
                <w:p w14:paraId="5EEF0BCD">
                  <w:pPr>
                    <w:jc w:val="center"/>
                    <w:rPr>
                      <w:b/>
                      <w:color w:val="auto"/>
                      <w:szCs w:val="21"/>
                    </w:rPr>
                  </w:pPr>
                  <w:r>
                    <w:rPr>
                      <w:b/>
                      <w:color w:val="auto"/>
                      <w:szCs w:val="21"/>
                    </w:rPr>
                    <w:t>排放源</w:t>
                  </w:r>
                </w:p>
              </w:tc>
              <w:tc>
                <w:tcPr>
                  <w:tcW w:w="589" w:type="pct"/>
                  <w:vAlign w:val="center"/>
                </w:tcPr>
                <w:p w14:paraId="6D30D3B2">
                  <w:pPr>
                    <w:jc w:val="center"/>
                    <w:rPr>
                      <w:b/>
                      <w:color w:val="auto"/>
                      <w:szCs w:val="21"/>
                    </w:rPr>
                  </w:pPr>
                  <w:r>
                    <w:rPr>
                      <w:b/>
                      <w:color w:val="auto"/>
                      <w:szCs w:val="21"/>
                    </w:rPr>
                    <w:t>排放方式</w:t>
                  </w:r>
                </w:p>
              </w:tc>
              <w:tc>
                <w:tcPr>
                  <w:tcW w:w="1193" w:type="pct"/>
                  <w:vAlign w:val="center"/>
                </w:tcPr>
                <w:p w14:paraId="1CFEF65D">
                  <w:pPr>
                    <w:jc w:val="center"/>
                    <w:rPr>
                      <w:b/>
                      <w:color w:val="auto"/>
                      <w:szCs w:val="21"/>
                    </w:rPr>
                  </w:pPr>
                  <w:r>
                    <w:rPr>
                      <w:b/>
                      <w:color w:val="auto"/>
                      <w:szCs w:val="21"/>
                    </w:rPr>
                    <w:t>监测点位</w:t>
                  </w:r>
                </w:p>
              </w:tc>
              <w:tc>
                <w:tcPr>
                  <w:tcW w:w="1431" w:type="pct"/>
                  <w:vAlign w:val="center"/>
                </w:tcPr>
                <w:p w14:paraId="3EB23D0F">
                  <w:pPr>
                    <w:jc w:val="center"/>
                    <w:rPr>
                      <w:b/>
                      <w:color w:val="auto"/>
                      <w:szCs w:val="21"/>
                    </w:rPr>
                  </w:pPr>
                  <w:r>
                    <w:rPr>
                      <w:b/>
                      <w:color w:val="auto"/>
                      <w:szCs w:val="21"/>
                    </w:rPr>
                    <w:t>监测项目</w:t>
                  </w:r>
                </w:p>
              </w:tc>
              <w:tc>
                <w:tcPr>
                  <w:tcW w:w="627" w:type="pct"/>
                  <w:vAlign w:val="center"/>
                </w:tcPr>
                <w:p w14:paraId="2B594969">
                  <w:pPr>
                    <w:jc w:val="center"/>
                    <w:rPr>
                      <w:b/>
                      <w:color w:val="auto"/>
                      <w:szCs w:val="21"/>
                    </w:rPr>
                  </w:pPr>
                  <w:r>
                    <w:rPr>
                      <w:b/>
                      <w:color w:val="auto"/>
                      <w:szCs w:val="21"/>
                    </w:rPr>
                    <w:t>监测频次</w:t>
                  </w:r>
                </w:p>
              </w:tc>
            </w:tr>
            <w:tr w14:paraId="3CE84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250" w:type="pct"/>
                  <w:vMerge w:val="restart"/>
                  <w:vAlign w:val="center"/>
                </w:tcPr>
                <w:p w14:paraId="560F7A91">
                  <w:pPr>
                    <w:jc w:val="center"/>
                    <w:rPr>
                      <w:rFonts w:hint="eastAsia" w:eastAsia="宋体"/>
                      <w:bCs/>
                      <w:color w:val="auto"/>
                      <w:szCs w:val="21"/>
                      <w:lang w:eastAsia="zh-CN"/>
                    </w:rPr>
                  </w:pPr>
                  <w:r>
                    <w:rPr>
                      <w:rFonts w:hint="eastAsia"/>
                      <w:bCs/>
                      <w:color w:val="auto"/>
                      <w:szCs w:val="21"/>
                      <w:lang w:eastAsia="zh-CN"/>
                    </w:rPr>
                    <w:t>废气</w:t>
                  </w:r>
                </w:p>
              </w:tc>
              <w:tc>
                <w:tcPr>
                  <w:tcW w:w="907" w:type="pct"/>
                  <w:vMerge w:val="restart"/>
                  <w:vAlign w:val="center"/>
                </w:tcPr>
                <w:p w14:paraId="6B7863EF">
                  <w:pPr>
                    <w:jc w:val="center"/>
                    <w:rPr>
                      <w:rFonts w:hint="eastAsia" w:eastAsia="宋体"/>
                      <w:bCs/>
                      <w:snapToGrid w:val="0"/>
                      <w:color w:val="auto"/>
                      <w:kern w:val="0"/>
                      <w:szCs w:val="21"/>
                      <w:lang w:eastAsia="zh-CN"/>
                    </w:rPr>
                  </w:pPr>
                  <w:r>
                    <w:rPr>
                      <w:rFonts w:hint="eastAsia"/>
                      <w:bCs/>
                      <w:snapToGrid w:val="0"/>
                      <w:color w:val="auto"/>
                      <w:kern w:val="0"/>
                      <w:szCs w:val="21"/>
                      <w:lang w:eastAsia="zh-CN"/>
                    </w:rPr>
                    <w:t>注塑</w:t>
                  </w:r>
                </w:p>
              </w:tc>
              <w:tc>
                <w:tcPr>
                  <w:tcW w:w="589" w:type="pct"/>
                  <w:vMerge w:val="restart"/>
                  <w:vAlign w:val="center"/>
                </w:tcPr>
                <w:p w14:paraId="00931272">
                  <w:pPr>
                    <w:jc w:val="center"/>
                    <w:rPr>
                      <w:bCs/>
                      <w:snapToGrid w:val="0"/>
                      <w:color w:val="auto"/>
                      <w:kern w:val="0"/>
                      <w:szCs w:val="21"/>
                    </w:rPr>
                  </w:pPr>
                  <w:r>
                    <w:rPr>
                      <w:bCs/>
                      <w:snapToGrid w:val="0"/>
                      <w:color w:val="auto"/>
                      <w:kern w:val="0"/>
                      <w:szCs w:val="21"/>
                    </w:rPr>
                    <w:t>有组织</w:t>
                  </w:r>
                </w:p>
              </w:tc>
              <w:tc>
                <w:tcPr>
                  <w:tcW w:w="1193" w:type="pct"/>
                  <w:vMerge w:val="restart"/>
                  <w:vAlign w:val="center"/>
                </w:tcPr>
                <w:p w14:paraId="3740FB19">
                  <w:pPr>
                    <w:jc w:val="center"/>
                    <w:rPr>
                      <w:bCs/>
                      <w:snapToGrid w:val="0"/>
                      <w:color w:val="auto"/>
                      <w:kern w:val="0"/>
                      <w:szCs w:val="21"/>
                    </w:rPr>
                  </w:pPr>
                  <w:r>
                    <w:rPr>
                      <w:bCs/>
                      <w:snapToGrid w:val="0"/>
                      <w:color w:val="auto"/>
                      <w:kern w:val="0"/>
                      <w:szCs w:val="21"/>
                    </w:rPr>
                    <w:t>排气口（DA00</w:t>
                  </w:r>
                  <w:r>
                    <w:rPr>
                      <w:rFonts w:hint="eastAsia"/>
                      <w:bCs/>
                      <w:snapToGrid w:val="0"/>
                      <w:color w:val="auto"/>
                      <w:kern w:val="0"/>
                      <w:szCs w:val="21"/>
                      <w:lang w:val="en-US" w:eastAsia="zh-CN"/>
                    </w:rPr>
                    <w:t>1</w:t>
                  </w:r>
                  <w:r>
                    <w:rPr>
                      <w:bCs/>
                      <w:snapToGrid w:val="0"/>
                      <w:color w:val="auto"/>
                      <w:kern w:val="0"/>
                      <w:szCs w:val="21"/>
                    </w:rPr>
                    <w:t>）</w:t>
                  </w:r>
                </w:p>
              </w:tc>
              <w:tc>
                <w:tcPr>
                  <w:tcW w:w="1431" w:type="pct"/>
                  <w:vAlign w:val="center"/>
                </w:tcPr>
                <w:p w14:paraId="6C4DEFA4">
                  <w:pPr>
                    <w:jc w:val="center"/>
                    <w:rPr>
                      <w:bCs/>
                      <w:color w:val="auto"/>
                      <w:szCs w:val="21"/>
                    </w:rPr>
                  </w:pPr>
                  <w:r>
                    <w:rPr>
                      <w:color w:val="auto"/>
                      <w:szCs w:val="21"/>
                    </w:rPr>
                    <w:t>非甲烷总烃</w:t>
                  </w:r>
                </w:p>
              </w:tc>
              <w:tc>
                <w:tcPr>
                  <w:tcW w:w="627" w:type="pct"/>
                  <w:vAlign w:val="center"/>
                </w:tcPr>
                <w:p w14:paraId="2AC83F8F">
                  <w:pPr>
                    <w:jc w:val="center"/>
                    <w:rPr>
                      <w:bCs/>
                      <w:color w:val="auto"/>
                      <w:szCs w:val="21"/>
                    </w:rPr>
                  </w:pPr>
                  <w:r>
                    <w:rPr>
                      <w:bCs/>
                      <w:color w:val="auto"/>
                      <w:szCs w:val="21"/>
                    </w:rPr>
                    <w:t>1次/</w:t>
                  </w:r>
                  <w:r>
                    <w:rPr>
                      <w:rFonts w:hint="eastAsia"/>
                      <w:bCs/>
                      <w:color w:val="auto"/>
                      <w:szCs w:val="21"/>
                    </w:rPr>
                    <w:t>半</w:t>
                  </w:r>
                  <w:r>
                    <w:rPr>
                      <w:bCs/>
                      <w:color w:val="auto"/>
                      <w:szCs w:val="21"/>
                    </w:rPr>
                    <w:t>年</w:t>
                  </w:r>
                </w:p>
              </w:tc>
            </w:tr>
            <w:tr w14:paraId="5937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250" w:type="pct"/>
                  <w:vMerge w:val="continue"/>
                  <w:vAlign w:val="center"/>
                </w:tcPr>
                <w:p w14:paraId="1CC62D3D">
                  <w:pPr>
                    <w:jc w:val="center"/>
                    <w:rPr>
                      <w:color w:val="auto"/>
                    </w:rPr>
                  </w:pPr>
                </w:p>
              </w:tc>
              <w:tc>
                <w:tcPr>
                  <w:tcW w:w="907" w:type="pct"/>
                  <w:vMerge w:val="continue"/>
                  <w:vAlign w:val="center"/>
                </w:tcPr>
                <w:p w14:paraId="3A3BD673">
                  <w:pPr>
                    <w:jc w:val="center"/>
                    <w:rPr>
                      <w:color w:val="auto"/>
                    </w:rPr>
                  </w:pPr>
                </w:p>
              </w:tc>
              <w:tc>
                <w:tcPr>
                  <w:tcW w:w="589" w:type="pct"/>
                  <w:vMerge w:val="continue"/>
                  <w:vAlign w:val="center"/>
                </w:tcPr>
                <w:p w14:paraId="5C6B71B4">
                  <w:pPr>
                    <w:jc w:val="center"/>
                    <w:rPr>
                      <w:color w:val="auto"/>
                    </w:rPr>
                  </w:pPr>
                </w:p>
              </w:tc>
              <w:tc>
                <w:tcPr>
                  <w:tcW w:w="1193" w:type="pct"/>
                  <w:vMerge w:val="continue"/>
                  <w:vAlign w:val="center"/>
                </w:tcPr>
                <w:p w14:paraId="26C5074E">
                  <w:pPr>
                    <w:jc w:val="center"/>
                    <w:rPr>
                      <w:color w:val="auto"/>
                    </w:rPr>
                  </w:pPr>
                </w:p>
              </w:tc>
              <w:tc>
                <w:tcPr>
                  <w:tcW w:w="1431" w:type="pct"/>
                  <w:vAlign w:val="center"/>
                </w:tcPr>
                <w:p w14:paraId="356E7AD2">
                  <w:pPr>
                    <w:jc w:val="center"/>
                    <w:rPr>
                      <w:bCs/>
                      <w:color w:val="auto"/>
                      <w:szCs w:val="21"/>
                    </w:rPr>
                  </w:pPr>
                  <w:r>
                    <w:rPr>
                      <w:rFonts w:hint="eastAsia"/>
                      <w:bCs/>
                      <w:color w:val="auto"/>
                      <w:szCs w:val="21"/>
                    </w:rPr>
                    <w:t>臭气浓度</w:t>
                  </w:r>
                </w:p>
              </w:tc>
              <w:tc>
                <w:tcPr>
                  <w:tcW w:w="627" w:type="pct"/>
                  <w:vAlign w:val="center"/>
                </w:tcPr>
                <w:p w14:paraId="4B3D0EA7">
                  <w:pPr>
                    <w:jc w:val="center"/>
                    <w:rPr>
                      <w:bCs/>
                      <w:color w:val="auto"/>
                      <w:szCs w:val="21"/>
                    </w:rPr>
                  </w:pPr>
                  <w:r>
                    <w:rPr>
                      <w:bCs/>
                      <w:color w:val="auto"/>
                      <w:szCs w:val="21"/>
                    </w:rPr>
                    <w:t>1次/年</w:t>
                  </w:r>
                </w:p>
              </w:tc>
            </w:tr>
            <w:tr w14:paraId="2B26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250" w:type="pct"/>
                  <w:vMerge w:val="continue"/>
                  <w:vAlign w:val="center"/>
                </w:tcPr>
                <w:p w14:paraId="397DADE0">
                  <w:pPr>
                    <w:jc w:val="center"/>
                    <w:rPr>
                      <w:bCs/>
                      <w:color w:val="auto"/>
                      <w:szCs w:val="21"/>
                    </w:rPr>
                  </w:pPr>
                </w:p>
              </w:tc>
              <w:tc>
                <w:tcPr>
                  <w:tcW w:w="907" w:type="pct"/>
                  <w:vAlign w:val="center"/>
                </w:tcPr>
                <w:p w14:paraId="0EB6C93A">
                  <w:pPr>
                    <w:jc w:val="center"/>
                    <w:rPr>
                      <w:rFonts w:hint="eastAsia" w:eastAsia="宋体"/>
                      <w:bCs/>
                      <w:color w:val="auto"/>
                      <w:szCs w:val="21"/>
                      <w:lang w:eastAsia="zh-CN"/>
                    </w:rPr>
                  </w:pPr>
                  <w:r>
                    <w:rPr>
                      <w:rFonts w:hint="eastAsia"/>
                      <w:color w:val="auto"/>
                      <w:szCs w:val="21"/>
                      <w:lang w:val="en-US" w:eastAsia="zh-CN"/>
                    </w:rPr>
                    <w:t>投料、</w:t>
                  </w:r>
                  <w:r>
                    <w:rPr>
                      <w:rFonts w:hint="eastAsia"/>
                      <w:color w:val="auto"/>
                      <w:szCs w:val="21"/>
                      <w:lang w:eastAsia="zh-CN"/>
                    </w:rPr>
                    <w:t>注塑、破碎</w:t>
                  </w:r>
                  <w:r>
                    <w:rPr>
                      <w:color w:val="auto"/>
                      <w:kern w:val="0"/>
                      <w:szCs w:val="21"/>
                      <w:lang w:bidi="ar"/>
                    </w:rPr>
                    <w:t>工段</w:t>
                  </w:r>
                  <w:r>
                    <w:rPr>
                      <w:rFonts w:hint="eastAsia"/>
                      <w:color w:val="auto"/>
                      <w:kern w:val="0"/>
                      <w:szCs w:val="21"/>
                      <w:lang w:eastAsia="zh-CN" w:bidi="ar"/>
                    </w:rPr>
                    <w:t>；</w:t>
                  </w:r>
                  <w:r>
                    <w:rPr>
                      <w:rFonts w:hint="default" w:ascii="Times New Roman" w:hAnsi="Times New Roman" w:eastAsia="宋体" w:cs="Times New Roman"/>
                      <w:color w:val="auto"/>
                      <w:szCs w:val="21"/>
                      <w:lang w:eastAsia="zh-CN"/>
                    </w:rPr>
                    <w:t>卫生间、化粪池</w:t>
                  </w:r>
                </w:p>
              </w:tc>
              <w:tc>
                <w:tcPr>
                  <w:tcW w:w="589" w:type="pct"/>
                  <w:vAlign w:val="center"/>
                </w:tcPr>
                <w:p w14:paraId="5292C240">
                  <w:pPr>
                    <w:jc w:val="center"/>
                    <w:rPr>
                      <w:bCs/>
                      <w:snapToGrid w:val="0"/>
                      <w:color w:val="auto"/>
                      <w:kern w:val="0"/>
                      <w:szCs w:val="21"/>
                    </w:rPr>
                  </w:pPr>
                  <w:r>
                    <w:rPr>
                      <w:bCs/>
                      <w:snapToGrid w:val="0"/>
                      <w:color w:val="auto"/>
                      <w:kern w:val="0"/>
                      <w:szCs w:val="21"/>
                    </w:rPr>
                    <w:t>厂界无组织</w:t>
                  </w:r>
                </w:p>
              </w:tc>
              <w:tc>
                <w:tcPr>
                  <w:tcW w:w="1193" w:type="pct"/>
                  <w:vAlign w:val="center"/>
                </w:tcPr>
                <w:p w14:paraId="46B77E99">
                  <w:pPr>
                    <w:jc w:val="center"/>
                    <w:rPr>
                      <w:bCs/>
                      <w:snapToGrid w:val="0"/>
                      <w:color w:val="auto"/>
                      <w:kern w:val="0"/>
                      <w:szCs w:val="21"/>
                    </w:rPr>
                  </w:pPr>
                  <w:r>
                    <w:rPr>
                      <w:bCs/>
                      <w:snapToGrid w:val="0"/>
                      <w:color w:val="auto"/>
                      <w:kern w:val="0"/>
                      <w:szCs w:val="21"/>
                    </w:rPr>
                    <w:t>厂址上风向设1个对照点、厂址下风向设2个监控点</w:t>
                  </w:r>
                </w:p>
              </w:tc>
              <w:tc>
                <w:tcPr>
                  <w:tcW w:w="1431" w:type="pct"/>
                  <w:vAlign w:val="center"/>
                </w:tcPr>
                <w:p w14:paraId="373CD392">
                  <w:pPr>
                    <w:jc w:val="center"/>
                    <w:rPr>
                      <w:bCs/>
                      <w:color w:val="auto"/>
                      <w:szCs w:val="21"/>
                    </w:rPr>
                  </w:pPr>
                  <w:r>
                    <w:rPr>
                      <w:bCs/>
                      <w:color w:val="auto"/>
                      <w:szCs w:val="21"/>
                    </w:rPr>
                    <w:t>颗粒物、</w:t>
                  </w:r>
                  <w:r>
                    <w:rPr>
                      <w:color w:val="auto"/>
                      <w:szCs w:val="21"/>
                    </w:rPr>
                    <w:t>非甲烷总烃</w:t>
                  </w:r>
                  <w:r>
                    <w:rPr>
                      <w:bCs/>
                      <w:color w:val="auto"/>
                      <w:szCs w:val="21"/>
                    </w:rPr>
                    <w:t>、</w:t>
                  </w:r>
                  <w:r>
                    <w:rPr>
                      <w:rFonts w:hint="eastAsia"/>
                      <w:bCs/>
                      <w:color w:val="auto"/>
                      <w:szCs w:val="21"/>
                    </w:rPr>
                    <w:t>臭气浓度</w:t>
                  </w:r>
                </w:p>
              </w:tc>
              <w:tc>
                <w:tcPr>
                  <w:tcW w:w="627" w:type="pct"/>
                  <w:vAlign w:val="center"/>
                </w:tcPr>
                <w:p w14:paraId="3DDD343C">
                  <w:pPr>
                    <w:jc w:val="center"/>
                    <w:rPr>
                      <w:bCs/>
                      <w:color w:val="auto"/>
                      <w:szCs w:val="21"/>
                    </w:rPr>
                  </w:pPr>
                  <w:r>
                    <w:rPr>
                      <w:bCs/>
                      <w:color w:val="auto"/>
                      <w:szCs w:val="21"/>
                    </w:rPr>
                    <w:t>1次/年</w:t>
                  </w:r>
                </w:p>
              </w:tc>
            </w:tr>
            <w:tr w14:paraId="66DC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 w:type="pct"/>
                  <w:vMerge w:val="continue"/>
                  <w:vAlign w:val="center"/>
                </w:tcPr>
                <w:p w14:paraId="56ABB45A">
                  <w:pPr>
                    <w:jc w:val="center"/>
                    <w:rPr>
                      <w:bCs/>
                      <w:color w:val="auto"/>
                      <w:szCs w:val="21"/>
                    </w:rPr>
                  </w:pPr>
                </w:p>
              </w:tc>
              <w:tc>
                <w:tcPr>
                  <w:tcW w:w="1496" w:type="pct"/>
                  <w:gridSpan w:val="2"/>
                  <w:vAlign w:val="center"/>
                </w:tcPr>
                <w:p w14:paraId="45B46992">
                  <w:pPr>
                    <w:jc w:val="center"/>
                    <w:rPr>
                      <w:bCs/>
                      <w:snapToGrid w:val="0"/>
                      <w:color w:val="auto"/>
                      <w:kern w:val="0"/>
                      <w:szCs w:val="21"/>
                    </w:rPr>
                  </w:pPr>
                  <w:r>
                    <w:rPr>
                      <w:bCs/>
                      <w:snapToGrid w:val="0"/>
                      <w:color w:val="auto"/>
                      <w:kern w:val="0"/>
                      <w:szCs w:val="21"/>
                    </w:rPr>
                    <w:t>厂内无组织</w:t>
                  </w:r>
                </w:p>
              </w:tc>
              <w:tc>
                <w:tcPr>
                  <w:tcW w:w="1193" w:type="pct"/>
                  <w:vAlign w:val="center"/>
                </w:tcPr>
                <w:p w14:paraId="6044ADC7">
                  <w:pPr>
                    <w:jc w:val="center"/>
                    <w:rPr>
                      <w:bCs/>
                      <w:snapToGrid w:val="0"/>
                      <w:color w:val="auto"/>
                      <w:kern w:val="0"/>
                      <w:szCs w:val="21"/>
                    </w:rPr>
                  </w:pPr>
                  <w:r>
                    <w:rPr>
                      <w:rFonts w:hint="eastAsia"/>
                      <w:bCs/>
                      <w:snapToGrid w:val="0"/>
                      <w:color w:val="auto"/>
                      <w:kern w:val="0"/>
                      <w:szCs w:val="21"/>
                    </w:rPr>
                    <w:t>在厂房门窗或通风口</w:t>
                  </w:r>
                  <w:r>
                    <w:rPr>
                      <w:bCs/>
                      <w:snapToGrid w:val="0"/>
                      <w:color w:val="auto"/>
                      <w:kern w:val="0"/>
                      <w:szCs w:val="21"/>
                    </w:rPr>
                    <w:t>设置1个监测点</w:t>
                  </w:r>
                </w:p>
              </w:tc>
              <w:tc>
                <w:tcPr>
                  <w:tcW w:w="1431" w:type="pct"/>
                  <w:vAlign w:val="center"/>
                </w:tcPr>
                <w:p w14:paraId="74461C1E">
                  <w:pPr>
                    <w:jc w:val="center"/>
                    <w:rPr>
                      <w:bCs/>
                      <w:color w:val="auto"/>
                      <w:szCs w:val="21"/>
                    </w:rPr>
                  </w:pPr>
                  <w:r>
                    <w:rPr>
                      <w:bCs/>
                      <w:color w:val="auto"/>
                      <w:szCs w:val="21"/>
                    </w:rPr>
                    <w:t>挥发性有机物（以非甲烷总烃计）</w:t>
                  </w:r>
                </w:p>
              </w:tc>
              <w:tc>
                <w:tcPr>
                  <w:tcW w:w="627" w:type="pct"/>
                  <w:vAlign w:val="center"/>
                </w:tcPr>
                <w:p w14:paraId="0214D816">
                  <w:pPr>
                    <w:jc w:val="center"/>
                    <w:rPr>
                      <w:bCs/>
                      <w:color w:val="auto"/>
                      <w:szCs w:val="21"/>
                    </w:rPr>
                  </w:pPr>
                  <w:r>
                    <w:rPr>
                      <w:color w:val="auto"/>
                      <w:szCs w:val="21"/>
                      <w:lang w:bidi="ar"/>
                    </w:rPr>
                    <w:t>1次/年</w:t>
                  </w:r>
                </w:p>
              </w:tc>
            </w:tr>
          </w:tbl>
          <w:p w14:paraId="6AEAEDFA">
            <w:pPr>
              <w:adjustRightInd w:val="0"/>
              <w:snapToGrid w:val="0"/>
              <w:spacing w:line="360" w:lineRule="auto"/>
              <w:ind w:firstLine="482" w:firstLineChars="200"/>
              <w:rPr>
                <w:b/>
                <w:color w:val="auto"/>
                <w:sz w:val="24"/>
                <w:szCs w:val="20"/>
                <w:lang w:val="zh-CN" w:bidi="ar"/>
              </w:rPr>
            </w:pPr>
            <w:r>
              <w:rPr>
                <w:b/>
                <w:color w:val="auto"/>
                <w:sz w:val="24"/>
                <w:szCs w:val="20"/>
                <w:lang w:bidi="ar"/>
              </w:rPr>
              <w:t>二</w:t>
            </w:r>
            <w:r>
              <w:rPr>
                <w:b/>
                <w:color w:val="auto"/>
                <w:sz w:val="24"/>
                <w:szCs w:val="20"/>
                <w:lang w:val="zh-CN" w:bidi="ar"/>
              </w:rPr>
              <w:t>、地表水环境影响分析</w:t>
            </w:r>
          </w:p>
          <w:p w14:paraId="29FB1BDC">
            <w:pPr>
              <w:adjustRightInd w:val="0"/>
              <w:snapToGrid w:val="0"/>
              <w:spacing w:line="360" w:lineRule="auto"/>
              <w:ind w:firstLine="482" w:firstLineChars="200"/>
              <w:rPr>
                <w:b/>
                <w:color w:val="auto"/>
                <w:spacing w:val="-10"/>
                <w:szCs w:val="21"/>
              </w:rPr>
            </w:pPr>
            <w:r>
              <w:rPr>
                <w:b/>
                <w:bCs/>
                <w:color w:val="auto"/>
                <w:sz w:val="24"/>
              </w:rPr>
              <w:t>1、污染源分析</w:t>
            </w:r>
          </w:p>
          <w:p w14:paraId="236828ED">
            <w:pPr>
              <w:keepNext w:val="0"/>
              <w:keepLines w:val="0"/>
              <w:pageBreakBefore w:val="0"/>
              <w:numPr>
                <w:ilvl w:val="0"/>
                <w:numId w:val="0"/>
              </w:numPr>
              <w:kinsoku/>
              <w:wordWrap/>
              <w:overflowPunct/>
              <w:topLinePunct w:val="0"/>
              <w:bidi w:val="0"/>
              <w:adjustRightInd w:val="0"/>
              <w:snapToGrid w:val="0"/>
              <w:jc w:val="center"/>
              <w:rPr>
                <w:b/>
                <w:color w:val="auto"/>
                <w:spacing w:val="-10"/>
                <w:szCs w:val="21"/>
              </w:rPr>
            </w:pPr>
          </w:p>
          <w:p w14:paraId="21D716A2">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color w:val="auto"/>
                <w:highlight w:val="none"/>
              </w:rPr>
            </w:pPr>
            <w:r>
              <w:rPr>
                <w:b/>
                <w:color w:val="auto"/>
                <w:spacing w:val="-10"/>
                <w:szCs w:val="21"/>
              </w:rPr>
              <w:t>表4-</w:t>
            </w:r>
            <w:r>
              <w:rPr>
                <w:rFonts w:hint="eastAsia"/>
                <w:b/>
                <w:color w:val="auto"/>
                <w:spacing w:val="-10"/>
                <w:szCs w:val="21"/>
                <w:lang w:val="en-US" w:eastAsia="zh-CN"/>
              </w:rPr>
              <w:t>13</w:t>
            </w:r>
            <w:r>
              <w:rPr>
                <w:b/>
                <w:color w:val="auto"/>
                <w:spacing w:val="-10"/>
                <w:szCs w:val="21"/>
              </w:rPr>
              <w:t xml:space="preserve">  项目区废水产排情况统计表</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7"/>
              <w:gridCol w:w="526"/>
              <w:gridCol w:w="971"/>
              <w:gridCol w:w="502"/>
              <w:gridCol w:w="124"/>
              <w:gridCol w:w="626"/>
              <w:gridCol w:w="690"/>
              <w:gridCol w:w="720"/>
              <w:gridCol w:w="720"/>
              <w:gridCol w:w="630"/>
              <w:gridCol w:w="707"/>
              <w:gridCol w:w="1382"/>
            </w:tblGrid>
            <w:tr w14:paraId="2BBB4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6" w:type="pct"/>
                  <w:gridSpan w:val="3"/>
                  <w:noWrap w:val="0"/>
                  <w:vAlign w:val="center"/>
                </w:tcPr>
                <w:p w14:paraId="2D89C59F">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产污排污环节</w:t>
                  </w:r>
                </w:p>
              </w:tc>
              <w:tc>
                <w:tcPr>
                  <w:tcW w:w="2810" w:type="pct"/>
                  <w:gridSpan w:val="8"/>
                  <w:noWrap w:val="0"/>
                  <w:vAlign w:val="center"/>
                </w:tcPr>
                <w:p w14:paraId="2E7447A3">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生活污水</w:t>
                  </w:r>
                </w:p>
              </w:tc>
              <w:tc>
                <w:tcPr>
                  <w:tcW w:w="823" w:type="pct"/>
                  <w:noWrap w:val="0"/>
                  <w:vAlign w:val="center"/>
                </w:tcPr>
                <w:p w14:paraId="1AA4C52D">
                  <w:pPr>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bCs/>
                      <w:color w:val="auto"/>
                      <w:spacing w:val="-10"/>
                      <w:szCs w:val="21"/>
                    </w:rPr>
                    <w:t>冷却</w:t>
                  </w:r>
                  <w:r>
                    <w:rPr>
                      <w:bCs/>
                      <w:color w:val="auto"/>
                      <w:spacing w:val="-10"/>
                      <w:szCs w:val="21"/>
                    </w:rPr>
                    <w:t>水</w:t>
                  </w:r>
                </w:p>
              </w:tc>
            </w:tr>
            <w:tr w14:paraId="69C56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6" w:type="pct"/>
                  <w:gridSpan w:val="3"/>
                  <w:noWrap w:val="0"/>
                  <w:vAlign w:val="center"/>
                </w:tcPr>
                <w:p w14:paraId="76B1299B">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产生量（</w:t>
                  </w:r>
                  <w:r>
                    <w:rPr>
                      <w:rFonts w:hint="default" w:ascii="Times New Roman" w:hAnsi="Times New Roman" w:eastAsia="宋体" w:cs="Times New Roman"/>
                      <w:b/>
                      <w:bCs w:val="0"/>
                      <w:color w:val="auto"/>
                      <w:kern w:val="2"/>
                      <w:sz w:val="21"/>
                      <w:szCs w:val="21"/>
                      <w:highlight w:val="none"/>
                      <w:lang w:val="zh-CN" w:eastAsia="zh-CN" w:bidi="ar"/>
                    </w:rPr>
                    <w:t>m</w:t>
                  </w:r>
                  <w:r>
                    <w:rPr>
                      <w:rFonts w:hint="default" w:ascii="Times New Roman" w:hAnsi="Times New Roman" w:eastAsia="宋体" w:cs="Times New Roman"/>
                      <w:b/>
                      <w:bCs w:val="0"/>
                      <w:color w:val="auto"/>
                      <w:kern w:val="2"/>
                      <w:sz w:val="21"/>
                      <w:szCs w:val="21"/>
                      <w:highlight w:val="none"/>
                      <w:vertAlign w:val="superscript"/>
                      <w:lang w:val="zh-CN" w:eastAsia="zh-CN" w:bidi="ar"/>
                    </w:rPr>
                    <w:t>3</w:t>
                  </w:r>
                  <w:r>
                    <w:rPr>
                      <w:rFonts w:hint="default" w:ascii="Times New Roman" w:hAnsi="Times New Roman" w:eastAsia="宋体" w:cs="Times New Roman"/>
                      <w:b/>
                      <w:bCs w:val="0"/>
                      <w:color w:val="auto"/>
                      <w:kern w:val="2"/>
                      <w:sz w:val="21"/>
                      <w:szCs w:val="21"/>
                      <w:highlight w:val="none"/>
                      <w:lang w:val="zh-CN" w:eastAsia="zh-CN" w:bidi="ar"/>
                    </w:rPr>
                    <w:t>/a</w:t>
                  </w:r>
                  <w:r>
                    <w:rPr>
                      <w:rFonts w:hint="default" w:ascii="Times New Roman" w:hAnsi="Times New Roman" w:eastAsia="宋体" w:cs="Times New Roman"/>
                      <w:b/>
                      <w:bCs w:val="0"/>
                      <w:color w:val="auto"/>
                      <w:spacing w:val="-10"/>
                      <w:sz w:val="21"/>
                      <w:szCs w:val="21"/>
                      <w:highlight w:val="none"/>
                      <w:vertAlign w:val="baseline"/>
                      <w:lang w:val="en-US" w:eastAsia="zh-CN"/>
                    </w:rPr>
                    <w:t>）</w:t>
                  </w:r>
                </w:p>
              </w:tc>
              <w:tc>
                <w:tcPr>
                  <w:tcW w:w="2810" w:type="pct"/>
                  <w:gridSpan w:val="8"/>
                  <w:noWrap w:val="0"/>
                  <w:vAlign w:val="center"/>
                </w:tcPr>
                <w:p w14:paraId="06C7DB48">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color w:val="auto"/>
                      <w:spacing w:val="11"/>
                      <w:sz w:val="21"/>
                      <w:szCs w:val="21"/>
                      <w:highlight w:val="none"/>
                      <w:lang w:val="en-US" w:eastAsia="zh-CN"/>
                    </w:rPr>
                    <w:t>656</w:t>
                  </w:r>
                </w:p>
              </w:tc>
              <w:tc>
                <w:tcPr>
                  <w:tcW w:w="823" w:type="pct"/>
                  <w:noWrap w:val="0"/>
                  <w:vAlign w:val="center"/>
                </w:tcPr>
                <w:p w14:paraId="0797AE5D">
                  <w:pPr>
                    <w:adjustRightInd w:val="0"/>
                    <w:snapToGrid w:val="0"/>
                    <w:jc w:val="center"/>
                    <w:rPr>
                      <w:rFonts w:hint="default" w:ascii="Times New Roman" w:hAnsi="Times New Roman" w:eastAsia="宋体" w:cs="Times New Roman"/>
                      <w:color w:val="auto"/>
                      <w:spacing w:val="11"/>
                      <w:sz w:val="21"/>
                      <w:szCs w:val="21"/>
                      <w:highlight w:val="none"/>
                      <w:lang w:val="en-US" w:eastAsia="zh-CN"/>
                    </w:rPr>
                  </w:pPr>
                  <w:r>
                    <w:rPr>
                      <w:rFonts w:hint="eastAsia"/>
                      <w:color w:val="auto"/>
                      <w:kern w:val="0"/>
                      <w:szCs w:val="21"/>
                      <w:lang w:bidi="ar"/>
                    </w:rPr>
                    <w:t>0</w:t>
                  </w:r>
                </w:p>
              </w:tc>
            </w:tr>
            <w:tr w14:paraId="0613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6" w:type="pct"/>
                  <w:gridSpan w:val="3"/>
                  <w:noWrap w:val="0"/>
                  <w:vAlign w:val="center"/>
                </w:tcPr>
                <w:p w14:paraId="1677E1BE">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污染物种类</w:t>
                  </w:r>
                </w:p>
              </w:tc>
              <w:tc>
                <w:tcPr>
                  <w:tcW w:w="298" w:type="pct"/>
                  <w:noWrap w:val="0"/>
                  <w:vAlign w:val="center"/>
                </w:tcPr>
                <w:p w14:paraId="27015842">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PH</w:t>
                  </w:r>
                </w:p>
              </w:tc>
              <w:tc>
                <w:tcPr>
                  <w:tcW w:w="446" w:type="pct"/>
                  <w:gridSpan w:val="2"/>
                  <w:noWrap w:val="0"/>
                  <w:vAlign w:val="center"/>
                </w:tcPr>
                <w:p w14:paraId="68EBDED8">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COD</w:t>
                  </w:r>
                </w:p>
              </w:tc>
              <w:tc>
                <w:tcPr>
                  <w:tcW w:w="410" w:type="pct"/>
                  <w:noWrap w:val="0"/>
                  <w:vAlign w:val="center"/>
                </w:tcPr>
                <w:p w14:paraId="2BFDEDD5">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BOD</w:t>
                  </w:r>
                  <w:r>
                    <w:rPr>
                      <w:rFonts w:hint="default" w:ascii="Times New Roman" w:hAnsi="Times New Roman" w:eastAsia="宋体" w:cs="Times New Roman"/>
                      <w:b w:val="0"/>
                      <w:bCs/>
                      <w:color w:val="auto"/>
                      <w:spacing w:val="-10"/>
                      <w:sz w:val="21"/>
                      <w:szCs w:val="21"/>
                      <w:highlight w:val="none"/>
                      <w:vertAlign w:val="subscript"/>
                      <w:lang w:val="en-US" w:eastAsia="zh-CN"/>
                    </w:rPr>
                    <w:t>5</w:t>
                  </w:r>
                </w:p>
              </w:tc>
              <w:tc>
                <w:tcPr>
                  <w:tcW w:w="428" w:type="pct"/>
                  <w:noWrap w:val="0"/>
                  <w:vAlign w:val="center"/>
                </w:tcPr>
                <w:p w14:paraId="55EF9117">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SS</w:t>
                  </w:r>
                </w:p>
              </w:tc>
              <w:tc>
                <w:tcPr>
                  <w:tcW w:w="428" w:type="pct"/>
                  <w:noWrap w:val="0"/>
                  <w:vAlign w:val="center"/>
                </w:tcPr>
                <w:p w14:paraId="45AD6455">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氨氮</w:t>
                  </w:r>
                </w:p>
              </w:tc>
              <w:tc>
                <w:tcPr>
                  <w:tcW w:w="375" w:type="pct"/>
                  <w:noWrap w:val="0"/>
                  <w:vAlign w:val="center"/>
                </w:tcPr>
                <w:p w14:paraId="179F07DF">
                  <w:pPr>
                    <w:keepNext w:val="0"/>
                    <w:keepLines w:val="0"/>
                    <w:pageBreakBefore w:val="0"/>
                    <w:numPr>
                      <w:ilvl w:val="0"/>
                      <w:numId w:val="0"/>
                    </w:numPr>
                    <w:tabs>
                      <w:tab w:val="left" w:pos="342"/>
                    </w:tabs>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总磷</w:t>
                  </w:r>
                </w:p>
              </w:tc>
              <w:tc>
                <w:tcPr>
                  <w:tcW w:w="421" w:type="pct"/>
                  <w:noWrap w:val="0"/>
                  <w:vAlign w:val="center"/>
                </w:tcPr>
                <w:p w14:paraId="601EDC59">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kern w:val="2"/>
                      <w:sz w:val="21"/>
                      <w:szCs w:val="21"/>
                      <w:highlight w:val="none"/>
                      <w:lang w:val="en-US" w:eastAsia="zh-CN" w:bidi="ar"/>
                    </w:rPr>
                    <w:t>动植物油</w:t>
                  </w:r>
                </w:p>
              </w:tc>
              <w:tc>
                <w:tcPr>
                  <w:tcW w:w="823" w:type="pct"/>
                  <w:noWrap w:val="0"/>
                  <w:vAlign w:val="center"/>
                </w:tcPr>
                <w:p w14:paraId="231E0411">
                  <w:pPr>
                    <w:adjustRightInd w:val="0"/>
                    <w:snapToGrid w:val="0"/>
                    <w:jc w:val="center"/>
                    <w:rPr>
                      <w:rFonts w:hint="default" w:ascii="Times New Roman" w:hAnsi="Times New Roman" w:eastAsia="宋体" w:cs="Times New Roman"/>
                      <w:color w:val="auto"/>
                      <w:kern w:val="2"/>
                      <w:sz w:val="21"/>
                      <w:szCs w:val="21"/>
                      <w:highlight w:val="none"/>
                      <w:lang w:val="en-US" w:eastAsia="zh-CN" w:bidi="ar"/>
                    </w:rPr>
                  </w:pPr>
                  <w:r>
                    <w:rPr>
                      <w:color w:val="auto"/>
                      <w:szCs w:val="21"/>
                      <w:lang w:bidi="ar"/>
                    </w:rPr>
                    <w:t>/</w:t>
                  </w:r>
                </w:p>
              </w:tc>
            </w:tr>
            <w:tr w14:paraId="6D87C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6" w:type="pct"/>
                  <w:gridSpan w:val="3"/>
                  <w:noWrap w:val="0"/>
                  <w:vAlign w:val="center"/>
                </w:tcPr>
                <w:p w14:paraId="5F95E933">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default" w:ascii="Times New Roman" w:hAnsi="Times New Roman" w:eastAsia="宋体" w:cs="Times New Roman"/>
                      <w:b/>
                      <w:bCs w:val="0"/>
                      <w:color w:val="auto"/>
                      <w:spacing w:val="-10"/>
                      <w:kern w:val="2"/>
                      <w:sz w:val="21"/>
                      <w:szCs w:val="21"/>
                      <w:highlight w:val="none"/>
                      <w:vertAlign w:val="baseline"/>
                      <w:lang w:val="en-US" w:eastAsia="zh-CN" w:bidi="ar-SA"/>
                    </w:rPr>
                  </w:pPr>
                  <w:r>
                    <w:rPr>
                      <w:rFonts w:hint="default" w:ascii="Times New Roman" w:hAnsi="Times New Roman" w:eastAsia="宋体" w:cs="Times New Roman"/>
                      <w:b/>
                      <w:bCs w:val="0"/>
                      <w:color w:val="auto"/>
                      <w:spacing w:val="-10"/>
                      <w:sz w:val="21"/>
                      <w:szCs w:val="21"/>
                      <w:highlight w:val="none"/>
                      <w:vertAlign w:val="baseline"/>
                      <w:lang w:val="en-US" w:eastAsia="zh-CN"/>
                    </w:rPr>
                    <w:t>污染物产生量（t/a）</w:t>
                  </w:r>
                </w:p>
              </w:tc>
              <w:tc>
                <w:tcPr>
                  <w:tcW w:w="298" w:type="pct"/>
                  <w:noWrap w:val="0"/>
                  <w:vAlign w:val="center"/>
                </w:tcPr>
                <w:p w14:paraId="15BFE398">
                  <w:pPr>
                    <w:keepNext w:val="0"/>
                    <w:keepLines w:val="0"/>
                    <w:widowControl/>
                    <w:suppressLineNumbers w:val="0"/>
                    <w:jc w:val="center"/>
                    <w:textAlignment w:val="center"/>
                    <w:rPr>
                      <w:rFonts w:hint="default" w:ascii="Times New Roman" w:hAnsi="Times New Roman" w:eastAsia="宋体" w:cs="Times New Roman"/>
                      <w:b w:val="0"/>
                      <w:bCs/>
                      <w:color w:val="auto"/>
                      <w:spacing w:val="-10"/>
                      <w:kern w:val="2"/>
                      <w:sz w:val="21"/>
                      <w:szCs w:val="21"/>
                      <w:highlight w:val="none"/>
                      <w:vertAlign w:val="baseline"/>
                      <w:lang w:val="en-US" w:eastAsia="zh-CN" w:bidi="ar-SA"/>
                    </w:rPr>
                  </w:pPr>
                  <w:r>
                    <w:rPr>
                      <w:rFonts w:hint="eastAsia" w:cs="Times New Roman"/>
                      <w:b w:val="0"/>
                      <w:bCs/>
                      <w:color w:val="auto"/>
                      <w:spacing w:val="-10"/>
                      <w:kern w:val="2"/>
                      <w:sz w:val="21"/>
                      <w:szCs w:val="21"/>
                      <w:highlight w:val="none"/>
                      <w:vertAlign w:val="baseline"/>
                      <w:lang w:val="en-US" w:eastAsia="zh-CN" w:bidi="ar-SA"/>
                    </w:rPr>
                    <w:t>/</w:t>
                  </w:r>
                </w:p>
              </w:tc>
              <w:tc>
                <w:tcPr>
                  <w:tcW w:w="446" w:type="pct"/>
                  <w:gridSpan w:val="2"/>
                  <w:noWrap w:val="0"/>
                  <w:vAlign w:val="center"/>
                </w:tcPr>
                <w:p w14:paraId="16400175">
                  <w:pPr>
                    <w:keepNext w:val="0"/>
                    <w:keepLines w:val="0"/>
                    <w:widowControl/>
                    <w:suppressLineNumbers w:val="0"/>
                    <w:jc w:val="center"/>
                    <w:textAlignment w:val="center"/>
                    <w:rPr>
                      <w:rFonts w:hint="default" w:ascii="Times New Roman" w:hAnsi="Times New Roman" w:eastAsia="宋体" w:cs="Times New Roman"/>
                      <w:b w:val="0"/>
                      <w:bCs/>
                      <w:color w:val="auto"/>
                      <w:spacing w:val="-10"/>
                      <w:kern w:val="2"/>
                      <w:sz w:val="21"/>
                      <w:szCs w:val="21"/>
                      <w:highlight w:val="none"/>
                      <w:vertAlign w:val="baseline"/>
                      <w:lang w:val="en-US" w:eastAsia="zh-CN" w:bidi="ar-SA"/>
                    </w:rPr>
                  </w:pPr>
                  <w:r>
                    <w:rPr>
                      <w:rFonts w:hint="default" w:ascii="Times New Roman" w:hAnsi="Times New Roman" w:eastAsia="宋体" w:cs="Times New Roman"/>
                      <w:b w:val="0"/>
                      <w:bCs/>
                      <w:color w:val="auto"/>
                      <w:spacing w:val="-10"/>
                      <w:kern w:val="2"/>
                      <w:sz w:val="21"/>
                      <w:szCs w:val="21"/>
                      <w:highlight w:val="none"/>
                      <w:vertAlign w:val="baseline"/>
                      <w:lang w:val="en-US" w:eastAsia="zh-CN" w:bidi="ar-SA"/>
                    </w:rPr>
                    <w:t>0.</w:t>
                  </w:r>
                  <w:r>
                    <w:rPr>
                      <w:rFonts w:hint="eastAsia" w:cs="Times New Roman"/>
                      <w:b w:val="0"/>
                      <w:bCs/>
                      <w:color w:val="auto"/>
                      <w:spacing w:val="-10"/>
                      <w:kern w:val="2"/>
                      <w:sz w:val="21"/>
                      <w:szCs w:val="21"/>
                      <w:highlight w:val="none"/>
                      <w:vertAlign w:val="baseline"/>
                      <w:lang w:val="en-US" w:eastAsia="zh-CN" w:bidi="ar-SA"/>
                    </w:rPr>
                    <w:t>3411</w:t>
                  </w:r>
                </w:p>
              </w:tc>
              <w:tc>
                <w:tcPr>
                  <w:tcW w:w="410" w:type="pct"/>
                  <w:noWrap w:val="0"/>
                  <w:vAlign w:val="center"/>
                </w:tcPr>
                <w:p w14:paraId="51F73962">
                  <w:pPr>
                    <w:keepNext w:val="0"/>
                    <w:keepLines w:val="0"/>
                    <w:widowControl/>
                    <w:suppressLineNumbers w:val="0"/>
                    <w:jc w:val="center"/>
                    <w:textAlignment w:val="center"/>
                    <w:rPr>
                      <w:rFonts w:hint="default" w:ascii="Times New Roman" w:hAnsi="Times New Roman" w:eastAsia="宋体" w:cs="Times New Roman"/>
                      <w:b w:val="0"/>
                      <w:bCs/>
                      <w:color w:val="auto"/>
                      <w:spacing w:val="-10"/>
                      <w:kern w:val="2"/>
                      <w:sz w:val="21"/>
                      <w:szCs w:val="21"/>
                      <w:highlight w:val="none"/>
                      <w:vertAlign w:val="baseline"/>
                      <w:lang w:val="en-US" w:eastAsia="zh-CN" w:bidi="ar-SA"/>
                    </w:rPr>
                  </w:pPr>
                  <w:r>
                    <w:rPr>
                      <w:rFonts w:hint="default" w:ascii="Times New Roman" w:hAnsi="Times New Roman" w:eastAsia="宋体" w:cs="Times New Roman"/>
                      <w:b w:val="0"/>
                      <w:bCs/>
                      <w:color w:val="auto"/>
                      <w:spacing w:val="-10"/>
                      <w:kern w:val="2"/>
                      <w:sz w:val="21"/>
                      <w:szCs w:val="21"/>
                      <w:highlight w:val="none"/>
                      <w:vertAlign w:val="baseline"/>
                      <w:lang w:val="en-US" w:eastAsia="zh-CN" w:bidi="ar-SA"/>
                    </w:rPr>
                    <w:t>0.</w:t>
                  </w:r>
                  <w:r>
                    <w:rPr>
                      <w:rFonts w:hint="eastAsia" w:cs="Times New Roman"/>
                      <w:b w:val="0"/>
                      <w:bCs/>
                      <w:color w:val="auto"/>
                      <w:spacing w:val="-10"/>
                      <w:kern w:val="2"/>
                      <w:sz w:val="21"/>
                      <w:szCs w:val="21"/>
                      <w:highlight w:val="none"/>
                      <w:vertAlign w:val="baseline"/>
                      <w:lang w:val="en-US" w:eastAsia="zh-CN" w:bidi="ar-SA"/>
                    </w:rPr>
                    <w:t>1312</w:t>
                  </w:r>
                </w:p>
              </w:tc>
              <w:tc>
                <w:tcPr>
                  <w:tcW w:w="428" w:type="pct"/>
                  <w:noWrap w:val="0"/>
                  <w:vAlign w:val="center"/>
                </w:tcPr>
                <w:p w14:paraId="5796AFBB">
                  <w:pPr>
                    <w:keepNext w:val="0"/>
                    <w:keepLines w:val="0"/>
                    <w:widowControl/>
                    <w:suppressLineNumbers w:val="0"/>
                    <w:jc w:val="center"/>
                    <w:textAlignment w:val="center"/>
                    <w:rPr>
                      <w:rFonts w:hint="default" w:ascii="Times New Roman" w:hAnsi="Times New Roman" w:eastAsia="宋体" w:cs="Times New Roman"/>
                      <w:b w:val="0"/>
                      <w:bCs/>
                      <w:color w:val="auto"/>
                      <w:spacing w:val="-10"/>
                      <w:kern w:val="2"/>
                      <w:sz w:val="21"/>
                      <w:szCs w:val="21"/>
                      <w:highlight w:val="none"/>
                      <w:vertAlign w:val="baseline"/>
                      <w:lang w:val="en-US" w:eastAsia="zh-CN" w:bidi="ar-SA"/>
                    </w:rPr>
                  </w:pPr>
                  <w:r>
                    <w:rPr>
                      <w:rFonts w:hint="default" w:ascii="Times New Roman" w:hAnsi="Times New Roman" w:eastAsia="宋体" w:cs="Times New Roman"/>
                      <w:b w:val="0"/>
                      <w:bCs/>
                      <w:color w:val="auto"/>
                      <w:spacing w:val="-10"/>
                      <w:kern w:val="2"/>
                      <w:sz w:val="21"/>
                      <w:szCs w:val="21"/>
                      <w:highlight w:val="none"/>
                      <w:vertAlign w:val="baseline"/>
                      <w:lang w:val="en-US" w:eastAsia="zh-CN" w:bidi="ar-SA"/>
                    </w:rPr>
                    <w:t>0.</w:t>
                  </w:r>
                  <w:r>
                    <w:rPr>
                      <w:rFonts w:hint="eastAsia" w:cs="Times New Roman"/>
                      <w:b w:val="0"/>
                      <w:bCs/>
                      <w:color w:val="auto"/>
                      <w:spacing w:val="-10"/>
                      <w:kern w:val="2"/>
                      <w:sz w:val="21"/>
                      <w:szCs w:val="21"/>
                      <w:highlight w:val="none"/>
                      <w:vertAlign w:val="baseline"/>
                      <w:lang w:val="en-US" w:eastAsia="zh-CN" w:bidi="ar-SA"/>
                    </w:rPr>
                    <w:t>1312</w:t>
                  </w:r>
                </w:p>
              </w:tc>
              <w:tc>
                <w:tcPr>
                  <w:tcW w:w="428" w:type="pct"/>
                  <w:noWrap w:val="0"/>
                  <w:vAlign w:val="center"/>
                </w:tcPr>
                <w:p w14:paraId="1A6F3F37">
                  <w:pPr>
                    <w:keepNext w:val="0"/>
                    <w:keepLines w:val="0"/>
                    <w:widowControl/>
                    <w:suppressLineNumbers w:val="0"/>
                    <w:jc w:val="center"/>
                    <w:textAlignment w:val="center"/>
                    <w:rPr>
                      <w:rFonts w:hint="default" w:ascii="Times New Roman" w:hAnsi="Times New Roman" w:eastAsia="宋体" w:cs="Times New Roman"/>
                      <w:b w:val="0"/>
                      <w:bCs/>
                      <w:color w:val="auto"/>
                      <w:spacing w:val="-10"/>
                      <w:kern w:val="2"/>
                      <w:sz w:val="21"/>
                      <w:szCs w:val="21"/>
                      <w:highlight w:val="none"/>
                      <w:vertAlign w:val="baseline"/>
                      <w:lang w:val="en-US" w:eastAsia="zh-CN" w:bidi="ar-SA"/>
                    </w:rPr>
                  </w:pPr>
                  <w:r>
                    <w:rPr>
                      <w:rFonts w:hint="default" w:ascii="Times New Roman" w:hAnsi="Times New Roman" w:eastAsia="宋体" w:cs="Times New Roman"/>
                      <w:b w:val="0"/>
                      <w:bCs/>
                      <w:color w:val="auto"/>
                      <w:spacing w:val="-10"/>
                      <w:kern w:val="2"/>
                      <w:sz w:val="21"/>
                      <w:szCs w:val="21"/>
                      <w:highlight w:val="none"/>
                      <w:vertAlign w:val="baseline"/>
                      <w:lang w:val="en-US" w:eastAsia="zh-CN" w:bidi="ar-SA"/>
                    </w:rPr>
                    <w:t>0.0</w:t>
                  </w:r>
                  <w:r>
                    <w:rPr>
                      <w:rFonts w:hint="eastAsia" w:cs="Times New Roman"/>
                      <w:b w:val="0"/>
                      <w:bCs/>
                      <w:color w:val="auto"/>
                      <w:spacing w:val="-10"/>
                      <w:kern w:val="2"/>
                      <w:sz w:val="21"/>
                      <w:szCs w:val="21"/>
                      <w:highlight w:val="none"/>
                      <w:vertAlign w:val="baseline"/>
                      <w:lang w:val="en-US" w:eastAsia="zh-CN" w:bidi="ar-SA"/>
                    </w:rPr>
                    <w:t>262</w:t>
                  </w:r>
                </w:p>
              </w:tc>
              <w:tc>
                <w:tcPr>
                  <w:tcW w:w="375" w:type="pct"/>
                  <w:noWrap w:val="0"/>
                  <w:vAlign w:val="center"/>
                </w:tcPr>
                <w:p w14:paraId="7AC12FF7">
                  <w:pPr>
                    <w:keepNext w:val="0"/>
                    <w:keepLines w:val="0"/>
                    <w:widowControl/>
                    <w:suppressLineNumbers w:val="0"/>
                    <w:jc w:val="center"/>
                    <w:textAlignment w:val="center"/>
                    <w:rPr>
                      <w:rFonts w:hint="default" w:ascii="Times New Roman" w:hAnsi="Times New Roman" w:eastAsia="宋体" w:cs="Times New Roman"/>
                      <w:b w:val="0"/>
                      <w:bCs/>
                      <w:color w:val="auto"/>
                      <w:spacing w:val="-10"/>
                      <w:kern w:val="2"/>
                      <w:sz w:val="21"/>
                      <w:szCs w:val="21"/>
                      <w:highlight w:val="none"/>
                      <w:vertAlign w:val="baseline"/>
                      <w:lang w:val="en-US" w:eastAsia="zh-CN" w:bidi="ar-SA"/>
                    </w:rPr>
                  </w:pPr>
                  <w:r>
                    <w:rPr>
                      <w:rFonts w:hint="default" w:ascii="Times New Roman" w:hAnsi="Times New Roman" w:eastAsia="宋体" w:cs="Times New Roman"/>
                      <w:b w:val="0"/>
                      <w:bCs/>
                      <w:color w:val="auto"/>
                      <w:spacing w:val="-10"/>
                      <w:kern w:val="2"/>
                      <w:sz w:val="21"/>
                      <w:szCs w:val="21"/>
                      <w:highlight w:val="none"/>
                      <w:vertAlign w:val="baseline"/>
                      <w:lang w:val="en-US" w:eastAsia="zh-CN" w:bidi="ar-SA"/>
                    </w:rPr>
                    <w:t>0.0</w:t>
                  </w:r>
                  <w:r>
                    <w:rPr>
                      <w:rFonts w:hint="eastAsia" w:cs="Times New Roman"/>
                      <w:b w:val="0"/>
                      <w:bCs/>
                      <w:color w:val="auto"/>
                      <w:spacing w:val="-10"/>
                      <w:kern w:val="2"/>
                      <w:sz w:val="21"/>
                      <w:szCs w:val="21"/>
                      <w:highlight w:val="none"/>
                      <w:vertAlign w:val="baseline"/>
                      <w:lang w:val="en-US" w:eastAsia="zh-CN" w:bidi="ar-SA"/>
                    </w:rPr>
                    <w:t>052</w:t>
                  </w:r>
                </w:p>
              </w:tc>
              <w:tc>
                <w:tcPr>
                  <w:tcW w:w="421" w:type="pct"/>
                  <w:noWrap w:val="0"/>
                  <w:vAlign w:val="center"/>
                </w:tcPr>
                <w:p w14:paraId="7394E42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0.0</w:t>
                  </w:r>
                  <w:r>
                    <w:rPr>
                      <w:rFonts w:hint="eastAsia" w:cs="Times New Roman"/>
                      <w:bCs/>
                      <w:color w:val="auto"/>
                      <w:kern w:val="0"/>
                      <w:sz w:val="21"/>
                      <w:szCs w:val="21"/>
                      <w:highlight w:val="none"/>
                      <w:lang w:val="en-US" w:eastAsia="zh-CN"/>
                    </w:rPr>
                    <w:t>230</w:t>
                  </w:r>
                </w:p>
              </w:tc>
              <w:tc>
                <w:tcPr>
                  <w:tcW w:w="823" w:type="pct"/>
                  <w:noWrap w:val="0"/>
                  <w:vAlign w:val="center"/>
                </w:tcPr>
                <w:p w14:paraId="41965B91">
                  <w:pPr>
                    <w:widowControl/>
                    <w:jc w:val="center"/>
                    <w:textAlignment w:val="center"/>
                    <w:rPr>
                      <w:rFonts w:hint="default" w:ascii="Times New Roman" w:hAnsi="Times New Roman" w:eastAsia="宋体" w:cs="Times New Roman"/>
                      <w:bCs/>
                      <w:color w:val="auto"/>
                      <w:kern w:val="0"/>
                      <w:sz w:val="21"/>
                      <w:szCs w:val="21"/>
                      <w:highlight w:val="none"/>
                      <w:lang w:val="en-US" w:eastAsia="zh-CN"/>
                    </w:rPr>
                  </w:pPr>
                  <w:r>
                    <w:rPr>
                      <w:bCs/>
                      <w:color w:val="auto"/>
                      <w:kern w:val="0"/>
                      <w:szCs w:val="21"/>
                    </w:rPr>
                    <w:t>/</w:t>
                  </w:r>
                </w:p>
              </w:tc>
            </w:tr>
            <w:tr w14:paraId="632B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6" w:type="pct"/>
                  <w:gridSpan w:val="3"/>
                  <w:noWrap w:val="0"/>
                  <w:vAlign w:val="center"/>
                </w:tcPr>
                <w:p w14:paraId="082D937A">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污染物产生浓度（</w:t>
                  </w:r>
                  <w:r>
                    <w:rPr>
                      <w:rFonts w:hint="default" w:ascii="Times New Roman" w:hAnsi="Times New Roman" w:eastAsia="宋体" w:cs="Times New Roman"/>
                      <w:b/>
                      <w:bCs w:val="0"/>
                      <w:color w:val="auto"/>
                      <w:kern w:val="2"/>
                      <w:sz w:val="21"/>
                      <w:szCs w:val="21"/>
                      <w:highlight w:val="none"/>
                      <w:lang w:val="en-US" w:eastAsia="zh-CN" w:bidi="ar"/>
                    </w:rPr>
                    <w:t>mg/L</w:t>
                  </w:r>
                  <w:r>
                    <w:rPr>
                      <w:rFonts w:hint="default" w:ascii="Times New Roman" w:hAnsi="Times New Roman" w:eastAsia="宋体" w:cs="Times New Roman"/>
                      <w:b/>
                      <w:bCs w:val="0"/>
                      <w:color w:val="auto"/>
                      <w:spacing w:val="-10"/>
                      <w:sz w:val="21"/>
                      <w:szCs w:val="21"/>
                      <w:highlight w:val="none"/>
                      <w:vertAlign w:val="baseline"/>
                      <w:lang w:val="en-US" w:eastAsia="zh-CN"/>
                    </w:rPr>
                    <w:t>）</w:t>
                  </w:r>
                </w:p>
              </w:tc>
              <w:tc>
                <w:tcPr>
                  <w:tcW w:w="298" w:type="pct"/>
                  <w:noWrap w:val="0"/>
                  <w:vAlign w:val="center"/>
                </w:tcPr>
                <w:p w14:paraId="7F35E831">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6-9</w:t>
                  </w:r>
                </w:p>
              </w:tc>
              <w:tc>
                <w:tcPr>
                  <w:tcW w:w="446" w:type="pct"/>
                  <w:gridSpan w:val="2"/>
                  <w:noWrap w:val="0"/>
                  <w:vAlign w:val="center"/>
                </w:tcPr>
                <w:p w14:paraId="39B87961">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520</w:t>
                  </w:r>
                </w:p>
              </w:tc>
              <w:tc>
                <w:tcPr>
                  <w:tcW w:w="410" w:type="pct"/>
                  <w:noWrap w:val="0"/>
                  <w:vAlign w:val="center"/>
                </w:tcPr>
                <w:p w14:paraId="2C4CEA4E">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200</w:t>
                  </w:r>
                </w:p>
              </w:tc>
              <w:tc>
                <w:tcPr>
                  <w:tcW w:w="428" w:type="pct"/>
                  <w:noWrap w:val="0"/>
                  <w:vAlign w:val="center"/>
                </w:tcPr>
                <w:p w14:paraId="74C46071">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200</w:t>
                  </w:r>
                </w:p>
              </w:tc>
              <w:tc>
                <w:tcPr>
                  <w:tcW w:w="428" w:type="pct"/>
                  <w:noWrap w:val="0"/>
                  <w:vAlign w:val="center"/>
                </w:tcPr>
                <w:p w14:paraId="4CA005F2">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vertAlign w:val="baseline"/>
                      <w:lang w:val="en-US" w:eastAsia="zh-CN"/>
                    </w:rPr>
                    <w:t>40</w:t>
                  </w:r>
                </w:p>
              </w:tc>
              <w:tc>
                <w:tcPr>
                  <w:tcW w:w="375" w:type="pct"/>
                  <w:noWrap w:val="0"/>
                  <w:vAlign w:val="center"/>
                </w:tcPr>
                <w:p w14:paraId="5034846F">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vertAlign w:val="baseline"/>
                      <w:lang w:val="en-US" w:eastAsia="zh-CN"/>
                    </w:rPr>
                    <w:t>8</w:t>
                  </w:r>
                </w:p>
              </w:tc>
              <w:tc>
                <w:tcPr>
                  <w:tcW w:w="421" w:type="pct"/>
                  <w:noWrap w:val="0"/>
                  <w:vAlign w:val="center"/>
                </w:tcPr>
                <w:p w14:paraId="4DA4EFF9">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vertAlign w:val="baseline"/>
                      <w:lang w:val="en-US" w:eastAsia="zh-CN"/>
                    </w:rPr>
                    <w:t>35</w:t>
                  </w:r>
                </w:p>
              </w:tc>
              <w:tc>
                <w:tcPr>
                  <w:tcW w:w="823" w:type="pct"/>
                  <w:noWrap w:val="0"/>
                  <w:vAlign w:val="center"/>
                </w:tcPr>
                <w:p w14:paraId="7D36251F">
                  <w:pPr>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bCs/>
                      <w:color w:val="auto"/>
                      <w:spacing w:val="-10"/>
                      <w:szCs w:val="21"/>
                    </w:rPr>
                    <w:t>/</w:t>
                  </w:r>
                </w:p>
              </w:tc>
            </w:tr>
            <w:tr w14:paraId="7068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6" w:type="pct"/>
                  <w:gridSpan w:val="3"/>
                  <w:noWrap w:val="0"/>
                  <w:vAlign w:val="center"/>
                </w:tcPr>
                <w:p w14:paraId="78B87032">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排放形式</w:t>
                  </w:r>
                </w:p>
              </w:tc>
              <w:tc>
                <w:tcPr>
                  <w:tcW w:w="2810" w:type="pct"/>
                  <w:gridSpan w:val="8"/>
                  <w:noWrap w:val="0"/>
                  <w:vAlign w:val="center"/>
                </w:tcPr>
                <w:p w14:paraId="266D69C4">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不外排</w:t>
                  </w:r>
                </w:p>
              </w:tc>
              <w:tc>
                <w:tcPr>
                  <w:tcW w:w="823" w:type="pct"/>
                  <w:noWrap w:val="0"/>
                  <w:vAlign w:val="center"/>
                </w:tcPr>
                <w:p w14:paraId="5D16A6B0">
                  <w:pPr>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bCs/>
                      <w:color w:val="auto"/>
                      <w:spacing w:val="-10"/>
                      <w:szCs w:val="21"/>
                    </w:rPr>
                    <w:t>不外排</w:t>
                  </w:r>
                </w:p>
              </w:tc>
            </w:tr>
            <w:tr w14:paraId="7157F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74" w:type="pct"/>
                  <w:vMerge w:val="restart"/>
                  <w:noWrap w:val="0"/>
                  <w:vAlign w:val="center"/>
                </w:tcPr>
                <w:p w14:paraId="75DB3F96">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治理设施</w:t>
                  </w:r>
                </w:p>
              </w:tc>
              <w:tc>
                <w:tcPr>
                  <w:tcW w:w="891" w:type="pct"/>
                  <w:gridSpan w:val="2"/>
                  <w:noWrap w:val="0"/>
                  <w:vAlign w:val="center"/>
                </w:tcPr>
                <w:p w14:paraId="3567372A">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处理能力</w:t>
                  </w:r>
                </w:p>
              </w:tc>
              <w:tc>
                <w:tcPr>
                  <w:tcW w:w="2810" w:type="pct"/>
                  <w:gridSpan w:val="8"/>
                  <w:noWrap w:val="0"/>
                  <w:vAlign w:val="center"/>
                </w:tcPr>
                <w:p w14:paraId="529750F4">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/d</w:t>
                  </w:r>
                </w:p>
              </w:tc>
              <w:tc>
                <w:tcPr>
                  <w:tcW w:w="823" w:type="pct"/>
                  <w:noWrap w:val="0"/>
                  <w:vAlign w:val="center"/>
                </w:tcPr>
                <w:p w14:paraId="20142203">
                  <w:pPr>
                    <w:adjustRightInd w:val="0"/>
                    <w:snapToGrid w:val="0"/>
                    <w:jc w:val="center"/>
                    <w:rPr>
                      <w:rFonts w:hint="default" w:ascii="Times New Roman" w:hAnsi="Times New Roman" w:eastAsia="宋体" w:cs="Times New Roman"/>
                      <w:color w:val="auto"/>
                      <w:sz w:val="21"/>
                      <w:szCs w:val="21"/>
                      <w:highlight w:val="none"/>
                      <w:lang w:val="en-US" w:eastAsia="zh-CN"/>
                    </w:rPr>
                  </w:pPr>
                  <w:r>
                    <w:rPr>
                      <w:color w:val="auto"/>
                      <w:szCs w:val="21"/>
                    </w:rPr>
                    <w:t>/</w:t>
                  </w:r>
                </w:p>
              </w:tc>
            </w:tr>
            <w:tr w14:paraId="0F71D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74" w:type="pct"/>
                  <w:vMerge w:val="continue"/>
                  <w:noWrap w:val="0"/>
                  <w:vAlign w:val="center"/>
                </w:tcPr>
                <w:p w14:paraId="3EFB4F6B">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891" w:type="pct"/>
                  <w:gridSpan w:val="2"/>
                  <w:noWrap w:val="0"/>
                  <w:vAlign w:val="center"/>
                </w:tcPr>
                <w:p w14:paraId="159332D0">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收集效率（%）</w:t>
                  </w:r>
                </w:p>
              </w:tc>
              <w:tc>
                <w:tcPr>
                  <w:tcW w:w="2810" w:type="pct"/>
                  <w:gridSpan w:val="8"/>
                  <w:noWrap w:val="0"/>
                  <w:vAlign w:val="center"/>
                </w:tcPr>
                <w:p w14:paraId="4836742B">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100</w:t>
                  </w:r>
                </w:p>
              </w:tc>
              <w:tc>
                <w:tcPr>
                  <w:tcW w:w="823" w:type="pct"/>
                  <w:noWrap w:val="0"/>
                  <w:vAlign w:val="center"/>
                </w:tcPr>
                <w:p w14:paraId="2D967E46">
                  <w:pPr>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bCs/>
                      <w:color w:val="auto"/>
                      <w:spacing w:val="-10"/>
                      <w:szCs w:val="21"/>
                    </w:rPr>
                    <w:t>100</w:t>
                  </w:r>
                </w:p>
              </w:tc>
            </w:tr>
            <w:tr w14:paraId="6938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74" w:type="pct"/>
                  <w:vMerge w:val="continue"/>
                  <w:noWrap w:val="0"/>
                  <w:vAlign w:val="center"/>
                </w:tcPr>
                <w:p w14:paraId="77A18BD9">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891" w:type="pct"/>
                  <w:gridSpan w:val="2"/>
                  <w:noWrap w:val="0"/>
                  <w:vAlign w:val="center"/>
                </w:tcPr>
                <w:p w14:paraId="43B8F6FC">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治理工艺</w:t>
                  </w:r>
                </w:p>
              </w:tc>
              <w:tc>
                <w:tcPr>
                  <w:tcW w:w="2810" w:type="pct"/>
                  <w:gridSpan w:val="8"/>
                  <w:noWrap w:val="0"/>
                  <w:vAlign w:val="center"/>
                </w:tcPr>
                <w:p w14:paraId="0F514466">
                  <w:pPr>
                    <w:pStyle w:val="22"/>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食堂废水经容积为0.</w:t>
                  </w:r>
                  <w:r>
                    <w:rPr>
                      <w:rFonts w:hint="eastAsia"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的隔油池处理后，与其他生活污水一并进入容积为</w:t>
                  </w:r>
                  <w:r>
                    <w:rPr>
                      <w:rFonts w:hint="eastAsia"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的化粪池</w:t>
                  </w:r>
                  <w:r>
                    <w:rPr>
                      <w:rFonts w:hint="eastAsia" w:cs="Times New Roman"/>
                      <w:color w:val="auto"/>
                      <w:sz w:val="21"/>
                      <w:szCs w:val="21"/>
                      <w:highlight w:val="none"/>
                      <w:lang w:val="en-US" w:eastAsia="zh-CN"/>
                    </w:rPr>
                    <w:t>（依托）</w:t>
                  </w:r>
                  <w:r>
                    <w:rPr>
                      <w:rFonts w:hint="default" w:ascii="Times New Roman" w:hAnsi="Times New Roman" w:eastAsia="宋体" w:cs="Times New Roman"/>
                      <w:color w:val="auto"/>
                      <w:sz w:val="21"/>
                      <w:szCs w:val="21"/>
                      <w:highlight w:val="none"/>
                      <w:lang w:val="en-US" w:eastAsia="zh-CN"/>
                    </w:rPr>
                    <w:t>、处理规模为</w:t>
                  </w:r>
                  <w:r>
                    <w:rPr>
                      <w:rFonts w:hint="eastAsia"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/d的</w:t>
                  </w:r>
                  <w:r>
                    <w:rPr>
                      <w:rFonts w:hint="default" w:ascii="Times New Roman" w:hAnsi="Times New Roman" w:eastAsia="宋体" w:cs="Times New Roman"/>
                      <w:color w:val="auto"/>
                      <w:sz w:val="21"/>
                      <w:szCs w:val="21"/>
                      <w:highlight w:val="none"/>
                      <w:lang w:eastAsia="zh-CN" w:bidi="ar"/>
                    </w:rPr>
                    <w:t>一体化</w:t>
                  </w:r>
                  <w:r>
                    <w:rPr>
                      <w:rFonts w:hint="default" w:ascii="Times New Roman" w:hAnsi="Times New Roman" w:eastAsia="宋体" w:cs="Times New Roman"/>
                      <w:color w:val="auto"/>
                      <w:sz w:val="21"/>
                      <w:szCs w:val="21"/>
                      <w:highlight w:val="none"/>
                      <w:lang w:val="en-US" w:eastAsia="zh-CN"/>
                    </w:rPr>
                    <w:t>污水处理站（</w:t>
                  </w:r>
                  <w:r>
                    <w:rPr>
                      <w:rFonts w:hint="eastAsia" w:cs="Times New Roman"/>
                      <w:color w:val="auto"/>
                      <w:sz w:val="21"/>
                      <w:szCs w:val="21"/>
                      <w:highlight w:val="none"/>
                      <w:lang w:val="en-US" w:eastAsia="zh-CN"/>
                    </w:rPr>
                    <w:t>依托，</w:t>
                  </w:r>
                  <w:r>
                    <w:rPr>
                      <w:rFonts w:hint="default" w:ascii="Times New Roman" w:hAnsi="Times New Roman" w:eastAsia="宋体" w:cs="Times New Roman"/>
                      <w:color w:val="auto"/>
                      <w:sz w:val="21"/>
                      <w:szCs w:val="21"/>
                      <w:highlight w:val="none"/>
                      <w:lang w:val="en-US" w:eastAsia="zh-CN"/>
                    </w:rPr>
                    <w:t>处理工艺</w:t>
                  </w:r>
                  <w:r>
                    <w:rPr>
                      <w:rFonts w:hint="eastAsia" w:cs="Times New Roman"/>
                      <w:color w:val="auto"/>
                      <w:sz w:val="21"/>
                      <w:szCs w:val="21"/>
                      <w:highlight w:val="none"/>
                      <w:lang w:val="en-US" w:eastAsia="zh-CN"/>
                    </w:rPr>
                    <w:t>：曝气+沉降+光催化氧化+消毒</w:t>
                  </w:r>
                  <w:r>
                    <w:rPr>
                      <w:rFonts w:hint="default" w:ascii="Times New Roman" w:hAnsi="Times New Roman" w:eastAsia="宋体" w:cs="Times New Roman"/>
                      <w:color w:val="auto"/>
                      <w:sz w:val="21"/>
                      <w:szCs w:val="21"/>
                      <w:highlight w:val="none"/>
                      <w:lang w:val="en-US" w:eastAsia="zh-CN"/>
                    </w:rPr>
                    <w:t>）处理达《城市污水再生利用 城市杂用水水质》（GB/T18920-2020）中的城市绿化、道路清扫、消防、建筑施工标准。</w:t>
                  </w:r>
                </w:p>
              </w:tc>
              <w:tc>
                <w:tcPr>
                  <w:tcW w:w="823" w:type="pct"/>
                  <w:noWrap w:val="0"/>
                  <w:vAlign w:val="center"/>
                </w:tcPr>
                <w:p w14:paraId="268D299A">
                  <w:pPr>
                    <w:pStyle w:val="22"/>
                    <w:rPr>
                      <w:rFonts w:hint="default" w:ascii="Times New Roman" w:hAnsi="Times New Roman" w:eastAsia="宋体" w:cs="Times New Roman"/>
                      <w:color w:val="auto"/>
                      <w:sz w:val="21"/>
                      <w:szCs w:val="21"/>
                      <w:highlight w:val="none"/>
                      <w:lang w:val="en-US" w:eastAsia="zh-CN"/>
                    </w:rPr>
                  </w:pPr>
                  <w:r>
                    <w:rPr>
                      <w:color w:val="auto"/>
                      <w:sz w:val="21"/>
                      <w:szCs w:val="21"/>
                    </w:rPr>
                    <w:t>冷却水经循环水冷却</w:t>
                  </w:r>
                  <w:r>
                    <w:rPr>
                      <w:rFonts w:hint="eastAsia"/>
                      <w:color w:val="auto"/>
                      <w:sz w:val="21"/>
                      <w:szCs w:val="21"/>
                      <w:lang w:eastAsia="zh-CN"/>
                    </w:rPr>
                    <w:t>箱</w:t>
                  </w:r>
                  <w:r>
                    <w:rPr>
                      <w:color w:val="auto"/>
                      <w:sz w:val="21"/>
                      <w:szCs w:val="21"/>
                    </w:rPr>
                    <w:t>冷却后循环使用，不外排。</w:t>
                  </w:r>
                </w:p>
              </w:tc>
            </w:tr>
            <w:tr w14:paraId="4D58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474" w:type="pct"/>
                  <w:vMerge w:val="continue"/>
                  <w:noWrap w:val="0"/>
                  <w:vAlign w:val="center"/>
                </w:tcPr>
                <w:p w14:paraId="1727F2C3">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313" w:type="pct"/>
                  <w:vMerge w:val="restart"/>
                  <w:noWrap w:val="0"/>
                  <w:vAlign w:val="center"/>
                </w:tcPr>
                <w:p w14:paraId="3C4EAD99">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治理效率</w:t>
                  </w:r>
                </w:p>
              </w:tc>
              <w:tc>
                <w:tcPr>
                  <w:tcW w:w="578" w:type="pct"/>
                  <w:noWrap w:val="0"/>
                  <w:vAlign w:val="center"/>
                </w:tcPr>
                <w:p w14:paraId="21238362">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eastAsia" w:cs="Times New Roman"/>
                      <w:b/>
                      <w:bCs w:val="0"/>
                      <w:color w:val="auto"/>
                      <w:spacing w:val="-10"/>
                      <w:sz w:val="21"/>
                      <w:szCs w:val="21"/>
                      <w:highlight w:val="none"/>
                      <w:vertAlign w:val="baseline"/>
                      <w:lang w:val="en-US" w:eastAsia="zh-CN"/>
                    </w:rPr>
                    <w:t>隔油池</w:t>
                  </w:r>
                </w:p>
              </w:tc>
              <w:tc>
                <w:tcPr>
                  <w:tcW w:w="372" w:type="pct"/>
                  <w:gridSpan w:val="2"/>
                  <w:noWrap w:val="0"/>
                  <w:vAlign w:val="center"/>
                </w:tcPr>
                <w:p w14:paraId="6694D659">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0</w:t>
                  </w:r>
                </w:p>
              </w:tc>
              <w:tc>
                <w:tcPr>
                  <w:tcW w:w="372" w:type="pct"/>
                  <w:noWrap w:val="0"/>
                  <w:vAlign w:val="center"/>
                </w:tcPr>
                <w:p w14:paraId="2E4C860C">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eastAsia"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410" w:type="pct"/>
                  <w:noWrap w:val="0"/>
                  <w:vAlign w:val="center"/>
                </w:tcPr>
                <w:p w14:paraId="5172890F">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i w:val="0"/>
                      <w:iCs w:val="0"/>
                      <w:color w:val="auto"/>
                      <w:kern w:val="0"/>
                      <w:sz w:val="21"/>
                      <w:szCs w:val="21"/>
                      <w:highlight w:val="none"/>
                      <w:u w:val="none"/>
                      <w:lang w:val="en-US" w:eastAsia="zh-CN" w:bidi="ar"/>
                    </w:rPr>
                    <w:t>0</w:t>
                  </w:r>
                </w:p>
              </w:tc>
              <w:tc>
                <w:tcPr>
                  <w:tcW w:w="428" w:type="pct"/>
                  <w:noWrap w:val="0"/>
                  <w:vAlign w:val="center"/>
                </w:tcPr>
                <w:p w14:paraId="695C37EF">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i w:val="0"/>
                      <w:iCs w:val="0"/>
                      <w:color w:val="auto"/>
                      <w:kern w:val="0"/>
                      <w:sz w:val="21"/>
                      <w:szCs w:val="21"/>
                      <w:highlight w:val="none"/>
                      <w:u w:val="none"/>
                      <w:lang w:val="en-US" w:eastAsia="zh-CN" w:bidi="ar"/>
                    </w:rPr>
                    <w:t>0</w:t>
                  </w:r>
                </w:p>
              </w:tc>
              <w:tc>
                <w:tcPr>
                  <w:tcW w:w="428" w:type="pct"/>
                  <w:noWrap w:val="0"/>
                  <w:vAlign w:val="center"/>
                </w:tcPr>
                <w:p w14:paraId="79A94B7F">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i w:val="0"/>
                      <w:iCs w:val="0"/>
                      <w:color w:val="auto"/>
                      <w:kern w:val="0"/>
                      <w:sz w:val="21"/>
                      <w:szCs w:val="21"/>
                      <w:highlight w:val="none"/>
                      <w:u w:val="none"/>
                      <w:lang w:val="en-US" w:eastAsia="zh-CN" w:bidi="ar"/>
                    </w:rPr>
                    <w:t>0</w:t>
                  </w:r>
                </w:p>
              </w:tc>
              <w:tc>
                <w:tcPr>
                  <w:tcW w:w="375" w:type="pct"/>
                  <w:noWrap w:val="0"/>
                  <w:vAlign w:val="center"/>
                </w:tcPr>
                <w:p w14:paraId="0EEE6221">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i w:val="0"/>
                      <w:iCs w:val="0"/>
                      <w:color w:val="auto"/>
                      <w:kern w:val="0"/>
                      <w:sz w:val="21"/>
                      <w:szCs w:val="21"/>
                      <w:highlight w:val="none"/>
                      <w:u w:val="none"/>
                      <w:lang w:val="en-US" w:eastAsia="zh-CN" w:bidi="ar"/>
                    </w:rPr>
                    <w:t>0</w:t>
                  </w:r>
                </w:p>
              </w:tc>
              <w:tc>
                <w:tcPr>
                  <w:tcW w:w="421" w:type="pct"/>
                  <w:noWrap w:val="0"/>
                  <w:vAlign w:val="center"/>
                </w:tcPr>
                <w:p w14:paraId="6E733EE3">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80</w:t>
                  </w:r>
                </w:p>
              </w:tc>
              <w:tc>
                <w:tcPr>
                  <w:tcW w:w="823" w:type="pct"/>
                  <w:vMerge w:val="restart"/>
                  <w:noWrap w:val="0"/>
                  <w:vAlign w:val="center"/>
                </w:tcPr>
                <w:p w14:paraId="5A438D58">
                  <w:pPr>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bCs/>
                      <w:color w:val="auto"/>
                      <w:spacing w:val="-10"/>
                      <w:szCs w:val="21"/>
                    </w:rPr>
                    <w:t>/</w:t>
                  </w:r>
                </w:p>
              </w:tc>
            </w:tr>
            <w:tr w14:paraId="59BC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474" w:type="pct"/>
                  <w:vMerge w:val="continue"/>
                  <w:noWrap w:val="0"/>
                  <w:vAlign w:val="center"/>
                </w:tcPr>
                <w:p w14:paraId="029F8FF3">
                  <w:pPr>
                    <w:keepNext w:val="0"/>
                    <w:keepLines w:val="0"/>
                    <w:pageBreakBefore w:val="0"/>
                    <w:kinsoku/>
                    <w:wordWrap/>
                    <w:overflowPunct/>
                    <w:topLinePunct w:val="0"/>
                    <w:bidi w:val="0"/>
                    <w:adjustRightInd w:val="0"/>
                    <w:snapToGrid w:val="0"/>
                    <w:jc w:val="center"/>
                    <w:rPr>
                      <w:color w:val="auto"/>
                    </w:rPr>
                  </w:pPr>
                </w:p>
              </w:tc>
              <w:tc>
                <w:tcPr>
                  <w:tcW w:w="313" w:type="pct"/>
                  <w:vMerge w:val="continue"/>
                  <w:noWrap w:val="0"/>
                  <w:vAlign w:val="center"/>
                </w:tcPr>
                <w:p w14:paraId="17ACFDB6">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578" w:type="pct"/>
                  <w:noWrap w:val="0"/>
                  <w:vAlign w:val="center"/>
                </w:tcPr>
                <w:p w14:paraId="0AF92D6F">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eastAsia" w:cs="Times New Roman"/>
                      <w:b/>
                      <w:bCs w:val="0"/>
                      <w:color w:val="auto"/>
                      <w:spacing w:val="-10"/>
                      <w:sz w:val="21"/>
                      <w:szCs w:val="21"/>
                      <w:highlight w:val="none"/>
                      <w:vertAlign w:val="baseline"/>
                      <w:lang w:val="en-US" w:eastAsia="zh-CN"/>
                    </w:rPr>
                    <w:t>化粪池</w:t>
                  </w:r>
                </w:p>
              </w:tc>
              <w:tc>
                <w:tcPr>
                  <w:tcW w:w="372" w:type="pct"/>
                  <w:gridSpan w:val="2"/>
                  <w:noWrap w:val="0"/>
                  <w:vAlign w:val="center"/>
                </w:tcPr>
                <w:p w14:paraId="1A0FBE21">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0</w:t>
                  </w:r>
                </w:p>
              </w:tc>
              <w:tc>
                <w:tcPr>
                  <w:tcW w:w="372" w:type="pct"/>
                  <w:noWrap w:val="0"/>
                  <w:vAlign w:val="center"/>
                </w:tcPr>
                <w:p w14:paraId="65CA3164">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eastAsia"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15</w:t>
                  </w:r>
                </w:p>
              </w:tc>
              <w:tc>
                <w:tcPr>
                  <w:tcW w:w="410" w:type="pct"/>
                  <w:noWrap w:val="0"/>
                  <w:vAlign w:val="center"/>
                </w:tcPr>
                <w:p w14:paraId="77CF880C">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15</w:t>
                  </w:r>
                </w:p>
              </w:tc>
              <w:tc>
                <w:tcPr>
                  <w:tcW w:w="428" w:type="pct"/>
                  <w:noWrap w:val="0"/>
                  <w:vAlign w:val="center"/>
                </w:tcPr>
                <w:p w14:paraId="334DC533">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30</w:t>
                  </w:r>
                </w:p>
              </w:tc>
              <w:tc>
                <w:tcPr>
                  <w:tcW w:w="428" w:type="pct"/>
                  <w:noWrap w:val="0"/>
                  <w:vAlign w:val="center"/>
                </w:tcPr>
                <w:p w14:paraId="477E4F07">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0</w:t>
                  </w:r>
                </w:p>
              </w:tc>
              <w:tc>
                <w:tcPr>
                  <w:tcW w:w="375" w:type="pct"/>
                  <w:noWrap w:val="0"/>
                  <w:vAlign w:val="center"/>
                </w:tcPr>
                <w:p w14:paraId="44150B23">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0</w:t>
                  </w:r>
                </w:p>
              </w:tc>
              <w:tc>
                <w:tcPr>
                  <w:tcW w:w="421" w:type="pct"/>
                  <w:noWrap w:val="0"/>
                  <w:vAlign w:val="center"/>
                </w:tcPr>
                <w:p w14:paraId="49F5F94C">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0</w:t>
                  </w:r>
                </w:p>
              </w:tc>
              <w:tc>
                <w:tcPr>
                  <w:tcW w:w="823" w:type="pct"/>
                  <w:vMerge w:val="continue"/>
                  <w:noWrap w:val="0"/>
                  <w:vAlign w:val="center"/>
                </w:tcPr>
                <w:p w14:paraId="70FD3B4E">
                  <w:pPr>
                    <w:keepNext w:val="0"/>
                    <w:keepLines w:val="0"/>
                    <w:pageBreakBefore w:val="0"/>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p>
              </w:tc>
            </w:tr>
            <w:tr w14:paraId="73C23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474" w:type="pct"/>
                  <w:vMerge w:val="continue"/>
                  <w:noWrap w:val="0"/>
                  <w:vAlign w:val="center"/>
                </w:tcPr>
                <w:p w14:paraId="33A86BAE">
                  <w:pPr>
                    <w:keepNext w:val="0"/>
                    <w:keepLines w:val="0"/>
                    <w:pageBreakBefore w:val="0"/>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313" w:type="pct"/>
                  <w:vMerge w:val="continue"/>
                  <w:noWrap w:val="0"/>
                  <w:vAlign w:val="center"/>
                </w:tcPr>
                <w:p w14:paraId="30FD5B5D">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578" w:type="pct"/>
                  <w:noWrap w:val="0"/>
                  <w:vAlign w:val="center"/>
                </w:tcPr>
                <w:p w14:paraId="27A194E6">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eastAsia" w:cs="Times New Roman"/>
                      <w:b/>
                      <w:bCs w:val="0"/>
                      <w:color w:val="auto"/>
                      <w:spacing w:val="-10"/>
                      <w:sz w:val="21"/>
                      <w:szCs w:val="21"/>
                      <w:highlight w:val="none"/>
                      <w:vertAlign w:val="baseline"/>
                      <w:lang w:val="en-US" w:eastAsia="zh-CN"/>
                    </w:rPr>
                    <w:t>污水处理站</w:t>
                  </w:r>
                </w:p>
              </w:tc>
              <w:tc>
                <w:tcPr>
                  <w:tcW w:w="372" w:type="pct"/>
                  <w:gridSpan w:val="2"/>
                  <w:noWrap w:val="0"/>
                  <w:vAlign w:val="center"/>
                </w:tcPr>
                <w:p w14:paraId="381E7A6C">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w:t>
                  </w:r>
                </w:p>
              </w:tc>
              <w:tc>
                <w:tcPr>
                  <w:tcW w:w="372" w:type="pct"/>
                  <w:noWrap w:val="0"/>
                  <w:vAlign w:val="center"/>
                </w:tcPr>
                <w:p w14:paraId="7106F19F">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default" w:ascii="Times New Roman" w:hAnsi="Times New Roman" w:eastAsia="宋体" w:cs="Times New Roman"/>
                      <w:b w:val="0"/>
                      <w:bCs w:val="0"/>
                      <w:color w:val="auto"/>
                      <w:spacing w:val="-10"/>
                      <w:sz w:val="21"/>
                      <w:szCs w:val="21"/>
                      <w:highlight w:val="none"/>
                      <w:vertAlign w:val="baseline"/>
                      <w:lang w:val="en-US" w:eastAsia="zh-CN"/>
                    </w:rPr>
                  </w:pPr>
                  <w:r>
                    <w:rPr>
                      <w:rFonts w:hint="eastAsia" w:cs="Times New Roman"/>
                      <w:b w:val="0"/>
                      <w:bCs w:val="0"/>
                      <w:color w:val="auto"/>
                      <w:spacing w:val="-10"/>
                      <w:sz w:val="21"/>
                      <w:szCs w:val="21"/>
                      <w:highlight w:val="none"/>
                      <w:vertAlign w:val="baseline"/>
                      <w:lang w:val="en-US" w:eastAsia="zh-CN"/>
                    </w:rPr>
                    <w:t>85</w:t>
                  </w:r>
                </w:p>
              </w:tc>
              <w:tc>
                <w:tcPr>
                  <w:tcW w:w="410" w:type="pct"/>
                  <w:noWrap w:val="0"/>
                  <w:vAlign w:val="center"/>
                </w:tcPr>
                <w:p w14:paraId="662171CC">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val="0"/>
                      <w:color w:val="auto"/>
                      <w:spacing w:val="-10"/>
                      <w:sz w:val="21"/>
                      <w:szCs w:val="21"/>
                      <w:highlight w:val="none"/>
                      <w:vertAlign w:val="baseline"/>
                      <w:lang w:val="en-US" w:eastAsia="zh-CN"/>
                    </w:rPr>
                    <w:t>9</w:t>
                  </w:r>
                  <w:r>
                    <w:rPr>
                      <w:rFonts w:hint="eastAsia" w:cs="Times New Roman"/>
                      <w:b w:val="0"/>
                      <w:bCs w:val="0"/>
                      <w:color w:val="auto"/>
                      <w:spacing w:val="-10"/>
                      <w:sz w:val="21"/>
                      <w:szCs w:val="21"/>
                      <w:highlight w:val="none"/>
                      <w:vertAlign w:val="baseline"/>
                      <w:lang w:val="en-US" w:eastAsia="zh-CN"/>
                    </w:rPr>
                    <w:t>7</w:t>
                  </w:r>
                </w:p>
              </w:tc>
              <w:tc>
                <w:tcPr>
                  <w:tcW w:w="428" w:type="pct"/>
                  <w:noWrap w:val="0"/>
                  <w:vAlign w:val="center"/>
                </w:tcPr>
                <w:p w14:paraId="05B1E9BB">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val="0"/>
                      <w:color w:val="auto"/>
                      <w:spacing w:val="-10"/>
                      <w:sz w:val="21"/>
                      <w:szCs w:val="21"/>
                      <w:highlight w:val="none"/>
                      <w:vertAlign w:val="baseline"/>
                      <w:lang w:val="en-US" w:eastAsia="zh-CN"/>
                    </w:rPr>
                    <w:t>85</w:t>
                  </w:r>
                </w:p>
              </w:tc>
              <w:tc>
                <w:tcPr>
                  <w:tcW w:w="428" w:type="pct"/>
                  <w:noWrap w:val="0"/>
                  <w:vAlign w:val="center"/>
                </w:tcPr>
                <w:p w14:paraId="6DCE6A12">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val="0"/>
                      <w:color w:val="auto"/>
                      <w:spacing w:val="-10"/>
                      <w:sz w:val="21"/>
                      <w:szCs w:val="21"/>
                      <w:highlight w:val="none"/>
                      <w:vertAlign w:val="baseline"/>
                      <w:lang w:val="en-US" w:eastAsia="zh-CN"/>
                    </w:rPr>
                    <w:t>94.1</w:t>
                  </w:r>
                </w:p>
              </w:tc>
              <w:tc>
                <w:tcPr>
                  <w:tcW w:w="375" w:type="pct"/>
                  <w:noWrap w:val="0"/>
                  <w:vAlign w:val="center"/>
                </w:tcPr>
                <w:p w14:paraId="44DE73F6">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val="0"/>
                      <w:color w:val="auto"/>
                      <w:spacing w:val="-10"/>
                      <w:sz w:val="21"/>
                      <w:szCs w:val="21"/>
                      <w:highlight w:val="none"/>
                      <w:vertAlign w:val="baseline"/>
                      <w:lang w:val="en-US" w:eastAsia="zh-CN"/>
                    </w:rPr>
                    <w:t>60</w:t>
                  </w:r>
                </w:p>
              </w:tc>
              <w:tc>
                <w:tcPr>
                  <w:tcW w:w="421" w:type="pct"/>
                  <w:noWrap w:val="0"/>
                  <w:vAlign w:val="center"/>
                </w:tcPr>
                <w:p w14:paraId="59FCC11E">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w:t>
                  </w:r>
                </w:p>
              </w:tc>
              <w:tc>
                <w:tcPr>
                  <w:tcW w:w="823" w:type="pct"/>
                  <w:vMerge w:val="continue"/>
                  <w:noWrap w:val="0"/>
                  <w:vAlign w:val="center"/>
                </w:tcPr>
                <w:p w14:paraId="27CD6BD5">
                  <w:pPr>
                    <w:keepNext w:val="0"/>
                    <w:keepLines w:val="0"/>
                    <w:pageBreakBefore w:val="0"/>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p>
              </w:tc>
            </w:tr>
            <w:tr w14:paraId="6879B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74" w:type="pct"/>
                  <w:vMerge w:val="continue"/>
                  <w:noWrap w:val="0"/>
                  <w:vAlign w:val="center"/>
                </w:tcPr>
                <w:p w14:paraId="4FDF417F">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891" w:type="pct"/>
                  <w:gridSpan w:val="2"/>
                  <w:noWrap w:val="0"/>
                  <w:vAlign w:val="center"/>
                </w:tcPr>
                <w:p w14:paraId="77000D06">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是否为可行技术</w:t>
                  </w:r>
                </w:p>
              </w:tc>
              <w:tc>
                <w:tcPr>
                  <w:tcW w:w="3633" w:type="pct"/>
                  <w:gridSpan w:val="9"/>
                  <w:noWrap w:val="0"/>
                  <w:vAlign w:val="center"/>
                </w:tcPr>
                <w:p w14:paraId="37311703">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是</w:t>
                  </w:r>
                </w:p>
              </w:tc>
            </w:tr>
            <w:tr w14:paraId="2C64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6" w:type="pct"/>
                  <w:gridSpan w:val="3"/>
                  <w:noWrap w:val="0"/>
                  <w:vAlign w:val="center"/>
                </w:tcPr>
                <w:p w14:paraId="416B2AD6">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污染物处理后的量（t/a）</w:t>
                  </w:r>
                </w:p>
              </w:tc>
              <w:tc>
                <w:tcPr>
                  <w:tcW w:w="372" w:type="pct"/>
                  <w:gridSpan w:val="2"/>
                  <w:noWrap w:val="0"/>
                  <w:vAlign w:val="center"/>
                </w:tcPr>
                <w:p w14:paraId="30E6E123">
                  <w:pPr>
                    <w:keepNext w:val="0"/>
                    <w:keepLines w:val="0"/>
                    <w:widowControl/>
                    <w:suppressLineNumbers w:val="0"/>
                    <w:jc w:val="center"/>
                    <w:textAlignment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w:t>
                  </w:r>
                </w:p>
              </w:tc>
              <w:tc>
                <w:tcPr>
                  <w:tcW w:w="626" w:type="dxa"/>
                  <w:noWrap w:val="0"/>
                  <w:vAlign w:val="center"/>
                </w:tcPr>
                <w:p w14:paraId="1A8A0363">
                  <w:pPr>
                    <w:keepNext w:val="0"/>
                    <w:keepLines w:val="0"/>
                    <w:widowControl/>
                    <w:suppressLineNumbers w:val="0"/>
                    <w:jc w:val="center"/>
                    <w:textAlignment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0.0435</w:t>
                  </w:r>
                </w:p>
              </w:tc>
              <w:tc>
                <w:tcPr>
                  <w:tcW w:w="410" w:type="pct"/>
                  <w:noWrap w:val="0"/>
                  <w:vAlign w:val="center"/>
                </w:tcPr>
                <w:p w14:paraId="3A7F98C2">
                  <w:pPr>
                    <w:keepNext w:val="0"/>
                    <w:keepLines w:val="0"/>
                    <w:widowControl/>
                    <w:suppressLineNumbers w:val="0"/>
                    <w:jc w:val="center"/>
                    <w:textAlignment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0.0</w:t>
                  </w:r>
                  <w:r>
                    <w:rPr>
                      <w:rFonts w:hint="eastAsia" w:cs="Times New Roman"/>
                      <w:b w:val="0"/>
                      <w:bCs/>
                      <w:color w:val="auto"/>
                      <w:spacing w:val="-10"/>
                      <w:sz w:val="21"/>
                      <w:szCs w:val="21"/>
                      <w:highlight w:val="none"/>
                      <w:vertAlign w:val="baseline"/>
                      <w:lang w:val="en-US" w:eastAsia="zh-CN"/>
                    </w:rPr>
                    <w:t>035</w:t>
                  </w:r>
                </w:p>
              </w:tc>
              <w:tc>
                <w:tcPr>
                  <w:tcW w:w="428" w:type="pct"/>
                  <w:noWrap w:val="0"/>
                  <w:vAlign w:val="center"/>
                </w:tcPr>
                <w:p w14:paraId="6F27703F">
                  <w:pPr>
                    <w:keepNext w:val="0"/>
                    <w:keepLines w:val="0"/>
                    <w:widowControl/>
                    <w:suppressLineNumbers w:val="0"/>
                    <w:jc w:val="center"/>
                    <w:textAlignment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0.0138</w:t>
                  </w:r>
                </w:p>
              </w:tc>
              <w:tc>
                <w:tcPr>
                  <w:tcW w:w="428" w:type="pct"/>
                  <w:noWrap w:val="0"/>
                  <w:vAlign w:val="center"/>
                </w:tcPr>
                <w:p w14:paraId="57AF090B">
                  <w:pPr>
                    <w:keepNext w:val="0"/>
                    <w:keepLines w:val="0"/>
                    <w:widowControl/>
                    <w:suppressLineNumbers w:val="0"/>
                    <w:jc w:val="center"/>
                    <w:textAlignment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0.00</w:t>
                  </w:r>
                  <w:r>
                    <w:rPr>
                      <w:rFonts w:hint="eastAsia" w:cs="Times New Roman"/>
                      <w:b w:val="0"/>
                      <w:bCs/>
                      <w:color w:val="auto"/>
                      <w:spacing w:val="-10"/>
                      <w:sz w:val="21"/>
                      <w:szCs w:val="21"/>
                      <w:highlight w:val="none"/>
                      <w:vertAlign w:val="baseline"/>
                      <w:lang w:val="en-US" w:eastAsia="zh-CN"/>
                    </w:rPr>
                    <w:t>15</w:t>
                  </w:r>
                </w:p>
              </w:tc>
              <w:tc>
                <w:tcPr>
                  <w:tcW w:w="375" w:type="pct"/>
                  <w:noWrap w:val="0"/>
                  <w:vAlign w:val="center"/>
                </w:tcPr>
                <w:p w14:paraId="6DE4FEBC">
                  <w:pPr>
                    <w:keepNext w:val="0"/>
                    <w:keepLines w:val="0"/>
                    <w:widowControl/>
                    <w:suppressLineNumbers w:val="0"/>
                    <w:jc w:val="center"/>
                    <w:textAlignment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0.0021</w:t>
                  </w:r>
                </w:p>
              </w:tc>
              <w:tc>
                <w:tcPr>
                  <w:tcW w:w="421" w:type="pct"/>
                  <w:noWrap w:val="0"/>
                  <w:vAlign w:val="center"/>
                </w:tcPr>
                <w:p w14:paraId="5203A44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0.0046</w:t>
                  </w:r>
                </w:p>
              </w:tc>
              <w:tc>
                <w:tcPr>
                  <w:tcW w:w="823" w:type="pct"/>
                  <w:noWrap w:val="0"/>
                  <w:vAlign w:val="center"/>
                </w:tcPr>
                <w:p w14:paraId="51AF72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2F4E0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6" w:type="pct"/>
                  <w:gridSpan w:val="3"/>
                  <w:noWrap w:val="0"/>
                  <w:vAlign w:val="center"/>
                </w:tcPr>
                <w:p w14:paraId="22751D1C">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污染物出水浓度（</w:t>
                  </w:r>
                  <w:r>
                    <w:rPr>
                      <w:rFonts w:hint="default" w:ascii="Times New Roman" w:hAnsi="Times New Roman" w:eastAsia="宋体" w:cs="Times New Roman"/>
                      <w:b/>
                      <w:bCs w:val="0"/>
                      <w:color w:val="auto"/>
                      <w:kern w:val="2"/>
                      <w:sz w:val="21"/>
                      <w:szCs w:val="21"/>
                      <w:highlight w:val="none"/>
                      <w:lang w:val="en-US" w:eastAsia="zh-CN" w:bidi="ar"/>
                    </w:rPr>
                    <w:t>mg/L</w:t>
                  </w:r>
                  <w:r>
                    <w:rPr>
                      <w:rFonts w:hint="default" w:ascii="Times New Roman" w:hAnsi="Times New Roman" w:eastAsia="宋体" w:cs="Times New Roman"/>
                      <w:b/>
                      <w:bCs w:val="0"/>
                      <w:color w:val="auto"/>
                      <w:spacing w:val="-10"/>
                      <w:sz w:val="21"/>
                      <w:szCs w:val="21"/>
                      <w:highlight w:val="none"/>
                      <w:vertAlign w:val="baseline"/>
                      <w:lang w:val="en-US" w:eastAsia="zh-CN"/>
                    </w:rPr>
                    <w:t>）</w:t>
                  </w:r>
                </w:p>
              </w:tc>
              <w:tc>
                <w:tcPr>
                  <w:tcW w:w="372" w:type="pct"/>
                  <w:gridSpan w:val="2"/>
                  <w:noWrap w:val="0"/>
                  <w:vAlign w:val="center"/>
                </w:tcPr>
                <w:p w14:paraId="21FA9C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7.1</w:t>
                  </w:r>
                </w:p>
              </w:tc>
              <w:tc>
                <w:tcPr>
                  <w:tcW w:w="626" w:type="dxa"/>
                  <w:noWrap w:val="0"/>
                  <w:vAlign w:val="center"/>
                </w:tcPr>
                <w:p w14:paraId="464C02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66.3</w:t>
                  </w:r>
                </w:p>
              </w:tc>
              <w:tc>
                <w:tcPr>
                  <w:tcW w:w="410" w:type="pct"/>
                  <w:noWrap w:val="0"/>
                  <w:vAlign w:val="center"/>
                </w:tcPr>
                <w:p w14:paraId="1B3E1A7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5.3</w:t>
                  </w:r>
                </w:p>
              </w:tc>
              <w:tc>
                <w:tcPr>
                  <w:tcW w:w="428" w:type="pct"/>
                  <w:noWrap w:val="0"/>
                  <w:vAlign w:val="center"/>
                </w:tcPr>
                <w:p w14:paraId="4784FBB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21</w:t>
                  </w:r>
                </w:p>
              </w:tc>
              <w:tc>
                <w:tcPr>
                  <w:tcW w:w="428" w:type="pct"/>
                  <w:noWrap w:val="0"/>
                  <w:vAlign w:val="center"/>
                </w:tcPr>
                <w:p w14:paraId="25476C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2.36</w:t>
                  </w:r>
                </w:p>
              </w:tc>
              <w:tc>
                <w:tcPr>
                  <w:tcW w:w="375" w:type="pct"/>
                  <w:noWrap w:val="0"/>
                  <w:vAlign w:val="center"/>
                </w:tcPr>
                <w:p w14:paraId="7AE385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3.2</w:t>
                  </w:r>
                </w:p>
              </w:tc>
              <w:tc>
                <w:tcPr>
                  <w:tcW w:w="421" w:type="pct"/>
                  <w:noWrap w:val="0"/>
                  <w:vAlign w:val="center"/>
                </w:tcPr>
                <w:p w14:paraId="240A15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7</w:t>
                  </w:r>
                </w:p>
              </w:tc>
              <w:tc>
                <w:tcPr>
                  <w:tcW w:w="823" w:type="pct"/>
                  <w:noWrap w:val="0"/>
                  <w:vAlign w:val="center"/>
                </w:tcPr>
                <w:p w14:paraId="23DC71F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5A77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6" w:type="pct"/>
                  <w:gridSpan w:val="3"/>
                  <w:noWrap w:val="0"/>
                  <w:vAlign w:val="center"/>
                </w:tcPr>
                <w:p w14:paraId="4E865814">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排放去向</w:t>
                  </w:r>
                </w:p>
              </w:tc>
              <w:tc>
                <w:tcPr>
                  <w:tcW w:w="2810" w:type="pct"/>
                  <w:gridSpan w:val="8"/>
                  <w:noWrap w:val="0"/>
                  <w:vAlign w:val="center"/>
                </w:tcPr>
                <w:p w14:paraId="64F15D3A">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不外排</w:t>
                  </w:r>
                </w:p>
              </w:tc>
              <w:tc>
                <w:tcPr>
                  <w:tcW w:w="823" w:type="pct"/>
                  <w:noWrap w:val="0"/>
                  <w:vAlign w:val="center"/>
                </w:tcPr>
                <w:p w14:paraId="5224F3B6">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不外排</w:t>
                  </w:r>
                </w:p>
              </w:tc>
            </w:tr>
            <w:tr w14:paraId="419D5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6" w:type="pct"/>
                  <w:gridSpan w:val="3"/>
                  <w:noWrap w:val="0"/>
                  <w:vAlign w:val="center"/>
                </w:tcPr>
                <w:p w14:paraId="3EACEC42">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排放规律</w:t>
                  </w:r>
                </w:p>
              </w:tc>
              <w:tc>
                <w:tcPr>
                  <w:tcW w:w="2810" w:type="pct"/>
                  <w:gridSpan w:val="8"/>
                  <w:noWrap w:val="0"/>
                  <w:vAlign w:val="center"/>
                </w:tcPr>
                <w:p w14:paraId="19ABDCAC">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不外排</w:t>
                  </w:r>
                </w:p>
              </w:tc>
              <w:tc>
                <w:tcPr>
                  <w:tcW w:w="823" w:type="pct"/>
                  <w:noWrap w:val="0"/>
                  <w:vAlign w:val="center"/>
                </w:tcPr>
                <w:p w14:paraId="2E20B7D5">
                  <w:pPr>
                    <w:keepNext w:val="0"/>
                    <w:keepLines w:val="0"/>
                    <w:pageBreakBefore w:val="0"/>
                    <w:numPr>
                      <w:ilvl w:val="0"/>
                      <w:numId w:val="0"/>
                    </w:numPr>
                    <w:kinsoku/>
                    <w:wordWrap/>
                    <w:overflowPunct/>
                    <w:topLinePunct w:val="0"/>
                    <w:bidi w:val="0"/>
                    <w:adjustRightInd w:val="0"/>
                    <w:snapToGrid w:val="0"/>
                    <w:ind w:left="0" w:leftChars="0" w:firstLine="0" w:firstLineChars="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不外排</w:t>
                  </w:r>
                </w:p>
              </w:tc>
            </w:tr>
            <w:tr w14:paraId="6F32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74" w:type="pct"/>
                  <w:vMerge w:val="restart"/>
                  <w:noWrap w:val="0"/>
                  <w:vAlign w:val="center"/>
                </w:tcPr>
                <w:p w14:paraId="35FEB156">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排放口基本情况</w:t>
                  </w:r>
                </w:p>
              </w:tc>
              <w:tc>
                <w:tcPr>
                  <w:tcW w:w="891" w:type="pct"/>
                  <w:gridSpan w:val="2"/>
                  <w:noWrap w:val="0"/>
                  <w:vAlign w:val="center"/>
                </w:tcPr>
                <w:p w14:paraId="38C2030C">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编号及名称</w:t>
                  </w:r>
                </w:p>
              </w:tc>
              <w:tc>
                <w:tcPr>
                  <w:tcW w:w="2810" w:type="pct"/>
                  <w:gridSpan w:val="8"/>
                  <w:noWrap w:val="0"/>
                  <w:vAlign w:val="center"/>
                </w:tcPr>
                <w:p w14:paraId="5A5EEDC5">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DW001</w:t>
                  </w:r>
                </w:p>
              </w:tc>
              <w:tc>
                <w:tcPr>
                  <w:tcW w:w="823" w:type="pct"/>
                  <w:noWrap w:val="0"/>
                  <w:vAlign w:val="center"/>
                </w:tcPr>
                <w:p w14:paraId="7F8E4F1E">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w:t>
                  </w:r>
                </w:p>
              </w:tc>
            </w:tr>
            <w:tr w14:paraId="181FF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74" w:type="pct"/>
                  <w:vMerge w:val="continue"/>
                  <w:noWrap w:val="0"/>
                  <w:vAlign w:val="center"/>
                </w:tcPr>
                <w:p w14:paraId="72CD2F07">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891" w:type="pct"/>
                  <w:gridSpan w:val="2"/>
                  <w:noWrap w:val="0"/>
                  <w:vAlign w:val="center"/>
                </w:tcPr>
                <w:p w14:paraId="04A65226">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类型</w:t>
                  </w:r>
                </w:p>
              </w:tc>
              <w:tc>
                <w:tcPr>
                  <w:tcW w:w="2810" w:type="pct"/>
                  <w:gridSpan w:val="8"/>
                  <w:noWrap w:val="0"/>
                  <w:vAlign w:val="center"/>
                </w:tcPr>
                <w:p w14:paraId="5B8400D6">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生活污水</w:t>
                  </w:r>
                </w:p>
              </w:tc>
              <w:tc>
                <w:tcPr>
                  <w:tcW w:w="823" w:type="pct"/>
                  <w:noWrap w:val="0"/>
                  <w:vAlign w:val="center"/>
                </w:tcPr>
                <w:p w14:paraId="7F248C95">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生产废水</w:t>
                  </w:r>
                </w:p>
              </w:tc>
            </w:tr>
            <w:tr w14:paraId="6B3BA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74" w:type="pct"/>
                  <w:vMerge w:val="continue"/>
                  <w:noWrap w:val="0"/>
                  <w:vAlign w:val="center"/>
                </w:tcPr>
                <w:p w14:paraId="04CEF734">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891" w:type="pct"/>
                  <w:gridSpan w:val="2"/>
                  <w:noWrap w:val="0"/>
                  <w:vAlign w:val="center"/>
                </w:tcPr>
                <w:p w14:paraId="190224BB">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地理坐标</w:t>
                  </w:r>
                </w:p>
              </w:tc>
              <w:tc>
                <w:tcPr>
                  <w:tcW w:w="2810" w:type="pct"/>
                  <w:gridSpan w:val="8"/>
                  <w:noWrap w:val="0"/>
                  <w:vAlign w:val="center"/>
                </w:tcPr>
                <w:p w14:paraId="49C690C6">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w:t>
                  </w:r>
                </w:p>
              </w:tc>
              <w:tc>
                <w:tcPr>
                  <w:tcW w:w="823" w:type="pct"/>
                  <w:noWrap w:val="0"/>
                  <w:vAlign w:val="center"/>
                </w:tcPr>
                <w:p w14:paraId="7B1DB315">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w:t>
                  </w:r>
                </w:p>
              </w:tc>
            </w:tr>
            <w:tr w14:paraId="450E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66" w:type="pct"/>
                  <w:gridSpan w:val="3"/>
                  <w:noWrap w:val="0"/>
                  <w:vAlign w:val="center"/>
                </w:tcPr>
                <w:p w14:paraId="46D26157">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执行标准</w:t>
                  </w:r>
                </w:p>
              </w:tc>
              <w:tc>
                <w:tcPr>
                  <w:tcW w:w="2810" w:type="pct"/>
                  <w:gridSpan w:val="8"/>
                  <w:noWrap w:val="0"/>
                  <w:vAlign w:val="center"/>
                </w:tcPr>
                <w:p w14:paraId="0B1189D7">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color w:val="auto"/>
                      <w:sz w:val="21"/>
                      <w:szCs w:val="21"/>
                      <w:highlight w:val="none"/>
                      <w:lang w:val="en-US" w:eastAsia="zh-CN"/>
                    </w:rPr>
                    <w:t>《城市污水再生利用 城市杂用水水质》（GB/T18920-2020）中的城市绿化、道路清扫、消防、建筑施工标准</w:t>
                  </w:r>
                </w:p>
              </w:tc>
              <w:tc>
                <w:tcPr>
                  <w:tcW w:w="823" w:type="pct"/>
                  <w:noWrap w:val="0"/>
                  <w:vAlign w:val="center"/>
                </w:tcPr>
                <w:p w14:paraId="08C3AC88">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r w14:paraId="6FA55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74" w:type="pct"/>
                  <w:vMerge w:val="restart"/>
                  <w:noWrap w:val="0"/>
                  <w:vAlign w:val="center"/>
                </w:tcPr>
                <w:p w14:paraId="45378C16">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监测要求</w:t>
                  </w:r>
                </w:p>
              </w:tc>
              <w:tc>
                <w:tcPr>
                  <w:tcW w:w="891" w:type="pct"/>
                  <w:gridSpan w:val="2"/>
                  <w:noWrap w:val="0"/>
                  <w:vAlign w:val="center"/>
                </w:tcPr>
                <w:p w14:paraId="024C13F5">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监测点位</w:t>
                  </w:r>
                </w:p>
              </w:tc>
              <w:tc>
                <w:tcPr>
                  <w:tcW w:w="2810" w:type="pct"/>
                  <w:gridSpan w:val="8"/>
                  <w:noWrap w:val="0"/>
                  <w:vAlign w:val="center"/>
                </w:tcPr>
                <w:p w14:paraId="3881D79C">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一体化污水处理站出口</w:t>
                  </w:r>
                </w:p>
              </w:tc>
              <w:tc>
                <w:tcPr>
                  <w:tcW w:w="823" w:type="pct"/>
                  <w:noWrap w:val="0"/>
                  <w:vAlign w:val="center"/>
                </w:tcPr>
                <w:p w14:paraId="4EA8DBCC">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w:t>
                  </w:r>
                </w:p>
              </w:tc>
            </w:tr>
            <w:tr w14:paraId="6EB02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74" w:type="pct"/>
                  <w:vMerge w:val="continue"/>
                  <w:noWrap w:val="0"/>
                  <w:vAlign w:val="center"/>
                </w:tcPr>
                <w:p w14:paraId="2D9D0DBC">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891" w:type="pct"/>
                  <w:gridSpan w:val="2"/>
                  <w:noWrap w:val="0"/>
                  <w:vAlign w:val="center"/>
                </w:tcPr>
                <w:p w14:paraId="61BCE6CA">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监测因子</w:t>
                  </w:r>
                </w:p>
              </w:tc>
              <w:tc>
                <w:tcPr>
                  <w:tcW w:w="2810" w:type="pct"/>
                  <w:gridSpan w:val="8"/>
                  <w:noWrap w:val="0"/>
                  <w:vAlign w:val="center"/>
                </w:tcPr>
                <w:p w14:paraId="7A480C81">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eastAsia" w:cs="Times New Roman"/>
                      <w:b w:val="0"/>
                      <w:bCs/>
                      <w:color w:val="auto"/>
                      <w:spacing w:val="-10"/>
                      <w:sz w:val="21"/>
                      <w:szCs w:val="21"/>
                      <w:highlight w:val="none"/>
                      <w:vertAlign w:val="baseline"/>
                      <w:lang w:val="en-US" w:eastAsia="zh-CN"/>
                    </w:rPr>
                    <w:t>PH、</w:t>
                  </w:r>
                  <w:r>
                    <w:rPr>
                      <w:rFonts w:hint="default" w:ascii="Times New Roman" w:hAnsi="Times New Roman" w:eastAsia="宋体" w:cs="Times New Roman"/>
                      <w:b w:val="0"/>
                      <w:bCs/>
                      <w:color w:val="auto"/>
                      <w:spacing w:val="-10"/>
                      <w:sz w:val="21"/>
                      <w:szCs w:val="21"/>
                      <w:highlight w:val="none"/>
                      <w:vertAlign w:val="baseline"/>
                      <w:lang w:val="en-US" w:eastAsia="zh-CN"/>
                    </w:rPr>
                    <w:t>COD、BOD</w:t>
                  </w:r>
                  <w:r>
                    <w:rPr>
                      <w:rFonts w:hint="default" w:ascii="Times New Roman" w:hAnsi="Times New Roman" w:eastAsia="宋体" w:cs="Times New Roman"/>
                      <w:b w:val="0"/>
                      <w:bCs/>
                      <w:color w:val="auto"/>
                      <w:spacing w:val="-10"/>
                      <w:sz w:val="21"/>
                      <w:szCs w:val="21"/>
                      <w:highlight w:val="none"/>
                      <w:vertAlign w:val="subscript"/>
                      <w:lang w:val="en-US" w:eastAsia="zh-CN"/>
                    </w:rPr>
                    <w:t>5</w:t>
                  </w:r>
                  <w:r>
                    <w:rPr>
                      <w:rFonts w:hint="default" w:ascii="Times New Roman" w:hAnsi="Times New Roman" w:eastAsia="宋体" w:cs="Times New Roman"/>
                      <w:b w:val="0"/>
                      <w:bCs/>
                      <w:color w:val="auto"/>
                      <w:spacing w:val="-10"/>
                      <w:sz w:val="21"/>
                      <w:szCs w:val="21"/>
                      <w:highlight w:val="none"/>
                      <w:vertAlign w:val="baseline"/>
                      <w:lang w:val="en-US" w:eastAsia="zh-CN"/>
                    </w:rPr>
                    <w:t>、SS、氨氮、总磷、动植物油</w:t>
                  </w:r>
                </w:p>
              </w:tc>
              <w:tc>
                <w:tcPr>
                  <w:tcW w:w="823" w:type="pct"/>
                  <w:noWrap w:val="0"/>
                  <w:vAlign w:val="center"/>
                </w:tcPr>
                <w:p w14:paraId="03C07179">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w:t>
                  </w:r>
                </w:p>
              </w:tc>
            </w:tr>
            <w:tr w14:paraId="66209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74" w:type="pct"/>
                  <w:vMerge w:val="continue"/>
                  <w:noWrap w:val="0"/>
                  <w:vAlign w:val="center"/>
                </w:tcPr>
                <w:p w14:paraId="5B594B58">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p>
              </w:tc>
              <w:tc>
                <w:tcPr>
                  <w:tcW w:w="891" w:type="pct"/>
                  <w:gridSpan w:val="2"/>
                  <w:noWrap w:val="0"/>
                  <w:vAlign w:val="center"/>
                </w:tcPr>
                <w:p w14:paraId="751C1383">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监测频次</w:t>
                  </w:r>
                </w:p>
              </w:tc>
              <w:tc>
                <w:tcPr>
                  <w:tcW w:w="2810" w:type="pct"/>
                  <w:gridSpan w:val="8"/>
                  <w:noWrap w:val="0"/>
                  <w:vAlign w:val="center"/>
                </w:tcPr>
                <w:p w14:paraId="77009291">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验收时监测一次，后根据国家相关技术规范进行</w:t>
                  </w:r>
                </w:p>
              </w:tc>
              <w:tc>
                <w:tcPr>
                  <w:tcW w:w="823" w:type="pct"/>
                  <w:noWrap w:val="0"/>
                  <w:vAlign w:val="center"/>
                </w:tcPr>
                <w:p w14:paraId="23F18A7A">
                  <w:pPr>
                    <w:keepNext w:val="0"/>
                    <w:keepLines w:val="0"/>
                    <w:pageBreakBefore w:val="0"/>
                    <w:numPr>
                      <w:ilvl w:val="0"/>
                      <w:numId w:val="0"/>
                    </w:numPr>
                    <w:kinsoku/>
                    <w:wordWrap/>
                    <w:overflowPunct/>
                    <w:topLinePunct w:val="0"/>
                    <w:bidi w:val="0"/>
                    <w:adjustRightInd w:val="0"/>
                    <w:snapToGrid w:val="0"/>
                    <w:jc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w:t>
                  </w:r>
                </w:p>
              </w:tc>
            </w:tr>
          </w:tbl>
          <w:p w14:paraId="251862B1">
            <w:pPr>
              <w:pStyle w:val="83"/>
              <w:keepNext w:val="0"/>
              <w:keepLines w:val="0"/>
              <w:pageBreakBefore w:val="0"/>
              <w:widowControl w:val="0"/>
              <w:kinsoku/>
              <w:wordWrap/>
              <w:overflowPunct/>
              <w:topLinePunct w:val="0"/>
              <w:autoSpaceDE/>
              <w:autoSpaceDN/>
              <w:bidi w:val="0"/>
              <w:spacing w:beforeLines="0" w:afterLines="0" w:line="360" w:lineRule="auto"/>
              <w:ind w:left="0" w:right="0" w:firstLine="480" w:firstLineChars="200"/>
              <w:textAlignment w:val="auto"/>
              <w:rPr>
                <w:rFonts w:hint="default" w:ascii="Times New Roman" w:hAnsi="Times New Roman" w:eastAsia="宋体" w:cs="Times New Roman"/>
                <w:caps w:val="0"/>
                <w:snapToGrid w:val="0"/>
                <w:color w:val="auto"/>
                <w:spacing w:val="0"/>
                <w:w w:val="100"/>
                <w:kern w:val="2"/>
                <w:position w:val="0"/>
                <w:sz w:val="24"/>
                <w:szCs w:val="24"/>
                <w:highlight w:val="none"/>
                <w:lang w:val="en-US" w:eastAsia="zh-CN" w:bidi="ar-SA"/>
              </w:rPr>
            </w:pPr>
            <w:r>
              <w:rPr>
                <w:rFonts w:ascii="Times New Roman" w:hAnsi="Times New Roman" w:eastAsia="宋体"/>
                <w:color w:val="auto"/>
                <w:sz w:val="24"/>
                <w:szCs w:val="24"/>
              </w:rPr>
              <w:t>本项目排水采用雨污分流的排水方式，项目区建筑物屋面及地面雨水经厂区雨水沟收集后排入园区雨水市政管网；冷却水经冷却循环</w:t>
            </w:r>
            <w:r>
              <w:rPr>
                <w:rFonts w:hint="eastAsia" w:ascii="Times New Roman" w:hAnsi="Times New Roman" w:eastAsia="宋体"/>
                <w:color w:val="auto"/>
                <w:sz w:val="24"/>
                <w:szCs w:val="24"/>
                <w:lang w:eastAsia="zh-CN"/>
              </w:rPr>
              <w:t>水箱</w:t>
            </w:r>
            <w:r>
              <w:rPr>
                <w:rFonts w:ascii="Times New Roman" w:hAnsi="Times New Roman" w:eastAsia="宋体"/>
                <w:color w:val="auto"/>
                <w:sz w:val="24"/>
                <w:szCs w:val="24"/>
              </w:rPr>
              <w:t>冷却后循环使用，不外排；</w:t>
            </w:r>
            <w:r>
              <w:rPr>
                <w:rFonts w:hint="default" w:ascii="Times New Roman" w:hAnsi="Times New Roman" w:eastAsia="宋体" w:cs="Times New Roman"/>
                <w:b w:val="0"/>
                <w:bCs w:val="0"/>
                <w:color w:val="auto"/>
                <w:sz w:val="24"/>
                <w:szCs w:val="24"/>
                <w:highlight w:val="none"/>
                <w:lang w:val="en-US" w:eastAsia="zh-CN"/>
              </w:rPr>
              <w:t>食堂含油废水经隔油池预处理后与其他办公生活污水一并进入</w:t>
            </w:r>
            <w:r>
              <w:rPr>
                <w:rFonts w:hint="eastAsia" w:cs="Times New Roman"/>
                <w:b w:val="0"/>
                <w:bCs w:val="0"/>
                <w:color w:val="auto"/>
                <w:sz w:val="24"/>
                <w:szCs w:val="24"/>
                <w:highlight w:val="none"/>
                <w:lang w:val="en-US" w:eastAsia="zh-CN"/>
              </w:rPr>
              <w:t>依托的</w:t>
            </w:r>
            <w:r>
              <w:rPr>
                <w:rFonts w:hint="default" w:ascii="Times New Roman" w:hAnsi="Times New Roman" w:eastAsia="宋体" w:cs="Times New Roman"/>
                <w:b w:val="0"/>
                <w:bCs w:val="0"/>
                <w:color w:val="auto"/>
                <w:sz w:val="24"/>
                <w:szCs w:val="24"/>
                <w:highlight w:val="none"/>
                <w:lang w:val="en-US" w:eastAsia="zh-CN"/>
              </w:rPr>
              <w:t>化粪池</w:t>
            </w:r>
            <w:r>
              <w:rPr>
                <w:rFonts w:hint="eastAsia" w:cs="Times New Roman"/>
                <w:b w:val="0"/>
                <w:bCs w:val="0"/>
                <w:color w:val="auto"/>
                <w:sz w:val="24"/>
                <w:szCs w:val="24"/>
                <w:highlight w:val="none"/>
                <w:lang w:val="en-US" w:eastAsia="zh-CN"/>
              </w:rPr>
              <w:t>处理</w:t>
            </w:r>
            <w:r>
              <w:rPr>
                <w:rFonts w:hint="eastAsia" w:ascii="Times New Roman" w:hAnsi="Times New Roman" w:eastAsia="宋体" w:cs="Times New Roman"/>
                <w:color w:val="auto"/>
                <w:sz w:val="24"/>
                <w:szCs w:val="24"/>
                <w:highlight w:val="none"/>
                <w:lang w:val="en-US" w:eastAsia="zh-CN"/>
              </w:rPr>
              <w:t>后</w:t>
            </w:r>
            <w:r>
              <w:rPr>
                <w:rFonts w:hint="default" w:ascii="Times New Roman" w:hAnsi="Times New Roman" w:eastAsia="宋体" w:cs="Times New Roman"/>
                <w:color w:val="auto"/>
                <w:sz w:val="24"/>
                <w:szCs w:val="24"/>
                <w:highlight w:val="none"/>
                <w:lang w:val="en-US" w:eastAsia="zh-CN"/>
              </w:rPr>
              <w:t>再进入到</w:t>
            </w:r>
            <w:r>
              <w:rPr>
                <w:rFonts w:hint="eastAsia" w:ascii="Times New Roman" w:hAnsi="Times New Roman" w:eastAsia="宋体" w:cs="Times New Roman"/>
                <w:color w:val="auto"/>
                <w:sz w:val="24"/>
                <w:szCs w:val="24"/>
                <w:highlight w:val="none"/>
                <w:lang w:val="en-US" w:eastAsia="zh-CN"/>
              </w:rPr>
              <w:t>依托的一体化污水处理站</w:t>
            </w:r>
            <w:r>
              <w:rPr>
                <w:rFonts w:hint="default" w:ascii="Times New Roman" w:hAnsi="Times New Roman" w:eastAsia="宋体" w:cs="Times New Roman"/>
                <w:color w:val="auto"/>
                <w:sz w:val="24"/>
                <w:szCs w:val="24"/>
                <w:highlight w:val="none"/>
                <w:lang w:val="en-US" w:eastAsia="zh-CN"/>
              </w:rPr>
              <w:t>处理</w:t>
            </w:r>
            <w:r>
              <w:rPr>
                <w:rFonts w:hint="eastAsia" w:ascii="Times New Roman" w:hAnsi="Times New Roman" w:eastAsia="宋体" w:cs="Times New Roman"/>
                <w:color w:val="auto"/>
                <w:sz w:val="24"/>
                <w:szCs w:val="24"/>
                <w:highlight w:val="none"/>
                <w:lang w:val="en-US" w:eastAsia="zh-CN"/>
              </w:rPr>
              <w:t>达到</w:t>
            </w:r>
            <w:r>
              <w:rPr>
                <w:rFonts w:hint="default" w:ascii="Times New Roman" w:hAnsi="Times New Roman" w:eastAsia="宋体" w:cs="Times New Roman"/>
                <w:b w:val="0"/>
                <w:bCs w:val="0"/>
                <w:color w:val="auto"/>
                <w:sz w:val="24"/>
                <w:szCs w:val="24"/>
                <w:highlight w:val="none"/>
                <w:lang w:val="en-US" w:eastAsia="zh-CN"/>
              </w:rPr>
              <w:t>《城市污水再生利用 城市杂用水水质》（GB/T18920-2020）中的城市绿化、道路清扫、消防、建筑施工标准后，用于</w:t>
            </w:r>
            <w:r>
              <w:rPr>
                <w:rFonts w:hint="eastAsia" w:cs="Times New Roman"/>
                <w:b w:val="0"/>
                <w:bCs w:val="0"/>
                <w:color w:val="auto"/>
                <w:sz w:val="24"/>
                <w:szCs w:val="24"/>
                <w:highlight w:val="none"/>
                <w:lang w:val="en-US" w:eastAsia="zh-CN"/>
              </w:rPr>
              <w:t>本</w:t>
            </w:r>
            <w:r>
              <w:rPr>
                <w:rFonts w:hint="default" w:ascii="Times New Roman" w:hAnsi="Times New Roman" w:eastAsia="宋体" w:cs="Times New Roman"/>
                <w:b w:val="0"/>
                <w:bCs w:val="0"/>
                <w:color w:val="auto"/>
                <w:sz w:val="24"/>
                <w:szCs w:val="24"/>
                <w:highlight w:val="none"/>
                <w:lang w:val="en-US" w:eastAsia="zh-CN"/>
              </w:rPr>
              <w:t>项目区</w:t>
            </w:r>
            <w:r>
              <w:rPr>
                <w:rFonts w:hint="eastAsia" w:cs="Times New Roman"/>
                <w:b w:val="0"/>
                <w:bCs w:val="0"/>
                <w:color w:val="auto"/>
                <w:sz w:val="24"/>
                <w:szCs w:val="24"/>
                <w:highlight w:val="none"/>
                <w:lang w:val="en-US" w:eastAsia="zh-CN"/>
              </w:rPr>
              <w:t>及</w:t>
            </w:r>
            <w:r>
              <w:rPr>
                <w:rFonts w:hint="eastAsia"/>
                <w:bCs/>
                <w:color w:val="auto"/>
                <w:sz w:val="24"/>
                <w:highlight w:val="none"/>
                <w:lang w:eastAsia="zh-CN"/>
              </w:rPr>
              <w:t>云</w:t>
            </w:r>
            <w:r>
              <w:rPr>
                <w:rFonts w:hint="eastAsia"/>
                <w:color w:val="auto"/>
                <w:sz w:val="24"/>
                <w:highlight w:val="none"/>
                <w:lang w:val="en-US" w:eastAsia="zh-CN"/>
              </w:rPr>
              <w:t>南宝泰轻化机械</w:t>
            </w:r>
            <w:r>
              <w:rPr>
                <w:rFonts w:hint="eastAsia"/>
                <w:color w:val="auto"/>
                <w:sz w:val="24"/>
                <w:highlight w:val="none"/>
                <w:lang w:eastAsia="zh-CN"/>
              </w:rPr>
              <w:t>有限公司</w:t>
            </w:r>
            <w:r>
              <w:rPr>
                <w:rFonts w:hint="default" w:ascii="Times New Roman" w:hAnsi="Times New Roman" w:eastAsia="宋体" w:cs="Times New Roman"/>
                <w:b w:val="0"/>
                <w:bCs w:val="0"/>
                <w:color w:val="auto"/>
                <w:sz w:val="24"/>
                <w:szCs w:val="24"/>
                <w:highlight w:val="none"/>
                <w:lang w:val="en-US" w:eastAsia="zh-CN"/>
              </w:rPr>
              <w:t>内绿化及道路场地洒水降尘，不外排。</w:t>
            </w:r>
          </w:p>
          <w:p w14:paraId="1D55470A">
            <w:pPr>
              <w:pStyle w:val="83"/>
              <w:keepNext w:val="0"/>
              <w:keepLines w:val="0"/>
              <w:pageBreakBefore w:val="0"/>
              <w:widowControl w:val="0"/>
              <w:kinsoku/>
              <w:wordWrap/>
              <w:overflowPunct/>
              <w:topLinePunct w:val="0"/>
              <w:autoSpaceDE/>
              <w:autoSpaceDN/>
              <w:bidi w:val="0"/>
              <w:spacing w:beforeLines="0" w:afterLines="0" w:line="360" w:lineRule="auto"/>
              <w:ind w:left="0" w:right="0" w:firstLine="524" w:firstLineChars="200"/>
              <w:textAlignment w:val="auto"/>
              <w:rPr>
                <w:snapToGrid w:val="0"/>
                <w:color w:val="auto"/>
                <w:sz w:val="24"/>
              </w:rPr>
            </w:pPr>
            <w:r>
              <w:rPr>
                <w:rFonts w:hint="default" w:ascii="Times New Roman" w:hAnsi="Times New Roman" w:eastAsia="宋体" w:cs="Times New Roman"/>
                <w:color w:val="auto"/>
                <w:spacing w:val="11"/>
                <w:sz w:val="24"/>
                <w:szCs w:val="24"/>
                <w:highlight w:val="none"/>
                <w:lang w:val="en-US" w:eastAsia="zh-CN"/>
              </w:rPr>
              <w:t>根据水</w:t>
            </w:r>
            <w:r>
              <w:rPr>
                <w:rFonts w:hint="default" w:ascii="Times New Roman" w:hAnsi="Times New Roman" w:eastAsia="宋体" w:cs="Times New Roman"/>
                <w:color w:val="auto"/>
                <w:spacing w:val="11"/>
                <w:sz w:val="24"/>
                <w:highlight w:val="none"/>
                <w:lang w:val="en-US" w:eastAsia="zh-CN"/>
              </w:rPr>
              <w:t>平衡可知，本项目运营期生活污水量为</w:t>
            </w:r>
            <w:r>
              <w:rPr>
                <w:rFonts w:hint="eastAsia" w:cs="Times New Roman"/>
                <w:color w:val="auto"/>
                <w:spacing w:val="11"/>
                <w:sz w:val="24"/>
                <w:highlight w:val="none"/>
                <w:lang w:val="en-US" w:eastAsia="zh-CN"/>
              </w:rPr>
              <w:t>2.1867</w:t>
            </w:r>
            <w:r>
              <w:rPr>
                <w:rFonts w:hint="default" w:ascii="Times New Roman" w:hAnsi="Times New Roman" w:eastAsia="宋体" w:cs="Times New Roman"/>
                <w:color w:val="auto"/>
                <w:spacing w:val="11"/>
                <w:sz w:val="24"/>
                <w:highlight w:val="none"/>
              </w:rPr>
              <w:t>m</w:t>
            </w:r>
            <w:r>
              <w:rPr>
                <w:rFonts w:hint="default" w:ascii="Times New Roman" w:hAnsi="Times New Roman" w:eastAsia="宋体" w:cs="Times New Roman"/>
                <w:color w:val="auto"/>
                <w:spacing w:val="11"/>
                <w:sz w:val="24"/>
                <w:highlight w:val="none"/>
                <w:vertAlign w:val="superscript"/>
              </w:rPr>
              <w:t>3</w:t>
            </w:r>
            <w:r>
              <w:rPr>
                <w:rFonts w:hint="default" w:ascii="Times New Roman" w:hAnsi="Times New Roman" w:eastAsia="宋体" w:cs="Times New Roman"/>
                <w:color w:val="auto"/>
                <w:spacing w:val="11"/>
                <w:sz w:val="24"/>
                <w:highlight w:val="none"/>
              </w:rPr>
              <w:t>/d</w:t>
            </w:r>
            <w:r>
              <w:rPr>
                <w:rFonts w:hint="default" w:ascii="Times New Roman" w:hAnsi="Times New Roman" w:eastAsia="宋体" w:cs="Times New Roman"/>
                <w:color w:val="auto"/>
                <w:spacing w:val="11"/>
                <w:sz w:val="24"/>
                <w:highlight w:val="none"/>
                <w:lang w:eastAsia="zh-CN"/>
              </w:rPr>
              <w:t>、</w:t>
            </w:r>
            <w:r>
              <w:rPr>
                <w:rFonts w:hint="eastAsia" w:cs="Times New Roman"/>
                <w:color w:val="auto"/>
                <w:spacing w:val="11"/>
                <w:sz w:val="24"/>
                <w:highlight w:val="none"/>
                <w:lang w:val="en-US" w:eastAsia="zh-CN"/>
              </w:rPr>
              <w:t>656</w:t>
            </w:r>
            <w:r>
              <w:rPr>
                <w:rFonts w:hint="default" w:ascii="Times New Roman" w:hAnsi="Times New Roman" w:eastAsia="宋体" w:cs="Times New Roman"/>
                <w:color w:val="auto"/>
                <w:spacing w:val="11"/>
                <w:sz w:val="24"/>
                <w:highlight w:val="none"/>
              </w:rPr>
              <w:t>m</w:t>
            </w:r>
            <w:r>
              <w:rPr>
                <w:rFonts w:hint="default" w:ascii="Times New Roman" w:hAnsi="Times New Roman" w:eastAsia="宋体" w:cs="Times New Roman"/>
                <w:color w:val="auto"/>
                <w:spacing w:val="11"/>
                <w:sz w:val="24"/>
                <w:highlight w:val="none"/>
                <w:vertAlign w:val="superscript"/>
              </w:rPr>
              <w:t>3</w:t>
            </w:r>
            <w:r>
              <w:rPr>
                <w:rFonts w:hint="default" w:ascii="Times New Roman" w:hAnsi="Times New Roman" w:eastAsia="宋体" w:cs="Times New Roman"/>
                <w:color w:val="auto"/>
                <w:spacing w:val="11"/>
                <w:sz w:val="24"/>
                <w:highlight w:val="none"/>
              </w:rPr>
              <w:t>/</w:t>
            </w:r>
            <w:r>
              <w:rPr>
                <w:rFonts w:hint="default" w:ascii="Times New Roman" w:hAnsi="Times New Roman" w:eastAsia="宋体" w:cs="Times New Roman"/>
                <w:color w:val="auto"/>
                <w:spacing w:val="11"/>
                <w:sz w:val="24"/>
                <w:highlight w:val="none"/>
                <w:lang w:val="en-US" w:eastAsia="zh-CN"/>
              </w:rPr>
              <w:t>a。</w:t>
            </w:r>
          </w:p>
          <w:p w14:paraId="03ED1C84">
            <w:pPr>
              <w:spacing w:line="360" w:lineRule="auto"/>
              <w:ind w:firstLine="526" w:firstLineChars="200"/>
              <w:rPr>
                <w:b/>
                <w:bCs/>
                <w:color w:val="auto"/>
                <w:spacing w:val="11"/>
                <w:sz w:val="24"/>
              </w:rPr>
            </w:pPr>
            <w:r>
              <w:rPr>
                <w:b/>
                <w:bCs/>
                <w:color w:val="auto"/>
                <w:spacing w:val="11"/>
                <w:sz w:val="24"/>
              </w:rPr>
              <w:t>2、提出措施后污染物分析</w:t>
            </w:r>
          </w:p>
          <w:p w14:paraId="6C309B73">
            <w:pPr>
              <w:spacing w:line="360" w:lineRule="auto"/>
              <w:ind w:firstLine="482" w:firstLineChars="200"/>
              <w:outlineLvl w:val="1"/>
              <w:rPr>
                <w:b/>
                <w:bCs/>
                <w:color w:val="auto"/>
                <w:kern w:val="0"/>
                <w:sz w:val="24"/>
              </w:rPr>
            </w:pPr>
            <w:r>
              <w:rPr>
                <w:b/>
                <w:bCs/>
                <w:color w:val="auto"/>
                <w:kern w:val="0"/>
                <w:sz w:val="24"/>
              </w:rPr>
              <w:t>①综合生活污水</w:t>
            </w:r>
          </w:p>
          <w:p w14:paraId="6D60407A">
            <w:pPr>
              <w:spacing w:line="360" w:lineRule="auto"/>
              <w:ind w:firstLine="524" w:firstLineChars="200"/>
              <w:outlineLvl w:val="1"/>
              <w:rPr>
                <w:color w:val="auto"/>
                <w:sz w:val="24"/>
              </w:rPr>
            </w:pPr>
            <w:r>
              <w:rPr>
                <w:color w:val="auto"/>
                <w:spacing w:val="11"/>
                <w:sz w:val="24"/>
              </w:rPr>
              <w:t>根据水平衡可知，本项目生活污水量为</w:t>
            </w:r>
            <w:r>
              <w:rPr>
                <w:rFonts w:hint="eastAsia" w:cs="Times New Roman"/>
                <w:color w:val="auto"/>
                <w:spacing w:val="11"/>
                <w:sz w:val="24"/>
                <w:highlight w:val="none"/>
                <w:lang w:val="en-US" w:eastAsia="zh-CN"/>
              </w:rPr>
              <w:t>2.1867</w:t>
            </w:r>
            <w:r>
              <w:rPr>
                <w:rFonts w:hint="default" w:ascii="Times New Roman" w:hAnsi="Times New Roman" w:eastAsia="宋体" w:cs="Times New Roman"/>
                <w:color w:val="auto"/>
                <w:spacing w:val="11"/>
                <w:sz w:val="24"/>
                <w:highlight w:val="none"/>
              </w:rPr>
              <w:t>m</w:t>
            </w:r>
            <w:r>
              <w:rPr>
                <w:rFonts w:hint="default" w:ascii="Times New Roman" w:hAnsi="Times New Roman" w:eastAsia="宋体" w:cs="Times New Roman"/>
                <w:color w:val="auto"/>
                <w:spacing w:val="11"/>
                <w:sz w:val="24"/>
                <w:highlight w:val="none"/>
                <w:vertAlign w:val="superscript"/>
              </w:rPr>
              <w:t>3</w:t>
            </w:r>
            <w:r>
              <w:rPr>
                <w:rFonts w:hint="default" w:ascii="Times New Roman" w:hAnsi="Times New Roman" w:eastAsia="宋体" w:cs="Times New Roman"/>
                <w:color w:val="auto"/>
                <w:spacing w:val="11"/>
                <w:sz w:val="24"/>
                <w:highlight w:val="none"/>
              </w:rPr>
              <w:t>/d</w:t>
            </w:r>
            <w:r>
              <w:rPr>
                <w:rFonts w:hint="default" w:ascii="Times New Roman" w:hAnsi="Times New Roman" w:eastAsia="宋体" w:cs="Times New Roman"/>
                <w:color w:val="auto"/>
                <w:spacing w:val="11"/>
                <w:sz w:val="24"/>
                <w:highlight w:val="none"/>
                <w:lang w:eastAsia="zh-CN"/>
              </w:rPr>
              <w:t>、</w:t>
            </w:r>
            <w:r>
              <w:rPr>
                <w:rFonts w:hint="eastAsia" w:cs="Times New Roman"/>
                <w:color w:val="auto"/>
                <w:spacing w:val="11"/>
                <w:sz w:val="24"/>
                <w:highlight w:val="none"/>
                <w:lang w:val="en-US" w:eastAsia="zh-CN"/>
              </w:rPr>
              <w:t>656</w:t>
            </w:r>
            <w:r>
              <w:rPr>
                <w:rFonts w:hint="default" w:ascii="Times New Roman" w:hAnsi="Times New Roman" w:eastAsia="宋体" w:cs="Times New Roman"/>
                <w:color w:val="auto"/>
                <w:spacing w:val="11"/>
                <w:sz w:val="24"/>
                <w:highlight w:val="none"/>
              </w:rPr>
              <w:t>m</w:t>
            </w:r>
            <w:r>
              <w:rPr>
                <w:rFonts w:hint="default" w:ascii="Times New Roman" w:hAnsi="Times New Roman" w:eastAsia="宋体" w:cs="Times New Roman"/>
                <w:color w:val="auto"/>
                <w:spacing w:val="11"/>
                <w:sz w:val="24"/>
                <w:highlight w:val="none"/>
                <w:vertAlign w:val="superscript"/>
              </w:rPr>
              <w:t>3</w:t>
            </w:r>
            <w:r>
              <w:rPr>
                <w:rFonts w:hint="default" w:ascii="Times New Roman" w:hAnsi="Times New Roman" w:eastAsia="宋体" w:cs="Times New Roman"/>
                <w:color w:val="auto"/>
                <w:spacing w:val="11"/>
                <w:sz w:val="24"/>
                <w:highlight w:val="none"/>
              </w:rPr>
              <w:t>/</w:t>
            </w:r>
            <w:r>
              <w:rPr>
                <w:rFonts w:hint="default" w:ascii="Times New Roman" w:hAnsi="Times New Roman" w:eastAsia="宋体" w:cs="Times New Roman"/>
                <w:color w:val="auto"/>
                <w:spacing w:val="11"/>
                <w:sz w:val="24"/>
                <w:highlight w:val="none"/>
                <w:lang w:val="en-US" w:eastAsia="zh-CN"/>
              </w:rPr>
              <w:t>a</w:t>
            </w:r>
            <w:r>
              <w:rPr>
                <w:color w:val="auto"/>
                <w:spacing w:val="11"/>
                <w:sz w:val="24"/>
              </w:rPr>
              <w:t>。</w:t>
            </w:r>
            <w:r>
              <w:rPr>
                <w:color w:val="auto"/>
                <w:sz w:val="24"/>
              </w:rPr>
              <w:t>水质数据参照</w:t>
            </w:r>
            <w:r>
              <w:rPr>
                <w:color w:val="auto"/>
                <w:kern w:val="0"/>
                <w:sz w:val="24"/>
                <w:lang w:val="zh-CN"/>
              </w:rPr>
              <w:t>《城市污水回用技术手册》（金兆丰、徐竟成等编著，化学工业出版社，2004年版），我国城市生活污水水质统计数据中，COD约为250~1000mg/L、BOD</w:t>
            </w:r>
            <w:r>
              <w:rPr>
                <w:color w:val="auto"/>
                <w:kern w:val="0"/>
                <w:sz w:val="24"/>
                <w:vertAlign w:val="subscript"/>
              </w:rPr>
              <w:t>5</w:t>
            </w:r>
            <w:r>
              <w:rPr>
                <w:color w:val="auto"/>
                <w:kern w:val="0"/>
                <w:sz w:val="24"/>
                <w:lang w:val="zh-CN"/>
              </w:rPr>
              <w:t>为</w:t>
            </w:r>
            <w:r>
              <w:rPr>
                <w:color w:val="auto"/>
                <w:kern w:val="0"/>
                <w:sz w:val="24"/>
              </w:rPr>
              <w:t>10</w:t>
            </w:r>
            <w:r>
              <w:rPr>
                <w:color w:val="auto"/>
                <w:kern w:val="0"/>
                <w:sz w:val="24"/>
                <w:lang w:val="zh-CN"/>
              </w:rPr>
              <w:t>0-400mg/L、SS为200-350mg/L、氨氮为20-85mg/L、总磷为4～15mg/L、动植物油</w:t>
            </w:r>
            <w:r>
              <w:rPr>
                <w:color w:val="auto"/>
                <w:kern w:val="0"/>
                <w:sz w:val="24"/>
              </w:rPr>
              <w:t>20</w:t>
            </w:r>
            <w:r>
              <w:rPr>
                <w:color w:val="auto"/>
                <w:kern w:val="0"/>
                <w:sz w:val="24"/>
                <w:lang w:val="zh-CN"/>
              </w:rPr>
              <w:t>～</w:t>
            </w:r>
            <w:r>
              <w:rPr>
                <w:color w:val="auto"/>
                <w:kern w:val="0"/>
                <w:sz w:val="24"/>
              </w:rPr>
              <w:t>100</w:t>
            </w:r>
            <w:r>
              <w:rPr>
                <w:color w:val="auto"/>
                <w:kern w:val="0"/>
                <w:sz w:val="24"/>
                <w:lang w:val="zh-CN"/>
              </w:rPr>
              <w:t>mg/L；本环评采用水质统计数据中中等浓度值进行生活污水水质进行预测</w:t>
            </w:r>
            <w:r>
              <w:rPr>
                <w:color w:val="auto"/>
                <w:sz w:val="24"/>
              </w:rPr>
              <w:t>。</w:t>
            </w:r>
            <w:r>
              <w:rPr>
                <w:color w:val="auto"/>
                <w:kern w:val="0"/>
                <w:sz w:val="24"/>
              </w:rPr>
              <w:t>项目生活废水水质产生情况如下：</w:t>
            </w:r>
            <w:r>
              <w:rPr>
                <w:color w:val="auto"/>
                <w:sz w:val="24"/>
              </w:rPr>
              <w:t>COD为520mg/L、BOD</w:t>
            </w:r>
            <w:r>
              <w:rPr>
                <w:color w:val="auto"/>
                <w:sz w:val="24"/>
                <w:vertAlign w:val="subscript"/>
              </w:rPr>
              <w:t>5</w:t>
            </w:r>
            <w:r>
              <w:rPr>
                <w:color w:val="auto"/>
                <w:sz w:val="24"/>
              </w:rPr>
              <w:t>为200mg/L、SS为200mg/L、氨氮为40mg/L、</w:t>
            </w:r>
            <w:r>
              <w:rPr>
                <w:rFonts w:hint="eastAsia"/>
                <w:color w:val="auto"/>
                <w:sz w:val="24"/>
              </w:rPr>
              <w:t>总氮</w:t>
            </w:r>
            <w:r>
              <w:rPr>
                <w:color w:val="auto"/>
                <w:sz w:val="24"/>
              </w:rPr>
              <w:t>为</w:t>
            </w:r>
            <w:r>
              <w:rPr>
                <w:rFonts w:hint="eastAsia"/>
                <w:color w:val="auto"/>
                <w:sz w:val="24"/>
              </w:rPr>
              <w:t>45</w:t>
            </w:r>
            <w:r>
              <w:rPr>
                <w:color w:val="auto"/>
                <w:sz w:val="24"/>
              </w:rPr>
              <w:t>mg/L、总磷为8mg/L</w:t>
            </w:r>
            <w:r>
              <w:rPr>
                <w:rFonts w:hint="eastAsia"/>
                <w:color w:val="auto"/>
                <w:sz w:val="24"/>
              </w:rPr>
              <w:t>、</w:t>
            </w:r>
            <w:r>
              <w:rPr>
                <w:color w:val="auto"/>
                <w:sz w:val="24"/>
              </w:rPr>
              <w:t>动植物油为35mg/L。</w:t>
            </w:r>
          </w:p>
          <w:p w14:paraId="5F3646A0">
            <w:pPr>
              <w:adjustRightInd w:val="0"/>
              <w:snapToGrid w:val="0"/>
              <w:spacing w:line="348" w:lineRule="auto"/>
              <w:ind w:firstLine="480" w:firstLineChars="200"/>
              <w:rPr>
                <w:color w:val="auto"/>
                <w:kern w:val="0"/>
                <w:sz w:val="24"/>
                <w:highlight w:val="yellow"/>
                <w:lang w:bidi="ar"/>
              </w:rPr>
            </w:pPr>
            <w:r>
              <w:rPr>
                <w:color w:val="auto"/>
                <w:sz w:val="24"/>
              </w:rPr>
              <w:t>根据《废水处理工程技术手册》（潘涛、田刚主编，</w:t>
            </w:r>
            <w:r>
              <w:rPr>
                <w:color w:val="auto"/>
                <w:kern w:val="0"/>
                <w:sz w:val="24"/>
                <w:szCs w:val="20"/>
                <w:lang w:val="zh-CN"/>
              </w:rPr>
              <w:t>化学工业出版社，</w:t>
            </w:r>
            <w:r>
              <w:rPr>
                <w:color w:val="auto"/>
                <w:kern w:val="0"/>
                <w:sz w:val="24"/>
                <w:szCs w:val="20"/>
              </w:rPr>
              <w:t>2010年版</w:t>
            </w:r>
            <w:r>
              <w:rPr>
                <w:color w:val="auto"/>
                <w:sz w:val="24"/>
              </w:rPr>
              <w:t>），隔油池对生活</w:t>
            </w:r>
            <w:r>
              <w:rPr>
                <w:rFonts w:hint="eastAsia"/>
                <w:color w:val="auto"/>
                <w:sz w:val="24"/>
              </w:rPr>
              <w:t>污水</w:t>
            </w:r>
            <w:r>
              <w:rPr>
                <w:color w:val="auto"/>
                <w:sz w:val="24"/>
              </w:rPr>
              <w:t>中动植物油去除效率为60%~80%，本项目取80%；</w:t>
            </w:r>
            <w:r>
              <w:rPr>
                <w:snapToGrid w:val="0"/>
                <w:color w:val="auto"/>
                <w:sz w:val="24"/>
              </w:rPr>
              <w:t>根据《常用污水处理设备及去除率》进行确定，化粪池处理效率分别为：COD15%、BOD</w:t>
            </w:r>
            <w:r>
              <w:rPr>
                <w:snapToGrid w:val="0"/>
                <w:color w:val="auto"/>
                <w:sz w:val="24"/>
                <w:vertAlign w:val="subscript"/>
              </w:rPr>
              <w:t>5</w:t>
            </w:r>
            <w:r>
              <w:rPr>
                <w:snapToGrid w:val="0"/>
                <w:color w:val="auto"/>
                <w:sz w:val="24"/>
              </w:rPr>
              <w:t>15%、SS30%、氨氮0%、总磷0%、总氮0%</w:t>
            </w:r>
            <w:r>
              <w:rPr>
                <w:color w:val="auto"/>
                <w:kern w:val="0"/>
                <w:sz w:val="24"/>
                <w:highlight w:val="none"/>
                <w:lang w:bidi="ar"/>
              </w:rPr>
              <w:t>。</w:t>
            </w:r>
            <w:r>
              <w:rPr>
                <w:rFonts w:hint="default" w:ascii="Times New Roman" w:hAnsi="Times New Roman" w:eastAsia="宋体" w:cs="Times New Roman"/>
                <w:color w:val="auto"/>
                <w:sz w:val="24"/>
                <w:szCs w:val="24"/>
                <w:highlight w:val="none"/>
                <w:lang w:val="zh-CN"/>
              </w:rPr>
              <w:t>根据</w:t>
            </w:r>
            <w:r>
              <w:rPr>
                <w:rFonts w:hint="eastAsia" w:cs="Times New Roman"/>
                <w:color w:val="auto"/>
                <w:sz w:val="24"/>
                <w:szCs w:val="24"/>
                <w:highlight w:val="none"/>
                <w:lang w:val="zh-CN"/>
              </w:rPr>
              <w:t>依托的一体化污水处理站建设单位云</w:t>
            </w:r>
            <w:r>
              <w:rPr>
                <w:rFonts w:hint="eastAsia"/>
                <w:color w:val="auto"/>
                <w:sz w:val="24"/>
                <w:highlight w:val="none"/>
                <w:lang w:val="en-US" w:eastAsia="zh-CN"/>
              </w:rPr>
              <w:t>南宝泰轻化机械</w:t>
            </w:r>
            <w:r>
              <w:rPr>
                <w:rFonts w:hint="eastAsia"/>
                <w:color w:val="auto"/>
                <w:sz w:val="24"/>
                <w:highlight w:val="none"/>
                <w:lang w:eastAsia="zh-CN"/>
              </w:rPr>
              <w:t>有限公司对废水检测结果（详见附件</w:t>
            </w:r>
            <w:r>
              <w:rPr>
                <w:rFonts w:hint="eastAsia"/>
                <w:color w:val="auto"/>
                <w:sz w:val="24"/>
                <w:highlight w:val="none"/>
                <w:lang w:val="en-US" w:eastAsia="zh-CN"/>
              </w:rPr>
              <w:t>16</w:t>
            </w:r>
            <w:r>
              <w:rPr>
                <w:rFonts w:hint="eastAsia"/>
                <w:color w:val="auto"/>
                <w:sz w:val="24"/>
                <w:highlight w:val="none"/>
                <w:lang w:eastAsia="zh-CN"/>
              </w:rPr>
              <w:t>）可知，处理后的废水浓度为</w:t>
            </w:r>
            <w:r>
              <w:rPr>
                <w:rFonts w:hint="eastAsia"/>
                <w:color w:val="auto"/>
                <w:sz w:val="24"/>
                <w:highlight w:val="none"/>
                <w:lang w:val="en-US" w:eastAsia="zh-CN"/>
              </w:rPr>
              <w:t>PH：7.1（无量纲）、溶解氧：8.0mg/L、浊度：8.1</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NTU</w:t>
            </w:r>
            <w:r>
              <w:rPr>
                <w:rFonts w:hint="eastAsia" w:ascii="Times New Roman" w:hAnsi="Times New Roman" w:eastAsia="宋体" w:cs="Times New Roman"/>
                <w:color w:val="auto"/>
                <w:sz w:val="24"/>
                <w:highlight w:val="none"/>
                <w:lang w:val="en-US" w:eastAsia="zh-CN"/>
              </w:rPr>
              <w:t>）、色度：10（度）、嗅；2（级）、</w:t>
            </w:r>
            <w:r>
              <w:rPr>
                <w:rFonts w:hint="default" w:ascii="Times New Roman" w:hAnsi="Times New Roman" w:eastAsia="宋体" w:cs="Times New Roman"/>
                <w:color w:val="auto"/>
                <w:sz w:val="24"/>
                <w:szCs w:val="24"/>
                <w:highlight w:val="none"/>
              </w:rPr>
              <w:t>氨氮</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2.36mg/L、</w:t>
            </w:r>
            <w:r>
              <w:rPr>
                <w:rFonts w:hint="default" w:ascii="Times New Roman" w:hAnsi="Times New Roman" w:eastAsia="宋体" w:cs="Times New Roman"/>
                <w:color w:val="auto"/>
                <w:sz w:val="24"/>
                <w:szCs w:val="24"/>
                <w:highlight w:val="none"/>
              </w:rPr>
              <w:t>BOD</w:t>
            </w:r>
            <w:r>
              <w:rPr>
                <w:rFonts w:hint="default" w:ascii="Times New Roman" w:hAnsi="Times New Roman" w:eastAsia="宋体" w:cs="Times New Roman"/>
                <w:color w:val="auto"/>
                <w:sz w:val="24"/>
                <w:szCs w:val="24"/>
                <w:highlight w:val="none"/>
                <w:vertAlign w:val="subscript"/>
              </w:rPr>
              <w:t>5</w:t>
            </w:r>
            <w:r>
              <w:rPr>
                <w:rFonts w:hint="eastAsia" w:cs="Times New Roman"/>
                <w:color w:val="auto"/>
                <w:sz w:val="24"/>
                <w:szCs w:val="24"/>
                <w:highlight w:val="none"/>
                <w:vertAlign w:val="baseline"/>
                <w:lang w:eastAsia="zh-CN"/>
              </w:rPr>
              <w:t>：</w:t>
            </w:r>
            <w:r>
              <w:rPr>
                <w:rFonts w:hint="eastAsia" w:cs="Times New Roman"/>
                <w:color w:val="auto"/>
                <w:sz w:val="24"/>
                <w:szCs w:val="24"/>
                <w:highlight w:val="none"/>
                <w:vertAlign w:val="baseline"/>
                <w:lang w:val="en-US" w:eastAsia="zh-CN"/>
              </w:rPr>
              <w:t>5.3mg/L</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eastAsia="zh-CN"/>
              </w:rPr>
              <w:t>总氯：</w:t>
            </w:r>
            <w:r>
              <w:rPr>
                <w:rFonts w:hint="eastAsia" w:cs="Times New Roman"/>
                <w:color w:val="auto"/>
                <w:sz w:val="24"/>
                <w:szCs w:val="24"/>
                <w:highlight w:val="none"/>
                <w:lang w:val="en-US" w:eastAsia="zh-CN"/>
              </w:rPr>
              <w:t>1.26mg/L、阴离子表面活性剂：0.14mg/L、溶解性总固体：292mg/L、大肠埃希氏菌：未检出（CFU/100mL）</w:t>
            </w:r>
            <w:r>
              <w:rPr>
                <w:rFonts w:hint="default" w:ascii="Times New Roman" w:hAnsi="Times New Roman" w:eastAsia="宋体" w:cs="Times New Roman"/>
                <w:color w:val="auto"/>
                <w:sz w:val="24"/>
                <w:szCs w:val="24"/>
                <w:highlight w:val="none"/>
                <w:lang w:val="en-US" w:eastAsia="zh-CN"/>
              </w:rPr>
              <w:t>。</w:t>
            </w:r>
          </w:p>
          <w:p w14:paraId="4DCF6526">
            <w:pPr>
              <w:keepNext w:val="0"/>
              <w:keepLines w:val="0"/>
              <w:pageBreakBefore w:val="0"/>
              <w:widowControl w:val="0"/>
              <w:kinsoku/>
              <w:wordWrap/>
              <w:overflowPunct/>
              <w:topLinePunct w:val="0"/>
              <w:autoSpaceDE/>
              <w:autoSpaceDN/>
              <w:bidi w:val="0"/>
              <w:spacing w:line="360" w:lineRule="auto"/>
              <w:ind w:firstLine="480" w:firstLineChars="200"/>
              <w:textAlignment w:val="auto"/>
              <w:outlineLvl w:val="1"/>
              <w:rPr>
                <w:rFonts w:hint="default"/>
                <w:color w:val="auto"/>
                <w:kern w:val="0"/>
                <w:sz w:val="24"/>
                <w:highlight w:val="yellow"/>
                <w:lang w:val="en-US" w:bidi="ar"/>
              </w:rPr>
            </w:pPr>
            <w:r>
              <w:rPr>
                <w:rFonts w:hint="default" w:ascii="Times New Roman" w:hAnsi="Times New Roman" w:eastAsia="宋体" w:cs="Times New Roman"/>
                <w:b w:val="0"/>
                <w:bCs/>
                <w:color w:val="auto"/>
                <w:sz w:val="24"/>
                <w:szCs w:val="24"/>
                <w:highlight w:val="none"/>
                <w:lang w:val="en-US" w:eastAsia="zh-CN" w:bidi="ar"/>
              </w:rPr>
              <w:t>根据计算可知，本项目生活污水经隔油池及化粪池预处理后，各污染物</w:t>
            </w:r>
            <w:r>
              <w:rPr>
                <w:rFonts w:hint="default" w:ascii="Times New Roman" w:hAnsi="Times New Roman" w:eastAsia="宋体" w:cs="Times New Roman"/>
                <w:snapToGrid w:val="0"/>
                <w:color w:val="auto"/>
                <w:sz w:val="24"/>
                <w:highlight w:val="none"/>
                <w:lang w:val="en-US" w:eastAsia="zh-CN"/>
              </w:rPr>
              <w:t>处理浓度</w:t>
            </w:r>
            <w:r>
              <w:rPr>
                <w:rFonts w:hint="default" w:ascii="Times New Roman" w:hAnsi="Times New Roman" w:eastAsia="宋体" w:cs="Times New Roman"/>
                <w:snapToGrid w:val="0"/>
                <w:color w:val="auto"/>
                <w:sz w:val="24"/>
                <w:highlight w:val="none"/>
              </w:rPr>
              <w:t>分别为：COD</w:t>
            </w:r>
            <w:r>
              <w:rPr>
                <w:rFonts w:hint="default" w:ascii="Times New Roman" w:hAnsi="Times New Roman" w:eastAsia="宋体" w:cs="Times New Roman"/>
                <w:snapToGrid w:val="0"/>
                <w:color w:val="auto"/>
                <w:sz w:val="24"/>
                <w:highlight w:val="none"/>
                <w:lang w:val="en-US" w:eastAsia="zh-CN"/>
              </w:rPr>
              <w:t>-442mg/L</w:t>
            </w:r>
            <w:r>
              <w:rPr>
                <w:rFonts w:hint="default" w:ascii="Times New Roman" w:hAnsi="Times New Roman" w:eastAsia="宋体" w:cs="Times New Roman"/>
                <w:snapToGrid w:val="0"/>
                <w:color w:val="auto"/>
                <w:sz w:val="24"/>
                <w:highlight w:val="none"/>
              </w:rPr>
              <w:t>、BOD</w:t>
            </w:r>
            <w:r>
              <w:rPr>
                <w:rFonts w:hint="default" w:ascii="Times New Roman" w:hAnsi="Times New Roman" w:eastAsia="宋体" w:cs="Times New Roman"/>
                <w:snapToGrid w:val="0"/>
                <w:color w:val="auto"/>
                <w:sz w:val="24"/>
                <w:highlight w:val="none"/>
                <w:vertAlign w:val="subscript"/>
              </w:rPr>
              <w:t>5</w:t>
            </w:r>
            <w:r>
              <w:rPr>
                <w:rFonts w:hint="default" w:ascii="Times New Roman" w:hAnsi="Times New Roman" w:eastAsia="宋体" w:cs="Times New Roman"/>
                <w:snapToGrid w:val="0"/>
                <w:color w:val="auto"/>
                <w:sz w:val="24"/>
                <w:highlight w:val="none"/>
                <w:lang w:val="en-US" w:eastAsia="zh-CN"/>
              </w:rPr>
              <w:t>-170mg/L</w:t>
            </w:r>
            <w:r>
              <w:rPr>
                <w:rFonts w:hint="default" w:ascii="Times New Roman" w:hAnsi="Times New Roman" w:eastAsia="宋体" w:cs="Times New Roman"/>
                <w:snapToGrid w:val="0"/>
                <w:color w:val="auto"/>
                <w:sz w:val="24"/>
                <w:highlight w:val="none"/>
              </w:rPr>
              <w:t>、SS</w:t>
            </w:r>
            <w:r>
              <w:rPr>
                <w:rFonts w:hint="default" w:ascii="Times New Roman" w:hAnsi="Times New Roman" w:eastAsia="宋体" w:cs="Times New Roman"/>
                <w:snapToGrid w:val="0"/>
                <w:color w:val="auto"/>
                <w:sz w:val="24"/>
                <w:highlight w:val="none"/>
                <w:lang w:val="en-US" w:eastAsia="zh-CN"/>
              </w:rPr>
              <w:t>-140mg/L</w:t>
            </w:r>
            <w:r>
              <w:rPr>
                <w:rFonts w:hint="default" w:ascii="Times New Roman" w:hAnsi="Times New Roman" w:eastAsia="宋体" w:cs="Times New Roman"/>
                <w:snapToGrid w:val="0"/>
                <w:color w:val="auto"/>
                <w:sz w:val="24"/>
                <w:highlight w:val="none"/>
              </w:rPr>
              <w:t>、氨氮</w:t>
            </w:r>
            <w:r>
              <w:rPr>
                <w:rFonts w:hint="default" w:ascii="Times New Roman" w:hAnsi="Times New Roman" w:eastAsia="宋体" w:cs="Times New Roman"/>
                <w:snapToGrid w:val="0"/>
                <w:color w:val="auto"/>
                <w:sz w:val="24"/>
                <w:highlight w:val="none"/>
                <w:lang w:val="en-US" w:eastAsia="zh-CN"/>
              </w:rPr>
              <w:t>-40mg/L</w:t>
            </w:r>
            <w:r>
              <w:rPr>
                <w:rFonts w:hint="default" w:ascii="Times New Roman" w:hAnsi="Times New Roman" w:eastAsia="宋体" w:cs="Times New Roman"/>
                <w:snapToGrid w:val="0"/>
                <w:color w:val="auto"/>
                <w:sz w:val="24"/>
                <w:highlight w:val="none"/>
              </w:rPr>
              <w:t>、总磷</w:t>
            </w:r>
            <w:r>
              <w:rPr>
                <w:rFonts w:hint="default" w:ascii="Times New Roman" w:hAnsi="Times New Roman" w:eastAsia="宋体" w:cs="Times New Roman"/>
                <w:snapToGrid w:val="0"/>
                <w:color w:val="auto"/>
                <w:sz w:val="24"/>
                <w:highlight w:val="none"/>
                <w:lang w:val="en-US" w:eastAsia="zh-CN"/>
              </w:rPr>
              <w:t>-8mg/L、动植物油-7mg/L</w:t>
            </w:r>
            <w:r>
              <w:rPr>
                <w:rFonts w:hint="eastAsia" w:cs="Times New Roman"/>
                <w:snapToGrid w:val="0"/>
                <w:color w:val="auto"/>
                <w:sz w:val="24"/>
                <w:highlight w:val="none"/>
                <w:lang w:val="en-US" w:eastAsia="zh-CN"/>
              </w:rPr>
              <w:t>。</w:t>
            </w:r>
            <w:r>
              <w:rPr>
                <w:color w:val="auto"/>
                <w:sz w:val="24"/>
              </w:rPr>
              <w:t>项</w:t>
            </w:r>
            <w:r>
              <w:rPr>
                <w:rFonts w:hint="eastAsia"/>
                <w:color w:val="auto"/>
                <w:sz w:val="24"/>
              </w:rPr>
              <w:t>目依托的污水处理站</w:t>
            </w:r>
            <w:r>
              <w:rPr>
                <w:color w:val="auto"/>
                <w:sz w:val="24"/>
              </w:rPr>
              <w:t>采取“</w:t>
            </w:r>
            <w:r>
              <w:rPr>
                <w:rFonts w:hint="eastAsia" w:cs="Times New Roman"/>
                <w:color w:val="auto"/>
                <w:sz w:val="24"/>
                <w:szCs w:val="24"/>
                <w:highlight w:val="none"/>
                <w:lang w:val="en-US" w:eastAsia="zh-CN"/>
              </w:rPr>
              <w:t>曝气+沉降+光催化氧化+消毒</w:t>
            </w:r>
            <w:r>
              <w:rPr>
                <w:color w:val="auto"/>
                <w:sz w:val="24"/>
                <w:szCs w:val="24"/>
              </w:rPr>
              <w:t>”工</w:t>
            </w:r>
            <w:r>
              <w:rPr>
                <w:color w:val="auto"/>
                <w:sz w:val="24"/>
              </w:rPr>
              <w:t>艺处理项目运营过程中产生的</w:t>
            </w:r>
            <w:r>
              <w:rPr>
                <w:rFonts w:hint="eastAsia"/>
                <w:color w:val="auto"/>
                <w:sz w:val="24"/>
              </w:rPr>
              <w:t>生活</w:t>
            </w:r>
            <w:r>
              <w:rPr>
                <w:color w:val="auto"/>
                <w:sz w:val="24"/>
              </w:rPr>
              <w:t>废水</w:t>
            </w:r>
            <w:r>
              <w:rPr>
                <w:rFonts w:hint="eastAsia"/>
                <w:color w:val="auto"/>
                <w:sz w:val="24"/>
              </w:rPr>
              <w:t>，</w:t>
            </w:r>
            <w:r>
              <w:rPr>
                <w:rFonts w:hint="eastAsia"/>
                <w:color w:val="auto"/>
                <w:sz w:val="24"/>
                <w:lang w:eastAsia="zh-CN"/>
              </w:rPr>
              <w:t>光催化氧化为高级氧化工艺，</w:t>
            </w:r>
            <w:r>
              <w:rPr>
                <w:rFonts w:hint="eastAsia"/>
                <w:color w:val="auto"/>
                <w:sz w:val="24"/>
                <w:lang w:val="en-US" w:eastAsia="zh-CN"/>
              </w:rPr>
              <w:t>去除效率</w:t>
            </w:r>
            <w:r>
              <w:rPr>
                <w:rFonts w:hint="eastAsia" w:ascii="宋体" w:hAnsi="宋体" w:eastAsia="宋体" w:cs="宋体"/>
                <w:color w:val="auto"/>
                <w:kern w:val="0"/>
                <w:sz w:val="24"/>
                <w:szCs w:val="24"/>
                <w:lang w:val="en-US" w:eastAsia="zh-CN" w:bidi="ar"/>
              </w:rPr>
              <w:t>参考《生物接触氧化法污水处理工程技术规范》（</w:t>
            </w:r>
            <w:r>
              <w:rPr>
                <w:rFonts w:hint="default" w:ascii="Times New Roman" w:hAnsi="Times New Roman" w:eastAsia="宋体" w:cs="Times New Roman"/>
                <w:color w:val="auto"/>
                <w:kern w:val="0"/>
                <w:sz w:val="24"/>
                <w:szCs w:val="24"/>
                <w:lang w:val="en-US" w:eastAsia="zh-CN" w:bidi="ar"/>
              </w:rPr>
              <w:t>HJ2009-2011</w:t>
            </w:r>
            <w:r>
              <w:rPr>
                <w:rFonts w:hint="eastAsia" w:ascii="宋体" w:hAnsi="宋体" w:eastAsia="宋体" w:cs="宋体"/>
                <w:color w:val="auto"/>
                <w:kern w:val="0"/>
                <w:sz w:val="24"/>
                <w:szCs w:val="24"/>
                <w:lang w:val="en-US" w:eastAsia="zh-CN" w:bidi="ar"/>
              </w:rPr>
              <w:t>），生物接触氧化法对污染物的去除率为</w:t>
            </w:r>
            <w:r>
              <w:rPr>
                <w:rFonts w:hint="default" w:ascii="Times New Roman" w:hAnsi="Times New Roman" w:eastAsia="宋体" w:cs="Times New Roman"/>
                <w:color w:val="auto"/>
                <w:kern w:val="0"/>
                <w:sz w:val="24"/>
                <w:szCs w:val="24"/>
                <w:lang w:val="en-US" w:eastAsia="zh-CN" w:bidi="ar"/>
              </w:rPr>
              <w:t>SS70~90%</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BOD</w:t>
            </w:r>
            <w:r>
              <w:rPr>
                <w:rFonts w:hint="default" w:ascii="Times New Roman" w:hAnsi="Times New Roman" w:eastAsia="宋体" w:cs="Times New Roman"/>
                <w:color w:val="auto"/>
                <w:kern w:val="0"/>
                <w:sz w:val="24"/>
                <w:szCs w:val="24"/>
                <w:vertAlign w:val="subscript"/>
                <w:lang w:val="en-US" w:eastAsia="zh-CN" w:bidi="ar"/>
              </w:rPr>
              <w:t>5</w:t>
            </w:r>
            <w:r>
              <w:rPr>
                <w:rFonts w:hint="default" w:ascii="Times New Roman" w:hAnsi="Times New Roman" w:eastAsia="宋体" w:cs="Times New Roman"/>
                <w:color w:val="auto"/>
                <w:kern w:val="0"/>
                <w:sz w:val="24"/>
                <w:szCs w:val="24"/>
                <w:lang w:val="en-US" w:eastAsia="zh-CN" w:bidi="ar"/>
              </w:rPr>
              <w:t>80~95%</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COD 80~90%</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NH</w:t>
            </w:r>
            <w:r>
              <w:rPr>
                <w:rFonts w:hint="default" w:ascii="Times New Roman" w:hAnsi="Times New Roman" w:eastAsia="宋体" w:cs="Times New Roman"/>
                <w:color w:val="auto"/>
                <w:kern w:val="0"/>
                <w:sz w:val="24"/>
                <w:szCs w:val="24"/>
                <w:vertAlign w:val="subscript"/>
                <w:lang w:val="en-US" w:eastAsia="zh-CN" w:bidi="ar"/>
              </w:rPr>
              <w:t>3</w:t>
            </w:r>
            <w:r>
              <w:rPr>
                <w:rFonts w:hint="default" w:ascii="Times New Roman" w:hAnsi="Times New Roman" w:eastAsia="宋体" w:cs="Times New Roman"/>
                <w:color w:val="auto"/>
                <w:kern w:val="0"/>
                <w:sz w:val="24"/>
                <w:szCs w:val="24"/>
                <w:lang w:val="en-US" w:eastAsia="zh-CN" w:bidi="ar"/>
              </w:rPr>
              <w:t>-N60~90%</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TN50~80%</w:t>
            </w:r>
            <w:r>
              <w:rPr>
                <w:rFonts w:hint="eastAsia"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其中SS</w:t>
            </w:r>
            <w:r>
              <w:rPr>
                <w:rFonts w:hint="eastAsia" w:ascii="Times New Roman" w:hAnsi="Times New Roman" w:eastAsia="宋体" w:cs="Times New Roman"/>
                <w:color w:val="auto"/>
                <w:kern w:val="0"/>
                <w:sz w:val="24"/>
                <w:szCs w:val="24"/>
                <w:lang w:val="en-US" w:eastAsia="zh-CN" w:bidi="ar"/>
              </w:rPr>
              <w:t>取85</w:t>
            </w:r>
            <w:r>
              <w:rPr>
                <w:rFonts w:hint="default" w:ascii="Times New Roman" w:hAnsi="Times New Roman" w:eastAsia="宋体" w:cs="Times New Roman"/>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BOD</w:t>
            </w:r>
            <w:r>
              <w:rPr>
                <w:rFonts w:hint="default" w:ascii="Times New Roman" w:hAnsi="Times New Roman" w:eastAsia="宋体" w:cs="Times New Roman"/>
                <w:color w:val="auto"/>
                <w:kern w:val="0"/>
                <w:sz w:val="24"/>
                <w:szCs w:val="24"/>
                <w:vertAlign w:val="subscript"/>
                <w:lang w:val="en-US" w:eastAsia="zh-CN" w:bidi="ar"/>
              </w:rPr>
              <w:t>5</w:t>
            </w:r>
            <w:r>
              <w:rPr>
                <w:rFonts w:hint="eastAsia" w:ascii="Times New Roman" w:hAnsi="Times New Roman" w:eastAsia="宋体" w:cs="Times New Roman"/>
                <w:color w:val="auto"/>
                <w:kern w:val="0"/>
                <w:sz w:val="24"/>
                <w:szCs w:val="24"/>
                <w:lang w:val="en-US" w:eastAsia="zh-CN" w:bidi="ar"/>
              </w:rPr>
              <w:t>参考检测结果</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COD</w:t>
            </w:r>
            <w:r>
              <w:rPr>
                <w:rFonts w:hint="eastAsia" w:ascii="Times New Roman" w:hAnsi="Times New Roman" w:eastAsia="宋体" w:cs="Times New Roman"/>
                <w:color w:val="auto"/>
                <w:kern w:val="0"/>
                <w:sz w:val="24"/>
                <w:szCs w:val="24"/>
                <w:lang w:val="en-US" w:eastAsia="zh-CN" w:bidi="ar"/>
              </w:rPr>
              <w:t>取85</w:t>
            </w:r>
            <w:r>
              <w:rPr>
                <w:rFonts w:hint="default" w:ascii="Times New Roman" w:hAnsi="Times New Roman" w:eastAsia="宋体" w:cs="Times New Roman"/>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NH</w:t>
            </w:r>
            <w:r>
              <w:rPr>
                <w:rFonts w:hint="default" w:ascii="Times New Roman" w:hAnsi="Times New Roman" w:eastAsia="宋体" w:cs="Times New Roman"/>
                <w:color w:val="auto"/>
                <w:kern w:val="0"/>
                <w:sz w:val="24"/>
                <w:szCs w:val="24"/>
                <w:vertAlign w:val="subscript"/>
                <w:lang w:val="en-US" w:eastAsia="zh-CN" w:bidi="ar"/>
              </w:rPr>
              <w:t>3</w:t>
            </w:r>
            <w:r>
              <w:rPr>
                <w:rFonts w:hint="default" w:ascii="Times New Roman" w:hAnsi="Times New Roman" w:eastAsia="宋体" w:cs="Times New Roman"/>
                <w:color w:val="auto"/>
                <w:kern w:val="0"/>
                <w:sz w:val="24"/>
                <w:szCs w:val="24"/>
                <w:lang w:val="en-US" w:eastAsia="zh-CN" w:bidi="ar"/>
              </w:rPr>
              <w:t>-N</w:t>
            </w:r>
            <w:r>
              <w:rPr>
                <w:rFonts w:hint="eastAsia" w:ascii="Times New Roman" w:hAnsi="Times New Roman" w:eastAsia="宋体" w:cs="Times New Roman"/>
                <w:color w:val="auto"/>
                <w:kern w:val="0"/>
                <w:sz w:val="24"/>
                <w:szCs w:val="24"/>
                <w:lang w:val="en-US" w:eastAsia="zh-CN" w:bidi="ar"/>
              </w:rPr>
              <w:t>参考检测结果</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TP去除效率取60%。</w:t>
            </w:r>
          </w:p>
          <w:p w14:paraId="3340F7CA">
            <w:pPr>
              <w:keepNext w:val="0"/>
              <w:keepLines w:val="0"/>
              <w:pageBreakBefore w:val="0"/>
              <w:widowControl w:val="0"/>
              <w:kinsoku/>
              <w:wordWrap/>
              <w:overflowPunct/>
              <w:topLinePunct w:val="0"/>
              <w:autoSpaceDE/>
              <w:autoSpaceDN/>
              <w:bidi w:val="0"/>
              <w:adjustRightInd/>
              <w:snapToGrid w:val="0"/>
              <w:spacing w:line="336" w:lineRule="auto"/>
              <w:ind w:firstLine="482"/>
              <w:textAlignment w:val="auto"/>
              <w:rPr>
                <w:rFonts w:hint="default" w:ascii="Times New Roman" w:hAnsi="Times New Roman" w:eastAsia="宋体" w:cs="Times New Roman"/>
                <w:caps w:val="0"/>
                <w:snapToGrid w:val="0"/>
                <w:color w:val="auto"/>
                <w:spacing w:val="0"/>
                <w:w w:val="100"/>
                <w:position w:val="0"/>
                <w:sz w:val="24"/>
                <w:szCs w:val="24"/>
                <w:highlight w:val="none"/>
                <w:lang w:val="zh-CN"/>
              </w:rPr>
            </w:pPr>
            <w:r>
              <w:rPr>
                <w:rFonts w:hint="default" w:ascii="Times New Roman" w:hAnsi="Times New Roman" w:eastAsia="宋体" w:cs="Times New Roman"/>
                <w:color w:val="auto"/>
                <w:sz w:val="24"/>
                <w:szCs w:val="24"/>
                <w:highlight w:val="none"/>
                <w:lang w:val="en-US" w:eastAsia="zh-CN"/>
              </w:rPr>
              <w:t>本项目综合污水各</w:t>
            </w:r>
            <w:r>
              <w:rPr>
                <w:rFonts w:hint="default" w:ascii="Times New Roman" w:hAnsi="Times New Roman" w:eastAsia="宋体" w:cs="Times New Roman"/>
                <w:color w:val="auto"/>
                <w:sz w:val="24"/>
                <w:szCs w:val="24"/>
                <w:highlight w:val="none"/>
              </w:rPr>
              <w:t>污染物</w:t>
            </w:r>
            <w:r>
              <w:rPr>
                <w:rFonts w:hint="default" w:ascii="Times New Roman" w:hAnsi="Times New Roman" w:eastAsia="宋体" w:cs="Times New Roman"/>
                <w:color w:val="auto"/>
                <w:sz w:val="24"/>
                <w:szCs w:val="24"/>
                <w:highlight w:val="none"/>
                <w:lang w:val="en-US" w:eastAsia="zh-CN"/>
              </w:rPr>
              <w:t>产排</w:t>
            </w:r>
            <w:r>
              <w:rPr>
                <w:rFonts w:hint="default" w:ascii="Times New Roman" w:hAnsi="Times New Roman" w:eastAsia="宋体" w:cs="Times New Roman"/>
                <w:color w:val="auto"/>
                <w:sz w:val="24"/>
                <w:szCs w:val="24"/>
                <w:highlight w:val="none"/>
              </w:rPr>
              <w:t>情况见表</w:t>
            </w:r>
            <w:r>
              <w:rPr>
                <w:rFonts w:hint="default" w:ascii="Times New Roman" w:hAnsi="Times New Roman" w:eastAsia="宋体" w:cs="Times New Roman"/>
                <w:color w:val="auto"/>
                <w:sz w:val="24"/>
                <w:szCs w:val="24"/>
                <w:highlight w:val="none"/>
                <w:lang w:val="en-US" w:eastAsia="zh-CN"/>
              </w:rPr>
              <w:t>4-1</w:t>
            </w:r>
            <w:r>
              <w:rPr>
                <w:rFonts w:hint="eastAsia"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w:t>
            </w:r>
          </w:p>
          <w:p w14:paraId="0773C696">
            <w:pPr>
              <w:keepNext w:val="0"/>
              <w:keepLines w:val="0"/>
              <w:pageBreakBefore w:val="0"/>
              <w:widowControl w:val="0"/>
              <w:kinsoku/>
              <w:wordWrap/>
              <w:overflowPunct/>
              <w:topLinePunct w:val="0"/>
              <w:bidi w:val="0"/>
              <w:snapToGrid w:val="0"/>
              <w:spacing w:line="240" w:lineRule="auto"/>
              <w:jc w:val="center"/>
              <w:rPr>
                <w:rFonts w:hint="default" w:ascii="Times New Roman" w:hAnsi="Times New Roman" w:eastAsia="宋体" w:cs="Times New Roman"/>
                <w:b/>
                <w:caps w:val="0"/>
                <w:snapToGrid w:val="0"/>
                <w:color w:val="auto"/>
                <w:spacing w:val="0"/>
                <w:w w:val="100"/>
                <w:position w:val="0"/>
                <w:sz w:val="21"/>
                <w:szCs w:val="21"/>
                <w:highlight w:val="yellow"/>
              </w:rPr>
            </w:pPr>
            <w:r>
              <w:rPr>
                <w:rFonts w:hint="default" w:ascii="Times New Roman" w:hAnsi="Times New Roman" w:eastAsia="宋体" w:cs="Times New Roman"/>
                <w:b/>
                <w:caps w:val="0"/>
                <w:snapToGrid w:val="0"/>
                <w:color w:val="auto"/>
                <w:spacing w:val="0"/>
                <w:w w:val="100"/>
                <w:position w:val="0"/>
                <w:sz w:val="21"/>
                <w:szCs w:val="21"/>
                <w:highlight w:val="none"/>
              </w:rPr>
              <w:t>表</w:t>
            </w:r>
            <w:r>
              <w:rPr>
                <w:rFonts w:hint="default" w:ascii="Times New Roman" w:hAnsi="Times New Roman" w:eastAsia="宋体" w:cs="Times New Roman"/>
                <w:b/>
                <w:caps w:val="0"/>
                <w:snapToGrid w:val="0"/>
                <w:color w:val="auto"/>
                <w:spacing w:val="0"/>
                <w:w w:val="100"/>
                <w:position w:val="0"/>
                <w:sz w:val="21"/>
                <w:szCs w:val="21"/>
                <w:highlight w:val="none"/>
                <w:lang w:val="en-US" w:eastAsia="zh-CN"/>
              </w:rPr>
              <w:t>4-1</w:t>
            </w:r>
            <w:r>
              <w:rPr>
                <w:rFonts w:hint="eastAsia" w:cs="Times New Roman"/>
                <w:b/>
                <w:caps w:val="0"/>
                <w:snapToGrid w:val="0"/>
                <w:color w:val="auto"/>
                <w:spacing w:val="0"/>
                <w:w w:val="100"/>
                <w:position w:val="0"/>
                <w:sz w:val="21"/>
                <w:szCs w:val="21"/>
                <w:highlight w:val="none"/>
                <w:lang w:val="en-US" w:eastAsia="zh-CN"/>
              </w:rPr>
              <w:t>4</w:t>
            </w:r>
            <w:r>
              <w:rPr>
                <w:rFonts w:hint="default" w:ascii="Times New Roman" w:hAnsi="Times New Roman" w:eastAsia="宋体" w:cs="Times New Roman"/>
                <w:b/>
                <w:caps w:val="0"/>
                <w:snapToGrid w:val="0"/>
                <w:color w:val="auto"/>
                <w:spacing w:val="0"/>
                <w:w w:val="100"/>
                <w:position w:val="0"/>
                <w:sz w:val="21"/>
                <w:szCs w:val="21"/>
                <w:highlight w:val="none"/>
              </w:rPr>
              <w:t xml:space="preserve">  项目污染物产排情况汇总表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819"/>
              <w:gridCol w:w="798"/>
              <w:gridCol w:w="875"/>
              <w:gridCol w:w="488"/>
              <w:gridCol w:w="641"/>
              <w:gridCol w:w="848"/>
              <w:gridCol w:w="971"/>
              <w:gridCol w:w="812"/>
              <w:gridCol w:w="602"/>
              <w:gridCol w:w="745"/>
            </w:tblGrid>
            <w:tr w14:paraId="37766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473" w:type="pct"/>
                  <w:vMerge w:val="restart"/>
                  <w:noWrap w:val="0"/>
                  <w:vAlign w:val="center"/>
                </w:tcPr>
                <w:p w14:paraId="14BADC64">
                  <w:pPr>
                    <w:keepNext w:val="0"/>
                    <w:keepLines w:val="0"/>
                    <w:widowControl/>
                    <w:suppressLineNumbers w:val="0"/>
                    <w:jc w:val="center"/>
                    <w:textAlignment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污染源编号</w:t>
                  </w:r>
                </w:p>
              </w:tc>
              <w:tc>
                <w:tcPr>
                  <w:tcW w:w="487" w:type="pct"/>
                  <w:vMerge w:val="restart"/>
                  <w:noWrap w:val="0"/>
                  <w:vAlign w:val="center"/>
                </w:tcPr>
                <w:p w14:paraId="176D06AB">
                  <w:pPr>
                    <w:keepNext w:val="0"/>
                    <w:keepLines w:val="0"/>
                    <w:widowControl/>
                    <w:suppressLineNumbers w:val="0"/>
                    <w:jc w:val="center"/>
                    <w:textAlignment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污染物</w:t>
                  </w:r>
                </w:p>
              </w:tc>
              <w:tc>
                <w:tcPr>
                  <w:tcW w:w="475" w:type="pct"/>
                  <w:vMerge w:val="restart"/>
                  <w:noWrap w:val="0"/>
                  <w:vAlign w:val="center"/>
                </w:tcPr>
                <w:p w14:paraId="0A21B3F7">
                  <w:pPr>
                    <w:keepNext w:val="0"/>
                    <w:keepLines w:val="0"/>
                    <w:widowControl/>
                    <w:suppressLineNumbers w:val="0"/>
                    <w:jc w:val="center"/>
                    <w:textAlignment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产生浓度mg/L</w:t>
                  </w:r>
                </w:p>
              </w:tc>
              <w:tc>
                <w:tcPr>
                  <w:tcW w:w="521" w:type="pct"/>
                  <w:vMerge w:val="restart"/>
                  <w:noWrap w:val="0"/>
                  <w:vAlign w:val="center"/>
                </w:tcPr>
                <w:p w14:paraId="01B4D144">
                  <w:pPr>
                    <w:keepNext w:val="0"/>
                    <w:keepLines w:val="0"/>
                    <w:widowControl/>
                    <w:suppressLineNumbers w:val="0"/>
                    <w:jc w:val="center"/>
                    <w:textAlignment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产生量（t/a）</w:t>
                  </w:r>
                </w:p>
              </w:tc>
              <w:tc>
                <w:tcPr>
                  <w:tcW w:w="672" w:type="pct"/>
                  <w:gridSpan w:val="2"/>
                  <w:noWrap w:val="0"/>
                  <w:vAlign w:val="center"/>
                </w:tcPr>
                <w:p w14:paraId="20EBDE5A">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去除效率（%）</w:t>
                  </w:r>
                </w:p>
              </w:tc>
              <w:tc>
                <w:tcPr>
                  <w:tcW w:w="505" w:type="pct"/>
                  <w:vMerge w:val="restart"/>
                  <w:noWrap w:val="0"/>
                  <w:vAlign w:val="center"/>
                </w:tcPr>
                <w:p w14:paraId="317C2A30">
                  <w:pPr>
                    <w:keepNext w:val="0"/>
                    <w:keepLines w:val="0"/>
                    <w:widowControl/>
                    <w:suppressLineNumbers w:val="0"/>
                    <w:jc w:val="center"/>
                    <w:textAlignment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削减量（t/a）</w:t>
                  </w:r>
                </w:p>
              </w:tc>
              <w:tc>
                <w:tcPr>
                  <w:tcW w:w="578" w:type="pct"/>
                  <w:vMerge w:val="restart"/>
                  <w:noWrap w:val="0"/>
                  <w:vAlign w:val="center"/>
                </w:tcPr>
                <w:p w14:paraId="00EBBE02">
                  <w:pPr>
                    <w:keepNext w:val="0"/>
                    <w:keepLines w:val="0"/>
                    <w:widowControl/>
                    <w:suppressLineNumbers w:val="0"/>
                    <w:jc w:val="center"/>
                    <w:textAlignment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处理后浓度mg/L</w:t>
                  </w:r>
                </w:p>
              </w:tc>
              <w:tc>
                <w:tcPr>
                  <w:tcW w:w="483" w:type="pct"/>
                  <w:vMerge w:val="restart"/>
                  <w:noWrap w:val="0"/>
                  <w:vAlign w:val="center"/>
                </w:tcPr>
                <w:p w14:paraId="6F4C99B9">
                  <w:pPr>
                    <w:keepNext w:val="0"/>
                    <w:keepLines w:val="0"/>
                    <w:widowControl/>
                    <w:suppressLineNumbers w:val="0"/>
                    <w:jc w:val="center"/>
                    <w:textAlignment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处理后量（t/a）</w:t>
                  </w:r>
                </w:p>
              </w:tc>
              <w:tc>
                <w:tcPr>
                  <w:tcW w:w="358" w:type="pct"/>
                  <w:vMerge w:val="restart"/>
                  <w:noWrap w:val="0"/>
                  <w:vAlign w:val="center"/>
                </w:tcPr>
                <w:p w14:paraId="3AA55DF9">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标准值</w:t>
                  </w:r>
                </w:p>
              </w:tc>
              <w:tc>
                <w:tcPr>
                  <w:tcW w:w="443" w:type="pct"/>
                  <w:vMerge w:val="restart"/>
                  <w:noWrap w:val="0"/>
                  <w:vAlign w:val="center"/>
                </w:tcPr>
                <w:p w14:paraId="23A373E2">
                  <w:pPr>
                    <w:keepNext w:val="0"/>
                    <w:keepLines w:val="0"/>
                    <w:widowControl/>
                    <w:suppressLineNumbers w:val="0"/>
                    <w:jc w:val="center"/>
                    <w:textAlignment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bidi="ar"/>
                    </w:rPr>
                    <w:t>达标情况</w:t>
                  </w:r>
                </w:p>
              </w:tc>
            </w:tr>
            <w:tr w14:paraId="6EAE9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473" w:type="pct"/>
                  <w:vMerge w:val="continue"/>
                  <w:noWrap w:val="0"/>
                  <w:vAlign w:val="center"/>
                </w:tcPr>
                <w:p w14:paraId="62EAFFB9">
                  <w:pPr>
                    <w:keepNext w:val="0"/>
                    <w:keepLines w:val="0"/>
                    <w:widowControl/>
                    <w:suppressLineNumbers w:val="0"/>
                    <w:jc w:val="center"/>
                    <w:textAlignment w:val="center"/>
                    <w:rPr>
                      <w:color w:val="auto"/>
                    </w:rPr>
                  </w:pPr>
                </w:p>
              </w:tc>
              <w:tc>
                <w:tcPr>
                  <w:tcW w:w="487" w:type="pct"/>
                  <w:vMerge w:val="continue"/>
                  <w:noWrap w:val="0"/>
                  <w:vAlign w:val="center"/>
                </w:tcPr>
                <w:p w14:paraId="6D8D32E3">
                  <w:pPr>
                    <w:keepNext w:val="0"/>
                    <w:keepLines w:val="0"/>
                    <w:widowControl/>
                    <w:suppressLineNumbers w:val="0"/>
                    <w:jc w:val="center"/>
                    <w:textAlignment w:val="center"/>
                    <w:rPr>
                      <w:color w:val="auto"/>
                    </w:rPr>
                  </w:pPr>
                </w:p>
              </w:tc>
              <w:tc>
                <w:tcPr>
                  <w:tcW w:w="475" w:type="pct"/>
                  <w:vMerge w:val="continue"/>
                  <w:noWrap w:val="0"/>
                  <w:vAlign w:val="center"/>
                </w:tcPr>
                <w:p w14:paraId="42FC597F">
                  <w:pPr>
                    <w:keepNext w:val="0"/>
                    <w:keepLines w:val="0"/>
                    <w:widowControl/>
                    <w:suppressLineNumbers w:val="0"/>
                    <w:jc w:val="center"/>
                    <w:textAlignment w:val="center"/>
                    <w:rPr>
                      <w:color w:val="auto"/>
                    </w:rPr>
                  </w:pPr>
                </w:p>
              </w:tc>
              <w:tc>
                <w:tcPr>
                  <w:tcW w:w="521" w:type="pct"/>
                  <w:vMerge w:val="continue"/>
                  <w:noWrap w:val="0"/>
                  <w:vAlign w:val="center"/>
                </w:tcPr>
                <w:p w14:paraId="6531ED16">
                  <w:pPr>
                    <w:keepNext w:val="0"/>
                    <w:keepLines w:val="0"/>
                    <w:widowControl/>
                    <w:suppressLineNumbers w:val="0"/>
                    <w:jc w:val="center"/>
                    <w:textAlignment w:val="center"/>
                    <w:rPr>
                      <w:color w:val="auto"/>
                    </w:rPr>
                  </w:pPr>
                </w:p>
              </w:tc>
              <w:tc>
                <w:tcPr>
                  <w:tcW w:w="290" w:type="pct"/>
                  <w:noWrap w:val="0"/>
                  <w:vAlign w:val="center"/>
                </w:tcPr>
                <w:p w14:paraId="2FEEE745">
                  <w:pPr>
                    <w:keepNext w:val="0"/>
                    <w:keepLines w:val="0"/>
                    <w:widowControl/>
                    <w:suppressLineNumbers w:val="0"/>
                    <w:jc w:val="center"/>
                    <w:textAlignment w:val="center"/>
                    <w:rPr>
                      <w:rFonts w:hint="eastAsia" w:eastAsia="宋体"/>
                      <w:b/>
                      <w:bCs/>
                      <w:color w:val="auto"/>
                      <w:lang w:eastAsia="zh-CN"/>
                    </w:rPr>
                  </w:pPr>
                  <w:r>
                    <w:rPr>
                      <w:rFonts w:hint="eastAsia"/>
                      <w:b/>
                      <w:bCs/>
                      <w:color w:val="auto"/>
                      <w:lang w:eastAsia="zh-CN"/>
                    </w:rPr>
                    <w:t>化粪池</w:t>
                  </w:r>
                </w:p>
              </w:tc>
              <w:tc>
                <w:tcPr>
                  <w:tcW w:w="381" w:type="pct"/>
                  <w:noWrap w:val="0"/>
                  <w:vAlign w:val="center"/>
                </w:tcPr>
                <w:p w14:paraId="26B1F019">
                  <w:pPr>
                    <w:keepNext w:val="0"/>
                    <w:keepLines w:val="0"/>
                    <w:widowControl/>
                    <w:suppressLineNumbers w:val="0"/>
                    <w:jc w:val="center"/>
                    <w:textAlignment w:val="center"/>
                    <w:rPr>
                      <w:rFonts w:hint="eastAsia" w:eastAsia="宋体"/>
                      <w:b/>
                      <w:bCs/>
                      <w:color w:val="auto"/>
                      <w:lang w:eastAsia="zh-CN"/>
                    </w:rPr>
                  </w:pPr>
                  <w:r>
                    <w:rPr>
                      <w:rFonts w:hint="eastAsia"/>
                      <w:b/>
                      <w:bCs/>
                      <w:color w:val="auto"/>
                      <w:lang w:eastAsia="zh-CN"/>
                    </w:rPr>
                    <w:t>污水处理站</w:t>
                  </w:r>
                </w:p>
              </w:tc>
              <w:tc>
                <w:tcPr>
                  <w:tcW w:w="505" w:type="pct"/>
                  <w:vMerge w:val="continue"/>
                  <w:noWrap w:val="0"/>
                  <w:vAlign w:val="center"/>
                </w:tcPr>
                <w:p w14:paraId="4AF19DD0">
                  <w:pPr>
                    <w:keepNext w:val="0"/>
                    <w:keepLines w:val="0"/>
                    <w:widowControl/>
                    <w:suppressLineNumbers w:val="0"/>
                    <w:jc w:val="center"/>
                    <w:textAlignment w:val="center"/>
                    <w:rPr>
                      <w:color w:val="auto"/>
                    </w:rPr>
                  </w:pPr>
                </w:p>
              </w:tc>
              <w:tc>
                <w:tcPr>
                  <w:tcW w:w="578" w:type="pct"/>
                  <w:vMerge w:val="continue"/>
                  <w:noWrap w:val="0"/>
                  <w:vAlign w:val="center"/>
                </w:tcPr>
                <w:p w14:paraId="2EAAD27C">
                  <w:pPr>
                    <w:keepNext w:val="0"/>
                    <w:keepLines w:val="0"/>
                    <w:widowControl/>
                    <w:suppressLineNumbers w:val="0"/>
                    <w:jc w:val="center"/>
                    <w:textAlignment w:val="center"/>
                    <w:rPr>
                      <w:color w:val="auto"/>
                    </w:rPr>
                  </w:pPr>
                </w:p>
              </w:tc>
              <w:tc>
                <w:tcPr>
                  <w:tcW w:w="483" w:type="pct"/>
                  <w:vMerge w:val="continue"/>
                  <w:noWrap w:val="0"/>
                  <w:vAlign w:val="center"/>
                </w:tcPr>
                <w:p w14:paraId="33487396">
                  <w:pPr>
                    <w:keepNext w:val="0"/>
                    <w:keepLines w:val="0"/>
                    <w:widowControl/>
                    <w:suppressLineNumbers w:val="0"/>
                    <w:jc w:val="center"/>
                    <w:textAlignment w:val="center"/>
                    <w:rPr>
                      <w:color w:val="auto"/>
                    </w:rPr>
                  </w:pPr>
                </w:p>
              </w:tc>
              <w:tc>
                <w:tcPr>
                  <w:tcW w:w="358" w:type="pct"/>
                  <w:vMerge w:val="continue"/>
                  <w:noWrap w:val="0"/>
                  <w:vAlign w:val="center"/>
                </w:tcPr>
                <w:p w14:paraId="6B209E35">
                  <w:pPr>
                    <w:keepNext w:val="0"/>
                    <w:keepLines w:val="0"/>
                    <w:widowControl/>
                    <w:suppressLineNumbers w:val="0"/>
                    <w:jc w:val="center"/>
                    <w:textAlignment w:val="center"/>
                    <w:rPr>
                      <w:color w:val="auto"/>
                    </w:rPr>
                  </w:pPr>
                </w:p>
              </w:tc>
              <w:tc>
                <w:tcPr>
                  <w:tcW w:w="443" w:type="pct"/>
                  <w:vMerge w:val="continue"/>
                  <w:noWrap w:val="0"/>
                  <w:vAlign w:val="center"/>
                </w:tcPr>
                <w:p w14:paraId="6DC3B2AA">
                  <w:pPr>
                    <w:keepNext w:val="0"/>
                    <w:keepLines w:val="0"/>
                    <w:widowControl/>
                    <w:suppressLineNumbers w:val="0"/>
                    <w:jc w:val="center"/>
                    <w:textAlignment w:val="center"/>
                    <w:rPr>
                      <w:color w:val="auto"/>
                    </w:rPr>
                  </w:pPr>
                </w:p>
              </w:tc>
            </w:tr>
            <w:tr w14:paraId="270EB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3" w:type="pct"/>
                  <w:vMerge w:val="restart"/>
                  <w:noWrap w:val="0"/>
                  <w:vAlign w:val="center"/>
                </w:tcPr>
                <w:p w14:paraId="449DA002">
                  <w:pPr>
                    <w:keepNext w:val="0"/>
                    <w:keepLines w:val="0"/>
                    <w:widowControl/>
                    <w:suppressLineNumbers w:val="0"/>
                    <w:jc w:val="center"/>
                    <w:textAlignment w:val="center"/>
                    <w:rPr>
                      <w:rFonts w:hint="default" w:ascii="Times New Roman" w:hAnsi="Times New Roman" w:eastAsia="宋体" w:cs="Times New Roman"/>
                      <w:color w:val="auto"/>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综合污水（食堂、冲厕、盥洗、办公）</w:t>
                  </w:r>
                </w:p>
              </w:tc>
              <w:tc>
                <w:tcPr>
                  <w:tcW w:w="487" w:type="pct"/>
                  <w:noWrap w:val="0"/>
                  <w:vAlign w:val="center"/>
                </w:tcPr>
                <w:p w14:paraId="489C86A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废水</w:t>
                  </w:r>
                </w:p>
              </w:tc>
              <w:tc>
                <w:tcPr>
                  <w:tcW w:w="475" w:type="pct"/>
                  <w:noWrap w:val="0"/>
                  <w:vAlign w:val="center"/>
                </w:tcPr>
                <w:p w14:paraId="60057D4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521" w:type="pct"/>
                  <w:noWrap w:val="0"/>
                  <w:vAlign w:val="center"/>
                </w:tcPr>
                <w:p w14:paraId="7EEF7F4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656</w:t>
                  </w:r>
                </w:p>
              </w:tc>
              <w:tc>
                <w:tcPr>
                  <w:tcW w:w="290" w:type="pct"/>
                  <w:noWrap w:val="0"/>
                  <w:vAlign w:val="center"/>
                </w:tcPr>
                <w:p w14:paraId="18A38175">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381" w:type="pct"/>
                  <w:noWrap w:val="0"/>
                  <w:vAlign w:val="center"/>
                </w:tcPr>
                <w:p w14:paraId="33D899F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505" w:type="pct"/>
                  <w:noWrap w:val="0"/>
                  <w:vAlign w:val="center"/>
                </w:tcPr>
                <w:p w14:paraId="68B0608E">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78" w:type="pct"/>
                  <w:noWrap w:val="0"/>
                  <w:vAlign w:val="center"/>
                </w:tcPr>
                <w:p w14:paraId="68CB2D5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83" w:type="pct"/>
                  <w:noWrap w:val="0"/>
                  <w:vAlign w:val="center"/>
                </w:tcPr>
                <w:p w14:paraId="008D638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i w:val="0"/>
                      <w:iCs w:val="0"/>
                      <w:color w:val="auto"/>
                      <w:kern w:val="0"/>
                      <w:sz w:val="21"/>
                      <w:szCs w:val="21"/>
                      <w:u w:val="none"/>
                      <w:lang w:val="en-US" w:eastAsia="zh-CN" w:bidi="ar"/>
                    </w:rPr>
                    <w:t>656</w:t>
                  </w:r>
                </w:p>
              </w:tc>
              <w:tc>
                <w:tcPr>
                  <w:tcW w:w="358" w:type="pct"/>
                  <w:noWrap w:val="0"/>
                  <w:vAlign w:val="center"/>
                </w:tcPr>
                <w:p w14:paraId="452FF6E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43" w:type="pct"/>
                  <w:noWrap w:val="0"/>
                  <w:vAlign w:val="center"/>
                </w:tcPr>
                <w:p w14:paraId="324F519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14:paraId="6F27A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3" w:type="pct"/>
                  <w:vMerge w:val="continue"/>
                  <w:noWrap w:val="0"/>
                  <w:vAlign w:val="center"/>
                </w:tcPr>
                <w:p w14:paraId="231C77EB">
                  <w:pPr>
                    <w:jc w:val="center"/>
                    <w:rPr>
                      <w:rFonts w:hint="default" w:ascii="Times New Roman" w:hAnsi="Times New Roman" w:eastAsia="宋体" w:cs="Times New Roman"/>
                      <w:color w:val="auto"/>
                      <w:highlight w:val="none"/>
                    </w:rPr>
                  </w:pPr>
                </w:p>
              </w:tc>
              <w:tc>
                <w:tcPr>
                  <w:tcW w:w="487" w:type="pct"/>
                  <w:noWrap w:val="0"/>
                  <w:vAlign w:val="center"/>
                </w:tcPr>
                <w:p w14:paraId="1422956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PH</w:t>
                  </w:r>
                </w:p>
              </w:tc>
              <w:tc>
                <w:tcPr>
                  <w:tcW w:w="475" w:type="pct"/>
                  <w:noWrap w:val="0"/>
                  <w:vAlign w:val="center"/>
                </w:tcPr>
                <w:p w14:paraId="685AD55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6-9</w:t>
                  </w:r>
                </w:p>
              </w:tc>
              <w:tc>
                <w:tcPr>
                  <w:tcW w:w="521" w:type="pct"/>
                  <w:noWrap w:val="0"/>
                  <w:vAlign w:val="center"/>
                </w:tcPr>
                <w:p w14:paraId="7AA27B4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290" w:type="pct"/>
                  <w:noWrap w:val="0"/>
                  <w:vAlign w:val="center"/>
                </w:tcPr>
                <w:p w14:paraId="7D016F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381" w:type="pct"/>
                  <w:noWrap w:val="0"/>
                  <w:vAlign w:val="center"/>
                </w:tcPr>
                <w:p w14:paraId="3001D9A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505" w:type="pct"/>
                  <w:noWrap w:val="0"/>
                  <w:vAlign w:val="center"/>
                </w:tcPr>
                <w:p w14:paraId="1A72B60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578" w:type="pct"/>
                  <w:noWrap w:val="0"/>
                  <w:vAlign w:val="center"/>
                </w:tcPr>
                <w:p w14:paraId="5770B2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7.1</w:t>
                  </w:r>
                </w:p>
              </w:tc>
              <w:tc>
                <w:tcPr>
                  <w:tcW w:w="483" w:type="pct"/>
                  <w:noWrap w:val="0"/>
                  <w:vAlign w:val="center"/>
                </w:tcPr>
                <w:p w14:paraId="29F7851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p>
              </w:tc>
              <w:tc>
                <w:tcPr>
                  <w:tcW w:w="358" w:type="pct"/>
                  <w:noWrap w:val="0"/>
                  <w:vAlign w:val="center"/>
                </w:tcPr>
                <w:p w14:paraId="4A0ACBF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6-9</w:t>
                  </w:r>
                </w:p>
              </w:tc>
              <w:tc>
                <w:tcPr>
                  <w:tcW w:w="443" w:type="pct"/>
                  <w:noWrap w:val="0"/>
                  <w:vAlign w:val="center"/>
                </w:tcPr>
                <w:p w14:paraId="3122E7C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达标</w:t>
                  </w:r>
                </w:p>
              </w:tc>
            </w:tr>
            <w:tr w14:paraId="1DD81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3" w:type="pct"/>
                  <w:vMerge w:val="continue"/>
                  <w:noWrap w:val="0"/>
                  <w:vAlign w:val="center"/>
                </w:tcPr>
                <w:p w14:paraId="1284A5E7">
                  <w:pPr>
                    <w:jc w:val="center"/>
                    <w:rPr>
                      <w:rFonts w:hint="default" w:ascii="Times New Roman" w:hAnsi="Times New Roman" w:eastAsia="宋体" w:cs="Times New Roman"/>
                      <w:color w:val="auto"/>
                      <w:highlight w:val="none"/>
                    </w:rPr>
                  </w:pPr>
                </w:p>
              </w:tc>
              <w:tc>
                <w:tcPr>
                  <w:tcW w:w="487" w:type="pct"/>
                  <w:noWrap w:val="0"/>
                  <w:vAlign w:val="center"/>
                </w:tcPr>
                <w:p w14:paraId="0EB9F60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COD</w:t>
                  </w:r>
                </w:p>
              </w:tc>
              <w:tc>
                <w:tcPr>
                  <w:tcW w:w="475" w:type="pct"/>
                  <w:noWrap w:val="0"/>
                  <w:vAlign w:val="center"/>
                </w:tcPr>
                <w:p w14:paraId="0705936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5</w:t>
                  </w:r>
                  <w:r>
                    <w:rPr>
                      <w:rFonts w:hint="eastAsia"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0</w:t>
                  </w:r>
                </w:p>
              </w:tc>
              <w:tc>
                <w:tcPr>
                  <w:tcW w:w="521" w:type="pct"/>
                  <w:noWrap w:val="0"/>
                  <w:vAlign w:val="center"/>
                </w:tcPr>
                <w:p w14:paraId="5C82084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u w:val="none"/>
                      <w:lang w:val="en-US" w:eastAsia="zh-CN" w:bidi="ar"/>
                    </w:rPr>
                    <w:t xml:space="preserve">0.3411 </w:t>
                  </w:r>
                </w:p>
              </w:tc>
              <w:tc>
                <w:tcPr>
                  <w:tcW w:w="290" w:type="pct"/>
                  <w:noWrap w:val="0"/>
                  <w:vAlign w:val="center"/>
                </w:tcPr>
                <w:p w14:paraId="5F433D9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w:t>
                  </w:r>
                </w:p>
              </w:tc>
              <w:tc>
                <w:tcPr>
                  <w:tcW w:w="381" w:type="pct"/>
                  <w:noWrap w:val="0"/>
                  <w:vAlign w:val="center"/>
                </w:tcPr>
                <w:p w14:paraId="75454E3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85</w:t>
                  </w:r>
                </w:p>
              </w:tc>
              <w:tc>
                <w:tcPr>
                  <w:tcW w:w="505" w:type="pct"/>
                  <w:noWrap w:val="0"/>
                  <w:vAlign w:val="center"/>
                </w:tcPr>
                <w:p w14:paraId="55C62C4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0.3121 </w:t>
                  </w:r>
                </w:p>
              </w:tc>
              <w:tc>
                <w:tcPr>
                  <w:tcW w:w="578" w:type="pct"/>
                  <w:noWrap w:val="0"/>
                  <w:vAlign w:val="center"/>
                </w:tcPr>
                <w:p w14:paraId="4C74AE6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i w:val="0"/>
                      <w:iCs w:val="0"/>
                      <w:color w:val="auto"/>
                      <w:kern w:val="0"/>
                      <w:sz w:val="21"/>
                      <w:szCs w:val="21"/>
                      <w:u w:val="none"/>
                      <w:lang w:val="en-US" w:eastAsia="zh-CN" w:bidi="ar"/>
                    </w:rPr>
                    <w:t>66.3</w:t>
                  </w:r>
                </w:p>
              </w:tc>
              <w:tc>
                <w:tcPr>
                  <w:tcW w:w="483" w:type="pct"/>
                  <w:noWrap w:val="0"/>
                  <w:vAlign w:val="center"/>
                </w:tcPr>
                <w:p w14:paraId="0A67135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bidi="ar"/>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435</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358" w:type="pct"/>
                  <w:noWrap w:val="0"/>
                  <w:vAlign w:val="center"/>
                </w:tcPr>
                <w:p w14:paraId="107EA34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43" w:type="pct"/>
                  <w:noWrap w:val="0"/>
                  <w:vAlign w:val="center"/>
                </w:tcPr>
                <w:p w14:paraId="5C8C50A1">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461DF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3" w:type="pct"/>
                  <w:vMerge w:val="continue"/>
                  <w:noWrap w:val="0"/>
                  <w:vAlign w:val="center"/>
                </w:tcPr>
                <w:p w14:paraId="48EF79BF">
                  <w:pPr>
                    <w:jc w:val="center"/>
                    <w:rPr>
                      <w:rFonts w:hint="default" w:ascii="Times New Roman" w:hAnsi="Times New Roman" w:eastAsia="宋体" w:cs="Times New Roman"/>
                      <w:color w:val="auto"/>
                      <w:highlight w:val="none"/>
                    </w:rPr>
                  </w:pPr>
                </w:p>
              </w:tc>
              <w:tc>
                <w:tcPr>
                  <w:tcW w:w="487" w:type="pct"/>
                  <w:noWrap w:val="0"/>
                  <w:vAlign w:val="center"/>
                </w:tcPr>
                <w:p w14:paraId="1E6A4A0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BOD</w:t>
                  </w:r>
                  <w:r>
                    <w:rPr>
                      <w:rFonts w:hint="default" w:ascii="Times New Roman" w:hAnsi="Times New Roman" w:eastAsia="宋体" w:cs="Times New Roman"/>
                      <w:i w:val="0"/>
                      <w:iCs w:val="0"/>
                      <w:color w:val="auto"/>
                      <w:kern w:val="0"/>
                      <w:sz w:val="21"/>
                      <w:szCs w:val="21"/>
                      <w:u w:val="none"/>
                      <w:vertAlign w:val="subscript"/>
                      <w:lang w:val="en-US" w:eastAsia="zh-CN" w:bidi="ar"/>
                    </w:rPr>
                    <w:t>5</w:t>
                  </w:r>
                </w:p>
              </w:tc>
              <w:tc>
                <w:tcPr>
                  <w:tcW w:w="475" w:type="pct"/>
                  <w:noWrap w:val="0"/>
                  <w:vAlign w:val="center"/>
                </w:tcPr>
                <w:p w14:paraId="2A03A8A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00</w:t>
                  </w:r>
                </w:p>
              </w:tc>
              <w:tc>
                <w:tcPr>
                  <w:tcW w:w="521" w:type="pct"/>
                  <w:noWrap w:val="0"/>
                  <w:vAlign w:val="center"/>
                </w:tcPr>
                <w:p w14:paraId="7A8121E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u w:val="none"/>
                      <w:lang w:val="en-US" w:eastAsia="zh-CN" w:bidi="ar"/>
                    </w:rPr>
                    <w:t xml:space="preserve">0.1312 </w:t>
                  </w:r>
                </w:p>
              </w:tc>
              <w:tc>
                <w:tcPr>
                  <w:tcW w:w="290" w:type="pct"/>
                  <w:noWrap w:val="0"/>
                  <w:vAlign w:val="center"/>
                </w:tcPr>
                <w:p w14:paraId="0C440EA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w:t>
                  </w:r>
                </w:p>
              </w:tc>
              <w:tc>
                <w:tcPr>
                  <w:tcW w:w="381" w:type="pct"/>
                  <w:noWrap w:val="0"/>
                  <w:vAlign w:val="center"/>
                </w:tcPr>
                <w:p w14:paraId="5AE0DA8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97</w:t>
                  </w:r>
                </w:p>
              </w:tc>
              <w:tc>
                <w:tcPr>
                  <w:tcW w:w="505" w:type="pct"/>
                  <w:noWrap w:val="0"/>
                  <w:vAlign w:val="center"/>
                </w:tcPr>
                <w:p w14:paraId="27AA00E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0.1256 </w:t>
                  </w:r>
                </w:p>
              </w:tc>
              <w:tc>
                <w:tcPr>
                  <w:tcW w:w="578" w:type="pct"/>
                  <w:noWrap w:val="0"/>
                  <w:vAlign w:val="center"/>
                </w:tcPr>
                <w:p w14:paraId="1ECB240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5.3</w:t>
                  </w:r>
                </w:p>
              </w:tc>
              <w:tc>
                <w:tcPr>
                  <w:tcW w:w="483" w:type="pct"/>
                  <w:noWrap w:val="0"/>
                  <w:vAlign w:val="center"/>
                </w:tcPr>
                <w:p w14:paraId="2C595E7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bidi="ar"/>
                    </w:rPr>
                  </w:pPr>
                  <w:r>
                    <w:rPr>
                      <w:rFonts w:hint="default" w:ascii="Times New Roman" w:hAnsi="Times New Roman" w:eastAsia="宋体" w:cs="Times New Roman"/>
                      <w:i w:val="0"/>
                      <w:iCs w:val="0"/>
                      <w:color w:val="auto"/>
                      <w:kern w:val="0"/>
                      <w:sz w:val="21"/>
                      <w:szCs w:val="21"/>
                      <w:u w:val="none"/>
                      <w:lang w:val="en-US" w:eastAsia="zh-CN" w:bidi="ar"/>
                    </w:rPr>
                    <w:t>0.00</w:t>
                  </w:r>
                  <w:r>
                    <w:rPr>
                      <w:rFonts w:hint="eastAsia" w:cs="Times New Roman"/>
                      <w:i w:val="0"/>
                      <w:iCs w:val="0"/>
                      <w:color w:val="auto"/>
                      <w:kern w:val="0"/>
                      <w:sz w:val="21"/>
                      <w:szCs w:val="21"/>
                      <w:u w:val="none"/>
                      <w:lang w:val="en-US" w:eastAsia="zh-CN" w:bidi="ar"/>
                    </w:rPr>
                    <w:t>35</w:t>
                  </w:r>
                </w:p>
              </w:tc>
              <w:tc>
                <w:tcPr>
                  <w:tcW w:w="358" w:type="pct"/>
                  <w:noWrap w:val="0"/>
                  <w:vAlign w:val="center"/>
                </w:tcPr>
                <w:p w14:paraId="3E5D33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w:t>
                  </w:r>
                </w:p>
              </w:tc>
              <w:tc>
                <w:tcPr>
                  <w:tcW w:w="443" w:type="pct"/>
                  <w:noWrap w:val="0"/>
                  <w:vAlign w:val="center"/>
                </w:tcPr>
                <w:p w14:paraId="52DAB5A2">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415B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3" w:type="pct"/>
                  <w:vMerge w:val="continue"/>
                  <w:noWrap w:val="0"/>
                  <w:vAlign w:val="center"/>
                </w:tcPr>
                <w:p w14:paraId="016E7A9B">
                  <w:pPr>
                    <w:jc w:val="center"/>
                    <w:rPr>
                      <w:rFonts w:hint="default" w:ascii="Times New Roman" w:hAnsi="Times New Roman" w:eastAsia="宋体" w:cs="Times New Roman"/>
                      <w:color w:val="auto"/>
                      <w:highlight w:val="none"/>
                    </w:rPr>
                  </w:pPr>
                </w:p>
              </w:tc>
              <w:tc>
                <w:tcPr>
                  <w:tcW w:w="487" w:type="pct"/>
                  <w:noWrap w:val="0"/>
                  <w:vAlign w:val="center"/>
                </w:tcPr>
                <w:p w14:paraId="06D1502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SS</w:t>
                  </w:r>
                </w:p>
              </w:tc>
              <w:tc>
                <w:tcPr>
                  <w:tcW w:w="475" w:type="pct"/>
                  <w:noWrap w:val="0"/>
                  <w:vAlign w:val="center"/>
                </w:tcPr>
                <w:p w14:paraId="52AC7C3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20</w:t>
                  </w:r>
                  <w:r>
                    <w:rPr>
                      <w:rFonts w:hint="default" w:ascii="Times New Roman" w:hAnsi="Times New Roman" w:eastAsia="宋体" w:cs="Times New Roman"/>
                      <w:i w:val="0"/>
                      <w:iCs w:val="0"/>
                      <w:color w:val="auto"/>
                      <w:kern w:val="0"/>
                      <w:sz w:val="21"/>
                      <w:szCs w:val="21"/>
                      <w:u w:val="none"/>
                      <w:lang w:val="en-US" w:eastAsia="zh-CN" w:bidi="ar"/>
                    </w:rPr>
                    <w:t>0</w:t>
                  </w:r>
                </w:p>
              </w:tc>
              <w:tc>
                <w:tcPr>
                  <w:tcW w:w="521" w:type="pct"/>
                  <w:noWrap w:val="0"/>
                  <w:vAlign w:val="center"/>
                </w:tcPr>
                <w:p w14:paraId="0C6ACC0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bidi="ar"/>
                    </w:rPr>
                  </w:pPr>
                  <w:r>
                    <w:rPr>
                      <w:rFonts w:hint="default" w:ascii="Times New Roman" w:hAnsi="Times New Roman" w:eastAsia="宋体" w:cs="Times New Roman"/>
                      <w:i w:val="0"/>
                      <w:iCs w:val="0"/>
                      <w:color w:val="auto"/>
                      <w:kern w:val="0"/>
                      <w:sz w:val="21"/>
                      <w:szCs w:val="21"/>
                      <w:u w:val="none"/>
                      <w:lang w:val="en-US" w:eastAsia="zh-CN" w:bidi="ar"/>
                    </w:rPr>
                    <w:t xml:space="preserve">0.1312 </w:t>
                  </w:r>
                </w:p>
              </w:tc>
              <w:tc>
                <w:tcPr>
                  <w:tcW w:w="290" w:type="pct"/>
                  <w:noWrap w:val="0"/>
                  <w:vAlign w:val="center"/>
                </w:tcPr>
                <w:p w14:paraId="785B4C8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30</w:t>
                  </w:r>
                </w:p>
              </w:tc>
              <w:tc>
                <w:tcPr>
                  <w:tcW w:w="381" w:type="pct"/>
                  <w:noWrap w:val="0"/>
                  <w:vAlign w:val="center"/>
                </w:tcPr>
                <w:p w14:paraId="3E2636E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85</w:t>
                  </w:r>
                </w:p>
              </w:tc>
              <w:tc>
                <w:tcPr>
                  <w:tcW w:w="505" w:type="pct"/>
                  <w:noWrap w:val="0"/>
                  <w:vAlign w:val="center"/>
                </w:tcPr>
                <w:p w14:paraId="095C7EE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0.1303 </w:t>
                  </w:r>
                </w:p>
              </w:tc>
              <w:tc>
                <w:tcPr>
                  <w:tcW w:w="578" w:type="pct"/>
                  <w:noWrap w:val="0"/>
                  <w:vAlign w:val="center"/>
                </w:tcPr>
                <w:p w14:paraId="754928E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i w:val="0"/>
                      <w:iCs w:val="0"/>
                      <w:color w:val="auto"/>
                      <w:kern w:val="0"/>
                      <w:sz w:val="21"/>
                      <w:szCs w:val="21"/>
                      <w:u w:val="none"/>
                      <w:lang w:val="en-US" w:eastAsia="zh-CN" w:bidi="ar"/>
                    </w:rPr>
                    <w:t>21</w:t>
                  </w:r>
                </w:p>
              </w:tc>
              <w:tc>
                <w:tcPr>
                  <w:tcW w:w="483" w:type="pct"/>
                  <w:noWrap w:val="0"/>
                  <w:vAlign w:val="center"/>
                </w:tcPr>
                <w:p w14:paraId="17288F5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bidi="ar"/>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138</w:t>
                  </w:r>
                </w:p>
              </w:tc>
              <w:tc>
                <w:tcPr>
                  <w:tcW w:w="358" w:type="pct"/>
                  <w:noWrap w:val="0"/>
                  <w:vAlign w:val="center"/>
                </w:tcPr>
                <w:p w14:paraId="3DD04D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43" w:type="pct"/>
                  <w:noWrap w:val="0"/>
                  <w:vAlign w:val="center"/>
                </w:tcPr>
                <w:p w14:paraId="65B66C7B">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5F10B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3" w:type="pct"/>
                  <w:vMerge w:val="continue"/>
                  <w:noWrap w:val="0"/>
                  <w:vAlign w:val="center"/>
                </w:tcPr>
                <w:p w14:paraId="722FBB99">
                  <w:pPr>
                    <w:jc w:val="center"/>
                    <w:rPr>
                      <w:rFonts w:hint="default" w:ascii="Times New Roman" w:hAnsi="Times New Roman" w:eastAsia="宋体" w:cs="Times New Roman"/>
                      <w:color w:val="auto"/>
                      <w:highlight w:val="none"/>
                    </w:rPr>
                  </w:pPr>
                </w:p>
              </w:tc>
              <w:tc>
                <w:tcPr>
                  <w:tcW w:w="487" w:type="pct"/>
                  <w:noWrap w:val="0"/>
                  <w:vAlign w:val="center"/>
                </w:tcPr>
                <w:p w14:paraId="4436E35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NH</w:t>
                  </w:r>
                  <w:r>
                    <w:rPr>
                      <w:rFonts w:hint="default" w:ascii="Times New Roman" w:hAnsi="Times New Roman" w:eastAsia="宋体" w:cs="Times New Roman"/>
                      <w:i w:val="0"/>
                      <w:iCs w:val="0"/>
                      <w:color w:val="auto"/>
                      <w:kern w:val="0"/>
                      <w:sz w:val="21"/>
                      <w:szCs w:val="21"/>
                      <w:u w:val="none"/>
                      <w:vertAlign w:val="sub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-N</w:t>
                  </w:r>
                </w:p>
              </w:tc>
              <w:tc>
                <w:tcPr>
                  <w:tcW w:w="475" w:type="pct"/>
                  <w:noWrap w:val="0"/>
                  <w:vAlign w:val="center"/>
                </w:tcPr>
                <w:p w14:paraId="3933736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40</w:t>
                  </w:r>
                </w:p>
              </w:tc>
              <w:tc>
                <w:tcPr>
                  <w:tcW w:w="521" w:type="pct"/>
                  <w:noWrap w:val="0"/>
                  <w:vAlign w:val="center"/>
                </w:tcPr>
                <w:p w14:paraId="082077D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u w:val="none"/>
                      <w:lang w:val="en-US" w:eastAsia="zh-CN" w:bidi="ar"/>
                    </w:rPr>
                    <w:t xml:space="preserve">0.0262 </w:t>
                  </w:r>
                </w:p>
              </w:tc>
              <w:tc>
                <w:tcPr>
                  <w:tcW w:w="290" w:type="pct"/>
                  <w:noWrap w:val="0"/>
                  <w:vAlign w:val="center"/>
                </w:tcPr>
                <w:p w14:paraId="741DDAB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381" w:type="pct"/>
                  <w:noWrap w:val="0"/>
                  <w:vAlign w:val="center"/>
                </w:tcPr>
                <w:p w14:paraId="6D2C308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94.1</w:t>
                  </w:r>
                </w:p>
              </w:tc>
              <w:tc>
                <w:tcPr>
                  <w:tcW w:w="505" w:type="pct"/>
                  <w:noWrap w:val="0"/>
                  <w:vAlign w:val="center"/>
                </w:tcPr>
                <w:p w14:paraId="70FD11E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0.0236 </w:t>
                  </w:r>
                </w:p>
              </w:tc>
              <w:tc>
                <w:tcPr>
                  <w:tcW w:w="578" w:type="pct"/>
                  <w:noWrap w:val="0"/>
                  <w:vAlign w:val="center"/>
                </w:tcPr>
                <w:p w14:paraId="505EE22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i w:val="0"/>
                      <w:iCs w:val="0"/>
                      <w:color w:val="auto"/>
                      <w:kern w:val="0"/>
                      <w:sz w:val="21"/>
                      <w:szCs w:val="21"/>
                      <w:u w:val="none"/>
                      <w:lang w:val="en-US" w:eastAsia="zh-CN" w:bidi="ar"/>
                    </w:rPr>
                    <w:t>2.36</w:t>
                  </w:r>
                </w:p>
              </w:tc>
              <w:tc>
                <w:tcPr>
                  <w:tcW w:w="483" w:type="pct"/>
                  <w:noWrap w:val="0"/>
                  <w:vAlign w:val="center"/>
                </w:tcPr>
                <w:p w14:paraId="303C314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bidi="ar"/>
                    </w:rPr>
                  </w:pPr>
                  <w:r>
                    <w:rPr>
                      <w:rFonts w:hint="default" w:ascii="Times New Roman" w:hAnsi="Times New Roman" w:eastAsia="宋体" w:cs="Times New Roman"/>
                      <w:i w:val="0"/>
                      <w:iCs w:val="0"/>
                      <w:color w:val="auto"/>
                      <w:kern w:val="0"/>
                      <w:sz w:val="21"/>
                      <w:szCs w:val="21"/>
                      <w:u w:val="none"/>
                      <w:lang w:val="en-US" w:eastAsia="zh-CN" w:bidi="ar"/>
                    </w:rPr>
                    <w:t>0.00</w:t>
                  </w:r>
                  <w:r>
                    <w:rPr>
                      <w:rFonts w:hint="eastAsia" w:cs="Times New Roman"/>
                      <w:i w:val="0"/>
                      <w:iCs w:val="0"/>
                      <w:color w:val="auto"/>
                      <w:kern w:val="0"/>
                      <w:sz w:val="21"/>
                      <w:szCs w:val="21"/>
                      <w:u w:val="none"/>
                      <w:lang w:val="en-US" w:eastAsia="zh-CN" w:bidi="ar"/>
                    </w:rPr>
                    <w:t>15</w:t>
                  </w:r>
                </w:p>
              </w:tc>
              <w:tc>
                <w:tcPr>
                  <w:tcW w:w="358" w:type="pct"/>
                  <w:noWrap w:val="0"/>
                  <w:vAlign w:val="center"/>
                </w:tcPr>
                <w:p w14:paraId="05C819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w:t>
                  </w:r>
                </w:p>
              </w:tc>
              <w:tc>
                <w:tcPr>
                  <w:tcW w:w="443" w:type="pct"/>
                  <w:noWrap w:val="0"/>
                  <w:vAlign w:val="center"/>
                </w:tcPr>
                <w:p w14:paraId="51549F26">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691C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3" w:type="pct"/>
                  <w:vMerge w:val="continue"/>
                  <w:noWrap w:val="0"/>
                  <w:vAlign w:val="center"/>
                </w:tcPr>
                <w:p w14:paraId="1D28C06E">
                  <w:pPr>
                    <w:jc w:val="center"/>
                    <w:rPr>
                      <w:rFonts w:hint="default" w:ascii="Times New Roman" w:hAnsi="Times New Roman" w:eastAsia="宋体" w:cs="Times New Roman"/>
                      <w:color w:val="auto"/>
                      <w:highlight w:val="none"/>
                    </w:rPr>
                  </w:pPr>
                </w:p>
              </w:tc>
              <w:tc>
                <w:tcPr>
                  <w:tcW w:w="487" w:type="pct"/>
                  <w:noWrap w:val="0"/>
                  <w:vAlign w:val="center"/>
                </w:tcPr>
                <w:p w14:paraId="06BB0EE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TP</w:t>
                  </w:r>
                </w:p>
              </w:tc>
              <w:tc>
                <w:tcPr>
                  <w:tcW w:w="475" w:type="pct"/>
                  <w:noWrap w:val="0"/>
                  <w:vAlign w:val="center"/>
                </w:tcPr>
                <w:p w14:paraId="0DE0B37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8</w:t>
                  </w:r>
                </w:p>
              </w:tc>
              <w:tc>
                <w:tcPr>
                  <w:tcW w:w="521" w:type="pct"/>
                  <w:noWrap w:val="0"/>
                  <w:vAlign w:val="center"/>
                </w:tcPr>
                <w:p w14:paraId="31EAF59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u w:val="none"/>
                      <w:lang w:val="en-US" w:eastAsia="zh-CN" w:bidi="ar"/>
                    </w:rPr>
                    <w:t xml:space="preserve">0.0052 </w:t>
                  </w:r>
                </w:p>
              </w:tc>
              <w:tc>
                <w:tcPr>
                  <w:tcW w:w="290" w:type="pct"/>
                  <w:noWrap w:val="0"/>
                  <w:vAlign w:val="center"/>
                </w:tcPr>
                <w:p w14:paraId="5D884F1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381" w:type="pct"/>
                  <w:noWrap w:val="0"/>
                  <w:vAlign w:val="center"/>
                </w:tcPr>
                <w:p w14:paraId="4BAAD1B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60</w:t>
                  </w:r>
                </w:p>
              </w:tc>
              <w:tc>
                <w:tcPr>
                  <w:tcW w:w="505" w:type="pct"/>
                  <w:noWrap w:val="0"/>
                  <w:vAlign w:val="center"/>
                </w:tcPr>
                <w:p w14:paraId="4BD6A10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0.0047 </w:t>
                  </w:r>
                </w:p>
              </w:tc>
              <w:tc>
                <w:tcPr>
                  <w:tcW w:w="578" w:type="pct"/>
                  <w:noWrap w:val="0"/>
                  <w:vAlign w:val="center"/>
                </w:tcPr>
                <w:p w14:paraId="0CF8F17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3.2</w:t>
                  </w:r>
                </w:p>
              </w:tc>
              <w:tc>
                <w:tcPr>
                  <w:tcW w:w="483" w:type="pct"/>
                  <w:noWrap w:val="0"/>
                  <w:vAlign w:val="center"/>
                </w:tcPr>
                <w:p w14:paraId="6DCA42F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bidi="ar"/>
                    </w:rPr>
                  </w:pPr>
                  <w:r>
                    <w:rPr>
                      <w:rFonts w:hint="default" w:ascii="Times New Roman" w:hAnsi="Times New Roman" w:eastAsia="宋体" w:cs="Times New Roman"/>
                      <w:i w:val="0"/>
                      <w:iCs w:val="0"/>
                      <w:color w:val="auto"/>
                      <w:kern w:val="0"/>
                      <w:sz w:val="21"/>
                      <w:szCs w:val="21"/>
                      <w:u w:val="none"/>
                      <w:lang w:val="en-US" w:eastAsia="zh-CN" w:bidi="ar"/>
                    </w:rPr>
                    <w:t>0.00</w:t>
                  </w:r>
                  <w:r>
                    <w:rPr>
                      <w:rFonts w:hint="eastAsia" w:cs="Times New Roman"/>
                      <w:i w:val="0"/>
                      <w:iCs w:val="0"/>
                      <w:color w:val="auto"/>
                      <w:kern w:val="0"/>
                      <w:sz w:val="21"/>
                      <w:szCs w:val="21"/>
                      <w:u w:val="none"/>
                      <w:lang w:val="en-US" w:eastAsia="zh-CN" w:bidi="ar"/>
                    </w:rPr>
                    <w:t>21</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358" w:type="pct"/>
                  <w:noWrap w:val="0"/>
                  <w:vAlign w:val="center"/>
                </w:tcPr>
                <w:p w14:paraId="003BD4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43" w:type="pct"/>
                  <w:noWrap w:val="0"/>
                  <w:vAlign w:val="center"/>
                </w:tcPr>
                <w:p w14:paraId="6DB72C16">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11130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3" w:type="pct"/>
                  <w:vMerge w:val="continue"/>
                  <w:noWrap w:val="0"/>
                  <w:vAlign w:val="center"/>
                </w:tcPr>
                <w:p w14:paraId="40F5C76F">
                  <w:pPr>
                    <w:jc w:val="center"/>
                    <w:rPr>
                      <w:rFonts w:hint="default" w:ascii="Times New Roman" w:hAnsi="Times New Roman" w:eastAsia="宋体" w:cs="Times New Roman"/>
                      <w:color w:val="auto"/>
                      <w:highlight w:val="none"/>
                    </w:rPr>
                  </w:pPr>
                </w:p>
              </w:tc>
              <w:tc>
                <w:tcPr>
                  <w:tcW w:w="487" w:type="pct"/>
                  <w:noWrap w:val="0"/>
                  <w:vAlign w:val="center"/>
                </w:tcPr>
                <w:p w14:paraId="26B7526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动植物油</w:t>
                  </w:r>
                </w:p>
              </w:tc>
              <w:tc>
                <w:tcPr>
                  <w:tcW w:w="475" w:type="pct"/>
                  <w:noWrap w:val="0"/>
                  <w:vAlign w:val="center"/>
                </w:tcPr>
                <w:p w14:paraId="35605C5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u w:val="none"/>
                      <w:lang w:val="en-US" w:eastAsia="zh-CN" w:bidi="ar"/>
                    </w:rPr>
                    <w:t>35</w:t>
                  </w:r>
                </w:p>
              </w:tc>
              <w:tc>
                <w:tcPr>
                  <w:tcW w:w="521" w:type="pct"/>
                  <w:noWrap w:val="0"/>
                  <w:vAlign w:val="center"/>
                </w:tcPr>
                <w:p w14:paraId="3BDCC2F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bidi="ar"/>
                    </w:rPr>
                  </w:pPr>
                  <w:r>
                    <w:rPr>
                      <w:rFonts w:hint="default" w:ascii="Times New Roman" w:hAnsi="Times New Roman" w:eastAsia="宋体" w:cs="Times New Roman"/>
                      <w:i w:val="0"/>
                      <w:iCs w:val="0"/>
                      <w:color w:val="auto"/>
                      <w:kern w:val="0"/>
                      <w:sz w:val="21"/>
                      <w:szCs w:val="21"/>
                      <w:u w:val="none"/>
                      <w:lang w:val="en-US" w:eastAsia="zh-CN" w:bidi="ar"/>
                    </w:rPr>
                    <w:t xml:space="preserve">0.0230 </w:t>
                  </w:r>
                </w:p>
              </w:tc>
              <w:tc>
                <w:tcPr>
                  <w:tcW w:w="672" w:type="pct"/>
                  <w:gridSpan w:val="2"/>
                  <w:noWrap w:val="0"/>
                  <w:vAlign w:val="center"/>
                </w:tcPr>
                <w:p w14:paraId="42E7CD8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w:t>
                  </w:r>
                  <w:r>
                    <w:rPr>
                      <w:rFonts w:hint="eastAsia" w:cs="Times New Roman"/>
                      <w:i w:val="0"/>
                      <w:iCs w:val="0"/>
                      <w:color w:val="auto"/>
                      <w:kern w:val="0"/>
                      <w:sz w:val="21"/>
                      <w:szCs w:val="21"/>
                      <w:u w:val="none"/>
                      <w:lang w:val="en-US" w:eastAsia="zh-CN" w:bidi="ar"/>
                    </w:rPr>
                    <w:t>（隔油池）</w:t>
                  </w:r>
                </w:p>
              </w:tc>
              <w:tc>
                <w:tcPr>
                  <w:tcW w:w="505" w:type="pct"/>
                  <w:noWrap w:val="0"/>
                  <w:vAlign w:val="center"/>
                </w:tcPr>
                <w:p w14:paraId="17DBDC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0.0184 </w:t>
                  </w:r>
                </w:p>
              </w:tc>
              <w:tc>
                <w:tcPr>
                  <w:tcW w:w="578" w:type="pct"/>
                  <w:noWrap w:val="0"/>
                  <w:vAlign w:val="center"/>
                </w:tcPr>
                <w:p w14:paraId="2088EEA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w:t>
                  </w:r>
                </w:p>
              </w:tc>
              <w:tc>
                <w:tcPr>
                  <w:tcW w:w="483" w:type="pct"/>
                  <w:noWrap w:val="0"/>
                  <w:vAlign w:val="center"/>
                </w:tcPr>
                <w:p w14:paraId="1BE175C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bidi="ar"/>
                    </w:rPr>
                  </w:pPr>
                  <w:r>
                    <w:rPr>
                      <w:rFonts w:hint="default" w:ascii="Times New Roman" w:hAnsi="Times New Roman" w:eastAsia="宋体" w:cs="Times New Roman"/>
                      <w:i w:val="0"/>
                      <w:iCs w:val="0"/>
                      <w:color w:val="auto"/>
                      <w:kern w:val="0"/>
                      <w:sz w:val="21"/>
                      <w:szCs w:val="21"/>
                      <w:u w:val="none"/>
                      <w:lang w:val="en-US" w:eastAsia="zh-CN" w:bidi="ar"/>
                    </w:rPr>
                    <w:t xml:space="preserve">0.0046 </w:t>
                  </w:r>
                </w:p>
              </w:tc>
              <w:tc>
                <w:tcPr>
                  <w:tcW w:w="358" w:type="pct"/>
                  <w:noWrap w:val="0"/>
                  <w:vAlign w:val="center"/>
                </w:tcPr>
                <w:p w14:paraId="4FA043F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43" w:type="pct"/>
                  <w:noWrap w:val="0"/>
                  <w:vAlign w:val="center"/>
                </w:tcPr>
                <w:p w14:paraId="4990C21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79699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3" w:type="pct"/>
                  <w:noWrap w:val="0"/>
                  <w:vAlign w:val="center"/>
                </w:tcPr>
                <w:p w14:paraId="387EF2C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废水去向</w:t>
                  </w:r>
                </w:p>
              </w:tc>
              <w:tc>
                <w:tcPr>
                  <w:tcW w:w="4526" w:type="pct"/>
                  <w:gridSpan w:val="10"/>
                  <w:noWrap w:val="0"/>
                  <w:vAlign w:val="center"/>
                </w:tcPr>
                <w:p w14:paraId="2D746DFB">
                  <w:pPr>
                    <w:pStyle w:val="83"/>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right="0" w:firstLine="420" w:firstLineChars="200"/>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rPr>
                    <w:t>项目</w:t>
                  </w:r>
                  <w:r>
                    <w:rPr>
                      <w:rFonts w:hint="default" w:ascii="Times New Roman" w:hAnsi="Times New Roman" w:eastAsia="宋体" w:cs="Times New Roman"/>
                      <w:b w:val="0"/>
                      <w:bCs w:val="0"/>
                      <w:color w:val="auto"/>
                      <w:sz w:val="21"/>
                      <w:szCs w:val="21"/>
                      <w:highlight w:val="none"/>
                      <w:lang w:val="en-US" w:eastAsia="zh-CN"/>
                    </w:rPr>
                    <w:t>食堂含油废水经隔油池预处理后与其他办公生活污水一并进入</w:t>
                  </w:r>
                  <w:r>
                    <w:rPr>
                      <w:rFonts w:hint="eastAsia" w:ascii="Times New Roman" w:hAnsi="Times New Roman" w:eastAsia="宋体" w:cs="Times New Roman"/>
                      <w:b w:val="0"/>
                      <w:bCs w:val="0"/>
                      <w:color w:val="auto"/>
                      <w:sz w:val="21"/>
                      <w:szCs w:val="21"/>
                      <w:highlight w:val="none"/>
                      <w:lang w:val="en-US" w:eastAsia="zh-CN"/>
                    </w:rPr>
                    <w:t>依托的</w:t>
                  </w:r>
                  <w:r>
                    <w:rPr>
                      <w:rFonts w:hint="default" w:ascii="Times New Roman" w:hAnsi="Times New Roman" w:eastAsia="宋体" w:cs="Times New Roman"/>
                      <w:b w:val="0"/>
                      <w:bCs w:val="0"/>
                      <w:color w:val="auto"/>
                      <w:sz w:val="21"/>
                      <w:szCs w:val="21"/>
                      <w:highlight w:val="none"/>
                      <w:lang w:val="en-US" w:eastAsia="zh-CN"/>
                    </w:rPr>
                    <w:t>化粪池</w:t>
                  </w:r>
                  <w:r>
                    <w:rPr>
                      <w:rFonts w:hint="eastAsia" w:ascii="Times New Roman" w:hAnsi="Times New Roman" w:eastAsia="宋体" w:cs="Times New Roman"/>
                      <w:b w:val="0"/>
                      <w:bCs w:val="0"/>
                      <w:color w:val="auto"/>
                      <w:sz w:val="21"/>
                      <w:szCs w:val="21"/>
                      <w:highlight w:val="none"/>
                      <w:lang w:val="en-US" w:eastAsia="zh-CN"/>
                    </w:rPr>
                    <w:t>处理后</w:t>
                  </w:r>
                  <w:r>
                    <w:rPr>
                      <w:rFonts w:hint="default" w:ascii="Times New Roman" w:hAnsi="Times New Roman" w:eastAsia="宋体" w:cs="Times New Roman"/>
                      <w:b w:val="0"/>
                      <w:bCs w:val="0"/>
                      <w:color w:val="auto"/>
                      <w:sz w:val="21"/>
                      <w:szCs w:val="21"/>
                      <w:highlight w:val="none"/>
                      <w:lang w:val="en-US" w:eastAsia="zh-CN"/>
                    </w:rPr>
                    <w:t>再进入到</w:t>
                  </w:r>
                  <w:r>
                    <w:rPr>
                      <w:rFonts w:hint="eastAsia" w:ascii="Times New Roman" w:hAnsi="Times New Roman" w:eastAsia="宋体" w:cs="Times New Roman"/>
                      <w:b w:val="0"/>
                      <w:bCs w:val="0"/>
                      <w:color w:val="auto"/>
                      <w:sz w:val="21"/>
                      <w:szCs w:val="21"/>
                      <w:highlight w:val="none"/>
                      <w:lang w:val="en-US" w:eastAsia="zh-CN"/>
                    </w:rPr>
                    <w:t>依托的一体化污水处理站</w:t>
                  </w:r>
                  <w:r>
                    <w:rPr>
                      <w:rFonts w:hint="default" w:ascii="Times New Roman" w:hAnsi="Times New Roman" w:eastAsia="宋体" w:cs="Times New Roman"/>
                      <w:b w:val="0"/>
                      <w:bCs w:val="0"/>
                      <w:color w:val="auto"/>
                      <w:sz w:val="21"/>
                      <w:szCs w:val="21"/>
                      <w:highlight w:val="none"/>
                      <w:lang w:val="en-US" w:eastAsia="zh-CN"/>
                    </w:rPr>
                    <w:t>处理</w:t>
                  </w:r>
                  <w:r>
                    <w:rPr>
                      <w:rFonts w:hint="eastAsia" w:ascii="Times New Roman" w:hAnsi="Times New Roman" w:eastAsia="宋体" w:cs="Times New Roman"/>
                      <w:b w:val="0"/>
                      <w:bCs w:val="0"/>
                      <w:color w:val="auto"/>
                      <w:sz w:val="21"/>
                      <w:szCs w:val="21"/>
                      <w:highlight w:val="none"/>
                      <w:lang w:val="en-US" w:eastAsia="zh-CN"/>
                    </w:rPr>
                    <w:t>达到</w:t>
                  </w:r>
                  <w:r>
                    <w:rPr>
                      <w:rFonts w:hint="default" w:ascii="Times New Roman" w:hAnsi="Times New Roman" w:eastAsia="宋体" w:cs="Times New Roman"/>
                      <w:b w:val="0"/>
                      <w:bCs w:val="0"/>
                      <w:color w:val="auto"/>
                      <w:sz w:val="21"/>
                      <w:szCs w:val="21"/>
                      <w:highlight w:val="none"/>
                      <w:lang w:val="en-US" w:eastAsia="zh-CN"/>
                    </w:rPr>
                    <w:t>《城市污水再生利用 城市杂用水水质》（GB/T18920-2020）中的城市绿化、道路清扫、消防、建筑施工标准后，用于</w:t>
                  </w:r>
                  <w:r>
                    <w:rPr>
                      <w:rFonts w:hint="eastAsia" w:ascii="Times New Roman" w:hAnsi="Times New Roman" w:eastAsia="宋体"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ascii="Times New Roman" w:hAnsi="Times New Roman" w:eastAsia="宋体" w:cs="Times New Roman"/>
                      <w:b w:val="0"/>
                      <w:bCs w:val="0"/>
                      <w:color w:val="auto"/>
                      <w:sz w:val="21"/>
                      <w:szCs w:val="21"/>
                      <w:highlight w:val="none"/>
                      <w:lang w:val="en-US" w:eastAsia="zh-CN"/>
                    </w:rPr>
                    <w:t>及</w:t>
                  </w:r>
                  <w:r>
                    <w:rPr>
                      <w:rFonts w:hint="eastAsia" w:ascii="Times New Roman" w:hAnsi="Times New Roman" w:eastAsia="宋体" w:cs="Times New Roman"/>
                      <w:b w:val="0"/>
                      <w:bCs w:val="0"/>
                      <w:color w:val="auto"/>
                      <w:sz w:val="21"/>
                      <w:szCs w:val="21"/>
                      <w:highlight w:val="none"/>
                      <w:lang w:eastAsia="zh-CN"/>
                    </w:rPr>
                    <w:t>云</w:t>
                  </w:r>
                  <w:r>
                    <w:rPr>
                      <w:rFonts w:hint="eastAsia" w:ascii="Times New Roman" w:hAnsi="Times New Roman" w:eastAsia="宋体" w:cs="Times New Roman"/>
                      <w:b w:val="0"/>
                      <w:bCs w:val="0"/>
                      <w:color w:val="auto"/>
                      <w:sz w:val="21"/>
                      <w:szCs w:val="21"/>
                      <w:highlight w:val="none"/>
                      <w:lang w:val="en-US" w:eastAsia="zh-CN"/>
                    </w:rPr>
                    <w:t>南宝泰轻化机械</w:t>
                  </w:r>
                  <w:r>
                    <w:rPr>
                      <w:rFonts w:hint="eastAsia" w:ascii="Times New Roman" w:hAnsi="Times New Roman" w:eastAsia="宋体" w:cs="Times New Roman"/>
                      <w:b w:val="0"/>
                      <w:bCs w:val="0"/>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tc>
            </w:tr>
          </w:tbl>
          <w:p w14:paraId="03158928">
            <w:pPr>
              <w:spacing w:line="360" w:lineRule="auto"/>
              <w:ind w:firstLine="482" w:firstLineChars="200"/>
              <w:rPr>
                <w:rFonts w:hint="default" w:eastAsia="宋体"/>
                <w:b/>
                <w:color w:val="auto"/>
                <w:sz w:val="24"/>
                <w:lang w:val="en-US" w:eastAsia="zh-CN" w:bidi="ar"/>
              </w:rPr>
            </w:pPr>
            <w:r>
              <w:rPr>
                <w:b/>
                <w:color w:val="auto"/>
                <w:sz w:val="24"/>
                <w:lang w:bidi="ar"/>
              </w:rPr>
              <w:t>②</w:t>
            </w:r>
            <w:r>
              <w:rPr>
                <w:rFonts w:hint="eastAsia"/>
                <w:b/>
                <w:color w:val="auto"/>
                <w:sz w:val="24"/>
                <w:lang w:val="en-US" w:eastAsia="zh-CN" w:bidi="ar"/>
              </w:rPr>
              <w:t>冷却水</w:t>
            </w:r>
          </w:p>
          <w:p w14:paraId="00027C79">
            <w:pPr>
              <w:spacing w:line="360" w:lineRule="auto"/>
              <w:ind w:firstLine="480" w:firstLineChars="200"/>
              <w:rPr>
                <w:color w:val="auto"/>
                <w:sz w:val="24"/>
              </w:rPr>
            </w:pPr>
            <w:r>
              <w:rPr>
                <w:bCs/>
                <w:color w:val="auto"/>
                <w:sz w:val="24"/>
              </w:rPr>
              <w:t>项目生产</w:t>
            </w:r>
            <w:r>
              <w:rPr>
                <w:rFonts w:hint="eastAsia"/>
                <w:color w:val="auto"/>
                <w:sz w:val="24"/>
                <w:lang w:val="en-US" w:eastAsia="zh-CN"/>
              </w:rPr>
              <w:t>过程产生冷却水，</w:t>
            </w:r>
            <w:r>
              <w:rPr>
                <w:bCs/>
                <w:color w:val="auto"/>
                <w:sz w:val="24"/>
              </w:rPr>
              <w:t>建设单位在项目</w:t>
            </w:r>
            <w:r>
              <w:rPr>
                <w:rFonts w:hint="eastAsia"/>
                <w:bCs/>
                <w:color w:val="auto"/>
                <w:sz w:val="24"/>
              </w:rPr>
              <w:t>区</w:t>
            </w:r>
            <w:r>
              <w:rPr>
                <w:bCs/>
                <w:color w:val="auto"/>
                <w:sz w:val="24"/>
              </w:rPr>
              <w:t>设置1套循环水处理系统；冷却水经循环水</w:t>
            </w:r>
            <w:r>
              <w:rPr>
                <w:rFonts w:hint="eastAsia"/>
                <w:bCs/>
                <w:color w:val="auto"/>
                <w:sz w:val="24"/>
                <w:lang w:val="en-US" w:eastAsia="zh-CN"/>
              </w:rPr>
              <w:t>冷却箱</w:t>
            </w:r>
            <w:r>
              <w:rPr>
                <w:color w:val="auto"/>
                <w:sz w:val="24"/>
              </w:rPr>
              <w:t>冷却后循环使用，不外排，定期补充蒸发损耗量即可。</w:t>
            </w:r>
          </w:p>
          <w:p w14:paraId="12291F81">
            <w:pPr>
              <w:spacing w:line="348" w:lineRule="auto"/>
              <w:ind w:firstLine="482" w:firstLineChars="200"/>
              <w:rPr>
                <w:b/>
                <w:color w:val="auto"/>
                <w:sz w:val="24"/>
                <w:lang w:bidi="ar"/>
              </w:rPr>
            </w:pPr>
            <w:r>
              <w:rPr>
                <w:b/>
                <w:color w:val="auto"/>
                <w:sz w:val="24"/>
                <w:lang w:bidi="ar"/>
              </w:rPr>
              <w:t>3、</w:t>
            </w:r>
            <w:r>
              <w:rPr>
                <w:b/>
                <w:color w:val="auto"/>
                <w:spacing w:val="-10"/>
                <w:sz w:val="24"/>
              </w:rPr>
              <w:t>污水处理设施的可行性分析</w:t>
            </w:r>
          </w:p>
          <w:p w14:paraId="4C8E5755">
            <w:pPr>
              <w:widowControl/>
              <w:adjustRightInd w:val="0"/>
              <w:snapToGrid w:val="0"/>
              <w:spacing w:line="348" w:lineRule="auto"/>
              <w:ind w:firstLine="482" w:firstLineChars="200"/>
              <w:rPr>
                <w:b/>
                <w:bCs/>
                <w:color w:val="auto"/>
                <w:sz w:val="24"/>
                <w:lang w:val="zh-CN"/>
              </w:rPr>
            </w:pPr>
            <w:r>
              <w:rPr>
                <w:b/>
                <w:bCs/>
                <w:color w:val="auto"/>
                <w:sz w:val="24"/>
              </w:rPr>
              <w:t>（1）</w:t>
            </w:r>
            <w:r>
              <w:rPr>
                <w:b/>
                <w:bCs/>
                <w:color w:val="auto"/>
                <w:sz w:val="24"/>
                <w:lang w:val="zh-CN"/>
              </w:rPr>
              <w:t>隔油池</w:t>
            </w:r>
          </w:p>
          <w:p w14:paraId="2560623E">
            <w:pPr>
              <w:spacing w:line="348" w:lineRule="auto"/>
              <w:ind w:firstLine="480" w:firstLineChars="200"/>
              <w:rPr>
                <w:color w:val="auto"/>
                <w:sz w:val="24"/>
              </w:rPr>
            </w:pPr>
            <w:r>
              <w:rPr>
                <w:color w:val="auto"/>
                <w:sz w:val="24"/>
              </w:rPr>
              <w:t>根据工程分析可知，本项目食堂废水产生量为</w:t>
            </w:r>
            <w:r>
              <w:rPr>
                <w:rFonts w:hint="eastAsia"/>
                <w:color w:val="auto"/>
                <w:sz w:val="24"/>
                <w:lang w:val="en-US" w:eastAsia="zh-CN"/>
              </w:rPr>
              <w:t>0.32</w:t>
            </w:r>
            <w:r>
              <w:rPr>
                <w:color w:val="auto"/>
                <w:sz w:val="24"/>
              </w:rPr>
              <w:t>m</w:t>
            </w:r>
            <w:r>
              <w:rPr>
                <w:color w:val="auto"/>
                <w:sz w:val="24"/>
                <w:vertAlign w:val="superscript"/>
              </w:rPr>
              <w:t>3</w:t>
            </w:r>
            <w:r>
              <w:rPr>
                <w:color w:val="auto"/>
                <w:sz w:val="24"/>
              </w:rPr>
              <w:t>/d。根据中华人民共和国国家环境保护标准《饮食业环境保护技术规范》（HJ554-2010），隔油池设计符合下列规定：</w:t>
            </w:r>
          </w:p>
          <w:p w14:paraId="11B29F26">
            <w:pPr>
              <w:spacing w:line="348" w:lineRule="auto"/>
              <w:ind w:firstLine="480"/>
              <w:rPr>
                <w:color w:val="auto"/>
                <w:sz w:val="24"/>
              </w:rPr>
            </w:pPr>
            <w:r>
              <w:rPr>
                <w:color w:val="auto"/>
                <w:sz w:val="24"/>
              </w:rPr>
              <w:t>a、含油污水的水力停留时间不宜小于0.5h；</w:t>
            </w:r>
          </w:p>
          <w:p w14:paraId="48FF2026">
            <w:pPr>
              <w:spacing w:line="348" w:lineRule="auto"/>
              <w:ind w:firstLine="480"/>
              <w:rPr>
                <w:color w:val="auto"/>
                <w:sz w:val="24"/>
              </w:rPr>
            </w:pPr>
            <w:r>
              <w:rPr>
                <w:color w:val="auto"/>
                <w:sz w:val="24"/>
              </w:rPr>
              <w:t>b、池内水流流速不宜大于0.005m/s；</w:t>
            </w:r>
          </w:p>
          <w:p w14:paraId="01881B88">
            <w:pPr>
              <w:spacing w:line="348" w:lineRule="auto"/>
              <w:ind w:firstLine="480"/>
              <w:rPr>
                <w:color w:val="auto"/>
                <w:sz w:val="24"/>
              </w:rPr>
            </w:pPr>
            <w:r>
              <w:rPr>
                <w:color w:val="auto"/>
                <w:sz w:val="24"/>
              </w:rPr>
              <w:t>c、池内分格宜取两档三格；</w:t>
            </w:r>
          </w:p>
          <w:p w14:paraId="4B822837">
            <w:pPr>
              <w:spacing w:line="348" w:lineRule="auto"/>
              <w:ind w:firstLine="480"/>
              <w:rPr>
                <w:color w:val="auto"/>
                <w:sz w:val="24"/>
              </w:rPr>
            </w:pPr>
            <w:r>
              <w:rPr>
                <w:color w:val="auto"/>
                <w:sz w:val="24"/>
              </w:rPr>
              <w:t>d、人工除油的隔油池内存油部分的容积不得小于该池有效容积的25%，隔油池出水管管底至池底的深度，不得小于0.6m。</w:t>
            </w:r>
          </w:p>
          <w:p w14:paraId="72AF2833">
            <w:pPr>
              <w:pStyle w:val="14"/>
              <w:adjustRightInd w:val="0"/>
              <w:snapToGrid w:val="0"/>
              <w:spacing w:after="0" w:line="348" w:lineRule="auto"/>
              <w:ind w:firstLine="464" w:firstLineChars="200"/>
              <w:rPr>
                <w:color w:val="auto"/>
                <w:spacing w:val="-4"/>
                <w:sz w:val="24"/>
              </w:rPr>
            </w:pPr>
            <w:r>
              <w:rPr>
                <w:color w:val="auto"/>
                <w:spacing w:val="-4"/>
                <w:sz w:val="24"/>
              </w:rPr>
              <w:t>项目</w:t>
            </w:r>
            <w:r>
              <w:rPr>
                <w:color w:val="auto"/>
                <w:sz w:val="24"/>
              </w:rPr>
              <w:t>食堂</w:t>
            </w:r>
            <w:r>
              <w:rPr>
                <w:rFonts w:hint="eastAsia"/>
                <w:color w:val="auto"/>
                <w:sz w:val="24"/>
                <w:lang w:val="en-US" w:eastAsia="zh-CN"/>
              </w:rPr>
              <w:t>拟</w:t>
            </w:r>
            <w:r>
              <w:rPr>
                <w:color w:val="auto"/>
                <w:sz w:val="24"/>
              </w:rPr>
              <w:t>配套设置1个容积约为0.</w:t>
            </w:r>
            <w:r>
              <w:rPr>
                <w:rFonts w:hint="eastAsia"/>
                <w:color w:val="auto"/>
                <w:sz w:val="24"/>
              </w:rPr>
              <w:t>2</w:t>
            </w:r>
            <w:r>
              <w:rPr>
                <w:color w:val="auto"/>
                <w:sz w:val="24"/>
              </w:rPr>
              <w:t>m</w:t>
            </w:r>
            <w:r>
              <w:rPr>
                <w:color w:val="auto"/>
                <w:sz w:val="24"/>
                <w:vertAlign w:val="superscript"/>
              </w:rPr>
              <w:t>3</w:t>
            </w:r>
            <w:r>
              <w:rPr>
                <w:color w:val="auto"/>
                <w:sz w:val="24"/>
              </w:rPr>
              <w:t>的隔油池进行使用，用于接纳厨房餐饮含油废水。根据上文分析，本项目建成后整个食堂厨房含油废水产生量为</w:t>
            </w:r>
            <w:r>
              <w:rPr>
                <w:rFonts w:hint="eastAsia"/>
                <w:color w:val="auto"/>
                <w:sz w:val="24"/>
                <w:lang w:val="en-US" w:eastAsia="zh-CN"/>
              </w:rPr>
              <w:t>0.32</w:t>
            </w:r>
            <w:r>
              <w:rPr>
                <w:color w:val="auto"/>
                <w:sz w:val="24"/>
              </w:rPr>
              <w:t>m</w:t>
            </w:r>
            <w:r>
              <w:rPr>
                <w:color w:val="auto"/>
                <w:sz w:val="24"/>
                <w:vertAlign w:val="superscript"/>
              </w:rPr>
              <w:t>3</w:t>
            </w:r>
            <w:r>
              <w:rPr>
                <w:color w:val="auto"/>
                <w:sz w:val="24"/>
              </w:rPr>
              <w:t>/d，按炊事时间4小时计算，隔油池容积大于0.</w:t>
            </w:r>
            <w:r>
              <w:rPr>
                <w:rFonts w:hint="eastAsia"/>
                <w:color w:val="auto"/>
                <w:sz w:val="24"/>
                <w:lang w:val="en-US" w:eastAsia="zh-CN"/>
              </w:rPr>
              <w:t>04</w:t>
            </w:r>
            <w:r>
              <w:rPr>
                <w:color w:val="auto"/>
                <w:sz w:val="24"/>
              </w:rPr>
              <w:t>m</w:t>
            </w:r>
            <w:r>
              <w:rPr>
                <w:color w:val="auto"/>
                <w:sz w:val="24"/>
                <w:vertAlign w:val="superscript"/>
              </w:rPr>
              <w:t>3</w:t>
            </w:r>
            <w:r>
              <w:rPr>
                <w:color w:val="auto"/>
                <w:sz w:val="24"/>
              </w:rPr>
              <w:t>即可满足水量停留时间要求</w:t>
            </w:r>
            <w:r>
              <w:rPr>
                <w:rFonts w:hint="eastAsia"/>
                <w:color w:val="auto"/>
                <w:sz w:val="24"/>
              </w:rPr>
              <w:t>；</w:t>
            </w:r>
            <w:r>
              <w:rPr>
                <w:color w:val="auto"/>
                <w:sz w:val="24"/>
              </w:rPr>
              <w:t>本项</w:t>
            </w:r>
            <w:r>
              <w:rPr>
                <w:rFonts w:hint="eastAsia"/>
                <w:color w:val="auto"/>
                <w:sz w:val="24"/>
              </w:rPr>
              <w:t>目食堂</w:t>
            </w:r>
            <w:r>
              <w:rPr>
                <w:rFonts w:hint="eastAsia"/>
                <w:color w:val="auto"/>
                <w:sz w:val="24"/>
                <w:lang w:val="en-US" w:eastAsia="zh-CN"/>
              </w:rPr>
              <w:t>拟</w:t>
            </w:r>
            <w:r>
              <w:rPr>
                <w:color w:val="auto"/>
                <w:sz w:val="24"/>
              </w:rPr>
              <w:t>设置的隔油池容积为0.</w:t>
            </w:r>
            <w:r>
              <w:rPr>
                <w:rFonts w:hint="eastAsia"/>
                <w:color w:val="auto"/>
                <w:sz w:val="24"/>
                <w:lang w:val="en-US" w:eastAsia="zh-CN"/>
              </w:rPr>
              <w:t>1</w:t>
            </w:r>
            <w:r>
              <w:rPr>
                <w:color w:val="auto"/>
                <w:sz w:val="24"/>
              </w:rPr>
              <w:t>m</w:t>
            </w:r>
            <w:r>
              <w:rPr>
                <w:color w:val="auto"/>
                <w:sz w:val="24"/>
                <w:vertAlign w:val="superscript"/>
              </w:rPr>
              <w:t>3</w:t>
            </w:r>
            <w:r>
              <w:rPr>
                <w:color w:val="auto"/>
                <w:sz w:val="24"/>
              </w:rPr>
              <w:t>，隔油池容积能够满足本项目含油污水的水量停留时间不小于0.5h的要求，能够确保隔油池的隔油效果。</w:t>
            </w:r>
          </w:p>
          <w:p w14:paraId="36C40264">
            <w:pPr>
              <w:snapToGrid w:val="0"/>
              <w:spacing w:line="348" w:lineRule="auto"/>
              <w:ind w:firstLine="482"/>
              <w:rPr>
                <w:color w:val="auto"/>
                <w:sz w:val="24"/>
                <w:lang w:val="zh-CN"/>
              </w:rPr>
            </w:pPr>
            <w:r>
              <w:rPr>
                <w:b/>
                <w:bCs/>
                <w:color w:val="auto"/>
                <w:sz w:val="24"/>
                <w:lang w:val="zh-CN"/>
              </w:rPr>
              <w:t>（</w:t>
            </w:r>
            <w:r>
              <w:rPr>
                <w:b/>
                <w:bCs/>
                <w:color w:val="auto"/>
                <w:sz w:val="24"/>
              </w:rPr>
              <w:t>2</w:t>
            </w:r>
            <w:r>
              <w:rPr>
                <w:b/>
                <w:bCs/>
                <w:color w:val="auto"/>
                <w:sz w:val="24"/>
                <w:lang w:val="zh-CN"/>
              </w:rPr>
              <w:t>）</w:t>
            </w:r>
            <w:r>
              <w:rPr>
                <w:rFonts w:hint="eastAsia"/>
                <w:b/>
                <w:bCs/>
                <w:color w:val="auto"/>
                <w:sz w:val="24"/>
                <w:lang w:val="zh-CN"/>
              </w:rPr>
              <w:t>依托的</w:t>
            </w:r>
            <w:r>
              <w:rPr>
                <w:b/>
                <w:bCs/>
                <w:color w:val="auto"/>
                <w:sz w:val="24"/>
                <w:lang w:val="zh-CN"/>
              </w:rPr>
              <w:t>化粪池</w:t>
            </w:r>
          </w:p>
          <w:p w14:paraId="6380BD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color w:val="auto"/>
                <w:sz w:val="24"/>
              </w:rPr>
              <w:t>根据工程分析可知，本项目运营过程中</w:t>
            </w:r>
            <w:r>
              <w:rPr>
                <w:rFonts w:hint="eastAsia"/>
                <w:color w:val="auto"/>
                <w:sz w:val="24"/>
              </w:rPr>
              <w:t>生活污水</w:t>
            </w:r>
            <w:r>
              <w:rPr>
                <w:color w:val="auto"/>
                <w:sz w:val="24"/>
              </w:rPr>
              <w:t>产生总量为</w:t>
            </w:r>
            <w:r>
              <w:rPr>
                <w:rFonts w:hint="eastAsia"/>
                <w:color w:val="auto"/>
                <w:sz w:val="24"/>
                <w:lang w:val="en-US" w:eastAsia="zh-CN"/>
              </w:rPr>
              <w:t>2.1867</w:t>
            </w:r>
            <w:r>
              <w:rPr>
                <w:color w:val="auto"/>
                <w:sz w:val="24"/>
              </w:rPr>
              <w:t>m</w:t>
            </w:r>
            <w:r>
              <w:rPr>
                <w:color w:val="auto"/>
                <w:sz w:val="24"/>
                <w:vertAlign w:val="superscript"/>
              </w:rPr>
              <w:t>3</w:t>
            </w:r>
            <w:r>
              <w:rPr>
                <w:color w:val="auto"/>
                <w:sz w:val="24"/>
              </w:rPr>
              <w:t>/d。</w:t>
            </w:r>
            <w:r>
              <w:rPr>
                <w:color w:val="auto"/>
                <w:spacing w:val="-4"/>
                <w:sz w:val="24"/>
              </w:rPr>
              <w:t>根据《建筑给</w:t>
            </w:r>
            <w:r>
              <w:rPr>
                <w:rFonts w:hint="eastAsia"/>
                <w:color w:val="auto"/>
                <w:spacing w:val="-4"/>
                <w:sz w:val="24"/>
                <w:lang w:val="en-US" w:eastAsia="zh-CN"/>
              </w:rPr>
              <w:t>水</w:t>
            </w:r>
            <w:r>
              <w:rPr>
                <w:color w:val="auto"/>
                <w:spacing w:val="-4"/>
                <w:sz w:val="24"/>
              </w:rPr>
              <w:t>排水设计</w:t>
            </w:r>
            <w:r>
              <w:rPr>
                <w:rFonts w:hint="eastAsia"/>
                <w:color w:val="auto"/>
                <w:spacing w:val="-4"/>
                <w:sz w:val="24"/>
                <w:lang w:val="en-US" w:eastAsia="zh-CN"/>
              </w:rPr>
              <w:t>标准</w:t>
            </w:r>
            <w:r>
              <w:rPr>
                <w:color w:val="auto"/>
                <w:spacing w:val="-4"/>
                <w:sz w:val="24"/>
              </w:rPr>
              <w:t>》（</w:t>
            </w:r>
            <w:r>
              <w:rPr>
                <w:rFonts w:hint="eastAsia"/>
                <w:color w:val="auto"/>
                <w:spacing w:val="-4"/>
                <w:sz w:val="24"/>
                <w:lang w:val="en-US" w:eastAsia="zh-CN"/>
              </w:rPr>
              <w:t>GB50015-2019</w:t>
            </w:r>
            <w:r>
              <w:rPr>
                <w:color w:val="auto"/>
                <w:spacing w:val="-4"/>
                <w:sz w:val="24"/>
              </w:rPr>
              <w:t>），</w:t>
            </w:r>
            <w:r>
              <w:rPr>
                <w:color w:val="auto"/>
                <w:sz w:val="24"/>
              </w:rPr>
              <w:t>化粪池总容积应满足废水停留时间12-24小时的要求，并做好防渗处理，化粪池宜建在便于机动车清掏的位置。项目区内</w:t>
            </w:r>
            <w:r>
              <w:rPr>
                <w:rFonts w:hint="eastAsia"/>
                <w:color w:val="auto"/>
                <w:sz w:val="24"/>
                <w:lang w:val="en-US" w:eastAsia="zh-CN"/>
              </w:rPr>
              <w:t>已</w:t>
            </w:r>
            <w:r>
              <w:rPr>
                <w:color w:val="auto"/>
                <w:sz w:val="24"/>
              </w:rPr>
              <w:t>设置1个容积为</w:t>
            </w:r>
            <w:r>
              <w:rPr>
                <w:rFonts w:hint="eastAsia"/>
                <w:color w:val="auto"/>
                <w:sz w:val="24"/>
                <w:lang w:val="en-US" w:eastAsia="zh-CN"/>
              </w:rPr>
              <w:t>6</w:t>
            </w:r>
            <w:r>
              <w:rPr>
                <w:color w:val="auto"/>
                <w:sz w:val="24"/>
              </w:rPr>
              <w:t>m</w:t>
            </w:r>
            <w:r>
              <w:rPr>
                <w:color w:val="auto"/>
                <w:sz w:val="24"/>
                <w:vertAlign w:val="superscript"/>
              </w:rPr>
              <w:t>3</w:t>
            </w:r>
            <w:r>
              <w:rPr>
                <w:color w:val="auto"/>
                <w:sz w:val="24"/>
              </w:rPr>
              <w:t>的化粪池，用于处理项目区内</w:t>
            </w:r>
            <w:r>
              <w:rPr>
                <w:rFonts w:hint="eastAsia"/>
                <w:color w:val="auto"/>
                <w:sz w:val="24"/>
              </w:rPr>
              <w:t>生活污水</w:t>
            </w:r>
            <w:r>
              <w:rPr>
                <w:color w:val="auto"/>
                <w:sz w:val="24"/>
              </w:rPr>
              <w:t>。</w:t>
            </w:r>
            <w:r>
              <w:rPr>
                <w:rFonts w:hint="eastAsia"/>
                <w:color w:val="auto"/>
                <w:sz w:val="24"/>
              </w:rPr>
              <w:t>已</w:t>
            </w:r>
            <w:r>
              <w:rPr>
                <w:color w:val="auto"/>
                <w:sz w:val="24"/>
              </w:rPr>
              <w:t>设置的化粪池容积能够保证污水停留24小时以上，</w:t>
            </w:r>
            <w:r>
              <w:rPr>
                <w:rFonts w:hint="default" w:ascii="Times New Roman" w:hAnsi="Times New Roman" w:eastAsia="宋体" w:cs="Times New Roman"/>
                <w:color w:val="auto"/>
                <w:sz w:val="24"/>
                <w:szCs w:val="24"/>
                <w:highlight w:val="none"/>
              </w:rPr>
              <w:t>熟化效果较好</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项目生活污水经化粪池处理后的可大大降低后端</w:t>
            </w:r>
            <w:r>
              <w:rPr>
                <w:rFonts w:hint="default" w:ascii="Times New Roman" w:hAnsi="Times New Roman" w:eastAsia="宋体" w:cs="Times New Roman"/>
                <w:color w:val="auto"/>
                <w:sz w:val="24"/>
                <w:szCs w:val="24"/>
                <w:highlight w:val="none"/>
                <w:lang w:val="en-US" w:eastAsia="zh-CN"/>
              </w:rPr>
              <w:t>一体化</w:t>
            </w:r>
            <w:r>
              <w:rPr>
                <w:rFonts w:hint="default" w:ascii="Times New Roman" w:hAnsi="Times New Roman" w:eastAsia="宋体" w:cs="Times New Roman"/>
                <w:color w:val="auto"/>
                <w:sz w:val="24"/>
                <w:szCs w:val="24"/>
                <w:highlight w:val="none"/>
              </w:rPr>
              <w:t>污水处理</w:t>
            </w:r>
            <w:r>
              <w:rPr>
                <w:rFonts w:hint="default" w:ascii="Times New Roman" w:hAnsi="Times New Roman" w:eastAsia="宋体" w:cs="Times New Roman"/>
                <w:color w:val="auto"/>
                <w:sz w:val="24"/>
                <w:szCs w:val="24"/>
                <w:highlight w:val="none"/>
                <w:lang w:val="en-US" w:eastAsia="zh-CN"/>
              </w:rPr>
              <w:t>站</w:t>
            </w:r>
            <w:r>
              <w:rPr>
                <w:rFonts w:hint="default" w:ascii="Times New Roman" w:hAnsi="Times New Roman" w:eastAsia="宋体" w:cs="Times New Roman"/>
                <w:color w:val="auto"/>
                <w:sz w:val="24"/>
                <w:szCs w:val="24"/>
                <w:highlight w:val="none"/>
              </w:rPr>
              <w:t>的运行负荷。</w:t>
            </w:r>
          </w:p>
          <w:p w14:paraId="31E3A1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b/>
                <w:bCs/>
                <w:color w:val="auto"/>
                <w:sz w:val="24"/>
                <w:lang w:val="zh-CN"/>
              </w:rPr>
            </w:pPr>
            <w:r>
              <w:rPr>
                <w:rFonts w:hint="default" w:ascii="Times New Roman" w:hAnsi="Times New Roman" w:eastAsia="宋体" w:cs="Times New Roman"/>
                <w:color w:val="auto"/>
                <w:sz w:val="24"/>
                <w:szCs w:val="24"/>
                <w:highlight w:val="none"/>
              </w:rPr>
              <w:t>因此，本项目</w:t>
            </w:r>
            <w:r>
              <w:rPr>
                <w:rFonts w:hint="default" w:ascii="Times New Roman" w:hAnsi="Times New Roman" w:eastAsia="宋体" w:cs="Times New Roman"/>
                <w:color w:val="auto"/>
                <w:sz w:val="24"/>
                <w:szCs w:val="24"/>
                <w:highlight w:val="none"/>
                <w:lang w:val="en-US" w:eastAsia="zh-CN"/>
              </w:rPr>
              <w:t>沿用原项目已设置的化粪池</w:t>
            </w:r>
            <w:r>
              <w:rPr>
                <w:rFonts w:hint="default" w:ascii="Times New Roman" w:hAnsi="Times New Roman" w:eastAsia="宋体" w:cs="Times New Roman"/>
                <w:color w:val="auto"/>
                <w:sz w:val="24"/>
                <w:szCs w:val="24"/>
                <w:highlight w:val="none"/>
                <w:lang w:eastAsia="zh-CN"/>
              </w:rPr>
              <w:t>可行</w:t>
            </w:r>
            <w:r>
              <w:rPr>
                <w:rFonts w:hint="default" w:ascii="Times New Roman" w:hAnsi="Times New Roman" w:eastAsia="宋体" w:cs="Times New Roman"/>
                <w:color w:val="auto"/>
                <w:sz w:val="24"/>
                <w:szCs w:val="24"/>
                <w:highlight w:val="none"/>
              </w:rPr>
              <w:t>。</w:t>
            </w:r>
          </w:p>
          <w:p w14:paraId="64D4CB83">
            <w:pPr>
              <w:widowControl/>
              <w:adjustRightInd w:val="0"/>
              <w:snapToGrid w:val="0"/>
              <w:spacing w:line="348" w:lineRule="auto"/>
              <w:ind w:firstLine="482" w:firstLineChars="200"/>
              <w:rPr>
                <w:b/>
                <w:bCs/>
                <w:color w:val="auto"/>
                <w:sz w:val="24"/>
                <w:highlight w:val="none"/>
              </w:rPr>
            </w:pPr>
            <w:r>
              <w:rPr>
                <w:b/>
                <w:bCs/>
                <w:color w:val="auto"/>
                <w:sz w:val="24"/>
                <w:highlight w:val="none"/>
              </w:rPr>
              <w:t>（3）</w:t>
            </w:r>
            <w:r>
              <w:rPr>
                <w:rFonts w:hint="eastAsia" w:ascii="Times New Roman" w:hAnsi="Times New Roman" w:eastAsia="宋体" w:cs="Times New Roman"/>
                <w:b/>
                <w:bCs/>
                <w:color w:val="auto"/>
                <w:sz w:val="24"/>
                <w:highlight w:val="none"/>
                <w:lang w:val="en-US" w:eastAsia="zh-CN"/>
              </w:rPr>
              <w:t>依托的</w:t>
            </w:r>
            <w:r>
              <w:rPr>
                <w:rFonts w:hint="default" w:ascii="Times New Roman" w:hAnsi="Times New Roman" w:eastAsia="宋体" w:cs="Times New Roman"/>
                <w:b/>
                <w:bCs/>
                <w:color w:val="auto"/>
                <w:sz w:val="24"/>
                <w:highlight w:val="none"/>
                <w:lang w:eastAsia="zh-CN"/>
              </w:rPr>
              <w:t>一体化生活污水处理站</w:t>
            </w:r>
          </w:p>
          <w:p w14:paraId="0174409D">
            <w:pPr>
              <w:keepNext w:val="0"/>
              <w:keepLines w:val="0"/>
              <w:pageBreakBefore w:val="0"/>
              <w:widowControl w:val="0"/>
              <w:kinsoku/>
              <w:wordWrap/>
              <w:overflowPunct/>
              <w:topLinePunct w:val="0"/>
              <w:autoSpaceDE/>
              <w:autoSpaceDN/>
              <w:bidi w:val="0"/>
              <w:adjustRightInd w:val="0"/>
              <w:snapToGrid w:val="0"/>
              <w:spacing w:line="348" w:lineRule="auto"/>
              <w:ind w:firstLine="480" w:firstLineChars="200"/>
              <w:textAlignment w:val="auto"/>
              <w:rPr>
                <w:rFonts w:hint="eastAsia"/>
                <w:color w:val="auto"/>
                <w:sz w:val="24"/>
              </w:rPr>
            </w:pPr>
            <w:r>
              <w:rPr>
                <w:rFonts w:hint="default" w:ascii="Times New Roman" w:hAnsi="Times New Roman" w:eastAsia="宋体" w:cs="Times New Roman"/>
                <w:color w:val="auto"/>
                <w:sz w:val="24"/>
                <w:szCs w:val="24"/>
                <w:highlight w:val="none"/>
                <w:lang w:eastAsia="zh-CN"/>
              </w:rPr>
              <w:t>根据调查，</w:t>
            </w:r>
            <w:r>
              <w:rPr>
                <w:rFonts w:hint="eastAsia"/>
                <w:color w:val="auto"/>
                <w:sz w:val="24"/>
              </w:rPr>
              <w:t>项目生活</w:t>
            </w:r>
            <w:r>
              <w:rPr>
                <w:rFonts w:hint="eastAsia"/>
                <w:color w:val="auto"/>
                <w:sz w:val="24"/>
                <w:lang w:eastAsia="zh-CN"/>
              </w:rPr>
              <w:t>污</w:t>
            </w:r>
            <w:r>
              <w:rPr>
                <w:rFonts w:hint="eastAsia"/>
                <w:color w:val="auto"/>
                <w:sz w:val="24"/>
              </w:rPr>
              <w:t>水处理依托租赁厂房</w:t>
            </w:r>
            <w:r>
              <w:rPr>
                <w:rFonts w:hint="eastAsia"/>
                <w:color w:val="auto"/>
                <w:sz w:val="24"/>
                <w:lang w:eastAsia="zh-CN"/>
              </w:rPr>
              <w:t>（</w:t>
            </w:r>
            <w:r>
              <w:rPr>
                <w:rFonts w:hint="eastAsia"/>
                <w:color w:val="auto"/>
                <w:sz w:val="24"/>
                <w:lang w:val="en-US" w:eastAsia="zh-CN"/>
              </w:rPr>
              <w:t>云南宝泰轻化机械</w:t>
            </w:r>
            <w:r>
              <w:rPr>
                <w:rFonts w:hint="eastAsia"/>
                <w:color w:val="auto"/>
                <w:sz w:val="24"/>
                <w:lang w:eastAsia="zh-CN"/>
              </w:rPr>
              <w:t>有限公司）</w:t>
            </w:r>
            <w:r>
              <w:rPr>
                <w:rFonts w:hint="eastAsia"/>
                <w:color w:val="auto"/>
                <w:sz w:val="24"/>
              </w:rPr>
              <w:t>已建生活</w:t>
            </w:r>
            <w:r>
              <w:rPr>
                <w:rFonts w:hint="eastAsia"/>
                <w:color w:val="auto"/>
                <w:sz w:val="24"/>
                <w:lang w:eastAsia="zh-CN"/>
              </w:rPr>
              <w:t>污水</w:t>
            </w:r>
            <w:r>
              <w:rPr>
                <w:rFonts w:hint="eastAsia"/>
                <w:color w:val="auto"/>
                <w:sz w:val="24"/>
              </w:rPr>
              <w:t>一体化污水处理</w:t>
            </w:r>
            <w:r>
              <w:rPr>
                <w:rFonts w:hint="eastAsia"/>
                <w:color w:val="auto"/>
                <w:sz w:val="24"/>
                <w:lang w:eastAsia="zh-CN"/>
              </w:rPr>
              <w:t>站</w:t>
            </w:r>
            <w:r>
              <w:rPr>
                <w:rFonts w:hint="eastAsia"/>
                <w:color w:val="auto"/>
                <w:sz w:val="24"/>
              </w:rPr>
              <w:t>，一体化污水处理</w:t>
            </w:r>
            <w:r>
              <w:rPr>
                <w:rFonts w:hint="eastAsia"/>
                <w:color w:val="auto"/>
                <w:sz w:val="24"/>
                <w:lang w:eastAsia="zh-CN"/>
              </w:rPr>
              <w:t>站目前仅</w:t>
            </w:r>
            <w:r>
              <w:rPr>
                <w:rFonts w:hint="eastAsia"/>
                <w:color w:val="auto"/>
                <w:sz w:val="24"/>
              </w:rPr>
              <w:t>为</w:t>
            </w:r>
            <w:r>
              <w:rPr>
                <w:rFonts w:hint="eastAsia"/>
                <w:color w:val="auto"/>
                <w:sz w:val="24"/>
                <w:lang w:val="en-US" w:eastAsia="zh-CN"/>
              </w:rPr>
              <w:t>云南宝泰轻化机械</w:t>
            </w:r>
            <w:r>
              <w:rPr>
                <w:rFonts w:hint="eastAsia"/>
                <w:color w:val="auto"/>
                <w:sz w:val="24"/>
                <w:lang w:eastAsia="zh-CN"/>
              </w:rPr>
              <w:t>有限公司</w:t>
            </w:r>
            <w:r>
              <w:rPr>
                <w:rFonts w:hint="eastAsia"/>
                <w:color w:val="auto"/>
                <w:sz w:val="24"/>
                <w:lang w:val="en-US" w:eastAsia="zh-CN"/>
              </w:rPr>
              <w:t>1</w:t>
            </w:r>
            <w:r>
              <w:rPr>
                <w:rFonts w:hint="eastAsia"/>
                <w:color w:val="auto"/>
                <w:sz w:val="24"/>
              </w:rPr>
              <w:t>家企业</w:t>
            </w:r>
            <w:r>
              <w:rPr>
                <w:rFonts w:hint="eastAsia"/>
                <w:color w:val="auto"/>
                <w:sz w:val="24"/>
                <w:lang w:eastAsia="zh-CN"/>
              </w:rPr>
              <w:t>在使用，</w:t>
            </w:r>
            <w:r>
              <w:rPr>
                <w:rFonts w:hint="eastAsia"/>
                <w:color w:val="auto"/>
                <w:sz w:val="24"/>
              </w:rPr>
              <w:t>处理能力为</w:t>
            </w:r>
            <w:r>
              <w:rPr>
                <w:rFonts w:hint="eastAsia"/>
                <w:color w:val="auto"/>
                <w:sz w:val="24"/>
                <w:lang w:val="en-US" w:eastAsia="zh-CN"/>
              </w:rPr>
              <w:t>15</w:t>
            </w:r>
            <w:r>
              <w:rPr>
                <w:rFonts w:hint="eastAsia"/>
                <w:color w:val="auto"/>
                <w:sz w:val="24"/>
              </w:rPr>
              <w:t>m</w:t>
            </w:r>
            <w:r>
              <w:rPr>
                <w:rFonts w:hint="eastAsia"/>
                <w:color w:val="auto"/>
                <w:sz w:val="24"/>
                <w:vertAlign w:val="superscript"/>
              </w:rPr>
              <w:t>3</w:t>
            </w:r>
            <w:r>
              <w:rPr>
                <w:rFonts w:hint="eastAsia"/>
                <w:color w:val="auto"/>
                <w:sz w:val="24"/>
              </w:rPr>
              <w:t>/d。处理工艺为</w:t>
            </w:r>
            <w:r>
              <w:rPr>
                <w:rFonts w:hint="eastAsia"/>
                <w:color w:val="auto"/>
                <w:sz w:val="24"/>
                <w:szCs w:val="24"/>
              </w:rPr>
              <w:t>“</w:t>
            </w:r>
            <w:r>
              <w:rPr>
                <w:rFonts w:hint="eastAsia" w:cs="Times New Roman"/>
                <w:color w:val="auto"/>
                <w:sz w:val="24"/>
                <w:szCs w:val="24"/>
                <w:highlight w:val="none"/>
                <w:lang w:val="en-US" w:eastAsia="zh-CN"/>
              </w:rPr>
              <w:t>曝气+沉降+光催化氧化+消毒</w:t>
            </w:r>
            <w:r>
              <w:rPr>
                <w:rFonts w:hint="eastAsia"/>
                <w:color w:val="auto"/>
                <w:sz w:val="24"/>
                <w:szCs w:val="24"/>
              </w:rPr>
              <w:t>”</w:t>
            </w:r>
            <w:r>
              <w:rPr>
                <w:rFonts w:hint="eastAsia" w:cs="Times New Roman"/>
                <w:color w:val="auto"/>
                <w:sz w:val="24"/>
                <w:szCs w:val="24"/>
                <w:highlight w:val="none"/>
                <w:lang w:val="en-US" w:eastAsia="zh-CN"/>
              </w:rPr>
              <w:t>工艺</w:t>
            </w:r>
            <w:r>
              <w:rPr>
                <w:rFonts w:hint="eastAsia"/>
                <w:color w:val="auto"/>
                <w:sz w:val="24"/>
                <w:szCs w:val="24"/>
              </w:rPr>
              <w:t>。</w:t>
            </w:r>
          </w:p>
          <w:p w14:paraId="7DFC45C2">
            <w:pPr>
              <w:keepNext w:val="0"/>
              <w:keepLines w:val="0"/>
              <w:pageBreakBefore w:val="0"/>
              <w:widowControl w:val="0"/>
              <w:kinsoku/>
              <w:wordWrap/>
              <w:overflowPunct/>
              <w:topLinePunct w:val="0"/>
              <w:autoSpaceDE/>
              <w:autoSpaceDN/>
              <w:bidi w:val="0"/>
              <w:adjustRightInd w:val="0"/>
              <w:snapToGrid w:val="0"/>
              <w:spacing w:line="348" w:lineRule="auto"/>
              <w:ind w:firstLine="480" w:firstLineChars="200"/>
              <w:textAlignment w:val="auto"/>
              <w:rPr>
                <w:rFonts w:hint="default" w:ascii="Times New Roman" w:hAnsi="Times New Roman" w:eastAsia="宋体" w:cs="Times New Roman"/>
                <w:color w:val="auto"/>
                <w:sz w:val="24"/>
                <w:szCs w:val="24"/>
                <w:highlight w:val="none"/>
                <w:lang w:eastAsia="zh-CN"/>
              </w:rPr>
            </w:pPr>
            <w:r>
              <w:rPr>
                <w:rFonts w:hint="eastAsia"/>
                <w:color w:val="auto"/>
                <w:sz w:val="24"/>
              </w:rPr>
              <w:t>一体化污水处理</w:t>
            </w:r>
            <w:r>
              <w:rPr>
                <w:rFonts w:hint="eastAsia"/>
                <w:color w:val="auto"/>
                <w:sz w:val="24"/>
                <w:lang w:eastAsia="zh-CN"/>
              </w:rPr>
              <w:t>站</w:t>
            </w:r>
            <w:r>
              <w:rPr>
                <w:rFonts w:hint="eastAsia"/>
                <w:color w:val="auto"/>
                <w:sz w:val="24"/>
              </w:rPr>
              <w:t>由</w:t>
            </w:r>
            <w:r>
              <w:rPr>
                <w:rFonts w:hint="eastAsia"/>
                <w:color w:val="auto"/>
                <w:sz w:val="24"/>
                <w:lang w:val="en-US" w:eastAsia="zh-CN"/>
              </w:rPr>
              <w:t>云南宝泰轻化机械</w:t>
            </w:r>
            <w:r>
              <w:rPr>
                <w:rFonts w:hint="eastAsia"/>
                <w:color w:val="auto"/>
                <w:sz w:val="24"/>
                <w:lang w:eastAsia="zh-CN"/>
              </w:rPr>
              <w:t>有限公司</w:t>
            </w:r>
            <w:r>
              <w:rPr>
                <w:rFonts w:hint="eastAsia"/>
                <w:color w:val="auto"/>
                <w:sz w:val="24"/>
              </w:rPr>
              <w:t>负责运行和管理，根据污水处理</w:t>
            </w:r>
            <w:r>
              <w:rPr>
                <w:rFonts w:hint="eastAsia"/>
                <w:color w:val="auto"/>
                <w:sz w:val="24"/>
                <w:lang w:eastAsia="zh-CN"/>
              </w:rPr>
              <w:t>站</w:t>
            </w:r>
            <w:r>
              <w:rPr>
                <w:rFonts w:hint="eastAsia"/>
                <w:color w:val="auto"/>
                <w:sz w:val="24"/>
              </w:rPr>
              <w:t>实际运行情况，目前污水处理</w:t>
            </w:r>
            <w:r>
              <w:rPr>
                <w:rFonts w:hint="eastAsia"/>
                <w:color w:val="auto"/>
                <w:sz w:val="24"/>
                <w:lang w:eastAsia="zh-CN"/>
              </w:rPr>
              <w:t>站</w:t>
            </w:r>
            <w:r>
              <w:rPr>
                <w:rFonts w:hint="eastAsia"/>
                <w:color w:val="auto"/>
                <w:sz w:val="24"/>
              </w:rPr>
              <w:t>每天处理生活</w:t>
            </w:r>
            <w:r>
              <w:rPr>
                <w:rFonts w:hint="eastAsia"/>
                <w:color w:val="auto"/>
                <w:sz w:val="24"/>
                <w:lang w:eastAsia="zh-CN"/>
              </w:rPr>
              <w:t>污水</w:t>
            </w:r>
            <w:r>
              <w:rPr>
                <w:rFonts w:hint="eastAsia"/>
                <w:color w:val="auto"/>
                <w:sz w:val="24"/>
              </w:rPr>
              <w:t>量约为</w:t>
            </w:r>
            <w:r>
              <w:rPr>
                <w:rFonts w:hint="eastAsia"/>
                <w:color w:val="auto"/>
                <w:sz w:val="24"/>
                <w:lang w:val="en-US" w:eastAsia="zh-CN"/>
              </w:rPr>
              <w:t>1.0</w:t>
            </w:r>
            <w:r>
              <w:rPr>
                <w:rFonts w:hint="eastAsia"/>
                <w:color w:val="auto"/>
                <w:sz w:val="24"/>
              </w:rPr>
              <w:t>m</w:t>
            </w:r>
            <w:r>
              <w:rPr>
                <w:rFonts w:hint="eastAsia"/>
                <w:color w:val="auto"/>
                <w:sz w:val="24"/>
                <w:vertAlign w:val="superscript"/>
              </w:rPr>
              <w:t>3</w:t>
            </w:r>
            <w:r>
              <w:rPr>
                <w:rFonts w:hint="eastAsia"/>
                <w:color w:val="auto"/>
                <w:sz w:val="24"/>
              </w:rPr>
              <w:t>/d，污水处理</w:t>
            </w:r>
            <w:r>
              <w:rPr>
                <w:rFonts w:hint="eastAsia"/>
                <w:color w:val="auto"/>
                <w:sz w:val="24"/>
                <w:lang w:eastAsia="zh-CN"/>
              </w:rPr>
              <w:t>站</w:t>
            </w:r>
            <w:r>
              <w:rPr>
                <w:rFonts w:hint="eastAsia"/>
                <w:color w:val="auto"/>
                <w:sz w:val="24"/>
              </w:rPr>
              <w:t>仍有</w:t>
            </w:r>
            <w:r>
              <w:rPr>
                <w:rFonts w:hint="eastAsia"/>
                <w:color w:val="auto"/>
                <w:sz w:val="24"/>
                <w:lang w:val="en-US" w:eastAsia="zh-CN"/>
              </w:rPr>
              <w:t>14m</w:t>
            </w:r>
            <w:r>
              <w:rPr>
                <w:rFonts w:hint="eastAsia"/>
                <w:color w:val="auto"/>
                <w:sz w:val="24"/>
                <w:vertAlign w:val="superscript"/>
                <w:lang w:val="en-US" w:eastAsia="zh-CN"/>
              </w:rPr>
              <w:t>3</w:t>
            </w:r>
            <w:r>
              <w:rPr>
                <w:rFonts w:hint="eastAsia"/>
                <w:color w:val="auto"/>
                <w:sz w:val="24"/>
                <w:lang w:val="en-US" w:eastAsia="zh-CN"/>
              </w:rPr>
              <w:t>/d</w:t>
            </w:r>
            <w:r>
              <w:rPr>
                <w:rFonts w:hint="eastAsia"/>
                <w:color w:val="auto"/>
                <w:sz w:val="24"/>
              </w:rPr>
              <w:t>处理余量，</w:t>
            </w:r>
            <w:r>
              <w:rPr>
                <w:rFonts w:hint="eastAsia"/>
                <w:color w:val="auto"/>
                <w:sz w:val="24"/>
                <w:lang w:val="en-US" w:eastAsia="zh-CN"/>
              </w:rPr>
              <w:t>本项目</w:t>
            </w:r>
            <w:r>
              <w:rPr>
                <w:rFonts w:hint="eastAsia"/>
                <w:color w:val="auto"/>
                <w:sz w:val="24"/>
              </w:rPr>
              <w:t>生活</w:t>
            </w:r>
            <w:r>
              <w:rPr>
                <w:rFonts w:hint="eastAsia"/>
                <w:color w:val="auto"/>
                <w:sz w:val="24"/>
                <w:lang w:eastAsia="zh-CN"/>
              </w:rPr>
              <w:t>污水</w:t>
            </w:r>
            <w:r>
              <w:rPr>
                <w:color w:val="auto"/>
                <w:sz w:val="24"/>
              </w:rPr>
              <w:t>产生量为</w:t>
            </w:r>
            <w:r>
              <w:rPr>
                <w:rFonts w:hint="eastAsia"/>
                <w:color w:val="auto"/>
                <w:sz w:val="24"/>
                <w:lang w:val="en-US" w:eastAsia="zh-CN"/>
              </w:rPr>
              <w:t>2.1867</w:t>
            </w:r>
            <w:r>
              <w:rPr>
                <w:color w:val="auto"/>
                <w:sz w:val="24"/>
              </w:rPr>
              <w:t>m</w:t>
            </w:r>
            <w:r>
              <w:rPr>
                <w:color w:val="auto"/>
                <w:sz w:val="24"/>
                <w:vertAlign w:val="superscript"/>
              </w:rPr>
              <w:t>3</w:t>
            </w:r>
            <w:r>
              <w:rPr>
                <w:color w:val="auto"/>
                <w:sz w:val="24"/>
              </w:rPr>
              <w:t>/d</w:t>
            </w:r>
            <w:r>
              <w:rPr>
                <w:rFonts w:hint="eastAsia"/>
                <w:color w:val="auto"/>
                <w:sz w:val="24"/>
                <w:lang w:eastAsia="zh-CN"/>
              </w:rPr>
              <w:t>，</w:t>
            </w:r>
            <w:r>
              <w:rPr>
                <w:rFonts w:hint="eastAsia"/>
                <w:color w:val="auto"/>
                <w:sz w:val="24"/>
              </w:rPr>
              <w:t>可满足本项目污水的接入</w:t>
            </w:r>
            <w:r>
              <w:rPr>
                <w:rFonts w:hint="eastAsia"/>
                <w:color w:val="auto"/>
                <w:sz w:val="24"/>
                <w:lang w:val="en-US" w:eastAsia="zh-CN"/>
              </w:rPr>
              <w:t>处理</w:t>
            </w:r>
            <w:r>
              <w:rPr>
                <w:rFonts w:hint="eastAsia"/>
                <w:color w:val="auto"/>
                <w:sz w:val="24"/>
              </w:rPr>
              <w:t>。</w:t>
            </w:r>
          </w:p>
          <w:p w14:paraId="0375E4B8">
            <w:pPr>
              <w:keepNext w:val="0"/>
              <w:keepLines w:val="0"/>
              <w:pageBreakBefore w:val="0"/>
              <w:widowControl w:val="0"/>
              <w:shd w:val="clear"/>
              <w:kinsoku/>
              <w:wordWrap/>
              <w:overflowPunct/>
              <w:topLinePunct w:val="0"/>
              <w:autoSpaceDE/>
              <w:autoSpaceDN/>
              <w:bidi w:val="0"/>
              <w:spacing w:line="360" w:lineRule="auto"/>
              <w:ind w:firstLine="480"/>
              <w:rPr>
                <w:rFonts w:hint="eastAsia"/>
                <w:color w:val="auto"/>
                <w:sz w:val="24"/>
                <w:lang w:val="en-US" w:eastAsia="zh-CN"/>
              </w:rPr>
            </w:pPr>
            <w:r>
              <w:rPr>
                <w:rFonts w:hint="eastAsia" w:cs="Times New Roman"/>
                <w:b w:val="0"/>
                <w:bCs w:val="0"/>
                <w:color w:val="auto"/>
                <w:sz w:val="24"/>
                <w:szCs w:val="24"/>
                <w:highlight w:val="none"/>
                <w:lang w:val="en-US" w:eastAsia="zh-CN"/>
              </w:rPr>
              <w:t>根据实地踏勘可知：</w:t>
            </w:r>
            <w:r>
              <w:rPr>
                <w:rFonts w:hint="eastAsia"/>
                <w:color w:val="auto"/>
                <w:sz w:val="24"/>
                <w:lang w:val="zh-CN"/>
              </w:rPr>
              <w:t>污水处理站位于本项目西侧</w:t>
            </w:r>
            <w:r>
              <w:rPr>
                <w:rFonts w:hint="eastAsia"/>
                <w:color w:val="auto"/>
                <w:sz w:val="24"/>
                <w:lang w:val="en-US" w:eastAsia="zh-CN"/>
              </w:rPr>
              <w:t>27m，化粪池位于租用办公生活区北侧，</w:t>
            </w:r>
            <w:r>
              <w:rPr>
                <w:rFonts w:hint="eastAsia"/>
                <w:color w:val="auto"/>
                <w:sz w:val="24"/>
                <w:lang w:val="zh-CN"/>
              </w:rPr>
              <w:t>化粪池与一体化污水处理站临近，共用一体化污水站从距离上来看可行，位置关系详见附图</w:t>
            </w:r>
            <w:r>
              <w:rPr>
                <w:rFonts w:hint="eastAsia"/>
                <w:color w:val="auto"/>
                <w:sz w:val="24"/>
                <w:lang w:val="en-US" w:eastAsia="zh-CN"/>
              </w:rPr>
              <w:t>3。</w:t>
            </w:r>
          </w:p>
          <w:p w14:paraId="0A3D08A8">
            <w:pPr>
              <w:pStyle w:val="83"/>
              <w:keepNext w:val="0"/>
              <w:keepLines w:val="0"/>
              <w:pageBreakBefore w:val="0"/>
              <w:widowControl w:val="0"/>
              <w:kinsoku/>
              <w:wordWrap/>
              <w:overflowPunct/>
              <w:topLinePunct w:val="0"/>
              <w:autoSpaceDE/>
              <w:autoSpaceDN/>
              <w:bidi w:val="0"/>
              <w:spacing w:beforeLines="0" w:afterLines="0" w:line="360" w:lineRule="auto"/>
              <w:ind w:left="0" w:right="0" w:firstLine="480" w:firstLineChars="200"/>
              <w:textAlignment w:val="auto"/>
              <w:rPr>
                <w:rFonts w:hint="default" w:ascii="Times New Roman" w:hAnsi="Times New Roman" w:eastAsia="宋体" w:cs="Times New Roman"/>
                <w:caps w:val="0"/>
                <w:snapToGrid w:val="0"/>
                <w:color w:val="auto"/>
                <w:spacing w:val="0"/>
                <w:w w:val="100"/>
                <w:kern w:val="2"/>
                <w:position w:val="0"/>
                <w:sz w:val="24"/>
                <w:szCs w:val="24"/>
                <w:highlight w:val="none"/>
                <w:lang w:val="en-US" w:eastAsia="zh-CN" w:bidi="ar-SA"/>
              </w:rPr>
            </w:pPr>
            <w:r>
              <w:rPr>
                <w:rFonts w:hint="eastAsia"/>
                <w:color w:val="auto"/>
                <w:sz w:val="24"/>
                <w:lang w:val="en-US" w:eastAsia="zh-CN"/>
              </w:rPr>
              <w:t>生活污水处理后回</w:t>
            </w:r>
            <w:r>
              <w:rPr>
                <w:rFonts w:hint="default" w:ascii="Times New Roman" w:hAnsi="Times New Roman" w:eastAsia="宋体" w:cs="Times New Roman"/>
                <w:b w:val="0"/>
                <w:bCs w:val="0"/>
                <w:color w:val="auto"/>
                <w:sz w:val="24"/>
                <w:szCs w:val="24"/>
                <w:highlight w:val="none"/>
                <w:lang w:val="en-US" w:eastAsia="zh-CN"/>
              </w:rPr>
              <w:t>用于</w:t>
            </w:r>
            <w:r>
              <w:rPr>
                <w:rFonts w:hint="eastAsia" w:cs="Times New Roman"/>
                <w:b w:val="0"/>
                <w:bCs w:val="0"/>
                <w:color w:val="auto"/>
                <w:sz w:val="24"/>
                <w:szCs w:val="24"/>
                <w:highlight w:val="none"/>
                <w:lang w:val="en-US" w:eastAsia="zh-CN"/>
              </w:rPr>
              <w:t>本</w:t>
            </w:r>
            <w:r>
              <w:rPr>
                <w:rFonts w:hint="default" w:ascii="Times New Roman" w:hAnsi="Times New Roman" w:eastAsia="宋体" w:cs="Times New Roman"/>
                <w:b w:val="0"/>
                <w:bCs w:val="0"/>
                <w:color w:val="auto"/>
                <w:sz w:val="24"/>
                <w:szCs w:val="24"/>
                <w:highlight w:val="none"/>
                <w:lang w:val="en-US" w:eastAsia="zh-CN"/>
              </w:rPr>
              <w:t>项目区</w:t>
            </w:r>
            <w:r>
              <w:rPr>
                <w:rFonts w:hint="eastAsia" w:cs="Times New Roman"/>
                <w:b w:val="0"/>
                <w:bCs w:val="0"/>
                <w:color w:val="auto"/>
                <w:sz w:val="24"/>
                <w:szCs w:val="24"/>
                <w:highlight w:val="none"/>
                <w:lang w:val="en-US" w:eastAsia="zh-CN"/>
              </w:rPr>
              <w:t>及</w:t>
            </w:r>
            <w:r>
              <w:rPr>
                <w:rFonts w:hint="eastAsia"/>
                <w:bCs/>
                <w:color w:val="auto"/>
                <w:sz w:val="24"/>
                <w:highlight w:val="none"/>
                <w:lang w:eastAsia="zh-CN"/>
              </w:rPr>
              <w:t>云</w:t>
            </w:r>
            <w:r>
              <w:rPr>
                <w:rFonts w:hint="eastAsia"/>
                <w:color w:val="auto"/>
                <w:sz w:val="24"/>
                <w:highlight w:val="none"/>
                <w:lang w:val="en-US" w:eastAsia="zh-CN"/>
              </w:rPr>
              <w:t>南宝泰轻化机械</w:t>
            </w:r>
            <w:r>
              <w:rPr>
                <w:rFonts w:hint="eastAsia"/>
                <w:color w:val="auto"/>
                <w:sz w:val="24"/>
                <w:highlight w:val="none"/>
                <w:lang w:eastAsia="zh-CN"/>
              </w:rPr>
              <w:t>有限公司</w:t>
            </w:r>
            <w:r>
              <w:rPr>
                <w:rFonts w:hint="default" w:ascii="Times New Roman" w:hAnsi="Times New Roman" w:eastAsia="宋体" w:cs="Times New Roman"/>
                <w:b w:val="0"/>
                <w:bCs w:val="0"/>
                <w:color w:val="auto"/>
                <w:sz w:val="24"/>
                <w:szCs w:val="24"/>
                <w:highlight w:val="none"/>
                <w:lang w:val="en-US" w:eastAsia="zh-CN"/>
              </w:rPr>
              <w:t>内绿化及道路场地洒水降尘</w:t>
            </w:r>
            <w:r>
              <w:rPr>
                <w:rFonts w:hint="eastAsia" w:ascii="Times New Roman" w:hAnsi="Times New Roman" w:eastAsia="宋体" w:cs="Times New Roman"/>
                <w:b w:val="0"/>
                <w:bCs w:val="0"/>
                <w:color w:val="auto"/>
                <w:sz w:val="24"/>
                <w:szCs w:val="24"/>
                <w:highlight w:val="none"/>
                <w:lang w:val="en-US" w:eastAsia="zh-CN"/>
              </w:rPr>
              <w:t>；根据</w:t>
            </w:r>
            <w:r>
              <w:rPr>
                <w:rFonts w:hint="eastAsia" w:cs="Times New Roman"/>
                <w:color w:val="auto"/>
                <w:sz w:val="24"/>
                <w:szCs w:val="24"/>
                <w:highlight w:val="none"/>
                <w:lang w:val="zh-CN"/>
              </w:rPr>
              <w:t>云</w:t>
            </w:r>
            <w:r>
              <w:rPr>
                <w:rFonts w:hint="eastAsia"/>
                <w:color w:val="auto"/>
                <w:sz w:val="24"/>
                <w:highlight w:val="none"/>
                <w:lang w:val="en-US" w:eastAsia="zh-CN"/>
              </w:rPr>
              <w:t>南宝泰轻化机械</w:t>
            </w:r>
            <w:r>
              <w:rPr>
                <w:rFonts w:hint="eastAsia"/>
                <w:color w:val="auto"/>
                <w:sz w:val="24"/>
                <w:highlight w:val="none"/>
                <w:lang w:eastAsia="zh-CN"/>
              </w:rPr>
              <w:t>有限公司对废水检测结果（详见附件</w:t>
            </w:r>
            <w:r>
              <w:rPr>
                <w:rFonts w:hint="eastAsia"/>
                <w:color w:val="auto"/>
                <w:sz w:val="24"/>
                <w:highlight w:val="none"/>
                <w:lang w:val="en-US" w:eastAsia="zh-CN"/>
              </w:rPr>
              <w:t>16</w:t>
            </w:r>
            <w:r>
              <w:rPr>
                <w:rFonts w:hint="eastAsia"/>
                <w:color w:val="auto"/>
                <w:sz w:val="24"/>
                <w:highlight w:val="none"/>
                <w:lang w:eastAsia="zh-CN"/>
              </w:rPr>
              <w:t>）可知，处理后的废水可达到</w:t>
            </w:r>
            <w:r>
              <w:rPr>
                <w:rFonts w:hint="default" w:ascii="Times New Roman" w:hAnsi="Times New Roman" w:eastAsia="宋体" w:cs="Times New Roman"/>
                <w:b w:val="0"/>
                <w:bCs w:val="0"/>
                <w:color w:val="auto"/>
                <w:sz w:val="24"/>
                <w:szCs w:val="24"/>
                <w:highlight w:val="none"/>
                <w:lang w:val="en-US" w:eastAsia="zh-CN"/>
              </w:rPr>
              <w:t>《城市污水再生利用 城市杂用水水质》（GB/T18920-2020）中的城市绿化、道路清扫、消防、建筑施工标准。</w:t>
            </w:r>
          </w:p>
          <w:p w14:paraId="526805E6">
            <w:pPr>
              <w:pStyle w:val="83"/>
              <w:keepNext w:val="0"/>
              <w:keepLines w:val="0"/>
              <w:pageBreakBefore w:val="0"/>
              <w:widowControl w:val="0"/>
              <w:kinsoku/>
              <w:wordWrap/>
              <w:overflowPunct/>
              <w:topLinePunct w:val="0"/>
              <w:autoSpaceDE/>
              <w:autoSpaceDN/>
              <w:bidi w:val="0"/>
              <w:spacing w:beforeLines="0" w:afterLines="0" w:line="360" w:lineRule="auto"/>
              <w:ind w:left="0" w:right="0" w:firstLine="480" w:firstLineChars="200"/>
              <w:textAlignment w:val="auto"/>
              <w:rPr>
                <w:rFonts w:hint="default"/>
                <w:color w:val="auto"/>
                <w:lang w:val="en-US" w:eastAsia="zh-CN"/>
              </w:rPr>
            </w:pPr>
            <w:r>
              <w:rPr>
                <w:rFonts w:hint="eastAsia"/>
                <w:color w:val="auto"/>
                <w:lang w:val="en-US" w:eastAsia="zh-CN"/>
              </w:rPr>
              <w:t>综上，本项目生活污水</w:t>
            </w:r>
            <w:r>
              <w:rPr>
                <w:rFonts w:hint="eastAsia" w:ascii="Times New Roman" w:hAnsi="Times New Roman" w:eastAsia="宋体" w:cs="Times New Roman"/>
                <w:color w:val="auto"/>
                <w:sz w:val="24"/>
                <w:szCs w:val="24"/>
                <w:highlight w:val="none"/>
                <w:lang w:val="en-US" w:eastAsia="zh-CN"/>
              </w:rPr>
              <w:t>依托</w:t>
            </w:r>
            <w:r>
              <w:rPr>
                <w:rFonts w:hint="eastAsia"/>
                <w:bCs/>
                <w:color w:val="auto"/>
                <w:sz w:val="24"/>
                <w:highlight w:val="none"/>
                <w:lang w:eastAsia="zh-CN"/>
              </w:rPr>
              <w:t>云</w:t>
            </w:r>
            <w:r>
              <w:rPr>
                <w:rFonts w:hint="eastAsia"/>
                <w:color w:val="auto"/>
                <w:sz w:val="24"/>
                <w:highlight w:val="none"/>
                <w:lang w:val="en-US" w:eastAsia="zh-CN"/>
              </w:rPr>
              <w:t>南宝泰轻化机械</w:t>
            </w:r>
            <w:r>
              <w:rPr>
                <w:rFonts w:hint="eastAsia"/>
                <w:color w:val="auto"/>
                <w:sz w:val="24"/>
                <w:highlight w:val="none"/>
                <w:lang w:eastAsia="zh-CN"/>
              </w:rPr>
              <w:t>有限公司的</w:t>
            </w:r>
            <w:r>
              <w:rPr>
                <w:rFonts w:hint="eastAsia" w:ascii="Times New Roman" w:hAnsi="Times New Roman" w:eastAsia="宋体" w:cs="Times New Roman"/>
                <w:color w:val="auto"/>
                <w:sz w:val="24"/>
                <w:szCs w:val="24"/>
                <w:highlight w:val="none"/>
                <w:lang w:val="en-US" w:eastAsia="zh-CN"/>
              </w:rPr>
              <w:t>一体化污水处理站</w:t>
            </w:r>
            <w:r>
              <w:rPr>
                <w:rFonts w:hint="default" w:ascii="Times New Roman" w:hAnsi="Times New Roman" w:eastAsia="宋体" w:cs="Times New Roman"/>
                <w:color w:val="auto"/>
                <w:sz w:val="24"/>
                <w:szCs w:val="24"/>
                <w:highlight w:val="none"/>
                <w:lang w:val="en-US" w:eastAsia="zh-CN"/>
              </w:rPr>
              <w:t>处理</w:t>
            </w:r>
            <w:r>
              <w:rPr>
                <w:rFonts w:hint="eastAsia" w:ascii="Times New Roman" w:hAnsi="Times New Roman" w:eastAsia="宋体" w:cs="Times New Roman"/>
                <w:color w:val="auto"/>
                <w:sz w:val="24"/>
                <w:szCs w:val="24"/>
                <w:highlight w:val="none"/>
                <w:lang w:val="en-US" w:eastAsia="zh-CN"/>
              </w:rPr>
              <w:t>达到</w:t>
            </w:r>
            <w:r>
              <w:rPr>
                <w:rFonts w:hint="default" w:ascii="Times New Roman" w:hAnsi="Times New Roman" w:eastAsia="宋体" w:cs="Times New Roman"/>
                <w:b w:val="0"/>
                <w:bCs w:val="0"/>
                <w:color w:val="auto"/>
                <w:sz w:val="24"/>
                <w:szCs w:val="24"/>
                <w:highlight w:val="none"/>
                <w:lang w:val="en-US" w:eastAsia="zh-CN"/>
              </w:rPr>
              <w:t>《城市污水再生利用 城市杂用水水质》（GB/T18920-2020）中的城市绿化、道路清扫、消防、建筑施工标准后，用于</w:t>
            </w:r>
            <w:r>
              <w:rPr>
                <w:rFonts w:hint="eastAsia" w:cs="Times New Roman"/>
                <w:b w:val="0"/>
                <w:bCs w:val="0"/>
                <w:color w:val="auto"/>
                <w:sz w:val="24"/>
                <w:szCs w:val="24"/>
                <w:highlight w:val="none"/>
                <w:lang w:val="en-US" w:eastAsia="zh-CN"/>
              </w:rPr>
              <w:t>本</w:t>
            </w:r>
            <w:r>
              <w:rPr>
                <w:rFonts w:hint="default" w:ascii="Times New Roman" w:hAnsi="Times New Roman" w:eastAsia="宋体" w:cs="Times New Roman"/>
                <w:b w:val="0"/>
                <w:bCs w:val="0"/>
                <w:color w:val="auto"/>
                <w:sz w:val="24"/>
                <w:szCs w:val="24"/>
                <w:highlight w:val="none"/>
                <w:lang w:val="en-US" w:eastAsia="zh-CN"/>
              </w:rPr>
              <w:t>项目区</w:t>
            </w:r>
            <w:r>
              <w:rPr>
                <w:rFonts w:hint="eastAsia" w:cs="Times New Roman"/>
                <w:b w:val="0"/>
                <w:bCs w:val="0"/>
                <w:color w:val="auto"/>
                <w:sz w:val="24"/>
                <w:szCs w:val="24"/>
                <w:highlight w:val="none"/>
                <w:lang w:val="en-US" w:eastAsia="zh-CN"/>
              </w:rPr>
              <w:t>及</w:t>
            </w:r>
            <w:r>
              <w:rPr>
                <w:rFonts w:hint="eastAsia"/>
                <w:bCs/>
                <w:color w:val="auto"/>
                <w:sz w:val="24"/>
                <w:highlight w:val="none"/>
                <w:lang w:eastAsia="zh-CN"/>
              </w:rPr>
              <w:t>云</w:t>
            </w:r>
            <w:r>
              <w:rPr>
                <w:rFonts w:hint="eastAsia"/>
                <w:color w:val="auto"/>
                <w:sz w:val="24"/>
                <w:highlight w:val="none"/>
                <w:lang w:val="en-US" w:eastAsia="zh-CN"/>
              </w:rPr>
              <w:t>南宝泰轻化机械</w:t>
            </w:r>
            <w:r>
              <w:rPr>
                <w:rFonts w:hint="eastAsia"/>
                <w:color w:val="auto"/>
                <w:sz w:val="24"/>
                <w:highlight w:val="none"/>
                <w:lang w:eastAsia="zh-CN"/>
              </w:rPr>
              <w:t>有限公司</w:t>
            </w:r>
            <w:r>
              <w:rPr>
                <w:rFonts w:hint="default" w:ascii="Times New Roman" w:hAnsi="Times New Roman" w:eastAsia="宋体" w:cs="Times New Roman"/>
                <w:b w:val="0"/>
                <w:bCs w:val="0"/>
                <w:color w:val="auto"/>
                <w:sz w:val="24"/>
                <w:szCs w:val="24"/>
                <w:highlight w:val="none"/>
                <w:lang w:val="en-US" w:eastAsia="zh-CN"/>
              </w:rPr>
              <w:t>内绿化及道路场地洒水降尘</w:t>
            </w:r>
            <w:r>
              <w:rPr>
                <w:rFonts w:hint="eastAsia" w:ascii="Times New Roman" w:hAnsi="Times New Roman" w:eastAsia="宋体" w:cs="Times New Roman"/>
                <w:b w:val="0"/>
                <w:bCs w:val="0"/>
                <w:color w:val="auto"/>
                <w:sz w:val="24"/>
                <w:szCs w:val="24"/>
                <w:highlight w:val="none"/>
                <w:lang w:val="en-US" w:eastAsia="zh-CN"/>
              </w:rPr>
              <w:t>是可行的</w:t>
            </w:r>
            <w:r>
              <w:rPr>
                <w:rFonts w:hint="default" w:ascii="Times New Roman" w:hAnsi="Times New Roman" w:eastAsia="宋体" w:cs="Times New Roman"/>
                <w:b w:val="0"/>
                <w:bCs w:val="0"/>
                <w:color w:val="auto"/>
                <w:sz w:val="24"/>
                <w:szCs w:val="24"/>
                <w:highlight w:val="none"/>
                <w:lang w:val="en-US" w:eastAsia="zh-CN"/>
              </w:rPr>
              <w:t>。</w:t>
            </w:r>
          </w:p>
          <w:p w14:paraId="39992956">
            <w:pPr>
              <w:keepNext w:val="0"/>
              <w:keepLines w:val="0"/>
              <w:pageBreakBefore w:val="0"/>
              <w:widowControl w:val="0"/>
              <w:numPr>
                <w:ilvl w:val="0"/>
                <w:numId w:val="0"/>
              </w:numPr>
              <w:kinsoku/>
              <w:wordWrap/>
              <w:overflowPunct/>
              <w:topLinePunct w:val="0"/>
              <w:autoSpaceDE/>
              <w:autoSpaceDN/>
              <w:bidi w:val="0"/>
              <w:adjustRightInd/>
              <w:snapToGrid/>
              <w:spacing w:line="351" w:lineRule="auto"/>
              <w:ind w:left="0" w:leftChars="0" w:firstLine="442" w:firstLineChars="200"/>
              <w:textAlignment w:val="auto"/>
              <w:rPr>
                <w:rFonts w:hint="default" w:ascii="Times New Roman" w:hAnsi="Times New Roman" w:eastAsia="宋体" w:cs="Times New Roman"/>
                <w:b/>
                <w:bCs w:val="0"/>
                <w:color w:val="auto"/>
                <w:spacing w:val="-10"/>
                <w:kern w:val="2"/>
                <w:sz w:val="24"/>
                <w:szCs w:val="24"/>
                <w:highlight w:val="none"/>
                <w:lang w:val="zh-CN" w:eastAsia="zh-CN" w:bidi="ar-SA"/>
              </w:rPr>
            </w:pPr>
            <w:r>
              <w:rPr>
                <w:rFonts w:hint="default" w:ascii="Times New Roman" w:hAnsi="Times New Roman" w:eastAsia="宋体" w:cs="Times New Roman"/>
                <w:b/>
                <w:bCs w:val="0"/>
                <w:color w:val="auto"/>
                <w:spacing w:val="-10"/>
                <w:kern w:val="2"/>
                <w:sz w:val="24"/>
                <w:szCs w:val="24"/>
                <w:highlight w:val="none"/>
                <w:lang w:val="en-US" w:eastAsia="zh-CN" w:bidi="ar-SA"/>
              </w:rPr>
              <w:t>4、</w:t>
            </w:r>
            <w:r>
              <w:rPr>
                <w:rFonts w:hint="eastAsia" w:cs="Times New Roman"/>
                <w:b/>
                <w:bCs w:val="0"/>
                <w:color w:val="auto"/>
                <w:spacing w:val="-10"/>
                <w:kern w:val="2"/>
                <w:sz w:val="24"/>
                <w:szCs w:val="24"/>
                <w:highlight w:val="none"/>
                <w:lang w:val="en-US" w:eastAsia="zh-CN" w:bidi="ar-SA"/>
              </w:rPr>
              <w:t>冷却水</w:t>
            </w:r>
            <w:r>
              <w:rPr>
                <w:rFonts w:hint="default" w:ascii="Times New Roman" w:hAnsi="Times New Roman" w:eastAsia="宋体" w:cs="Times New Roman"/>
                <w:b/>
                <w:bCs w:val="0"/>
                <w:color w:val="auto"/>
                <w:spacing w:val="-10"/>
                <w:kern w:val="2"/>
                <w:sz w:val="24"/>
                <w:szCs w:val="24"/>
                <w:highlight w:val="none"/>
                <w:lang w:val="en-US" w:eastAsia="zh-CN" w:bidi="ar-SA"/>
              </w:rPr>
              <w:t>循环使用的</w:t>
            </w:r>
            <w:r>
              <w:rPr>
                <w:rFonts w:hint="default" w:ascii="Times New Roman" w:hAnsi="Times New Roman" w:eastAsia="宋体" w:cs="Times New Roman"/>
                <w:b/>
                <w:bCs w:val="0"/>
                <w:color w:val="auto"/>
                <w:spacing w:val="-10"/>
                <w:kern w:val="2"/>
                <w:sz w:val="24"/>
                <w:szCs w:val="24"/>
                <w:highlight w:val="none"/>
                <w:lang w:val="zh-CN" w:eastAsia="zh-CN" w:bidi="ar-SA"/>
              </w:rPr>
              <w:t>可行性分析</w:t>
            </w:r>
          </w:p>
          <w:p w14:paraId="76F0C139">
            <w:pPr>
              <w:keepNext w:val="0"/>
              <w:keepLines w:val="0"/>
              <w:pageBreakBefore w:val="0"/>
              <w:widowControl w:val="0"/>
              <w:kinsoku/>
              <w:wordWrap/>
              <w:overflowPunct/>
              <w:topLinePunct w:val="0"/>
              <w:autoSpaceDE/>
              <w:autoSpaceDN/>
              <w:bidi w:val="0"/>
              <w:adjustRightInd w:val="0"/>
              <w:snapToGrid w:val="0"/>
              <w:spacing w:line="351" w:lineRule="auto"/>
              <w:ind w:firstLine="480" w:firstLineChars="200"/>
              <w:rPr>
                <w:rFonts w:hint="default" w:ascii="Times New Roman" w:hAnsi="Times New Roman" w:eastAsia="宋体" w:cs="Times New Roman"/>
                <w:color w:val="auto"/>
                <w:sz w:val="24"/>
                <w:lang w:val="en-US" w:eastAsia="en-US"/>
              </w:rPr>
            </w:pPr>
            <w:r>
              <w:rPr>
                <w:rFonts w:hint="default" w:ascii="Times New Roman" w:hAnsi="Times New Roman" w:eastAsia="宋体" w:cs="Times New Roman"/>
                <w:color w:val="auto"/>
                <w:sz w:val="24"/>
                <w:lang w:val="en-US" w:eastAsia="zh-CN"/>
              </w:rPr>
              <w:t>根据工程分析，项目</w:t>
            </w:r>
            <w:r>
              <w:rPr>
                <w:rFonts w:hint="eastAsia" w:ascii="Times New Roman" w:hAnsi="Times New Roman" w:eastAsia="宋体" w:cs="Times New Roman"/>
                <w:color w:val="auto"/>
                <w:sz w:val="24"/>
                <w:szCs w:val="24"/>
                <w:highlight w:val="none"/>
                <w:lang w:val="en-US" w:eastAsia="zh-CN"/>
              </w:rPr>
              <w:t>各类塑料包装箱及容器</w:t>
            </w:r>
            <w:r>
              <w:rPr>
                <w:rFonts w:hint="default" w:ascii="Times New Roman" w:hAnsi="Times New Roman" w:eastAsia="宋体" w:cs="Times New Roman"/>
                <w:color w:val="auto"/>
                <w:sz w:val="24"/>
                <w:lang w:val="en-US" w:eastAsia="zh-CN"/>
              </w:rPr>
              <w:t>生产车间</w:t>
            </w:r>
            <w:r>
              <w:rPr>
                <w:rFonts w:hint="eastAsia" w:cs="Times New Roman"/>
                <w:color w:val="auto"/>
                <w:sz w:val="24"/>
                <w:lang w:val="en-US" w:eastAsia="zh-CN"/>
              </w:rPr>
              <w:t>产生</w:t>
            </w:r>
            <w:r>
              <w:rPr>
                <w:rFonts w:hint="default" w:ascii="Times New Roman" w:hAnsi="Times New Roman" w:eastAsia="宋体" w:cs="Times New Roman"/>
                <w:color w:val="auto"/>
                <w:sz w:val="24"/>
                <w:lang w:val="en-US" w:eastAsia="en-US"/>
              </w:rPr>
              <w:t>冷却水。冷却水</w:t>
            </w:r>
            <w:r>
              <w:rPr>
                <w:rFonts w:hint="default" w:ascii="Times New Roman" w:hAnsi="Times New Roman" w:eastAsia="宋体" w:cs="Times New Roman"/>
                <w:color w:val="auto"/>
                <w:sz w:val="24"/>
                <w:lang w:eastAsia="zh-CN"/>
              </w:rPr>
              <w:t>用于</w:t>
            </w:r>
            <w:r>
              <w:rPr>
                <w:rFonts w:hint="eastAsia" w:ascii="Times New Roman" w:hAnsi="Times New Roman" w:eastAsia="宋体" w:cs="Times New Roman"/>
                <w:color w:val="auto"/>
                <w:sz w:val="24"/>
                <w:szCs w:val="24"/>
                <w:highlight w:val="none"/>
                <w:lang w:val="en-US" w:eastAsia="zh-CN"/>
              </w:rPr>
              <w:t>各类塑料包装箱及容器</w:t>
            </w:r>
            <w:r>
              <w:rPr>
                <w:rFonts w:hint="default" w:ascii="Times New Roman" w:hAnsi="Times New Roman" w:eastAsia="宋体" w:cs="Times New Roman"/>
                <w:color w:val="auto"/>
                <w:sz w:val="24"/>
                <w:lang w:eastAsia="zh-CN"/>
              </w:rPr>
              <w:t>脱模时冷却，冷却水为高温清净水，水温约为</w:t>
            </w:r>
            <w:r>
              <w:rPr>
                <w:rFonts w:hint="eastAsia" w:cs="Times New Roman"/>
                <w:color w:val="auto"/>
                <w:sz w:val="24"/>
                <w:lang w:val="en-US" w:eastAsia="zh-CN"/>
              </w:rPr>
              <w:t>70</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eastAsia="zh-CN"/>
              </w:rPr>
              <w:t>，项目拟配套冷却系统，</w:t>
            </w:r>
            <w:r>
              <w:rPr>
                <w:rFonts w:hint="default" w:ascii="Times New Roman" w:hAnsi="Times New Roman" w:eastAsia="宋体" w:cs="Times New Roman"/>
                <w:color w:val="auto"/>
                <w:sz w:val="24"/>
                <w:lang w:val="en-US" w:eastAsia="zh-CN"/>
              </w:rPr>
              <w:t>包括容积为</w:t>
            </w:r>
            <w:r>
              <w:rPr>
                <w:rFonts w:hint="eastAsia" w:cs="Times New Roman"/>
                <w:color w:val="auto"/>
                <w:sz w:val="24"/>
                <w:lang w:val="en-US" w:eastAsia="zh-CN"/>
              </w:rPr>
              <w:t>30</w:t>
            </w:r>
            <w:r>
              <w:rPr>
                <w:rFonts w:hint="default" w:ascii="Times New Roman" w:hAnsi="Times New Roman" w:eastAsia="宋体" w:cs="Times New Roman"/>
                <w:color w:val="auto"/>
                <w:sz w:val="24"/>
                <w:lang w:val="en-US" w:eastAsia="zh-CN"/>
              </w:rPr>
              <w:t>m</w:t>
            </w:r>
            <w:r>
              <w:rPr>
                <w:rFonts w:hint="default" w:ascii="Times New Roman" w:hAnsi="Times New Roman" w:eastAsia="宋体" w:cs="Times New Roman"/>
                <w:color w:val="auto"/>
                <w:sz w:val="24"/>
                <w:vertAlign w:val="superscript"/>
                <w:lang w:val="en-US" w:eastAsia="zh-CN"/>
              </w:rPr>
              <w:t>3</w:t>
            </w:r>
            <w:r>
              <w:rPr>
                <w:rFonts w:hint="default" w:ascii="Times New Roman" w:hAnsi="Times New Roman" w:eastAsia="宋体" w:cs="Times New Roman"/>
                <w:color w:val="auto"/>
                <w:sz w:val="24"/>
                <w:lang w:val="en-US" w:eastAsia="zh-CN"/>
              </w:rPr>
              <w:t>的</w:t>
            </w:r>
            <w:r>
              <w:rPr>
                <w:rFonts w:hint="default" w:ascii="Times New Roman" w:hAnsi="Times New Roman" w:eastAsia="宋体" w:cs="Times New Roman"/>
                <w:color w:val="auto"/>
                <w:sz w:val="24"/>
                <w:lang w:eastAsia="zh-CN"/>
              </w:rPr>
              <w:t>冷却水</w:t>
            </w:r>
            <w:r>
              <w:rPr>
                <w:rFonts w:hint="eastAsia" w:cs="Times New Roman"/>
                <w:color w:val="auto"/>
                <w:sz w:val="24"/>
                <w:lang w:val="en-US" w:eastAsia="zh-CN"/>
              </w:rPr>
              <w:t>箱</w:t>
            </w:r>
            <w:r>
              <w:rPr>
                <w:rFonts w:hint="default" w:ascii="Times New Roman" w:hAnsi="Times New Roman" w:eastAsia="宋体" w:cs="Times New Roman"/>
                <w:color w:val="auto"/>
                <w:sz w:val="24"/>
                <w:lang w:val="en-US" w:eastAsia="zh-CN"/>
              </w:rPr>
              <w:t>及1个冷却水塔</w:t>
            </w:r>
            <w:r>
              <w:rPr>
                <w:rFonts w:hint="default" w:ascii="Times New Roman" w:hAnsi="Times New Roman" w:eastAsia="宋体" w:cs="Times New Roman"/>
                <w:color w:val="auto"/>
                <w:sz w:val="24"/>
                <w:lang w:eastAsia="zh-CN"/>
              </w:rPr>
              <w:t>，冷却水经冷却</w:t>
            </w:r>
            <w:r>
              <w:rPr>
                <w:rFonts w:hint="default" w:ascii="Times New Roman" w:hAnsi="Times New Roman" w:eastAsia="宋体" w:cs="Times New Roman"/>
                <w:color w:val="auto"/>
                <w:sz w:val="24"/>
                <w:lang w:val="en-US" w:eastAsia="zh-CN"/>
              </w:rPr>
              <w:t>循环</w:t>
            </w:r>
            <w:r>
              <w:rPr>
                <w:rFonts w:hint="default" w:ascii="Times New Roman" w:hAnsi="Times New Roman" w:eastAsia="宋体" w:cs="Times New Roman"/>
                <w:color w:val="auto"/>
                <w:sz w:val="24"/>
                <w:lang w:eastAsia="zh-CN"/>
              </w:rPr>
              <w:t>系统冷却后温度可降低至</w:t>
            </w:r>
            <w:r>
              <w:rPr>
                <w:rFonts w:hint="default" w:ascii="Times New Roman" w:hAnsi="Times New Roman" w:eastAsia="宋体" w:cs="Times New Roman"/>
                <w:color w:val="auto"/>
                <w:sz w:val="24"/>
                <w:lang w:val="en-US" w:eastAsia="zh-CN"/>
              </w:rPr>
              <w:t>30</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eastAsia="zh-CN"/>
              </w:rPr>
              <w:t>，满足冷却用水温度</w:t>
            </w:r>
            <w:r>
              <w:rPr>
                <w:rFonts w:hint="default" w:ascii="Times New Roman" w:hAnsi="Times New Roman" w:eastAsia="宋体" w:cs="Times New Roman"/>
                <w:color w:val="auto"/>
                <w:sz w:val="24"/>
                <w:lang w:val="en-US" w:eastAsia="zh-CN"/>
              </w:rPr>
              <w:t>32</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eastAsia="zh-CN"/>
              </w:rPr>
              <w:t>要求，故项目冷却水经冷却系统冷却后循环使用可行</w:t>
            </w:r>
            <w:r>
              <w:rPr>
                <w:rFonts w:hint="default" w:ascii="Times New Roman" w:hAnsi="Times New Roman" w:eastAsia="宋体" w:cs="Times New Roman"/>
                <w:color w:val="auto"/>
                <w:sz w:val="24"/>
                <w:lang w:val="en-US" w:eastAsia="en-US"/>
              </w:rPr>
              <w:t>。</w:t>
            </w:r>
          </w:p>
          <w:p w14:paraId="41F58F42">
            <w:pPr>
              <w:keepNext w:val="0"/>
              <w:keepLines w:val="0"/>
              <w:pageBreakBefore w:val="0"/>
              <w:widowControl w:val="0"/>
              <w:kinsoku/>
              <w:wordWrap/>
              <w:overflowPunct/>
              <w:topLinePunct w:val="0"/>
              <w:autoSpaceDE/>
              <w:autoSpaceDN/>
              <w:bidi w:val="0"/>
              <w:adjustRightInd/>
              <w:spacing w:line="351"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lang w:val="en-US" w:eastAsia="zh-CN"/>
              </w:rPr>
              <w:t>因此，</w:t>
            </w:r>
            <w:r>
              <w:rPr>
                <w:rFonts w:hint="eastAsia" w:ascii="Times New Roman" w:hAnsi="Times New Roman" w:eastAsia="宋体" w:cs="Times New Roman"/>
                <w:color w:val="auto"/>
                <w:sz w:val="24"/>
                <w:szCs w:val="24"/>
                <w:highlight w:val="none"/>
                <w:lang w:val="en-US" w:eastAsia="zh-CN"/>
              </w:rPr>
              <w:t>各类塑料包装箱及容器</w:t>
            </w:r>
            <w:r>
              <w:rPr>
                <w:rFonts w:hint="default" w:ascii="Times New Roman" w:hAnsi="Times New Roman" w:eastAsia="宋体" w:cs="Times New Roman"/>
                <w:color w:val="auto"/>
                <w:sz w:val="24"/>
                <w:lang w:val="en-US" w:eastAsia="zh-CN"/>
              </w:rPr>
              <w:t>生产车间产生的冷却水经收集处理后可全部回用，不外排，对周边地表水环境的影响较小。</w:t>
            </w:r>
          </w:p>
          <w:p w14:paraId="3E1E9265">
            <w:pPr>
              <w:keepNext w:val="0"/>
              <w:keepLines w:val="0"/>
              <w:pageBreakBefore w:val="0"/>
              <w:widowControl w:val="0"/>
              <w:numPr>
                <w:ilvl w:val="0"/>
                <w:numId w:val="0"/>
              </w:numPr>
              <w:kinsoku/>
              <w:wordWrap/>
              <w:overflowPunct/>
              <w:topLinePunct w:val="0"/>
              <w:autoSpaceDE/>
              <w:autoSpaceDN/>
              <w:bidi w:val="0"/>
              <w:adjustRightInd/>
              <w:snapToGrid/>
              <w:spacing w:line="351" w:lineRule="auto"/>
              <w:ind w:left="0" w:leftChars="0" w:firstLine="442" w:firstLineChars="200"/>
              <w:textAlignment w:val="auto"/>
              <w:rPr>
                <w:rFonts w:hint="default" w:ascii="Times New Roman" w:hAnsi="Times New Roman" w:eastAsia="宋体" w:cs="Times New Roman"/>
                <w:b/>
                <w:bCs w:val="0"/>
                <w:color w:val="auto"/>
                <w:spacing w:val="-10"/>
                <w:kern w:val="2"/>
                <w:sz w:val="24"/>
                <w:szCs w:val="24"/>
                <w:highlight w:val="none"/>
                <w:lang w:val="en-US" w:eastAsia="zh-CN" w:bidi="ar-SA"/>
              </w:rPr>
            </w:pPr>
            <w:r>
              <w:rPr>
                <w:rFonts w:hint="default" w:ascii="Times New Roman" w:hAnsi="Times New Roman" w:eastAsia="宋体" w:cs="Times New Roman"/>
                <w:b/>
                <w:bCs w:val="0"/>
                <w:color w:val="auto"/>
                <w:spacing w:val="-10"/>
                <w:kern w:val="2"/>
                <w:sz w:val="24"/>
                <w:szCs w:val="24"/>
                <w:highlight w:val="none"/>
                <w:lang w:val="en-US" w:eastAsia="zh-CN" w:bidi="ar-SA"/>
              </w:rPr>
              <w:t>5、生活</w:t>
            </w:r>
            <w:r>
              <w:rPr>
                <w:rFonts w:hint="eastAsia" w:cs="Times New Roman"/>
                <w:b/>
                <w:bCs w:val="0"/>
                <w:color w:val="auto"/>
                <w:spacing w:val="-10"/>
                <w:kern w:val="2"/>
                <w:sz w:val="24"/>
                <w:szCs w:val="24"/>
                <w:highlight w:val="none"/>
                <w:lang w:val="en-US" w:eastAsia="zh-CN" w:bidi="ar-SA"/>
              </w:rPr>
              <w:t>污</w:t>
            </w:r>
            <w:r>
              <w:rPr>
                <w:rFonts w:hint="default" w:ascii="Times New Roman" w:hAnsi="Times New Roman" w:eastAsia="宋体" w:cs="Times New Roman"/>
                <w:b/>
                <w:bCs w:val="0"/>
                <w:color w:val="auto"/>
                <w:spacing w:val="-10"/>
                <w:kern w:val="2"/>
                <w:sz w:val="24"/>
                <w:szCs w:val="24"/>
                <w:highlight w:val="none"/>
                <w:lang w:val="en-US" w:eastAsia="zh-CN" w:bidi="ar-SA"/>
              </w:rPr>
              <w:t>水回用可行性分析</w:t>
            </w:r>
          </w:p>
          <w:p w14:paraId="48C7ED49">
            <w:pPr>
              <w:keepNext w:val="0"/>
              <w:keepLines w:val="0"/>
              <w:pageBreakBefore w:val="0"/>
              <w:widowControl w:val="0"/>
              <w:kinsoku/>
              <w:wordWrap/>
              <w:overflowPunct/>
              <w:topLinePunct w:val="0"/>
              <w:autoSpaceDE/>
              <w:autoSpaceDN/>
              <w:bidi w:val="0"/>
              <w:adjustRightInd/>
              <w:snapToGrid/>
              <w:spacing w:line="351" w:lineRule="auto"/>
              <w:ind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lang w:val="en-US" w:eastAsia="zh-CN"/>
              </w:rPr>
              <w:t>本</w:t>
            </w:r>
            <w:r>
              <w:rPr>
                <w:rFonts w:hint="default" w:ascii="Times New Roman" w:hAnsi="Times New Roman" w:eastAsia="宋体" w:cs="Times New Roman"/>
                <w:color w:val="auto"/>
                <w:sz w:val="24"/>
                <w:szCs w:val="24"/>
                <w:highlight w:val="none"/>
              </w:rPr>
              <w:t>项目运营过程中</w:t>
            </w:r>
            <w:r>
              <w:rPr>
                <w:rFonts w:hint="default" w:ascii="Times New Roman" w:hAnsi="Times New Roman" w:eastAsia="宋体" w:cs="Times New Roman"/>
                <w:color w:val="auto"/>
                <w:sz w:val="24"/>
                <w:szCs w:val="24"/>
                <w:highlight w:val="none"/>
                <w:lang w:eastAsia="zh-CN"/>
              </w:rPr>
              <w:t>生活</w:t>
            </w:r>
            <w:r>
              <w:rPr>
                <w:rFonts w:hint="default" w:ascii="Times New Roman" w:hAnsi="Times New Roman" w:eastAsia="宋体" w:cs="Times New Roman"/>
                <w:color w:val="auto"/>
                <w:sz w:val="24"/>
                <w:szCs w:val="24"/>
                <w:highlight w:val="none"/>
              </w:rPr>
              <w:t>废水产生量为</w:t>
            </w:r>
            <w:r>
              <w:rPr>
                <w:rFonts w:hint="eastAsia"/>
                <w:snapToGrid w:val="0"/>
                <w:color w:val="auto"/>
                <w:sz w:val="24"/>
                <w:lang w:val="en-US" w:eastAsia="zh-CN"/>
              </w:rPr>
              <w:t>2.1867</w:t>
            </w:r>
            <w:r>
              <w:rPr>
                <w:snapToGrid w:val="0"/>
                <w:color w:val="auto"/>
                <w:sz w:val="24"/>
              </w:rPr>
              <w:t>m</w:t>
            </w:r>
            <w:r>
              <w:rPr>
                <w:snapToGrid w:val="0"/>
                <w:color w:val="auto"/>
                <w:sz w:val="24"/>
                <w:vertAlign w:val="superscript"/>
              </w:rPr>
              <w:t>3</w:t>
            </w:r>
            <w:r>
              <w:rPr>
                <w:snapToGrid w:val="0"/>
                <w:color w:val="auto"/>
                <w:sz w:val="24"/>
              </w:rPr>
              <w:t>/d、</w:t>
            </w:r>
            <w:r>
              <w:rPr>
                <w:rFonts w:hint="eastAsia"/>
                <w:snapToGrid w:val="0"/>
                <w:color w:val="auto"/>
                <w:sz w:val="24"/>
                <w:lang w:val="en-US" w:eastAsia="zh-CN"/>
              </w:rPr>
              <w:t>656</w:t>
            </w:r>
            <w:r>
              <w:rPr>
                <w:snapToGrid w:val="0"/>
                <w:color w:val="auto"/>
                <w:sz w:val="24"/>
              </w:rPr>
              <w:t>m</w:t>
            </w:r>
            <w:r>
              <w:rPr>
                <w:snapToGrid w:val="0"/>
                <w:color w:val="auto"/>
                <w:sz w:val="24"/>
                <w:vertAlign w:val="superscript"/>
              </w:rPr>
              <w:t>3</w:t>
            </w:r>
            <w:r>
              <w:rPr>
                <w:snapToGrid w:val="0"/>
                <w:color w:val="auto"/>
                <w:sz w:val="24"/>
              </w:rPr>
              <w:t>/a</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根据</w:t>
            </w:r>
            <w:r>
              <w:rPr>
                <w:rFonts w:hint="default" w:ascii="Times New Roman" w:hAnsi="Times New Roman" w:eastAsia="宋体" w:cs="Times New Roman"/>
                <w:color w:val="auto"/>
                <w:sz w:val="24"/>
                <w:szCs w:val="24"/>
                <w:highlight w:val="none"/>
                <w:lang w:val="en-US" w:eastAsia="zh-CN"/>
              </w:rPr>
              <w:t>水平衡分析</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snapToGrid w:val="0"/>
                <w:color w:val="auto"/>
                <w:kern w:val="0"/>
                <w:sz w:val="24"/>
                <w:highlight w:val="none"/>
                <w:lang w:val="en-US" w:eastAsia="zh-CN"/>
              </w:rPr>
              <w:t>本项目</w:t>
            </w:r>
            <w:r>
              <w:rPr>
                <w:rFonts w:hint="default" w:ascii="Times New Roman" w:hAnsi="Times New Roman" w:eastAsia="宋体" w:cs="Times New Roman"/>
                <w:color w:val="auto"/>
                <w:sz w:val="24"/>
                <w:szCs w:val="24"/>
                <w:highlight w:val="none"/>
              </w:rPr>
              <w:t>非雨天</w:t>
            </w:r>
            <w:r>
              <w:rPr>
                <w:rFonts w:hint="default" w:ascii="Times New Roman" w:hAnsi="Times New Roman" w:eastAsia="宋体" w:cs="Times New Roman"/>
                <w:snapToGrid w:val="0"/>
                <w:color w:val="auto"/>
                <w:kern w:val="0"/>
                <w:sz w:val="24"/>
                <w:highlight w:val="none"/>
                <w:lang w:val="en-US" w:eastAsia="zh-CN"/>
              </w:rPr>
              <w:t>绿化及</w:t>
            </w:r>
            <w:r>
              <w:rPr>
                <w:rFonts w:hint="default" w:ascii="Times New Roman" w:hAnsi="Times New Roman" w:eastAsia="宋体" w:cs="Times New Roman"/>
                <w:color w:val="auto"/>
                <w:sz w:val="24"/>
                <w:szCs w:val="24"/>
                <w:highlight w:val="none"/>
                <w:lang w:val="en-US" w:eastAsia="zh-CN"/>
              </w:rPr>
              <w:t>道路场地洒水所需</w:t>
            </w:r>
            <w:r>
              <w:rPr>
                <w:rFonts w:hint="default" w:ascii="Times New Roman" w:hAnsi="Times New Roman" w:eastAsia="宋体" w:cs="Times New Roman"/>
                <w:b w:val="0"/>
                <w:bCs w:val="0"/>
                <w:color w:val="auto"/>
                <w:sz w:val="24"/>
                <w:szCs w:val="24"/>
                <w:highlight w:val="none"/>
                <w:lang w:val="en-US" w:eastAsia="zh-CN"/>
              </w:rPr>
              <w:t>量为</w:t>
            </w:r>
            <w:r>
              <w:rPr>
                <w:rFonts w:hint="eastAsia" w:cs="Times New Roman"/>
                <w:b w:val="0"/>
                <w:bCs w:val="0"/>
                <w:color w:val="auto"/>
                <w:sz w:val="24"/>
                <w:szCs w:val="24"/>
                <w:highlight w:val="none"/>
                <w:lang w:val="en-US" w:eastAsia="zh-CN"/>
              </w:rPr>
              <w:t>1.26</w:t>
            </w:r>
            <w:r>
              <w:rPr>
                <w:rFonts w:hint="default" w:ascii="Times New Roman" w:hAnsi="Times New Roman" w:eastAsia="宋体" w:cs="Times New Roman"/>
                <w:color w:val="auto"/>
                <w:sz w:val="24"/>
                <w:szCs w:val="24"/>
                <w:highlight w:val="none"/>
                <w:lang w:bidi="ar"/>
              </w:rPr>
              <w:t>m</w:t>
            </w:r>
            <w:r>
              <w:rPr>
                <w:rFonts w:hint="default" w:ascii="Times New Roman" w:hAnsi="Times New Roman" w:eastAsia="宋体" w:cs="Times New Roman"/>
                <w:color w:val="auto"/>
                <w:sz w:val="24"/>
                <w:szCs w:val="24"/>
                <w:highlight w:val="none"/>
                <w:vertAlign w:val="superscript"/>
                <w:lang w:bidi="ar"/>
              </w:rPr>
              <w:t>3</w:t>
            </w:r>
            <w:r>
              <w:rPr>
                <w:rFonts w:hint="default" w:ascii="Times New Roman" w:hAnsi="Times New Roman" w:eastAsia="宋体" w:cs="Times New Roman"/>
                <w:color w:val="auto"/>
                <w:sz w:val="24"/>
                <w:szCs w:val="24"/>
                <w:highlight w:val="none"/>
                <w:lang w:bidi="ar"/>
              </w:rPr>
              <w:t>/d</w:t>
            </w:r>
            <w:r>
              <w:rPr>
                <w:rFonts w:hint="default" w:ascii="Times New Roman" w:hAnsi="Times New Roman" w:eastAsia="宋体" w:cs="Times New Roman"/>
                <w:color w:val="auto"/>
                <w:sz w:val="24"/>
                <w:szCs w:val="24"/>
                <w:highlight w:val="none"/>
                <w:lang w:val="zh-CN"/>
              </w:rPr>
              <w:t>、</w:t>
            </w:r>
            <w:r>
              <w:rPr>
                <w:rFonts w:hint="eastAsia" w:cs="Times New Roman"/>
                <w:color w:val="auto"/>
                <w:sz w:val="24"/>
                <w:szCs w:val="24"/>
                <w:highlight w:val="none"/>
                <w:lang w:val="en-US" w:eastAsia="zh-CN"/>
              </w:rPr>
              <w:t>267.12</w:t>
            </w:r>
            <w:r>
              <w:rPr>
                <w:rFonts w:hint="default" w:ascii="Times New Roman" w:hAnsi="Times New Roman" w:eastAsia="宋体" w:cs="Times New Roman"/>
                <w:color w:val="auto"/>
                <w:sz w:val="24"/>
                <w:szCs w:val="24"/>
                <w:highlight w:val="none"/>
                <w:lang w:val="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zh-CN"/>
              </w:rPr>
              <w:t>/a</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b w:val="0"/>
                <w:bCs w:val="0"/>
                <w:color w:val="auto"/>
                <w:sz w:val="24"/>
                <w:szCs w:val="24"/>
                <w:highlight w:val="none"/>
                <w:lang w:val="en-US" w:eastAsia="zh-CN"/>
              </w:rPr>
              <w:t>原</w:t>
            </w:r>
            <w:r>
              <w:rPr>
                <w:rFonts w:hint="eastAsia"/>
                <w:bCs/>
                <w:color w:val="auto"/>
                <w:sz w:val="24"/>
                <w:highlight w:val="none"/>
                <w:lang w:eastAsia="zh-CN"/>
              </w:rPr>
              <w:t>云</w:t>
            </w:r>
            <w:r>
              <w:rPr>
                <w:rFonts w:hint="eastAsia"/>
                <w:color w:val="auto"/>
                <w:sz w:val="24"/>
                <w:highlight w:val="none"/>
                <w:lang w:val="en-US" w:eastAsia="zh-CN"/>
              </w:rPr>
              <w:t>南宝泰轻化机械</w:t>
            </w:r>
            <w:r>
              <w:rPr>
                <w:rFonts w:hint="eastAsia"/>
                <w:color w:val="auto"/>
                <w:sz w:val="24"/>
                <w:highlight w:val="none"/>
                <w:lang w:eastAsia="zh-CN"/>
              </w:rPr>
              <w:t>有限公司用于</w:t>
            </w:r>
            <w:r>
              <w:rPr>
                <w:rFonts w:hint="default" w:ascii="Times New Roman" w:hAnsi="Times New Roman" w:eastAsia="宋体" w:cs="Times New Roman"/>
                <w:b w:val="0"/>
                <w:bCs w:val="0"/>
                <w:color w:val="auto"/>
                <w:sz w:val="24"/>
                <w:szCs w:val="24"/>
                <w:highlight w:val="none"/>
                <w:lang w:val="en-US" w:eastAsia="zh-CN"/>
              </w:rPr>
              <w:t>道路及绿化所需洒水量</w:t>
            </w:r>
            <w:r>
              <w:rPr>
                <w:rFonts w:hint="eastAsia" w:cs="Times New Roman"/>
                <w:b w:val="0"/>
                <w:bCs w:val="0"/>
                <w:color w:val="auto"/>
                <w:sz w:val="24"/>
                <w:szCs w:val="24"/>
                <w:highlight w:val="none"/>
                <w:lang w:val="en-US" w:eastAsia="zh-CN"/>
              </w:rPr>
              <w:t>远</w:t>
            </w:r>
            <w:r>
              <w:rPr>
                <w:rFonts w:hint="default" w:ascii="Times New Roman" w:hAnsi="Times New Roman" w:eastAsia="宋体" w:cs="Times New Roman"/>
                <w:b w:val="0"/>
                <w:bCs w:val="0"/>
                <w:color w:val="auto"/>
                <w:sz w:val="24"/>
                <w:szCs w:val="24"/>
                <w:highlight w:val="none"/>
                <w:lang w:val="en-US" w:eastAsia="zh-CN"/>
              </w:rPr>
              <w:t>大于生活污水</w:t>
            </w:r>
            <w:r>
              <w:rPr>
                <w:rFonts w:hint="eastAsia" w:cs="Times New Roman"/>
                <w:b w:val="0"/>
                <w:bCs w:val="0"/>
                <w:color w:val="auto"/>
                <w:sz w:val="24"/>
                <w:szCs w:val="24"/>
                <w:highlight w:val="none"/>
                <w:lang w:val="en-US" w:eastAsia="zh-CN"/>
              </w:rPr>
              <w:t>处理设施处理规模</w:t>
            </w:r>
            <w:r>
              <w:rPr>
                <w:rFonts w:hint="default" w:ascii="Times New Roman" w:hAnsi="Times New Roman" w:eastAsia="宋体" w:cs="Times New Roman"/>
                <w:b w:val="0"/>
                <w:bCs w:val="0"/>
                <w:color w:val="auto"/>
                <w:sz w:val="24"/>
                <w:szCs w:val="24"/>
                <w:highlight w:val="none"/>
                <w:lang w:val="en-US" w:eastAsia="zh-CN"/>
              </w:rPr>
              <w:t>总量</w:t>
            </w:r>
            <w:r>
              <w:rPr>
                <w:rFonts w:hint="eastAsia" w:cs="Times New Roman"/>
                <w:b w:val="0"/>
                <w:bCs w:val="0"/>
                <w:color w:val="auto"/>
                <w:sz w:val="24"/>
                <w:szCs w:val="24"/>
                <w:highlight w:val="none"/>
                <w:lang w:val="en-US" w:eastAsia="zh-CN"/>
              </w:rPr>
              <w:t>（15</w:t>
            </w:r>
            <w:r>
              <w:rPr>
                <w:rFonts w:hint="default" w:ascii="Times New Roman" w:hAnsi="Times New Roman" w:eastAsia="宋体" w:cs="Times New Roman"/>
                <w:color w:val="auto"/>
                <w:sz w:val="24"/>
                <w:szCs w:val="24"/>
                <w:highlight w:val="none"/>
                <w:lang w:bidi="ar"/>
              </w:rPr>
              <w:t>m</w:t>
            </w:r>
            <w:r>
              <w:rPr>
                <w:rFonts w:hint="default" w:ascii="Times New Roman" w:hAnsi="Times New Roman" w:eastAsia="宋体" w:cs="Times New Roman"/>
                <w:color w:val="auto"/>
                <w:sz w:val="24"/>
                <w:szCs w:val="24"/>
                <w:highlight w:val="none"/>
                <w:vertAlign w:val="superscript"/>
                <w:lang w:bidi="ar"/>
              </w:rPr>
              <w:t>3</w:t>
            </w:r>
            <w:r>
              <w:rPr>
                <w:rFonts w:hint="default" w:ascii="Times New Roman" w:hAnsi="Times New Roman" w:eastAsia="宋体" w:cs="Times New Roman"/>
                <w:color w:val="auto"/>
                <w:sz w:val="24"/>
                <w:szCs w:val="24"/>
                <w:highlight w:val="none"/>
                <w:lang w:bidi="ar"/>
              </w:rPr>
              <w:t>/d</w:t>
            </w:r>
            <w:r>
              <w:rPr>
                <w:rFonts w:hint="eastAsia"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目前</w:t>
            </w:r>
            <w:r>
              <w:rPr>
                <w:rFonts w:hint="eastAsia"/>
                <w:bCs/>
                <w:color w:val="auto"/>
                <w:sz w:val="24"/>
                <w:highlight w:val="none"/>
                <w:lang w:eastAsia="zh-CN"/>
              </w:rPr>
              <w:t>云</w:t>
            </w:r>
            <w:r>
              <w:rPr>
                <w:rFonts w:hint="eastAsia"/>
                <w:color w:val="auto"/>
                <w:sz w:val="24"/>
                <w:highlight w:val="none"/>
                <w:lang w:val="en-US" w:eastAsia="zh-CN"/>
              </w:rPr>
              <w:t>南宝泰轻化机械</w:t>
            </w:r>
            <w:r>
              <w:rPr>
                <w:rFonts w:hint="eastAsia"/>
                <w:color w:val="auto"/>
                <w:sz w:val="24"/>
                <w:highlight w:val="none"/>
                <w:lang w:eastAsia="zh-CN"/>
              </w:rPr>
              <w:t>有限公司生活污水量仅有</w:t>
            </w:r>
            <w:r>
              <w:rPr>
                <w:rFonts w:hint="eastAsia"/>
                <w:color w:val="auto"/>
                <w:sz w:val="24"/>
                <w:highlight w:val="none"/>
                <w:lang w:val="en-US" w:eastAsia="zh-CN"/>
              </w:rPr>
              <w:t>1.0</w:t>
            </w:r>
            <w:r>
              <w:rPr>
                <w:rFonts w:hint="default" w:ascii="Times New Roman" w:hAnsi="Times New Roman" w:eastAsia="宋体" w:cs="Times New Roman"/>
                <w:color w:val="auto"/>
                <w:sz w:val="24"/>
                <w:szCs w:val="24"/>
                <w:highlight w:val="none"/>
                <w:lang w:bidi="ar"/>
              </w:rPr>
              <w:t>m</w:t>
            </w:r>
            <w:r>
              <w:rPr>
                <w:rFonts w:hint="default" w:ascii="Times New Roman" w:hAnsi="Times New Roman" w:eastAsia="宋体" w:cs="Times New Roman"/>
                <w:color w:val="auto"/>
                <w:sz w:val="24"/>
                <w:szCs w:val="24"/>
                <w:highlight w:val="none"/>
                <w:vertAlign w:val="superscript"/>
                <w:lang w:bidi="ar"/>
              </w:rPr>
              <w:t>3</w:t>
            </w:r>
            <w:r>
              <w:rPr>
                <w:rFonts w:hint="default" w:ascii="Times New Roman" w:hAnsi="Times New Roman" w:eastAsia="宋体" w:cs="Times New Roman"/>
                <w:color w:val="auto"/>
                <w:sz w:val="24"/>
                <w:szCs w:val="24"/>
                <w:highlight w:val="none"/>
                <w:lang w:bidi="ar"/>
              </w:rPr>
              <w:t>/d</w:t>
            </w:r>
            <w:r>
              <w:rPr>
                <w:rFonts w:hint="eastAsia" w:ascii="Times New Roman" w:hAnsi="Times New Roman" w:eastAsia="宋体" w:cs="Times New Roman"/>
                <w:color w:val="auto"/>
                <w:sz w:val="24"/>
                <w:szCs w:val="24"/>
                <w:highlight w:val="none"/>
                <w:lang w:eastAsia="zh-CN" w:bidi="ar"/>
              </w:rPr>
              <w:t>，远不够平时</w:t>
            </w:r>
            <w:r>
              <w:rPr>
                <w:rFonts w:hint="default" w:ascii="Times New Roman" w:hAnsi="Times New Roman" w:eastAsia="宋体" w:cs="Times New Roman"/>
                <w:b w:val="0"/>
                <w:bCs w:val="0"/>
                <w:color w:val="auto"/>
                <w:sz w:val="24"/>
                <w:szCs w:val="24"/>
                <w:highlight w:val="none"/>
                <w:lang w:val="en-US" w:eastAsia="zh-CN"/>
              </w:rPr>
              <w:t>道路及绿化所需洒水量</w:t>
            </w:r>
            <w:r>
              <w:rPr>
                <w:rFonts w:hint="eastAsia"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因此</w:t>
            </w:r>
            <w:r>
              <w:rPr>
                <w:rFonts w:hint="eastAsia" w:cs="Times New Roman"/>
                <w:color w:val="auto"/>
                <w:sz w:val="24"/>
                <w:szCs w:val="24"/>
                <w:highlight w:val="none"/>
                <w:lang w:val="en-US" w:eastAsia="zh-CN"/>
              </w:rPr>
              <w:t>本项目生活污水经</w:t>
            </w:r>
            <w:r>
              <w:rPr>
                <w:rFonts w:hint="default" w:ascii="Times New Roman" w:hAnsi="Times New Roman" w:eastAsia="宋体" w:cs="Times New Roman"/>
                <w:color w:val="auto"/>
                <w:sz w:val="24"/>
                <w:szCs w:val="24"/>
                <w:highlight w:val="none"/>
                <w:lang w:val="en-US" w:eastAsia="zh-CN"/>
              </w:rPr>
              <w:t>一体化生活污水处理站处理后</w:t>
            </w:r>
            <w:r>
              <w:rPr>
                <w:rFonts w:hint="eastAsia" w:cs="Times New Roman"/>
                <w:color w:val="auto"/>
                <w:sz w:val="24"/>
                <w:szCs w:val="24"/>
                <w:highlight w:val="none"/>
                <w:lang w:val="en-US" w:eastAsia="zh-CN"/>
              </w:rPr>
              <w:t>部分</w:t>
            </w:r>
            <w:r>
              <w:rPr>
                <w:rFonts w:hint="default" w:ascii="Times New Roman" w:hAnsi="Times New Roman" w:eastAsia="宋体" w:cs="Times New Roman"/>
                <w:color w:val="auto"/>
                <w:kern w:val="2"/>
                <w:sz w:val="24"/>
                <w:szCs w:val="24"/>
                <w:highlight w:val="none"/>
                <w:lang w:val="en-US" w:eastAsia="zh-CN" w:bidi="ar"/>
              </w:rPr>
              <w:t>回用于项目区内绿化、道路场地洒水，</w:t>
            </w:r>
            <w:r>
              <w:rPr>
                <w:rFonts w:hint="eastAsia" w:cs="Times New Roman"/>
                <w:color w:val="auto"/>
                <w:sz w:val="24"/>
                <w:szCs w:val="24"/>
                <w:highlight w:val="none"/>
                <w:lang w:eastAsia="zh-CN"/>
              </w:rPr>
              <w:t>其余废水用于</w:t>
            </w:r>
            <w:r>
              <w:rPr>
                <w:rFonts w:hint="eastAsia"/>
                <w:bCs/>
                <w:color w:val="auto"/>
                <w:sz w:val="24"/>
                <w:highlight w:val="none"/>
                <w:lang w:eastAsia="zh-CN"/>
              </w:rPr>
              <w:t>云</w:t>
            </w:r>
            <w:r>
              <w:rPr>
                <w:rFonts w:hint="eastAsia"/>
                <w:color w:val="auto"/>
                <w:sz w:val="24"/>
                <w:highlight w:val="none"/>
                <w:lang w:val="en-US" w:eastAsia="zh-CN"/>
              </w:rPr>
              <w:t>南宝泰轻化机械</w:t>
            </w:r>
            <w:r>
              <w:rPr>
                <w:rFonts w:hint="eastAsia"/>
                <w:color w:val="auto"/>
                <w:sz w:val="24"/>
                <w:highlight w:val="none"/>
                <w:lang w:eastAsia="zh-CN"/>
              </w:rPr>
              <w:t>有限公司</w:t>
            </w:r>
            <w:r>
              <w:rPr>
                <w:rFonts w:hint="default" w:ascii="Times New Roman" w:hAnsi="Times New Roman" w:eastAsia="宋体" w:cs="Times New Roman"/>
                <w:b w:val="0"/>
                <w:bCs w:val="0"/>
                <w:color w:val="auto"/>
                <w:sz w:val="24"/>
                <w:szCs w:val="24"/>
                <w:highlight w:val="none"/>
                <w:lang w:val="en-US" w:eastAsia="zh-CN"/>
              </w:rPr>
              <w:t>内绿化及道路场地洒水降尘</w:t>
            </w:r>
            <w:r>
              <w:rPr>
                <w:rFonts w:hint="eastAsia" w:ascii="Times New Roman" w:hAnsi="Times New Roman" w:eastAsia="宋体" w:cs="Times New Roman"/>
                <w:b w:val="0"/>
                <w:bCs w:val="0"/>
                <w:color w:val="auto"/>
                <w:sz w:val="24"/>
                <w:szCs w:val="24"/>
                <w:highlight w:val="none"/>
                <w:lang w:val="en-US" w:eastAsia="zh-CN"/>
              </w:rPr>
              <w:t>是可行的</w:t>
            </w:r>
            <w:r>
              <w:rPr>
                <w:rFonts w:hint="default" w:ascii="Times New Roman" w:hAnsi="Times New Roman" w:eastAsia="宋体" w:cs="Times New Roman"/>
                <w:color w:val="auto"/>
                <w:kern w:val="2"/>
                <w:sz w:val="24"/>
                <w:szCs w:val="24"/>
                <w:highlight w:val="none"/>
                <w:lang w:val="en-US" w:eastAsia="zh-CN" w:bidi="ar"/>
              </w:rPr>
              <w:t>。</w:t>
            </w:r>
          </w:p>
          <w:p w14:paraId="7EA73C8C">
            <w:pPr>
              <w:keepNext w:val="0"/>
              <w:keepLines w:val="0"/>
              <w:pageBreakBefore w:val="0"/>
              <w:widowControl w:val="0"/>
              <w:kinsoku/>
              <w:wordWrap/>
              <w:overflowPunct/>
              <w:topLinePunct w:val="0"/>
              <w:autoSpaceDE/>
              <w:autoSpaceDN/>
              <w:bidi w:val="0"/>
              <w:adjustRightInd/>
              <w:snapToGrid/>
              <w:spacing w:line="351" w:lineRule="auto"/>
              <w:ind w:left="0"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b w:val="0"/>
                <w:bCs/>
                <w:color w:val="auto"/>
                <w:spacing w:val="0"/>
                <w:w w:val="100"/>
                <w:position w:val="0"/>
                <w:sz w:val="24"/>
                <w:szCs w:val="24"/>
                <w:highlight w:val="none"/>
                <w:lang w:val="en-US" w:eastAsia="zh-CN"/>
              </w:rPr>
              <w:t>综上，项目生活</w:t>
            </w:r>
            <w:r>
              <w:rPr>
                <w:rFonts w:hint="eastAsia" w:cs="Times New Roman"/>
                <w:b w:val="0"/>
                <w:bCs/>
                <w:color w:val="auto"/>
                <w:spacing w:val="0"/>
                <w:w w:val="100"/>
                <w:position w:val="0"/>
                <w:sz w:val="24"/>
                <w:szCs w:val="24"/>
                <w:highlight w:val="none"/>
                <w:lang w:val="en-US" w:eastAsia="zh-CN"/>
              </w:rPr>
              <w:t>污</w:t>
            </w:r>
            <w:r>
              <w:rPr>
                <w:rFonts w:hint="default" w:ascii="Times New Roman" w:hAnsi="Times New Roman" w:eastAsia="宋体" w:cs="Times New Roman"/>
                <w:b w:val="0"/>
                <w:bCs/>
                <w:color w:val="auto"/>
                <w:spacing w:val="0"/>
                <w:w w:val="100"/>
                <w:position w:val="0"/>
                <w:sz w:val="24"/>
                <w:szCs w:val="24"/>
                <w:highlight w:val="none"/>
                <w:lang w:val="en-US" w:eastAsia="zh-CN"/>
              </w:rPr>
              <w:t>水回用可行，不外排，对周边地表水环境的影响较小。</w:t>
            </w:r>
          </w:p>
          <w:p w14:paraId="1C394DCC">
            <w:pPr>
              <w:keepNext w:val="0"/>
              <w:keepLines w:val="0"/>
              <w:pageBreakBefore w:val="0"/>
              <w:widowControl w:val="0"/>
              <w:kinsoku/>
              <w:wordWrap/>
              <w:overflowPunct/>
              <w:topLinePunct w:val="0"/>
              <w:autoSpaceDE/>
              <w:autoSpaceDN/>
              <w:bidi w:val="0"/>
              <w:spacing w:line="351" w:lineRule="auto"/>
              <w:ind w:left="0"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6</w:t>
            </w:r>
            <w:r>
              <w:rPr>
                <w:rFonts w:hint="default" w:ascii="Times New Roman" w:hAnsi="Times New Roman" w:eastAsia="宋体" w:cs="Times New Roman"/>
                <w:b/>
                <w:bCs/>
                <w:color w:val="auto"/>
                <w:sz w:val="24"/>
                <w:szCs w:val="24"/>
                <w:highlight w:val="none"/>
              </w:rPr>
              <w:t>、雨天废水不外排可行性分析</w:t>
            </w:r>
          </w:p>
          <w:p w14:paraId="30233EB7">
            <w:pPr>
              <w:keepNext w:val="0"/>
              <w:keepLines w:val="0"/>
              <w:pageBreakBefore w:val="0"/>
              <w:widowControl w:val="0"/>
              <w:kinsoku/>
              <w:wordWrap/>
              <w:overflowPunct/>
              <w:topLinePunct w:val="0"/>
              <w:autoSpaceDE/>
              <w:autoSpaceDN/>
              <w:bidi w:val="0"/>
              <w:adjustRightInd w:val="0"/>
              <w:snapToGrid w:val="0"/>
              <w:spacing w:line="348" w:lineRule="auto"/>
              <w:ind w:firstLine="480" w:firstLineChars="200"/>
              <w:textAlignment w:val="auto"/>
              <w:rPr>
                <w:color w:val="auto"/>
                <w:sz w:val="24"/>
              </w:rPr>
            </w:pPr>
            <w:r>
              <w:rPr>
                <w:rFonts w:hint="default" w:ascii="Times New Roman" w:hAnsi="Times New Roman" w:eastAsia="宋体" w:cs="Times New Roman"/>
                <w:color w:val="auto"/>
                <w:sz w:val="24"/>
                <w:szCs w:val="24"/>
                <w:highlight w:val="none"/>
              </w:rPr>
              <w:t>项目雨季产生的</w:t>
            </w:r>
            <w:r>
              <w:rPr>
                <w:rFonts w:hint="eastAsia" w:cs="Times New Roman"/>
                <w:color w:val="auto"/>
                <w:sz w:val="24"/>
                <w:szCs w:val="24"/>
                <w:highlight w:val="none"/>
                <w:lang w:val="en-US" w:eastAsia="zh-CN"/>
              </w:rPr>
              <w:t>生活污</w:t>
            </w:r>
            <w:r>
              <w:rPr>
                <w:rFonts w:hint="default" w:ascii="Times New Roman" w:hAnsi="Times New Roman" w:eastAsia="宋体" w:cs="Times New Roman"/>
                <w:color w:val="auto"/>
                <w:sz w:val="24"/>
                <w:szCs w:val="24"/>
                <w:highlight w:val="none"/>
              </w:rPr>
              <w:t>水经一体化污水处理</w:t>
            </w:r>
            <w:r>
              <w:rPr>
                <w:rFonts w:hint="eastAsia" w:cs="Times New Roman"/>
                <w:color w:val="auto"/>
                <w:sz w:val="24"/>
                <w:szCs w:val="24"/>
                <w:highlight w:val="none"/>
                <w:lang w:eastAsia="zh-CN"/>
              </w:rPr>
              <w:t>站</w:t>
            </w:r>
            <w:r>
              <w:rPr>
                <w:rFonts w:hint="default" w:ascii="Times New Roman" w:hAnsi="Times New Roman" w:eastAsia="宋体" w:cs="Times New Roman"/>
                <w:color w:val="auto"/>
                <w:sz w:val="24"/>
                <w:szCs w:val="24"/>
                <w:highlight w:val="none"/>
              </w:rPr>
              <w:t>处理后，暂存于蓄水池中，</w:t>
            </w:r>
            <w:r>
              <w:rPr>
                <w:rFonts w:hint="eastAsia"/>
                <w:bCs/>
                <w:color w:val="auto"/>
                <w:sz w:val="24"/>
                <w:highlight w:val="none"/>
                <w:lang w:eastAsia="zh-CN"/>
              </w:rPr>
              <w:t>云</w:t>
            </w:r>
            <w:r>
              <w:rPr>
                <w:rFonts w:hint="eastAsia"/>
                <w:color w:val="auto"/>
                <w:sz w:val="24"/>
                <w:highlight w:val="none"/>
                <w:lang w:val="en-US" w:eastAsia="zh-CN"/>
              </w:rPr>
              <w:t>南宝泰轻化机械</w:t>
            </w:r>
            <w:r>
              <w:rPr>
                <w:rFonts w:hint="eastAsia"/>
                <w:color w:val="auto"/>
                <w:sz w:val="24"/>
                <w:highlight w:val="none"/>
                <w:lang w:eastAsia="zh-CN"/>
              </w:rPr>
              <w:t>有限公司</w:t>
            </w:r>
            <w:r>
              <w:rPr>
                <w:rFonts w:hint="eastAsia"/>
                <w:color w:val="auto"/>
                <w:sz w:val="24"/>
              </w:rPr>
              <w:t>已建有一个</w:t>
            </w:r>
            <w:r>
              <w:rPr>
                <w:color w:val="auto"/>
                <w:sz w:val="24"/>
              </w:rPr>
              <w:t>容积为</w:t>
            </w:r>
            <w:r>
              <w:rPr>
                <w:rFonts w:hint="eastAsia"/>
                <w:color w:val="auto"/>
                <w:sz w:val="24"/>
                <w:lang w:val="en-US" w:eastAsia="zh-CN"/>
              </w:rPr>
              <w:t>1</w:t>
            </w:r>
            <w:r>
              <w:rPr>
                <w:rFonts w:hint="eastAsia"/>
                <w:color w:val="auto"/>
                <w:sz w:val="24"/>
              </w:rPr>
              <w:t>5</w:t>
            </w:r>
            <w:r>
              <w:rPr>
                <w:color w:val="auto"/>
                <w:sz w:val="24"/>
              </w:rPr>
              <w:t>m</w:t>
            </w:r>
            <w:r>
              <w:rPr>
                <w:color w:val="auto"/>
                <w:sz w:val="24"/>
                <w:vertAlign w:val="superscript"/>
              </w:rPr>
              <w:t>3</w:t>
            </w:r>
            <w:r>
              <w:rPr>
                <w:rFonts w:hint="eastAsia"/>
                <w:color w:val="auto"/>
                <w:sz w:val="24"/>
              </w:rPr>
              <w:t>的</w:t>
            </w:r>
            <w:r>
              <w:rPr>
                <w:rFonts w:hint="eastAsia"/>
                <w:color w:val="auto"/>
                <w:sz w:val="24"/>
                <w:lang w:eastAsia="zh-CN"/>
              </w:rPr>
              <w:t>储罐作为蓄水池，用于储存处理后的废水</w:t>
            </w:r>
            <w:r>
              <w:rPr>
                <w:color w:val="auto"/>
                <w:sz w:val="24"/>
              </w:rPr>
              <w:t>。项目废水经一体化污水处理设施处理后，</w:t>
            </w:r>
            <w:r>
              <w:rPr>
                <w:rFonts w:hint="eastAsia"/>
                <w:color w:val="auto"/>
                <w:sz w:val="24"/>
                <w:lang w:eastAsia="zh-CN"/>
              </w:rPr>
              <w:t>雨天</w:t>
            </w:r>
            <w:r>
              <w:rPr>
                <w:color w:val="auto"/>
                <w:sz w:val="24"/>
              </w:rPr>
              <w:t>暂存于</w:t>
            </w:r>
            <w:r>
              <w:rPr>
                <w:rFonts w:hint="eastAsia"/>
                <w:color w:val="auto"/>
                <w:sz w:val="24"/>
                <w:lang w:eastAsia="zh-CN"/>
              </w:rPr>
              <w:t>储罐</w:t>
            </w:r>
            <w:r>
              <w:rPr>
                <w:color w:val="auto"/>
                <w:sz w:val="24"/>
              </w:rPr>
              <w:t>中，待晴天回用于绿化及道路洒水</w:t>
            </w:r>
            <w:r>
              <w:rPr>
                <w:rFonts w:hint="eastAsia"/>
                <w:color w:val="auto"/>
                <w:sz w:val="24"/>
              </w:rPr>
              <w:t>降</w:t>
            </w:r>
            <w:r>
              <w:rPr>
                <w:color w:val="auto"/>
                <w:sz w:val="24"/>
              </w:rPr>
              <w:t>尘，可保证雨天生活污水不外排。</w:t>
            </w:r>
          </w:p>
          <w:p w14:paraId="64B460D3">
            <w:pPr>
              <w:keepNext w:val="0"/>
              <w:keepLines w:val="0"/>
              <w:pageBreakBefore w:val="0"/>
              <w:widowControl w:val="0"/>
              <w:kinsoku/>
              <w:wordWrap/>
              <w:overflowPunct/>
              <w:topLinePunct w:val="0"/>
              <w:autoSpaceDE/>
              <w:autoSpaceDN/>
              <w:bidi w:val="0"/>
              <w:adjustRightInd w:val="0"/>
              <w:snapToGrid w:val="0"/>
              <w:spacing w:line="348" w:lineRule="auto"/>
              <w:ind w:firstLine="480" w:firstLineChars="200"/>
              <w:textAlignment w:val="auto"/>
              <w:rPr>
                <w:rFonts w:hint="default" w:ascii="Times New Roman" w:hAnsi="Times New Roman" w:eastAsia="宋体" w:cs="Times New Roman"/>
                <w:color w:val="auto"/>
                <w:kern w:val="2"/>
                <w:sz w:val="24"/>
                <w:szCs w:val="24"/>
                <w:highlight w:val="none"/>
                <w:lang w:val="en-US" w:eastAsia="zh-CN" w:bidi="ar"/>
              </w:rPr>
            </w:pPr>
            <w:r>
              <w:rPr>
                <w:color w:val="auto"/>
                <w:sz w:val="24"/>
              </w:rPr>
              <w:t>综上，从水质、水量、暂存量等方面进行分析，项目生活污水中食堂含油废水先经隔油池处理后，与其他生活废水一起进入化粪池处理，再经一体化污水处理设施处理达到《城市污水再生利用 城市杂用水水质》（GB/T18920-2020）中的城市绿化、道路清扫、消防、建筑施工标准后，晴天回用作为绿化浇灌及道路洒水，雨天储存于</w:t>
            </w:r>
            <w:r>
              <w:rPr>
                <w:rFonts w:hint="eastAsia"/>
                <w:color w:val="auto"/>
                <w:sz w:val="24"/>
                <w:lang w:eastAsia="zh-CN"/>
              </w:rPr>
              <w:t>储罐</w:t>
            </w:r>
            <w:r>
              <w:rPr>
                <w:color w:val="auto"/>
                <w:sz w:val="24"/>
              </w:rPr>
              <w:t>中待晴天再回用，不外排是可行的。</w:t>
            </w:r>
          </w:p>
          <w:p w14:paraId="6BEA1F3C">
            <w:pPr>
              <w:keepNext w:val="0"/>
              <w:keepLines w:val="0"/>
              <w:pageBreakBefore w:val="0"/>
              <w:widowControl w:val="0"/>
              <w:kinsoku/>
              <w:wordWrap/>
              <w:overflowPunct/>
              <w:topLinePunct w:val="0"/>
              <w:autoSpaceDE/>
              <w:autoSpaceDN/>
              <w:bidi w:val="0"/>
              <w:spacing w:line="351" w:lineRule="auto"/>
              <w:ind w:left="0" w:firstLine="480" w:firstLineChars="200"/>
              <w:rPr>
                <w:rFonts w:hint="eastAsia"/>
                <w:b/>
                <w:color w:val="auto"/>
                <w:sz w:val="24"/>
                <w:lang w:val="en-US" w:eastAsia="zh-CN"/>
              </w:rPr>
            </w:pPr>
            <w:r>
              <w:rPr>
                <w:rFonts w:hint="default" w:ascii="Times New Roman" w:hAnsi="Times New Roman" w:eastAsia="宋体" w:cs="Times New Roman"/>
                <w:b w:val="0"/>
                <w:bCs/>
                <w:color w:val="auto"/>
                <w:spacing w:val="0"/>
                <w:w w:val="100"/>
                <w:position w:val="0"/>
                <w:sz w:val="24"/>
                <w:szCs w:val="24"/>
                <w:highlight w:val="none"/>
                <w:lang w:val="en-US" w:eastAsia="zh-CN"/>
              </w:rPr>
              <w:t>综上，项目生活污水回用可行，不外排，对周边地表水环境的影响较小</w:t>
            </w:r>
          </w:p>
          <w:p w14:paraId="5D502B75">
            <w:pPr>
              <w:spacing w:line="360" w:lineRule="auto"/>
              <w:ind w:firstLine="482" w:firstLineChars="200"/>
              <w:rPr>
                <w:rFonts w:hint="default"/>
                <w:b/>
                <w:color w:val="auto"/>
                <w:sz w:val="24"/>
                <w:lang w:val="en-US" w:eastAsia="zh-CN" w:bidi="ar"/>
              </w:rPr>
            </w:pPr>
            <w:r>
              <w:rPr>
                <w:rFonts w:hint="eastAsia"/>
                <w:b/>
                <w:color w:val="auto"/>
                <w:sz w:val="24"/>
                <w:lang w:val="en-US" w:eastAsia="zh-CN" w:bidi="ar"/>
              </w:rPr>
              <w:t>7、管理要求</w:t>
            </w:r>
          </w:p>
          <w:p w14:paraId="6B0B081E">
            <w:pPr>
              <w:spacing w:line="360" w:lineRule="auto"/>
              <w:ind w:firstLine="480" w:firstLineChars="200"/>
              <w:rPr>
                <w:color w:val="auto"/>
                <w:sz w:val="24"/>
              </w:rPr>
            </w:pPr>
            <w:r>
              <w:rPr>
                <w:rFonts w:hint="eastAsia"/>
                <w:b w:val="0"/>
                <w:bCs/>
                <w:color w:val="auto"/>
                <w:sz w:val="24"/>
                <w:lang w:val="en-US" w:eastAsia="zh-CN" w:bidi="ar"/>
              </w:rPr>
              <w:t>①本项目废水不外排，需处理</w:t>
            </w:r>
            <w:r>
              <w:rPr>
                <w:color w:val="auto"/>
                <w:sz w:val="24"/>
                <w:lang w:val="zh-CN"/>
              </w:rPr>
              <w:t>达到</w:t>
            </w:r>
            <w:r>
              <w:rPr>
                <w:rFonts w:hint="default" w:ascii="Times New Roman" w:hAnsi="Times New Roman" w:eastAsia="宋体" w:cs="Times New Roman"/>
                <w:caps w:val="0"/>
                <w:snapToGrid w:val="0"/>
                <w:color w:val="auto"/>
                <w:spacing w:val="0"/>
                <w:w w:val="100"/>
                <w:kern w:val="2"/>
                <w:position w:val="0"/>
                <w:sz w:val="24"/>
                <w:szCs w:val="24"/>
                <w:highlight w:val="none"/>
                <w:lang w:val="en-US" w:eastAsia="zh-CN" w:bidi="ar-SA"/>
              </w:rPr>
              <w:t>《城市污水再生利用 城市杂用水水质》（GB/T18920-2020）中的城市绿化、道路清扫、消防、建筑施工标准后，用于项目区内绿化及道路场地洒水降尘，不外排</w:t>
            </w:r>
            <w:r>
              <w:rPr>
                <w:color w:val="auto"/>
                <w:sz w:val="24"/>
                <w:lang w:val="zh-CN"/>
              </w:rPr>
              <w:t>。</w:t>
            </w:r>
          </w:p>
          <w:p w14:paraId="4815260B">
            <w:pPr>
              <w:spacing w:line="360" w:lineRule="auto"/>
              <w:ind w:firstLine="480" w:firstLineChars="200"/>
              <w:rPr>
                <w:rFonts w:hint="default"/>
                <w:color w:val="auto"/>
                <w:sz w:val="24"/>
                <w:lang w:val="en-US" w:eastAsia="zh-CN"/>
              </w:rPr>
            </w:pPr>
            <w:r>
              <w:rPr>
                <w:rFonts w:hint="eastAsia"/>
                <w:b w:val="0"/>
                <w:bCs/>
                <w:color w:val="auto"/>
                <w:sz w:val="24"/>
                <w:lang w:val="en-US" w:eastAsia="zh-CN" w:bidi="ar"/>
              </w:rPr>
              <w:t>②在整个废水处理过程及管网输送过程需按时检查相关设备运行情况，杜绝跑、</w:t>
            </w:r>
            <w:r>
              <w:rPr>
                <w:rFonts w:hint="eastAsia"/>
                <w:color w:val="auto"/>
                <w:sz w:val="24"/>
                <w:lang w:val="en-US" w:eastAsia="zh-CN"/>
              </w:rPr>
              <w:t>冒、滴、漏。</w:t>
            </w:r>
          </w:p>
          <w:p w14:paraId="46819407">
            <w:pPr>
              <w:spacing w:line="360" w:lineRule="auto"/>
              <w:ind w:firstLine="480" w:firstLineChars="200"/>
              <w:rPr>
                <w:rFonts w:hint="default"/>
                <w:b/>
                <w:color w:val="auto"/>
                <w:sz w:val="24"/>
                <w:lang w:val="en-US" w:eastAsia="zh-CN" w:bidi="ar"/>
              </w:rPr>
            </w:pPr>
            <w:r>
              <w:rPr>
                <w:rFonts w:hint="eastAsia"/>
                <w:color w:val="auto"/>
                <w:sz w:val="24"/>
                <w:lang w:val="en-US" w:eastAsia="zh-CN"/>
              </w:rPr>
              <w:t>③后续项目运行过程中需根据</w:t>
            </w:r>
            <w:r>
              <w:rPr>
                <w:rFonts w:hint="default" w:ascii="Times New Roman" w:hAnsi="Times New Roman" w:eastAsia="宋体" w:cs="Times New Roman"/>
                <w:color w:val="auto"/>
                <w:sz w:val="24"/>
                <w:highlight w:val="none"/>
                <w:lang w:eastAsia="zh-CN"/>
              </w:rPr>
              <w:t>《排污许可证申请与核发技</w:t>
            </w:r>
            <w:r>
              <w:rPr>
                <w:rFonts w:hint="default" w:ascii="Times New Roman" w:hAnsi="Times New Roman" w:eastAsia="宋体" w:cs="Times New Roman"/>
                <w:color w:val="auto"/>
                <w:sz w:val="24"/>
                <w:szCs w:val="24"/>
                <w:highlight w:val="none"/>
                <w:lang w:eastAsia="zh-CN"/>
              </w:rPr>
              <w:t>术规范 橡胶和塑料制品工业》（HJ1122-2020）</w:t>
            </w:r>
            <w:r>
              <w:rPr>
                <w:rFonts w:hint="eastAsia"/>
                <w:color w:val="auto"/>
                <w:sz w:val="24"/>
                <w:lang w:val="en-US" w:eastAsia="zh-CN" w:bidi="ar"/>
              </w:rPr>
              <w:t>及</w:t>
            </w:r>
            <w:r>
              <w:rPr>
                <w:rFonts w:hint="eastAsia"/>
                <w:color w:val="auto"/>
                <w:sz w:val="24"/>
                <w:lang w:val="en-US" w:eastAsia="zh-CN"/>
              </w:rPr>
              <w:t>相关法律法规要求取得排污许可证并按时监测，不得遗漏因子及降低监测频次。</w:t>
            </w:r>
          </w:p>
          <w:p w14:paraId="4B61ED6D">
            <w:pPr>
              <w:spacing w:line="360" w:lineRule="auto"/>
              <w:ind w:firstLine="482" w:firstLineChars="200"/>
              <w:rPr>
                <w:b/>
                <w:color w:val="auto"/>
                <w:sz w:val="24"/>
              </w:rPr>
            </w:pPr>
            <w:r>
              <w:rPr>
                <w:rFonts w:hint="eastAsia"/>
                <w:b/>
                <w:color w:val="auto"/>
                <w:sz w:val="24"/>
                <w:lang w:val="en-US" w:eastAsia="zh-CN" w:bidi="ar"/>
              </w:rPr>
              <w:t>9、</w:t>
            </w:r>
            <w:r>
              <w:rPr>
                <w:b/>
                <w:color w:val="auto"/>
                <w:sz w:val="24"/>
              </w:rPr>
              <w:t>监测要求</w:t>
            </w:r>
          </w:p>
          <w:p w14:paraId="5799E14F">
            <w:pPr>
              <w:adjustRightInd w:val="0"/>
              <w:snapToGrid w:val="0"/>
              <w:spacing w:line="360" w:lineRule="auto"/>
              <w:ind w:firstLine="480" w:firstLineChars="200"/>
              <w:rPr>
                <w:b/>
                <w:color w:val="auto"/>
              </w:rPr>
            </w:pPr>
            <w:r>
              <w:rPr>
                <w:bCs/>
                <w:color w:val="auto"/>
                <w:sz w:val="24"/>
              </w:rPr>
              <w:t>根据</w:t>
            </w:r>
            <w:r>
              <w:rPr>
                <w:rFonts w:hint="default" w:ascii="Times New Roman" w:hAnsi="Times New Roman" w:eastAsia="宋体" w:cs="Times New Roman"/>
                <w:color w:val="auto"/>
                <w:sz w:val="24"/>
                <w:highlight w:val="none"/>
                <w:lang w:eastAsia="zh-CN"/>
              </w:rPr>
              <w:t>《排污许可证申请与核发技</w:t>
            </w:r>
            <w:r>
              <w:rPr>
                <w:rFonts w:hint="default" w:ascii="Times New Roman" w:hAnsi="Times New Roman" w:eastAsia="宋体" w:cs="Times New Roman"/>
                <w:color w:val="auto"/>
                <w:sz w:val="24"/>
                <w:szCs w:val="24"/>
                <w:highlight w:val="none"/>
                <w:lang w:eastAsia="zh-CN"/>
              </w:rPr>
              <w:t>术规范 橡胶和塑料制品工业》（HJ1122-2020）</w:t>
            </w:r>
            <w:r>
              <w:rPr>
                <w:rFonts w:hint="eastAsia"/>
                <w:color w:val="auto"/>
                <w:sz w:val="24"/>
                <w:lang w:bidi="ar"/>
              </w:rPr>
              <w:t>及</w:t>
            </w:r>
            <w:r>
              <w:rPr>
                <w:color w:val="auto"/>
                <w:sz w:val="24"/>
                <w:lang w:bidi="ar"/>
              </w:rPr>
              <w:t>《排污单位自行监测技术指南 橡胶和塑料制品》（HJ1207-2021）</w:t>
            </w:r>
            <w:r>
              <w:rPr>
                <w:bCs/>
                <w:color w:val="auto"/>
                <w:sz w:val="24"/>
              </w:rPr>
              <w:t>可知，项目的废水监测计划如表4-</w:t>
            </w:r>
            <w:r>
              <w:rPr>
                <w:rFonts w:hint="eastAsia"/>
                <w:bCs/>
                <w:color w:val="auto"/>
                <w:sz w:val="24"/>
                <w:lang w:val="en-US" w:eastAsia="zh-CN"/>
              </w:rPr>
              <w:t>15</w:t>
            </w:r>
            <w:r>
              <w:rPr>
                <w:rFonts w:hint="eastAsia"/>
                <w:bCs/>
                <w:color w:val="auto"/>
                <w:sz w:val="24"/>
              </w:rPr>
              <w:t>。</w:t>
            </w:r>
          </w:p>
          <w:p w14:paraId="4E01B0E0">
            <w:pPr>
              <w:ind w:firstLine="2471" w:firstLineChars="1172"/>
              <w:rPr>
                <w:rFonts w:hint="default" w:ascii="Times New Roman" w:hAnsi="Times New Roman" w:eastAsia="宋体" w:cs="Times New Roman"/>
                <w:b/>
                <w:bCs w:val="0"/>
                <w:color w:val="auto"/>
                <w:highlight w:val="none"/>
              </w:rPr>
            </w:pPr>
            <w:r>
              <w:rPr>
                <w:b/>
                <w:color w:val="auto"/>
              </w:rPr>
              <w:t>表4-</w:t>
            </w:r>
            <w:r>
              <w:rPr>
                <w:rFonts w:hint="eastAsia"/>
                <w:b/>
                <w:color w:val="auto"/>
                <w:lang w:val="en-US" w:eastAsia="zh-CN"/>
              </w:rPr>
              <w:t>15</w:t>
            </w:r>
            <w:r>
              <w:rPr>
                <w:b/>
                <w:color w:val="auto"/>
              </w:rPr>
              <w:t xml:space="preserve">  环境监测计划一览表</w:t>
            </w:r>
          </w:p>
          <w:tbl>
            <w:tblPr>
              <w:tblStyle w:val="30"/>
              <w:tblW w:w="829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7"/>
              <w:gridCol w:w="1066"/>
              <w:gridCol w:w="1792"/>
              <w:gridCol w:w="3359"/>
              <w:gridCol w:w="1508"/>
            </w:tblGrid>
            <w:tr w14:paraId="0F7B2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4" w:hRule="atLeast"/>
                <w:jc w:val="center"/>
              </w:trPr>
              <w:tc>
                <w:tcPr>
                  <w:tcW w:w="567" w:type="dxa"/>
                  <w:vAlign w:val="center"/>
                </w:tcPr>
                <w:p w14:paraId="3D02422D">
                  <w:pPr>
                    <w:pStyle w:val="105"/>
                    <w:spacing w:line="240" w:lineRule="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类别</w:t>
                  </w:r>
                </w:p>
              </w:tc>
              <w:tc>
                <w:tcPr>
                  <w:tcW w:w="1066" w:type="dxa"/>
                  <w:vAlign w:val="center"/>
                </w:tcPr>
                <w:p w14:paraId="2FA4B3B5">
                  <w:pPr>
                    <w:pStyle w:val="105"/>
                    <w:spacing w:line="240" w:lineRule="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监测点位</w:t>
                  </w:r>
                </w:p>
              </w:tc>
              <w:tc>
                <w:tcPr>
                  <w:tcW w:w="1792" w:type="dxa"/>
                  <w:vAlign w:val="center"/>
                </w:tcPr>
                <w:p w14:paraId="62CDE599">
                  <w:pPr>
                    <w:pStyle w:val="105"/>
                    <w:spacing w:line="240" w:lineRule="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监测项目</w:t>
                  </w:r>
                </w:p>
              </w:tc>
              <w:tc>
                <w:tcPr>
                  <w:tcW w:w="3359" w:type="dxa"/>
                  <w:vAlign w:val="center"/>
                </w:tcPr>
                <w:p w14:paraId="35B778E5">
                  <w:pPr>
                    <w:pStyle w:val="105"/>
                    <w:spacing w:line="240" w:lineRule="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标准</w:t>
                  </w:r>
                </w:p>
              </w:tc>
              <w:tc>
                <w:tcPr>
                  <w:tcW w:w="1508" w:type="dxa"/>
                  <w:vAlign w:val="center"/>
                </w:tcPr>
                <w:p w14:paraId="6EAE7878">
                  <w:pPr>
                    <w:pStyle w:val="105"/>
                    <w:spacing w:line="240" w:lineRule="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监测时间及频率</w:t>
                  </w:r>
                </w:p>
              </w:tc>
            </w:tr>
            <w:tr w14:paraId="26162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67" w:type="dxa"/>
                  <w:vAlign w:val="center"/>
                </w:tcPr>
                <w:p w14:paraId="0F94B3BB">
                  <w:pPr>
                    <w:pStyle w:val="105"/>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1066" w:type="dxa"/>
                  <w:vAlign w:val="center"/>
                </w:tcPr>
                <w:p w14:paraId="7DFAFF7D">
                  <w:pPr>
                    <w:pStyle w:val="105"/>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一体化污水处理站</w:t>
                  </w:r>
                  <w:r>
                    <w:rPr>
                      <w:rFonts w:hint="default" w:ascii="Times New Roman" w:hAnsi="Times New Roman" w:eastAsia="宋体" w:cs="Times New Roman"/>
                      <w:color w:val="auto"/>
                      <w:sz w:val="21"/>
                      <w:szCs w:val="21"/>
                      <w:highlight w:val="none"/>
                    </w:rPr>
                    <w:t>出口</w:t>
                  </w:r>
                </w:p>
              </w:tc>
              <w:tc>
                <w:tcPr>
                  <w:tcW w:w="1792" w:type="dxa"/>
                  <w:vAlign w:val="center"/>
                </w:tcPr>
                <w:p w14:paraId="702E44E0">
                  <w:pPr>
                    <w:pStyle w:val="105"/>
                    <w:spacing w:line="24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pH、COD、BOD、SS、NH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-N、TP</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动植物油</w:t>
                  </w:r>
                </w:p>
              </w:tc>
              <w:tc>
                <w:tcPr>
                  <w:tcW w:w="3359" w:type="dxa"/>
                  <w:vAlign w:val="center"/>
                </w:tcPr>
                <w:p w14:paraId="033C38C4">
                  <w:pPr>
                    <w:pStyle w:val="83"/>
                    <w:spacing w:before="5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《城市污水再生利用 城市杂用水水质》（GB/T18920-2020）中的城市绿化、道路清扫、消防、建筑施工标准</w:t>
                  </w:r>
                </w:p>
              </w:tc>
              <w:tc>
                <w:tcPr>
                  <w:tcW w:w="1508" w:type="dxa"/>
                  <w:vAlign w:val="center"/>
                </w:tcPr>
                <w:p w14:paraId="05C02F60">
                  <w:pPr>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pacing w:val="-10"/>
                      <w:szCs w:val="21"/>
                      <w:highlight w:val="none"/>
                    </w:rPr>
                    <w:t>验收时监测一次，后根据国家相关技术规范进行</w:t>
                  </w:r>
                </w:p>
              </w:tc>
            </w:tr>
          </w:tbl>
          <w:p w14:paraId="3467F05B">
            <w:pPr>
              <w:adjustRightInd w:val="0"/>
              <w:snapToGrid w:val="0"/>
              <w:spacing w:line="360" w:lineRule="auto"/>
              <w:ind w:firstLine="482" w:firstLineChars="200"/>
              <w:rPr>
                <w:b/>
                <w:color w:val="auto"/>
                <w:sz w:val="24"/>
              </w:rPr>
            </w:pPr>
            <w:r>
              <w:rPr>
                <w:b/>
                <w:color w:val="auto"/>
                <w:sz w:val="24"/>
              </w:rPr>
              <w:t>三、噪声影响分析</w:t>
            </w:r>
          </w:p>
          <w:p w14:paraId="2524997F">
            <w:pPr>
              <w:pStyle w:val="29"/>
              <w:snapToGrid w:val="0"/>
              <w:spacing w:line="360" w:lineRule="auto"/>
              <w:ind w:left="0" w:leftChars="0" w:firstLine="482" w:firstLineChars="200"/>
              <w:rPr>
                <w:b/>
                <w:bCs/>
                <w:color w:val="auto"/>
                <w:sz w:val="24"/>
                <w:lang w:val="zh-CN"/>
              </w:rPr>
            </w:pPr>
            <w:r>
              <w:rPr>
                <w:b/>
                <w:bCs/>
                <w:color w:val="auto"/>
                <w:sz w:val="24"/>
              </w:rPr>
              <w:t>1、</w:t>
            </w:r>
            <w:r>
              <w:rPr>
                <w:b/>
                <w:color w:val="auto"/>
                <w:sz w:val="24"/>
              </w:rPr>
              <w:t>交通噪声</w:t>
            </w:r>
          </w:p>
          <w:p w14:paraId="166E1B85">
            <w:pPr>
              <w:pStyle w:val="17"/>
              <w:adjustRightInd w:val="0"/>
              <w:snapToGrid w:val="0"/>
              <w:spacing w:line="360" w:lineRule="auto"/>
              <w:ind w:firstLine="480" w:firstLineChars="200"/>
              <w:rPr>
                <w:rFonts w:ascii="Times New Roman" w:hAnsi="Times New Roman"/>
                <w:color w:val="auto"/>
                <w:sz w:val="24"/>
              </w:rPr>
            </w:pPr>
            <w:r>
              <w:rPr>
                <w:rFonts w:ascii="Times New Roman" w:hAnsi="Times New Roman"/>
                <w:color w:val="auto"/>
                <w:sz w:val="24"/>
              </w:rPr>
              <w:t>项目运营期，</w:t>
            </w:r>
            <w:r>
              <w:rPr>
                <w:rFonts w:hint="eastAsia" w:ascii="Times New Roman" w:hAnsi="Times New Roman"/>
                <w:color w:val="auto"/>
                <w:sz w:val="24"/>
              </w:rPr>
              <w:t>进出厂区</w:t>
            </w:r>
            <w:r>
              <w:rPr>
                <w:rFonts w:ascii="Times New Roman" w:hAnsi="Times New Roman"/>
                <w:color w:val="auto"/>
                <w:sz w:val="24"/>
              </w:rPr>
              <w:t>车辆产生的噪声值在</w:t>
            </w:r>
            <w:r>
              <w:rPr>
                <w:rFonts w:hint="eastAsia" w:ascii="Times New Roman" w:hAnsi="Times New Roman"/>
                <w:color w:val="auto"/>
                <w:sz w:val="24"/>
                <w:lang w:val="en-US" w:eastAsia="zh-CN"/>
              </w:rPr>
              <w:t>60</w:t>
            </w:r>
            <w:r>
              <w:rPr>
                <w:rFonts w:ascii="Times New Roman" w:hAnsi="Times New Roman"/>
                <w:color w:val="auto"/>
                <w:sz w:val="24"/>
              </w:rPr>
              <w:t>～</w:t>
            </w:r>
            <w:r>
              <w:rPr>
                <w:rFonts w:hint="eastAsia" w:ascii="Times New Roman" w:hAnsi="Times New Roman"/>
                <w:color w:val="auto"/>
                <w:sz w:val="24"/>
              </w:rPr>
              <w:t>8</w:t>
            </w:r>
            <w:r>
              <w:rPr>
                <w:rFonts w:hint="eastAsia" w:ascii="Times New Roman" w:hAnsi="Times New Roman"/>
                <w:color w:val="auto"/>
                <w:sz w:val="24"/>
                <w:lang w:val="en-US" w:eastAsia="zh-CN"/>
              </w:rPr>
              <w:t>0</w:t>
            </w:r>
            <w:r>
              <w:rPr>
                <w:rFonts w:ascii="Times New Roman" w:hAnsi="Times New Roman"/>
                <w:color w:val="auto"/>
                <w:sz w:val="24"/>
              </w:rPr>
              <w:t>dB（A）之间，属于间歇性噪声，</w:t>
            </w:r>
            <w:r>
              <w:rPr>
                <w:rFonts w:ascii="Times New Roman" w:hAnsi="Times New Roman"/>
                <w:color w:val="auto"/>
                <w:sz w:val="24"/>
                <w:lang w:val="zh-CN"/>
              </w:rPr>
              <w:t>会对周围环境造成一定影响。因车辆在项目区内为低速行驶状态，通过加强管理、禁止鸣笛等措施后，交通噪声对周围环境的影响是可以接受的。</w:t>
            </w:r>
          </w:p>
          <w:p w14:paraId="7E44B912">
            <w:pPr>
              <w:pStyle w:val="17"/>
              <w:adjustRightInd w:val="0"/>
              <w:snapToGrid w:val="0"/>
              <w:spacing w:line="360" w:lineRule="auto"/>
              <w:ind w:firstLine="482" w:firstLineChars="200"/>
              <w:rPr>
                <w:rFonts w:ascii="Times New Roman" w:hAnsi="Times New Roman"/>
                <w:color w:val="auto"/>
                <w:sz w:val="24"/>
                <w:lang w:val="zh-CN" w:bidi="ar"/>
              </w:rPr>
            </w:pPr>
            <w:r>
              <w:rPr>
                <w:rFonts w:ascii="Times New Roman" w:hAnsi="Times New Roman"/>
                <w:b/>
                <w:bCs/>
                <w:color w:val="auto"/>
                <w:sz w:val="24"/>
              </w:rPr>
              <w:t>2、</w:t>
            </w:r>
            <w:r>
              <w:rPr>
                <w:rFonts w:hint="eastAsia" w:ascii="Times New Roman" w:hAnsi="Times New Roman"/>
                <w:b/>
                <w:bCs/>
                <w:color w:val="auto"/>
                <w:sz w:val="24"/>
              </w:rPr>
              <w:t>设备</w:t>
            </w:r>
            <w:r>
              <w:rPr>
                <w:rFonts w:ascii="Times New Roman" w:hAnsi="Times New Roman"/>
                <w:b/>
                <w:bCs/>
                <w:color w:val="auto"/>
                <w:sz w:val="24"/>
              </w:rPr>
              <w:t>噪声</w:t>
            </w:r>
          </w:p>
          <w:p w14:paraId="3CCFFEA1">
            <w:pPr>
              <w:adjustRightInd w:val="0"/>
              <w:snapToGrid w:val="0"/>
              <w:spacing w:line="360" w:lineRule="auto"/>
              <w:ind w:firstLine="480" w:firstLineChars="200"/>
              <w:rPr>
                <w:color w:val="auto"/>
                <w:sz w:val="24"/>
                <w:lang w:val="zh-CN" w:bidi="ar"/>
              </w:rPr>
            </w:pPr>
            <w:r>
              <w:rPr>
                <w:rFonts w:hint="eastAsia"/>
                <w:color w:val="auto"/>
                <w:sz w:val="24"/>
                <w:lang w:val="zh-CN" w:bidi="ar"/>
              </w:rPr>
              <w:t>（1）噪声源强分析</w:t>
            </w:r>
          </w:p>
          <w:p w14:paraId="1C4BAF02">
            <w:pPr>
              <w:adjustRightInd w:val="0"/>
              <w:snapToGrid w:val="0"/>
              <w:spacing w:line="360" w:lineRule="auto"/>
              <w:ind w:firstLine="480" w:firstLineChars="200"/>
              <w:rPr>
                <w:color w:val="auto"/>
                <w:sz w:val="24"/>
              </w:rPr>
            </w:pPr>
            <w:r>
              <w:rPr>
                <w:color w:val="auto"/>
                <w:sz w:val="24"/>
                <w:lang w:val="zh-CN" w:bidi="ar"/>
              </w:rPr>
              <w:t>项目主要噪声源</w:t>
            </w:r>
            <w:r>
              <w:rPr>
                <w:color w:val="auto"/>
                <w:sz w:val="24"/>
                <w:lang w:bidi="ar"/>
              </w:rPr>
              <w:t>为</w:t>
            </w:r>
            <w:r>
              <w:rPr>
                <w:color w:val="auto"/>
                <w:sz w:val="24"/>
                <w:lang w:val="zh-CN" w:bidi="ar"/>
              </w:rPr>
              <w:t>机械设备</w:t>
            </w:r>
            <w:r>
              <w:rPr>
                <w:color w:val="auto"/>
                <w:sz w:val="24"/>
                <w:lang w:bidi="ar"/>
              </w:rPr>
              <w:t>噪声</w:t>
            </w:r>
            <w:r>
              <w:rPr>
                <w:rFonts w:hint="eastAsia"/>
                <w:color w:val="auto"/>
                <w:sz w:val="24"/>
                <w:lang w:val="zh-CN" w:bidi="ar"/>
              </w:rPr>
              <w:t>，</w:t>
            </w:r>
            <w:r>
              <w:rPr>
                <w:color w:val="auto"/>
                <w:sz w:val="24"/>
                <w:lang w:val="zh-CN" w:bidi="ar"/>
              </w:rPr>
              <w:t>各类机械噪声值在</w:t>
            </w:r>
            <w:r>
              <w:rPr>
                <w:rFonts w:hint="eastAsia"/>
                <w:color w:val="auto"/>
                <w:sz w:val="24"/>
                <w:lang w:val="en-US" w:eastAsia="zh-CN" w:bidi="ar"/>
              </w:rPr>
              <w:t>6</w:t>
            </w:r>
            <w:r>
              <w:rPr>
                <w:rFonts w:hint="eastAsia"/>
                <w:color w:val="auto"/>
                <w:sz w:val="24"/>
                <w:lang w:bidi="ar"/>
              </w:rPr>
              <w:t>0</w:t>
            </w:r>
            <w:r>
              <w:rPr>
                <w:color w:val="auto"/>
                <w:sz w:val="24"/>
                <w:lang w:val="zh-CN" w:bidi="ar"/>
              </w:rPr>
              <w:t>～</w:t>
            </w:r>
            <w:r>
              <w:rPr>
                <w:rFonts w:hint="eastAsia"/>
                <w:color w:val="auto"/>
                <w:sz w:val="24"/>
                <w:lang w:val="en-US" w:eastAsia="zh-CN" w:bidi="ar"/>
              </w:rPr>
              <w:t>85</w:t>
            </w:r>
            <w:r>
              <w:rPr>
                <w:color w:val="auto"/>
                <w:sz w:val="24"/>
                <w:lang w:val="zh-CN" w:bidi="ar"/>
              </w:rPr>
              <w:t>dB（A）</w:t>
            </w:r>
            <w:r>
              <w:rPr>
                <w:rFonts w:hint="eastAsia"/>
                <w:color w:val="auto"/>
                <w:sz w:val="24"/>
                <w:lang w:val="en-US" w:eastAsia="zh-CN" w:bidi="ar"/>
              </w:rPr>
              <w:t>,</w:t>
            </w:r>
            <w:r>
              <w:rPr>
                <w:color w:val="auto"/>
                <w:sz w:val="24"/>
                <w:lang w:val="zh-CN" w:bidi="ar"/>
              </w:rPr>
              <w:t>项目优先选用低噪声设备，采取厂房隔声、基础减振、安装消声器</w:t>
            </w:r>
            <w:r>
              <w:rPr>
                <w:color w:val="auto"/>
                <w:sz w:val="24"/>
                <w:lang w:bidi="ar"/>
              </w:rPr>
              <w:t>及</w:t>
            </w:r>
            <w:r>
              <w:rPr>
                <w:color w:val="auto"/>
                <w:sz w:val="24"/>
              </w:rPr>
              <w:t>加强对生产设备的管理和维护</w:t>
            </w:r>
            <w:r>
              <w:rPr>
                <w:color w:val="auto"/>
                <w:sz w:val="24"/>
                <w:lang w:val="zh-CN" w:bidi="ar"/>
              </w:rPr>
              <w:t>等措施。噪声在传播过程中容易衰减，且易受厂房、墙体、植被的吸收和阻隔。</w:t>
            </w:r>
            <w:r>
              <w:rPr>
                <w:color w:val="auto"/>
                <w:sz w:val="24"/>
              </w:rPr>
              <w:t>具体噪声源强见表4-</w:t>
            </w:r>
            <w:r>
              <w:rPr>
                <w:rFonts w:hint="eastAsia"/>
                <w:color w:val="auto"/>
                <w:sz w:val="24"/>
                <w:lang w:val="en-US" w:eastAsia="zh-CN"/>
              </w:rPr>
              <w:t>16、4-17</w:t>
            </w:r>
            <w:r>
              <w:rPr>
                <w:color w:val="auto"/>
                <w:sz w:val="24"/>
              </w:rPr>
              <w:t>。</w:t>
            </w:r>
          </w:p>
          <w:p w14:paraId="13EDBBA1">
            <w:pPr>
              <w:rPr>
                <w:color w:val="auto"/>
                <w:sz w:val="24"/>
              </w:rPr>
            </w:pPr>
          </w:p>
        </w:tc>
      </w:tr>
    </w:tbl>
    <w:p w14:paraId="04941717">
      <w:pPr>
        <w:adjustRightInd w:val="0"/>
        <w:snapToGrid w:val="0"/>
        <w:spacing w:line="360" w:lineRule="auto"/>
        <w:rPr>
          <w:b/>
          <w:color w:val="auto"/>
          <w:kern w:val="0"/>
          <w:sz w:val="28"/>
          <w:szCs w:val="28"/>
        </w:rPr>
        <w:sectPr>
          <w:pgSz w:w="11907" w:h="16840"/>
          <w:pgMar w:top="1701" w:right="1531" w:bottom="2127" w:left="1531" w:header="851" w:footer="851" w:gutter="0"/>
          <w:pgNumType w:fmt="decimal"/>
          <w:cols w:space="720" w:num="1"/>
          <w:docGrid w:linePitch="312" w:charSpace="0"/>
        </w:sectPr>
      </w:pPr>
    </w:p>
    <w:p w14:paraId="299B1770">
      <w:pPr>
        <w:snapToGrid w:val="0"/>
        <w:jc w:val="center"/>
        <w:rPr>
          <w:b/>
          <w:color w:val="auto"/>
          <w:szCs w:val="21"/>
        </w:rPr>
      </w:pPr>
      <w:r>
        <w:rPr>
          <w:rFonts w:hAnsi="宋体"/>
          <w:b/>
          <w:color w:val="auto"/>
          <w:szCs w:val="21"/>
        </w:rPr>
        <w:t>表</w:t>
      </w:r>
      <w:r>
        <w:rPr>
          <w:rFonts w:hint="eastAsia"/>
          <w:b/>
          <w:color w:val="auto"/>
          <w:szCs w:val="21"/>
          <w:lang w:val="en-US" w:eastAsia="zh-CN"/>
        </w:rPr>
        <w:t>4-16</w:t>
      </w:r>
      <w:r>
        <w:rPr>
          <w:b/>
          <w:color w:val="auto"/>
          <w:szCs w:val="21"/>
        </w:rPr>
        <w:t xml:space="preserve"> </w:t>
      </w:r>
      <w:r>
        <w:rPr>
          <w:rFonts w:hint="eastAsia"/>
          <w:b/>
          <w:color w:val="auto"/>
          <w:szCs w:val="21"/>
        </w:rPr>
        <w:t xml:space="preserve"> 项目噪声源强调查清单（室外声源）</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295"/>
        <w:gridCol w:w="1245"/>
        <w:gridCol w:w="1134"/>
        <w:gridCol w:w="1262"/>
        <w:gridCol w:w="2149"/>
        <w:gridCol w:w="2112"/>
        <w:gridCol w:w="2287"/>
      </w:tblGrid>
      <w:tr w14:paraId="7AC59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pct"/>
            <w:vMerge w:val="restart"/>
            <w:noWrap w:val="0"/>
            <w:vAlign w:val="center"/>
          </w:tcPr>
          <w:p w14:paraId="132A098D">
            <w:pPr>
              <w:spacing w:before="156" w:beforeLines="50"/>
              <w:jc w:val="center"/>
              <w:rPr>
                <w:b/>
                <w:color w:val="auto"/>
                <w:szCs w:val="21"/>
              </w:rPr>
            </w:pPr>
            <w:r>
              <w:rPr>
                <w:b/>
                <w:color w:val="auto"/>
                <w:szCs w:val="21"/>
              </w:rPr>
              <w:t>序号</w:t>
            </w:r>
          </w:p>
        </w:tc>
        <w:tc>
          <w:tcPr>
            <w:tcW w:w="867" w:type="pct"/>
            <w:vMerge w:val="restart"/>
            <w:noWrap w:val="0"/>
            <w:vAlign w:val="center"/>
          </w:tcPr>
          <w:p w14:paraId="649B7074">
            <w:pPr>
              <w:spacing w:before="156" w:beforeLines="50"/>
              <w:jc w:val="center"/>
              <w:rPr>
                <w:b/>
                <w:color w:val="auto"/>
                <w:szCs w:val="21"/>
              </w:rPr>
            </w:pPr>
            <w:r>
              <w:rPr>
                <w:b/>
                <w:color w:val="auto"/>
                <w:szCs w:val="21"/>
              </w:rPr>
              <w:t>声源名称</w:t>
            </w:r>
          </w:p>
        </w:tc>
        <w:tc>
          <w:tcPr>
            <w:tcW w:w="1376" w:type="pct"/>
            <w:gridSpan w:val="3"/>
            <w:noWrap w:val="0"/>
            <w:vAlign w:val="center"/>
          </w:tcPr>
          <w:p w14:paraId="13DA32F1">
            <w:pPr>
              <w:jc w:val="center"/>
              <w:rPr>
                <w:b/>
                <w:color w:val="auto"/>
                <w:szCs w:val="21"/>
              </w:rPr>
            </w:pPr>
            <w:r>
              <w:rPr>
                <w:b/>
                <w:color w:val="auto"/>
                <w:szCs w:val="21"/>
              </w:rPr>
              <w:t>空间相对位置/m</w:t>
            </w:r>
          </w:p>
        </w:tc>
        <w:tc>
          <w:tcPr>
            <w:tcW w:w="812" w:type="pct"/>
            <w:vMerge w:val="restart"/>
            <w:noWrap w:val="0"/>
            <w:vAlign w:val="center"/>
          </w:tcPr>
          <w:p w14:paraId="45A9CBDE">
            <w:pPr>
              <w:jc w:val="center"/>
              <w:rPr>
                <w:b/>
                <w:color w:val="auto"/>
                <w:szCs w:val="21"/>
              </w:rPr>
            </w:pP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声压级/距声源距离</w:t>
            </w: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(dB(A)/m)</w:t>
            </w:r>
          </w:p>
        </w:tc>
        <w:tc>
          <w:tcPr>
            <w:tcW w:w="798" w:type="pct"/>
            <w:vMerge w:val="restart"/>
            <w:noWrap w:val="0"/>
            <w:vAlign w:val="center"/>
          </w:tcPr>
          <w:p w14:paraId="0CD202F3">
            <w:pPr>
              <w:jc w:val="center"/>
              <w:rPr>
                <w:b/>
                <w:color w:val="auto"/>
                <w:szCs w:val="21"/>
              </w:rPr>
            </w:pPr>
            <w:r>
              <w:rPr>
                <w:b/>
                <w:color w:val="auto"/>
                <w:szCs w:val="21"/>
              </w:rPr>
              <w:t>声源控制措施</w:t>
            </w:r>
          </w:p>
        </w:tc>
        <w:tc>
          <w:tcPr>
            <w:tcW w:w="864" w:type="pct"/>
            <w:vMerge w:val="restart"/>
            <w:noWrap w:val="0"/>
            <w:vAlign w:val="center"/>
          </w:tcPr>
          <w:p w14:paraId="46C14BF5">
            <w:pPr>
              <w:jc w:val="center"/>
              <w:rPr>
                <w:b/>
                <w:color w:val="auto"/>
                <w:szCs w:val="21"/>
              </w:rPr>
            </w:pPr>
            <w:r>
              <w:rPr>
                <w:b/>
                <w:color w:val="auto"/>
                <w:szCs w:val="21"/>
              </w:rPr>
              <w:t>运行时段</w:t>
            </w:r>
          </w:p>
        </w:tc>
      </w:tr>
      <w:tr w14:paraId="32BFD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pct"/>
            <w:vMerge w:val="continue"/>
            <w:noWrap w:val="0"/>
            <w:vAlign w:val="center"/>
          </w:tcPr>
          <w:p w14:paraId="718928D0">
            <w:pPr>
              <w:jc w:val="center"/>
              <w:rPr>
                <w:b/>
                <w:color w:val="auto"/>
                <w:szCs w:val="21"/>
                <w:lang w:val="zh-CN"/>
              </w:rPr>
            </w:pPr>
          </w:p>
        </w:tc>
        <w:tc>
          <w:tcPr>
            <w:tcW w:w="867" w:type="pct"/>
            <w:vMerge w:val="continue"/>
            <w:noWrap w:val="0"/>
            <w:vAlign w:val="center"/>
          </w:tcPr>
          <w:p w14:paraId="489AE0EA">
            <w:pPr>
              <w:jc w:val="center"/>
              <w:rPr>
                <w:b/>
                <w:color w:val="auto"/>
                <w:szCs w:val="21"/>
                <w:lang w:val="zh-CN"/>
              </w:rPr>
            </w:pPr>
          </w:p>
        </w:tc>
        <w:tc>
          <w:tcPr>
            <w:tcW w:w="470" w:type="pct"/>
            <w:noWrap w:val="0"/>
            <w:vAlign w:val="center"/>
          </w:tcPr>
          <w:p w14:paraId="09AA5634">
            <w:pPr>
              <w:jc w:val="center"/>
              <w:rPr>
                <w:b/>
                <w:color w:val="auto"/>
                <w:szCs w:val="21"/>
              </w:rPr>
            </w:pPr>
            <w:r>
              <w:rPr>
                <w:b/>
                <w:color w:val="auto"/>
                <w:szCs w:val="21"/>
              </w:rPr>
              <w:t>X</w:t>
            </w:r>
          </w:p>
        </w:tc>
        <w:tc>
          <w:tcPr>
            <w:tcW w:w="428" w:type="pct"/>
            <w:noWrap w:val="0"/>
            <w:vAlign w:val="center"/>
          </w:tcPr>
          <w:p w14:paraId="3EBC9355">
            <w:pPr>
              <w:jc w:val="center"/>
              <w:rPr>
                <w:b/>
                <w:color w:val="auto"/>
                <w:szCs w:val="21"/>
              </w:rPr>
            </w:pPr>
            <w:r>
              <w:rPr>
                <w:b/>
                <w:color w:val="auto"/>
                <w:szCs w:val="21"/>
              </w:rPr>
              <w:t>Y</w:t>
            </w:r>
          </w:p>
        </w:tc>
        <w:tc>
          <w:tcPr>
            <w:tcW w:w="477" w:type="pct"/>
            <w:noWrap w:val="0"/>
            <w:vAlign w:val="center"/>
          </w:tcPr>
          <w:p w14:paraId="1C1EC59D">
            <w:pPr>
              <w:jc w:val="center"/>
              <w:rPr>
                <w:b/>
                <w:color w:val="auto"/>
                <w:szCs w:val="21"/>
              </w:rPr>
            </w:pPr>
            <w:r>
              <w:rPr>
                <w:b/>
                <w:color w:val="auto"/>
                <w:szCs w:val="21"/>
              </w:rPr>
              <w:t>Z</w:t>
            </w:r>
          </w:p>
        </w:tc>
        <w:tc>
          <w:tcPr>
            <w:tcW w:w="812" w:type="pct"/>
            <w:vMerge w:val="continue"/>
            <w:noWrap w:val="0"/>
            <w:vAlign w:val="center"/>
          </w:tcPr>
          <w:p w14:paraId="2B021F2A">
            <w:pPr>
              <w:jc w:val="center"/>
              <w:rPr>
                <w:b/>
                <w:color w:val="auto"/>
                <w:szCs w:val="21"/>
              </w:rPr>
            </w:pPr>
          </w:p>
        </w:tc>
        <w:tc>
          <w:tcPr>
            <w:tcW w:w="798" w:type="pct"/>
            <w:vMerge w:val="continue"/>
            <w:noWrap w:val="0"/>
            <w:vAlign w:val="center"/>
          </w:tcPr>
          <w:p w14:paraId="28FD0377">
            <w:pPr>
              <w:jc w:val="center"/>
              <w:rPr>
                <w:b/>
                <w:color w:val="auto"/>
                <w:szCs w:val="21"/>
              </w:rPr>
            </w:pPr>
          </w:p>
        </w:tc>
        <w:tc>
          <w:tcPr>
            <w:tcW w:w="864" w:type="pct"/>
            <w:vMerge w:val="continue"/>
            <w:noWrap w:val="0"/>
            <w:vAlign w:val="center"/>
          </w:tcPr>
          <w:p w14:paraId="01897A4C">
            <w:pPr>
              <w:jc w:val="center"/>
              <w:rPr>
                <w:b/>
                <w:color w:val="auto"/>
                <w:szCs w:val="21"/>
              </w:rPr>
            </w:pPr>
          </w:p>
        </w:tc>
      </w:tr>
      <w:tr w14:paraId="6F1E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pct"/>
            <w:noWrap w:val="0"/>
            <w:vAlign w:val="center"/>
          </w:tcPr>
          <w:p w14:paraId="03F95BFA">
            <w:pPr>
              <w:jc w:val="center"/>
              <w:rPr>
                <w:rFonts w:hint="default" w:ascii="Times New Roman" w:hAnsi="Times New Roman" w:eastAsia="Arial" w:cs="Times New Roman"/>
                <w:color w:val="auto"/>
                <w:sz w:val="21"/>
                <w:szCs w:val="21"/>
              </w:rPr>
            </w:pPr>
            <w:r>
              <w:rPr>
                <w:rFonts w:hint="default" w:ascii="Times New Roman" w:hAnsi="Times New Roman" w:eastAsia="Arial" w:cs="Times New Roman"/>
                <w:color w:val="auto"/>
                <w:sz w:val="21"/>
                <w:szCs w:val="21"/>
              </w:rPr>
              <w:t>1</w:t>
            </w:r>
          </w:p>
        </w:tc>
        <w:tc>
          <w:tcPr>
            <w:tcW w:w="867" w:type="pct"/>
            <w:noWrap w:val="0"/>
            <w:vAlign w:val="center"/>
          </w:tcPr>
          <w:p w14:paraId="13DA44CD">
            <w:pPr>
              <w:jc w:val="center"/>
              <w:rPr>
                <w:rFonts w:hint="eastAsia" w:ascii="Times New Roman" w:hAnsi="Times New Roman" w:eastAsia="宋体" w:cs="Times New Roman"/>
                <w:color w:val="auto"/>
                <w:sz w:val="21"/>
                <w:szCs w:val="21"/>
                <w:lang w:eastAsia="zh-CN"/>
              </w:rPr>
            </w:pPr>
            <w:r>
              <w:rPr>
                <w:rFonts w:hint="default" w:ascii="Times New Roman" w:hAnsi="Times New Roman" w:eastAsia="Arial" w:cs="Times New Roman"/>
                <w:color w:val="auto"/>
                <w:sz w:val="21"/>
                <w:szCs w:val="21"/>
              </w:rPr>
              <w:t>横流开式冷却塔</w:t>
            </w:r>
          </w:p>
        </w:tc>
        <w:tc>
          <w:tcPr>
            <w:tcW w:w="1245" w:type="dxa"/>
            <w:noWrap w:val="0"/>
            <w:vAlign w:val="center"/>
          </w:tcPr>
          <w:p w14:paraId="77914142">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21.13</w:t>
            </w:r>
          </w:p>
        </w:tc>
        <w:tc>
          <w:tcPr>
            <w:tcW w:w="1134" w:type="dxa"/>
            <w:noWrap w:val="0"/>
            <w:vAlign w:val="center"/>
          </w:tcPr>
          <w:p w14:paraId="34FB64EA">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66.12</w:t>
            </w:r>
          </w:p>
        </w:tc>
        <w:tc>
          <w:tcPr>
            <w:tcW w:w="477" w:type="pct"/>
            <w:noWrap w:val="0"/>
            <w:vAlign w:val="center"/>
          </w:tcPr>
          <w:p w14:paraId="2E09C3FC">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1.2</w:t>
            </w:r>
          </w:p>
        </w:tc>
        <w:tc>
          <w:tcPr>
            <w:tcW w:w="812" w:type="pct"/>
            <w:noWrap w:val="0"/>
            <w:vAlign w:val="center"/>
          </w:tcPr>
          <w:p w14:paraId="2B39EF23">
            <w:pPr>
              <w:jc w:val="center"/>
              <w:rPr>
                <w:rFonts w:hint="default" w:ascii="Times New Roman" w:hAnsi="Times New Roman" w:eastAsia="Arial" w:cs="Times New Roman"/>
                <w:color w:val="auto"/>
                <w:sz w:val="21"/>
                <w:szCs w:val="21"/>
              </w:rPr>
            </w:pPr>
            <w:r>
              <w:rPr>
                <w:rFonts w:hint="eastAsia" w:ascii="Times New Roman" w:hAnsi="Times New Roman" w:eastAsia="宋体" w:cs="Times New Roman"/>
                <w:color w:val="auto"/>
                <w:sz w:val="21"/>
                <w:szCs w:val="21"/>
                <w:lang w:val="en-US" w:eastAsia="zh-CN"/>
              </w:rPr>
              <w:t>70</w:t>
            </w:r>
            <w:r>
              <w:rPr>
                <w:rFonts w:hint="default" w:ascii="Times New Roman" w:hAnsi="Times New Roman" w:eastAsia="Arial" w:cs="Times New Roman"/>
                <w:color w:val="auto"/>
                <w:sz w:val="21"/>
                <w:szCs w:val="21"/>
              </w:rPr>
              <w:t>/1</w:t>
            </w:r>
          </w:p>
        </w:tc>
        <w:tc>
          <w:tcPr>
            <w:tcW w:w="798" w:type="pct"/>
            <w:vMerge w:val="restart"/>
            <w:noWrap w:val="0"/>
            <w:vAlign w:val="center"/>
          </w:tcPr>
          <w:p w14:paraId="3A746484">
            <w:pPr>
              <w:jc w:val="center"/>
              <w:rPr>
                <w:rFonts w:hint="eastAsia" w:eastAsia="宋体"/>
                <w:color w:val="auto"/>
                <w:szCs w:val="21"/>
                <w:lang w:eastAsia="zh-CN"/>
              </w:rPr>
            </w:pPr>
            <w:r>
              <w:rPr>
                <w:color w:val="auto"/>
                <w:szCs w:val="21"/>
              </w:rPr>
              <w:t>设备选型、减振</w:t>
            </w:r>
            <w:r>
              <w:rPr>
                <w:rFonts w:hint="eastAsia"/>
                <w:color w:val="auto"/>
                <w:szCs w:val="21"/>
                <w:lang w:eastAsia="zh-CN"/>
              </w:rPr>
              <w:t>基座、距离衰减</w:t>
            </w:r>
          </w:p>
        </w:tc>
        <w:tc>
          <w:tcPr>
            <w:tcW w:w="864" w:type="pct"/>
            <w:noWrap w:val="0"/>
            <w:vAlign w:val="center"/>
          </w:tcPr>
          <w:p w14:paraId="4963D9A8">
            <w:pPr>
              <w:jc w:val="center"/>
              <w:rPr>
                <w:color w:val="auto"/>
                <w:szCs w:val="21"/>
              </w:rPr>
            </w:pPr>
            <w:r>
              <w:rPr>
                <w:color w:val="auto"/>
                <w:szCs w:val="21"/>
              </w:rPr>
              <w:t>昼间</w:t>
            </w:r>
          </w:p>
        </w:tc>
      </w:tr>
      <w:tr w14:paraId="781C1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pct"/>
            <w:noWrap w:val="0"/>
            <w:vAlign w:val="center"/>
          </w:tcPr>
          <w:p w14:paraId="75EDFB06">
            <w:pPr>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w:t>
            </w:r>
          </w:p>
        </w:tc>
        <w:tc>
          <w:tcPr>
            <w:tcW w:w="867" w:type="pct"/>
            <w:noWrap w:val="0"/>
            <w:vAlign w:val="center"/>
          </w:tcPr>
          <w:p w14:paraId="6DE59E9B">
            <w:pPr>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eastAsia="zh-CN"/>
              </w:rPr>
              <w:t>水泵</w:t>
            </w:r>
          </w:p>
        </w:tc>
        <w:tc>
          <w:tcPr>
            <w:tcW w:w="1245" w:type="dxa"/>
            <w:noWrap w:val="0"/>
            <w:vAlign w:val="center"/>
          </w:tcPr>
          <w:p w14:paraId="2CE49465">
            <w:pPr>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31.56</w:t>
            </w:r>
          </w:p>
        </w:tc>
        <w:tc>
          <w:tcPr>
            <w:tcW w:w="1134" w:type="dxa"/>
            <w:noWrap w:val="0"/>
            <w:vAlign w:val="center"/>
          </w:tcPr>
          <w:p w14:paraId="62E40945">
            <w:pPr>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47.7</w:t>
            </w:r>
          </w:p>
        </w:tc>
        <w:tc>
          <w:tcPr>
            <w:tcW w:w="477" w:type="pct"/>
            <w:noWrap w:val="0"/>
            <w:vAlign w:val="center"/>
          </w:tcPr>
          <w:p w14:paraId="07021EE4">
            <w:pPr>
              <w:jc w:val="cente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1.2</w:t>
            </w:r>
          </w:p>
        </w:tc>
        <w:tc>
          <w:tcPr>
            <w:tcW w:w="812" w:type="pct"/>
            <w:noWrap w:val="0"/>
            <w:vAlign w:val="center"/>
          </w:tcPr>
          <w:p w14:paraId="2436A197">
            <w:pPr>
              <w:jc w:val="center"/>
              <w:rPr>
                <w:rFonts w:hint="default" w:ascii="Times New Roman" w:hAnsi="Times New Roman" w:eastAsia="Arial" w:cs="Times New Roman"/>
                <w:color w:val="auto"/>
                <w:sz w:val="21"/>
                <w:szCs w:val="21"/>
              </w:rPr>
            </w:pPr>
            <w:r>
              <w:rPr>
                <w:rFonts w:hint="eastAsia" w:ascii="Times New Roman" w:hAnsi="Times New Roman" w:eastAsia="宋体" w:cs="Times New Roman"/>
                <w:color w:val="auto"/>
                <w:sz w:val="21"/>
                <w:szCs w:val="21"/>
                <w:lang w:val="en-US" w:eastAsia="zh-CN"/>
              </w:rPr>
              <w:t>80</w:t>
            </w:r>
            <w:r>
              <w:rPr>
                <w:rFonts w:hint="default" w:ascii="Times New Roman" w:hAnsi="Times New Roman" w:eastAsia="Arial" w:cs="Times New Roman"/>
                <w:color w:val="auto"/>
                <w:sz w:val="21"/>
                <w:szCs w:val="21"/>
              </w:rPr>
              <w:t>/1</w:t>
            </w:r>
          </w:p>
        </w:tc>
        <w:tc>
          <w:tcPr>
            <w:tcW w:w="798" w:type="pct"/>
            <w:vMerge w:val="continue"/>
            <w:noWrap w:val="0"/>
            <w:vAlign w:val="center"/>
          </w:tcPr>
          <w:p w14:paraId="4272431B">
            <w:pPr>
              <w:jc w:val="center"/>
              <w:rPr>
                <w:color w:val="auto"/>
                <w:szCs w:val="21"/>
              </w:rPr>
            </w:pPr>
          </w:p>
        </w:tc>
        <w:tc>
          <w:tcPr>
            <w:tcW w:w="864" w:type="pct"/>
            <w:noWrap w:val="0"/>
            <w:vAlign w:val="center"/>
          </w:tcPr>
          <w:p w14:paraId="3BEEA1BF">
            <w:pPr>
              <w:jc w:val="center"/>
              <w:rPr>
                <w:rFonts w:hint="eastAsia" w:eastAsia="宋体"/>
                <w:color w:val="auto"/>
                <w:szCs w:val="21"/>
                <w:lang w:eastAsia="zh-CN"/>
              </w:rPr>
            </w:pPr>
            <w:r>
              <w:rPr>
                <w:rFonts w:hint="eastAsia"/>
                <w:color w:val="auto"/>
                <w:szCs w:val="21"/>
                <w:lang w:eastAsia="zh-CN"/>
              </w:rPr>
              <w:t>昼间</w:t>
            </w:r>
          </w:p>
        </w:tc>
      </w:tr>
    </w:tbl>
    <w:p w14:paraId="14F4B9FC">
      <w:pPr>
        <w:pStyle w:val="42"/>
        <w:adjustRightInd w:val="0"/>
        <w:snapToGrid w:val="0"/>
        <w:ind w:firstLine="0" w:firstLineChars="0"/>
        <w:rPr>
          <w:rFonts w:eastAsia="宋体"/>
          <w:b/>
          <w:bCs/>
          <w:color w:val="auto"/>
          <w:sz w:val="21"/>
          <w:szCs w:val="21"/>
        </w:rPr>
      </w:pPr>
    </w:p>
    <w:p w14:paraId="568A0BB1">
      <w:pPr>
        <w:pStyle w:val="14"/>
        <w:keepNext w:val="0"/>
        <w:keepLines w:val="0"/>
        <w:pageBreakBefore w:val="0"/>
        <w:widowControl/>
        <w:kinsoku/>
        <w:wordWrap/>
        <w:overflowPunct/>
        <w:topLinePunct w:val="0"/>
        <w:autoSpaceDE/>
        <w:autoSpaceDN/>
        <w:bidi w:val="0"/>
        <w:adjustRightInd/>
        <w:snapToGrid w:val="0"/>
        <w:spacing w:before="0" w:after="0" w:line="260" w:lineRule="auto"/>
        <w:ind w:right="0"/>
        <w:jc w:val="center"/>
        <w:textAlignment w:val="auto"/>
        <w:rPr>
          <w:rFonts w:hint="default" w:ascii="Times New Roman" w:hAnsi="Times New Roman" w:eastAsia="宋体" w:cs="Times New Roman"/>
          <w:b/>
          <w:bCs/>
          <w:color w:val="auto"/>
          <w:sz w:val="22"/>
          <w:szCs w:val="24"/>
          <w:lang w:val="en-US" w:eastAsia="zh-CN"/>
        </w:rPr>
      </w:pPr>
      <w:r>
        <w:rPr>
          <w:rFonts w:eastAsia="宋体"/>
          <w:b/>
          <w:bCs/>
          <w:color w:val="auto"/>
          <w:sz w:val="21"/>
          <w:szCs w:val="21"/>
        </w:rPr>
        <w:t>表4-</w:t>
      </w:r>
      <w:r>
        <w:rPr>
          <w:rFonts w:hint="eastAsia"/>
          <w:b/>
          <w:bCs/>
          <w:color w:val="auto"/>
          <w:sz w:val="21"/>
          <w:szCs w:val="21"/>
          <w:lang w:val="en-US" w:eastAsia="zh-CN"/>
        </w:rPr>
        <w:t>17</w:t>
      </w:r>
      <w:r>
        <w:rPr>
          <w:rFonts w:eastAsia="宋体"/>
          <w:b/>
          <w:bCs/>
          <w:color w:val="auto"/>
          <w:sz w:val="21"/>
          <w:szCs w:val="21"/>
        </w:rPr>
        <w:t xml:space="preserve">  工业企业噪声源强调查清单（室内声源）</w:t>
      </w:r>
    </w:p>
    <w:tbl>
      <w:tblPr>
        <w:tblStyle w:val="30"/>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563"/>
        <w:gridCol w:w="737"/>
        <w:gridCol w:w="1125"/>
        <w:gridCol w:w="988"/>
        <w:gridCol w:w="812"/>
        <w:gridCol w:w="1052"/>
        <w:gridCol w:w="623"/>
        <w:gridCol w:w="1121"/>
        <w:gridCol w:w="1217"/>
        <w:gridCol w:w="1013"/>
        <w:gridCol w:w="1349"/>
        <w:gridCol w:w="1051"/>
        <w:gridCol w:w="1028"/>
      </w:tblGrid>
      <w:tr w14:paraId="497CD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vMerge w:val="restart"/>
            <w:noWrap w:val="0"/>
            <w:vAlign w:val="center"/>
          </w:tcPr>
          <w:p w14:paraId="420D8E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序号</w:t>
            </w:r>
          </w:p>
        </w:tc>
        <w:tc>
          <w:tcPr>
            <w:tcW w:w="212" w:type="pct"/>
            <w:vMerge w:val="restart"/>
            <w:noWrap w:val="0"/>
            <w:vAlign w:val="center"/>
          </w:tcPr>
          <w:p w14:paraId="1AFE880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建筑物名称</w:t>
            </w:r>
          </w:p>
        </w:tc>
        <w:tc>
          <w:tcPr>
            <w:tcW w:w="278" w:type="pct"/>
            <w:vMerge w:val="restart"/>
            <w:noWrap w:val="0"/>
            <w:vAlign w:val="center"/>
          </w:tcPr>
          <w:p w14:paraId="4E46C9E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声源名称</w:t>
            </w:r>
          </w:p>
        </w:tc>
        <w:tc>
          <w:tcPr>
            <w:tcW w:w="425" w:type="pct"/>
            <w:vMerge w:val="restart"/>
            <w:noWrap w:val="0"/>
            <w:vAlign w:val="center"/>
          </w:tcPr>
          <w:p w14:paraId="0A0A644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声压级/距声源距离</w:t>
            </w: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(dB(A)/m)</w:t>
            </w:r>
          </w:p>
        </w:tc>
        <w:tc>
          <w:tcPr>
            <w:tcW w:w="373" w:type="pct"/>
            <w:vMerge w:val="restart"/>
            <w:noWrap w:val="0"/>
            <w:vAlign w:val="center"/>
          </w:tcPr>
          <w:p w14:paraId="0A40437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声源控制措施</w:t>
            </w:r>
          </w:p>
        </w:tc>
        <w:tc>
          <w:tcPr>
            <w:tcW w:w="940" w:type="pct"/>
            <w:gridSpan w:val="3"/>
            <w:noWrap w:val="0"/>
            <w:vAlign w:val="center"/>
          </w:tcPr>
          <w:p w14:paraId="76348F1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空间相对位置/m</w:t>
            </w:r>
          </w:p>
        </w:tc>
        <w:tc>
          <w:tcPr>
            <w:tcW w:w="424" w:type="pct"/>
            <w:vMerge w:val="restart"/>
            <w:noWrap w:val="0"/>
            <w:vAlign w:val="center"/>
          </w:tcPr>
          <w:p w14:paraId="0C4B312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距室内边界距离/m</w:t>
            </w:r>
          </w:p>
        </w:tc>
        <w:tc>
          <w:tcPr>
            <w:tcW w:w="460" w:type="pct"/>
            <w:vMerge w:val="restart"/>
            <w:noWrap w:val="0"/>
            <w:vAlign w:val="center"/>
          </w:tcPr>
          <w:p w14:paraId="12345BA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室内边界声级/dB(A)</w:t>
            </w:r>
          </w:p>
        </w:tc>
        <w:tc>
          <w:tcPr>
            <w:tcW w:w="383" w:type="pct"/>
            <w:vMerge w:val="restart"/>
            <w:noWrap w:val="0"/>
            <w:vAlign w:val="center"/>
          </w:tcPr>
          <w:p w14:paraId="0BD937D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运行时段</w:t>
            </w:r>
          </w:p>
        </w:tc>
        <w:tc>
          <w:tcPr>
            <w:tcW w:w="510" w:type="pct"/>
            <w:vMerge w:val="restart"/>
            <w:noWrap w:val="0"/>
            <w:vAlign w:val="center"/>
          </w:tcPr>
          <w:p w14:paraId="69762E5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建筑物插入损失/dB(A)</w:t>
            </w:r>
          </w:p>
        </w:tc>
        <w:tc>
          <w:tcPr>
            <w:tcW w:w="786" w:type="pct"/>
            <w:gridSpan w:val="2"/>
            <w:noWrap w:val="0"/>
            <w:vAlign w:val="center"/>
          </w:tcPr>
          <w:p w14:paraId="401A76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建筑物外噪声</w:t>
            </w:r>
          </w:p>
        </w:tc>
      </w:tr>
      <w:tr w14:paraId="3EA5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vMerge w:val="continue"/>
            <w:noWrap w:val="0"/>
            <w:vAlign w:val="center"/>
          </w:tcPr>
          <w:p w14:paraId="200E5A3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12" w:type="pct"/>
            <w:vMerge w:val="continue"/>
            <w:noWrap w:val="0"/>
            <w:vAlign w:val="center"/>
          </w:tcPr>
          <w:p w14:paraId="340A9BE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0"/>
            <w:vAlign w:val="center"/>
          </w:tcPr>
          <w:p w14:paraId="3C0C6F7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0"/>
            <w:vAlign w:val="center"/>
          </w:tcPr>
          <w:p w14:paraId="108339A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7FA687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0"/>
            <w:vAlign w:val="center"/>
          </w:tcPr>
          <w:p w14:paraId="3594AFC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X</w:t>
            </w:r>
          </w:p>
        </w:tc>
        <w:tc>
          <w:tcPr>
            <w:tcW w:w="397" w:type="pct"/>
            <w:noWrap w:val="0"/>
            <w:vAlign w:val="center"/>
          </w:tcPr>
          <w:p w14:paraId="15707C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Y</w:t>
            </w:r>
          </w:p>
        </w:tc>
        <w:tc>
          <w:tcPr>
            <w:tcW w:w="235" w:type="pct"/>
            <w:noWrap w:val="0"/>
            <w:vAlign w:val="center"/>
          </w:tcPr>
          <w:p w14:paraId="0156484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Z</w:t>
            </w:r>
          </w:p>
        </w:tc>
        <w:tc>
          <w:tcPr>
            <w:tcW w:w="424" w:type="pct"/>
            <w:vMerge w:val="continue"/>
            <w:noWrap w:val="0"/>
            <w:vAlign w:val="center"/>
          </w:tcPr>
          <w:p w14:paraId="6DBBCF9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60" w:type="pct"/>
            <w:vMerge w:val="continue"/>
            <w:noWrap w:val="0"/>
            <w:vAlign w:val="center"/>
          </w:tcPr>
          <w:p w14:paraId="2A7BC8A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83" w:type="pct"/>
            <w:vMerge w:val="continue"/>
            <w:noWrap w:val="0"/>
            <w:vAlign w:val="center"/>
          </w:tcPr>
          <w:p w14:paraId="33CFC9C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510" w:type="pct"/>
            <w:vMerge w:val="continue"/>
            <w:noWrap w:val="0"/>
            <w:vAlign w:val="center"/>
          </w:tcPr>
          <w:p w14:paraId="30D8B00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97" w:type="pct"/>
            <w:noWrap w:val="0"/>
            <w:vAlign w:val="center"/>
          </w:tcPr>
          <w:p w14:paraId="6B0264D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声压级/dB(A)</w:t>
            </w:r>
          </w:p>
        </w:tc>
        <w:tc>
          <w:tcPr>
            <w:tcW w:w="388" w:type="pct"/>
            <w:noWrap w:val="0"/>
            <w:vAlign w:val="center"/>
          </w:tcPr>
          <w:p w14:paraId="11D13FD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建筑物外距离</w:t>
            </w:r>
          </w:p>
        </w:tc>
      </w:tr>
      <w:tr w14:paraId="7E120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F85725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12" w:type="pct"/>
            <w:vMerge w:val="restart"/>
            <w:noWrap/>
            <w:vAlign w:val="center"/>
          </w:tcPr>
          <w:p w14:paraId="336585E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生产厂房</w:t>
            </w:r>
          </w:p>
          <w:p w14:paraId="70DC772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cs="Times New Roman"/>
                <w:i w:val="0"/>
                <w:iCs w:val="0"/>
                <w:color w:val="auto"/>
                <w:sz w:val="21"/>
                <w:szCs w:val="21"/>
                <w:u w:val="none"/>
                <w:lang w:val="en-US" w:eastAsia="zh-CN"/>
              </w:rPr>
            </w:pPr>
          </w:p>
          <w:p w14:paraId="69AABAF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cs="Times New Roman"/>
                <w:i w:val="0"/>
                <w:iCs w:val="0"/>
                <w:color w:val="auto"/>
                <w:sz w:val="21"/>
                <w:szCs w:val="21"/>
                <w:u w:val="none"/>
                <w:lang w:val="en-US" w:eastAsia="zh-CN"/>
              </w:rPr>
            </w:pPr>
          </w:p>
          <w:p w14:paraId="2B13608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cs="Times New Roman"/>
                <w:i w:val="0"/>
                <w:iCs w:val="0"/>
                <w:color w:val="auto"/>
                <w:sz w:val="21"/>
                <w:szCs w:val="21"/>
                <w:u w:val="none"/>
                <w:lang w:val="en-US" w:eastAsia="zh-CN"/>
              </w:rPr>
            </w:pPr>
          </w:p>
          <w:p w14:paraId="7A18DD7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cs="Times New Roman"/>
                <w:i w:val="0"/>
                <w:iCs w:val="0"/>
                <w:color w:val="auto"/>
                <w:sz w:val="21"/>
                <w:szCs w:val="21"/>
                <w:u w:val="none"/>
                <w:lang w:val="en-US" w:eastAsia="zh-CN"/>
              </w:rPr>
            </w:pPr>
          </w:p>
          <w:p w14:paraId="075D052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cs="Times New Roman"/>
                <w:i w:val="0"/>
                <w:iCs w:val="0"/>
                <w:color w:val="auto"/>
                <w:sz w:val="21"/>
                <w:szCs w:val="21"/>
                <w:u w:val="none"/>
                <w:lang w:val="en-US" w:eastAsia="zh-CN"/>
              </w:rPr>
            </w:pPr>
          </w:p>
          <w:p w14:paraId="4AA0938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cs="Times New Roman"/>
                <w:i w:val="0"/>
                <w:iCs w:val="0"/>
                <w:color w:val="auto"/>
                <w:sz w:val="21"/>
                <w:szCs w:val="21"/>
                <w:u w:val="none"/>
                <w:lang w:val="en-US" w:eastAsia="zh-CN"/>
              </w:rPr>
            </w:pPr>
          </w:p>
          <w:p w14:paraId="721F4BF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p>
        </w:tc>
        <w:tc>
          <w:tcPr>
            <w:tcW w:w="278" w:type="pct"/>
            <w:vMerge w:val="restart"/>
            <w:noWrap/>
            <w:vAlign w:val="center"/>
          </w:tcPr>
          <w:p w14:paraId="08C396A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华美达注塑机1</w:t>
            </w:r>
          </w:p>
        </w:tc>
        <w:tc>
          <w:tcPr>
            <w:tcW w:w="425" w:type="pct"/>
            <w:vMerge w:val="restart"/>
            <w:noWrap/>
            <w:vAlign w:val="center"/>
          </w:tcPr>
          <w:p w14:paraId="7F96AB5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22339CC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restart"/>
            <w:noWrap w:val="0"/>
            <w:vAlign w:val="center"/>
          </w:tcPr>
          <w:p w14:paraId="78C01EB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合理布置机械、基础减振、高噪设备设置隔声罩，距离衰减及加强对生产设备的管理和维护</w:t>
            </w:r>
            <w:r>
              <w:rPr>
                <w:rFonts w:hint="default" w:ascii="Times New Roman" w:hAnsi="Times New Roman" w:eastAsia="宋体" w:cs="Times New Roman"/>
                <w:i w:val="0"/>
                <w:iCs w:val="0"/>
                <w:color w:val="auto"/>
                <w:kern w:val="0"/>
                <w:sz w:val="21"/>
                <w:szCs w:val="21"/>
                <w:u w:val="none"/>
                <w:lang w:val="zh-CN" w:eastAsia="zh-CN" w:bidi="ar"/>
              </w:rPr>
              <w:t>等措施</w:t>
            </w:r>
          </w:p>
          <w:p w14:paraId="283FC5E2">
            <w:pPr>
              <w:keepNext w:val="0"/>
              <w:keepLines w:val="0"/>
              <w:widowControl/>
              <w:suppressLineNumbers w:val="0"/>
              <w:jc w:val="center"/>
              <w:textAlignment w:val="center"/>
              <w:rPr>
                <w:rFonts w:hint="eastAsia" w:ascii="Times New Roman" w:hAnsi="Times New Roman" w:eastAsia="宋体" w:cs="Times New Roman"/>
                <w:i w:val="0"/>
                <w:iCs w:val="0"/>
                <w:color w:val="auto"/>
                <w:sz w:val="21"/>
                <w:szCs w:val="21"/>
                <w:u w:val="none"/>
                <w:lang w:val="en-US" w:eastAsia="zh-CN"/>
              </w:rPr>
            </w:pPr>
          </w:p>
        </w:tc>
        <w:tc>
          <w:tcPr>
            <w:tcW w:w="307" w:type="pct"/>
            <w:noWrap/>
            <w:vAlign w:val="center"/>
          </w:tcPr>
          <w:p w14:paraId="675747D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19.74</w:t>
            </w:r>
          </w:p>
        </w:tc>
        <w:tc>
          <w:tcPr>
            <w:tcW w:w="397" w:type="pct"/>
            <w:noWrap/>
            <w:vAlign w:val="center"/>
          </w:tcPr>
          <w:p w14:paraId="766DDCF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51.45</w:t>
            </w:r>
          </w:p>
        </w:tc>
        <w:tc>
          <w:tcPr>
            <w:tcW w:w="235" w:type="pct"/>
            <w:noWrap/>
            <w:vAlign w:val="center"/>
          </w:tcPr>
          <w:p w14:paraId="3204A23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059D2A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41.82</w:t>
            </w:r>
          </w:p>
        </w:tc>
        <w:tc>
          <w:tcPr>
            <w:tcW w:w="460" w:type="pct"/>
            <w:noWrap/>
            <w:vAlign w:val="center"/>
          </w:tcPr>
          <w:p w14:paraId="1EAE822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55.63</w:t>
            </w:r>
          </w:p>
        </w:tc>
        <w:tc>
          <w:tcPr>
            <w:tcW w:w="383" w:type="pct"/>
            <w:noWrap/>
            <w:vAlign w:val="center"/>
          </w:tcPr>
          <w:p w14:paraId="0204E38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C8C142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9B51EE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29.63</w:t>
            </w:r>
          </w:p>
        </w:tc>
        <w:tc>
          <w:tcPr>
            <w:tcW w:w="388" w:type="pct"/>
            <w:noWrap/>
            <w:vAlign w:val="center"/>
          </w:tcPr>
          <w:p w14:paraId="76BFCDA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C55A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B1C3D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212" w:type="pct"/>
            <w:vMerge w:val="continue"/>
            <w:noWrap/>
            <w:vAlign w:val="center"/>
          </w:tcPr>
          <w:p w14:paraId="4D16C3D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52C198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FB1853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09CF71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A6185E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19.74</w:t>
            </w:r>
          </w:p>
        </w:tc>
        <w:tc>
          <w:tcPr>
            <w:tcW w:w="397" w:type="pct"/>
            <w:noWrap/>
            <w:vAlign w:val="center"/>
          </w:tcPr>
          <w:p w14:paraId="5EA6672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51.45</w:t>
            </w:r>
          </w:p>
        </w:tc>
        <w:tc>
          <w:tcPr>
            <w:tcW w:w="235" w:type="pct"/>
            <w:noWrap/>
            <w:vAlign w:val="center"/>
          </w:tcPr>
          <w:p w14:paraId="1F306BE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71C345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51.02</w:t>
            </w:r>
          </w:p>
        </w:tc>
        <w:tc>
          <w:tcPr>
            <w:tcW w:w="460" w:type="pct"/>
            <w:noWrap/>
            <w:vAlign w:val="center"/>
          </w:tcPr>
          <w:p w14:paraId="2F2592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55.59</w:t>
            </w:r>
          </w:p>
        </w:tc>
        <w:tc>
          <w:tcPr>
            <w:tcW w:w="383" w:type="pct"/>
            <w:noWrap/>
            <w:vAlign w:val="center"/>
          </w:tcPr>
          <w:p w14:paraId="30F4ED8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74C3A8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78DAF0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29.59</w:t>
            </w:r>
          </w:p>
        </w:tc>
        <w:tc>
          <w:tcPr>
            <w:tcW w:w="388" w:type="pct"/>
            <w:noWrap/>
            <w:vAlign w:val="center"/>
          </w:tcPr>
          <w:p w14:paraId="0F351FD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C270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11F58A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212" w:type="pct"/>
            <w:vMerge w:val="continue"/>
            <w:noWrap/>
            <w:vAlign w:val="center"/>
          </w:tcPr>
          <w:p w14:paraId="7928E78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9CF025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E6B217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0A83EB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F3C6D2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19.74</w:t>
            </w:r>
          </w:p>
        </w:tc>
        <w:tc>
          <w:tcPr>
            <w:tcW w:w="397" w:type="pct"/>
            <w:noWrap/>
            <w:vAlign w:val="center"/>
          </w:tcPr>
          <w:p w14:paraId="684992A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51.45</w:t>
            </w:r>
          </w:p>
        </w:tc>
        <w:tc>
          <w:tcPr>
            <w:tcW w:w="235" w:type="pct"/>
            <w:noWrap/>
            <w:vAlign w:val="center"/>
          </w:tcPr>
          <w:p w14:paraId="386485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44941E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47.91</w:t>
            </w:r>
          </w:p>
        </w:tc>
        <w:tc>
          <w:tcPr>
            <w:tcW w:w="460" w:type="pct"/>
            <w:noWrap/>
            <w:vAlign w:val="center"/>
          </w:tcPr>
          <w:p w14:paraId="35AA90C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55.60</w:t>
            </w:r>
          </w:p>
        </w:tc>
        <w:tc>
          <w:tcPr>
            <w:tcW w:w="383" w:type="pct"/>
            <w:noWrap/>
            <w:vAlign w:val="center"/>
          </w:tcPr>
          <w:p w14:paraId="02F234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71836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20E3B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29.60</w:t>
            </w:r>
          </w:p>
        </w:tc>
        <w:tc>
          <w:tcPr>
            <w:tcW w:w="388" w:type="pct"/>
            <w:noWrap/>
            <w:vAlign w:val="center"/>
          </w:tcPr>
          <w:p w14:paraId="78A1F14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C3F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8D98A9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212" w:type="pct"/>
            <w:vMerge w:val="continue"/>
            <w:noWrap/>
            <w:vAlign w:val="center"/>
          </w:tcPr>
          <w:p w14:paraId="2DD3489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5324B6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64D2E8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D2DBAB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4509E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19.74</w:t>
            </w:r>
          </w:p>
        </w:tc>
        <w:tc>
          <w:tcPr>
            <w:tcW w:w="397" w:type="pct"/>
            <w:noWrap/>
            <w:vAlign w:val="center"/>
          </w:tcPr>
          <w:p w14:paraId="572E495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51.45</w:t>
            </w:r>
          </w:p>
        </w:tc>
        <w:tc>
          <w:tcPr>
            <w:tcW w:w="235" w:type="pct"/>
            <w:noWrap/>
            <w:vAlign w:val="center"/>
          </w:tcPr>
          <w:p w14:paraId="0146241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F045E0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6.65</w:t>
            </w:r>
          </w:p>
        </w:tc>
        <w:tc>
          <w:tcPr>
            <w:tcW w:w="460" w:type="pct"/>
            <w:noWrap/>
            <w:vAlign w:val="center"/>
          </w:tcPr>
          <w:p w14:paraId="020CFB9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58.55</w:t>
            </w:r>
          </w:p>
        </w:tc>
        <w:tc>
          <w:tcPr>
            <w:tcW w:w="383" w:type="pct"/>
            <w:noWrap/>
            <w:vAlign w:val="center"/>
          </w:tcPr>
          <w:p w14:paraId="2310F0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B8D5E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60828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32.55</w:t>
            </w:r>
          </w:p>
        </w:tc>
        <w:tc>
          <w:tcPr>
            <w:tcW w:w="388" w:type="pct"/>
            <w:noWrap/>
            <w:vAlign w:val="center"/>
          </w:tcPr>
          <w:p w14:paraId="73BCC0C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0215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A8723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212" w:type="pct"/>
            <w:vMerge w:val="continue"/>
            <w:noWrap/>
            <w:vAlign w:val="center"/>
          </w:tcPr>
          <w:p w14:paraId="68C0AF1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17FD25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A2F838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F8A670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C6CC1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19.74</w:t>
            </w:r>
          </w:p>
        </w:tc>
        <w:tc>
          <w:tcPr>
            <w:tcW w:w="397" w:type="pct"/>
            <w:noWrap/>
            <w:vAlign w:val="center"/>
          </w:tcPr>
          <w:p w14:paraId="53BBCD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51.45</w:t>
            </w:r>
          </w:p>
        </w:tc>
        <w:tc>
          <w:tcPr>
            <w:tcW w:w="235" w:type="pct"/>
            <w:noWrap/>
            <w:vAlign w:val="center"/>
          </w:tcPr>
          <w:p w14:paraId="0678987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FA9CC8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16.31</w:t>
            </w:r>
          </w:p>
        </w:tc>
        <w:tc>
          <w:tcPr>
            <w:tcW w:w="460" w:type="pct"/>
            <w:noWrap/>
            <w:vAlign w:val="center"/>
          </w:tcPr>
          <w:p w14:paraId="4A4150C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56.19</w:t>
            </w:r>
          </w:p>
        </w:tc>
        <w:tc>
          <w:tcPr>
            <w:tcW w:w="383" w:type="pct"/>
            <w:noWrap/>
            <w:vAlign w:val="center"/>
          </w:tcPr>
          <w:p w14:paraId="11CA53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E237E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E7BC48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30.19</w:t>
            </w:r>
          </w:p>
        </w:tc>
        <w:tc>
          <w:tcPr>
            <w:tcW w:w="388" w:type="pct"/>
            <w:noWrap/>
            <w:vAlign w:val="center"/>
          </w:tcPr>
          <w:p w14:paraId="71F22D4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75A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777C8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212" w:type="pct"/>
            <w:vMerge w:val="continue"/>
            <w:noWrap/>
            <w:vAlign w:val="center"/>
          </w:tcPr>
          <w:p w14:paraId="4B0DFAD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6D648E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6DDCB6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8A4A47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B0083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19.74</w:t>
            </w:r>
          </w:p>
        </w:tc>
        <w:tc>
          <w:tcPr>
            <w:tcW w:w="397" w:type="pct"/>
            <w:noWrap/>
            <w:vAlign w:val="center"/>
          </w:tcPr>
          <w:p w14:paraId="4CED57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51.45</w:t>
            </w:r>
          </w:p>
        </w:tc>
        <w:tc>
          <w:tcPr>
            <w:tcW w:w="235" w:type="pct"/>
            <w:noWrap/>
            <w:vAlign w:val="center"/>
          </w:tcPr>
          <w:p w14:paraId="5C7266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07FAC0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34.07</w:t>
            </w:r>
          </w:p>
        </w:tc>
        <w:tc>
          <w:tcPr>
            <w:tcW w:w="460" w:type="pct"/>
            <w:noWrap/>
            <w:vAlign w:val="center"/>
          </w:tcPr>
          <w:p w14:paraId="2995C97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55.68</w:t>
            </w:r>
          </w:p>
        </w:tc>
        <w:tc>
          <w:tcPr>
            <w:tcW w:w="383" w:type="pct"/>
            <w:noWrap/>
            <w:vAlign w:val="center"/>
          </w:tcPr>
          <w:p w14:paraId="71E041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3528A7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4EC423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29.68</w:t>
            </w:r>
          </w:p>
        </w:tc>
        <w:tc>
          <w:tcPr>
            <w:tcW w:w="388" w:type="pct"/>
            <w:noWrap/>
            <w:vAlign w:val="center"/>
          </w:tcPr>
          <w:p w14:paraId="7D5A45D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33E4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26E7AD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212" w:type="pct"/>
            <w:vMerge w:val="continue"/>
            <w:noWrap/>
            <w:vAlign w:val="center"/>
          </w:tcPr>
          <w:p w14:paraId="0405096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4E6B51D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华美达注塑机2</w:t>
            </w:r>
          </w:p>
        </w:tc>
        <w:tc>
          <w:tcPr>
            <w:tcW w:w="425" w:type="pct"/>
            <w:vMerge w:val="restart"/>
            <w:noWrap/>
            <w:vAlign w:val="center"/>
          </w:tcPr>
          <w:p w14:paraId="2B00784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0FEA8F8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512890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45B4D8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22.08</w:t>
            </w:r>
          </w:p>
        </w:tc>
        <w:tc>
          <w:tcPr>
            <w:tcW w:w="397" w:type="pct"/>
            <w:noWrap/>
            <w:vAlign w:val="center"/>
          </w:tcPr>
          <w:p w14:paraId="486834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47.38</w:t>
            </w:r>
          </w:p>
        </w:tc>
        <w:tc>
          <w:tcPr>
            <w:tcW w:w="235" w:type="pct"/>
            <w:noWrap/>
            <w:vAlign w:val="center"/>
          </w:tcPr>
          <w:p w14:paraId="4E5F958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3F1738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42.05</w:t>
            </w:r>
          </w:p>
        </w:tc>
        <w:tc>
          <w:tcPr>
            <w:tcW w:w="460" w:type="pct"/>
            <w:noWrap/>
            <w:vAlign w:val="center"/>
          </w:tcPr>
          <w:p w14:paraId="3616FD0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55.63</w:t>
            </w:r>
          </w:p>
        </w:tc>
        <w:tc>
          <w:tcPr>
            <w:tcW w:w="383" w:type="pct"/>
            <w:noWrap/>
            <w:vAlign w:val="center"/>
          </w:tcPr>
          <w:p w14:paraId="391314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53BA48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6A630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29.63</w:t>
            </w:r>
          </w:p>
        </w:tc>
        <w:tc>
          <w:tcPr>
            <w:tcW w:w="388" w:type="pct"/>
            <w:noWrap/>
            <w:vAlign w:val="center"/>
          </w:tcPr>
          <w:p w14:paraId="1B922BB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5D9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C9890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212" w:type="pct"/>
            <w:vMerge w:val="continue"/>
            <w:noWrap/>
            <w:vAlign w:val="center"/>
          </w:tcPr>
          <w:p w14:paraId="4AEF032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AB0426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979656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2DAA60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32591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22.08</w:t>
            </w:r>
          </w:p>
        </w:tc>
        <w:tc>
          <w:tcPr>
            <w:tcW w:w="397" w:type="pct"/>
            <w:noWrap/>
            <w:vAlign w:val="center"/>
          </w:tcPr>
          <w:p w14:paraId="645E329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47.38</w:t>
            </w:r>
          </w:p>
        </w:tc>
        <w:tc>
          <w:tcPr>
            <w:tcW w:w="235" w:type="pct"/>
            <w:noWrap/>
            <w:vAlign w:val="center"/>
          </w:tcPr>
          <w:p w14:paraId="24DD1E8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75C16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46.88</w:t>
            </w:r>
          </w:p>
        </w:tc>
        <w:tc>
          <w:tcPr>
            <w:tcW w:w="460" w:type="pct"/>
            <w:noWrap/>
            <w:vAlign w:val="center"/>
          </w:tcPr>
          <w:p w14:paraId="7572188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55.61</w:t>
            </w:r>
          </w:p>
        </w:tc>
        <w:tc>
          <w:tcPr>
            <w:tcW w:w="383" w:type="pct"/>
            <w:noWrap/>
            <w:vAlign w:val="center"/>
          </w:tcPr>
          <w:p w14:paraId="20AD403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195005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6B8E0B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29.61</w:t>
            </w:r>
          </w:p>
        </w:tc>
        <w:tc>
          <w:tcPr>
            <w:tcW w:w="388" w:type="pct"/>
            <w:noWrap/>
            <w:vAlign w:val="center"/>
          </w:tcPr>
          <w:p w14:paraId="58F0727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3D2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20B2E0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w:t>
            </w:r>
          </w:p>
        </w:tc>
        <w:tc>
          <w:tcPr>
            <w:tcW w:w="212" w:type="pct"/>
            <w:vMerge w:val="continue"/>
            <w:noWrap/>
            <w:vAlign w:val="center"/>
          </w:tcPr>
          <w:p w14:paraId="685597B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032283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5B11D9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236289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D0366D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22.08</w:t>
            </w:r>
          </w:p>
        </w:tc>
        <w:tc>
          <w:tcPr>
            <w:tcW w:w="397" w:type="pct"/>
            <w:noWrap/>
            <w:vAlign w:val="center"/>
          </w:tcPr>
          <w:p w14:paraId="02B17B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47.38</w:t>
            </w:r>
          </w:p>
        </w:tc>
        <w:tc>
          <w:tcPr>
            <w:tcW w:w="235" w:type="pct"/>
            <w:noWrap/>
            <w:vAlign w:val="center"/>
          </w:tcPr>
          <w:p w14:paraId="73C21B9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CAFCDB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43.31</w:t>
            </w:r>
          </w:p>
        </w:tc>
        <w:tc>
          <w:tcPr>
            <w:tcW w:w="460" w:type="pct"/>
            <w:noWrap/>
            <w:vAlign w:val="center"/>
          </w:tcPr>
          <w:p w14:paraId="662881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55.62</w:t>
            </w:r>
          </w:p>
        </w:tc>
        <w:tc>
          <w:tcPr>
            <w:tcW w:w="383" w:type="pct"/>
            <w:noWrap/>
            <w:vAlign w:val="center"/>
          </w:tcPr>
          <w:p w14:paraId="725C4F1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B0E02C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09523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29.62</w:t>
            </w:r>
          </w:p>
        </w:tc>
        <w:tc>
          <w:tcPr>
            <w:tcW w:w="388" w:type="pct"/>
            <w:noWrap/>
            <w:vAlign w:val="center"/>
          </w:tcPr>
          <w:p w14:paraId="1DA84B4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284A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DDA1C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w:t>
            </w:r>
          </w:p>
        </w:tc>
        <w:tc>
          <w:tcPr>
            <w:tcW w:w="212" w:type="pct"/>
            <w:vMerge w:val="continue"/>
            <w:noWrap/>
            <w:vAlign w:val="center"/>
          </w:tcPr>
          <w:p w14:paraId="2F5B2B9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4C3192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91B19B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BDDC8B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D8EAB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22.08</w:t>
            </w:r>
          </w:p>
        </w:tc>
        <w:tc>
          <w:tcPr>
            <w:tcW w:w="397" w:type="pct"/>
            <w:noWrap/>
            <w:vAlign w:val="center"/>
          </w:tcPr>
          <w:p w14:paraId="1C3410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47.38</w:t>
            </w:r>
          </w:p>
        </w:tc>
        <w:tc>
          <w:tcPr>
            <w:tcW w:w="235" w:type="pct"/>
            <w:noWrap/>
            <w:vAlign w:val="center"/>
          </w:tcPr>
          <w:p w14:paraId="601B666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2686B4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6.62</w:t>
            </w:r>
          </w:p>
        </w:tc>
        <w:tc>
          <w:tcPr>
            <w:tcW w:w="460" w:type="pct"/>
            <w:noWrap/>
            <w:vAlign w:val="center"/>
          </w:tcPr>
          <w:p w14:paraId="218E2F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58.57</w:t>
            </w:r>
          </w:p>
        </w:tc>
        <w:tc>
          <w:tcPr>
            <w:tcW w:w="383" w:type="pct"/>
            <w:noWrap/>
            <w:vAlign w:val="center"/>
          </w:tcPr>
          <w:p w14:paraId="10B1AF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68BF4E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43D62F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32.57</w:t>
            </w:r>
          </w:p>
        </w:tc>
        <w:tc>
          <w:tcPr>
            <w:tcW w:w="388" w:type="pct"/>
            <w:noWrap/>
            <w:vAlign w:val="center"/>
          </w:tcPr>
          <w:p w14:paraId="366BD6E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8E4A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670864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11</w:t>
            </w:r>
          </w:p>
        </w:tc>
        <w:tc>
          <w:tcPr>
            <w:tcW w:w="212" w:type="pct"/>
            <w:vMerge w:val="continue"/>
            <w:noWrap/>
            <w:vAlign w:val="center"/>
          </w:tcPr>
          <w:p w14:paraId="1E09771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F6B512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749811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47B321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E6FEAC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22.08</w:t>
            </w:r>
          </w:p>
        </w:tc>
        <w:tc>
          <w:tcPr>
            <w:tcW w:w="397" w:type="pct"/>
            <w:noWrap/>
            <w:vAlign w:val="center"/>
          </w:tcPr>
          <w:p w14:paraId="6856524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47.38</w:t>
            </w:r>
          </w:p>
        </w:tc>
        <w:tc>
          <w:tcPr>
            <w:tcW w:w="235" w:type="pct"/>
            <w:noWrap/>
            <w:vAlign w:val="center"/>
          </w:tcPr>
          <w:p w14:paraId="47B5C3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9C7469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20.97</w:t>
            </w:r>
          </w:p>
        </w:tc>
        <w:tc>
          <w:tcPr>
            <w:tcW w:w="460" w:type="pct"/>
            <w:noWrap/>
            <w:vAlign w:val="center"/>
          </w:tcPr>
          <w:p w14:paraId="179E8F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55.94</w:t>
            </w:r>
          </w:p>
        </w:tc>
        <w:tc>
          <w:tcPr>
            <w:tcW w:w="383" w:type="pct"/>
            <w:noWrap/>
            <w:vAlign w:val="center"/>
          </w:tcPr>
          <w:p w14:paraId="0042CED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6B652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3610C8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29.94</w:t>
            </w:r>
          </w:p>
        </w:tc>
        <w:tc>
          <w:tcPr>
            <w:tcW w:w="388" w:type="pct"/>
            <w:noWrap/>
            <w:vAlign w:val="center"/>
          </w:tcPr>
          <w:p w14:paraId="7BE584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5E9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1B220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w:t>
            </w:r>
          </w:p>
        </w:tc>
        <w:tc>
          <w:tcPr>
            <w:tcW w:w="212" w:type="pct"/>
            <w:vMerge w:val="continue"/>
            <w:noWrap/>
            <w:vAlign w:val="center"/>
          </w:tcPr>
          <w:p w14:paraId="4E85AAE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CE326F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0E4907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BD7809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432E1D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22.08</w:t>
            </w:r>
          </w:p>
        </w:tc>
        <w:tc>
          <w:tcPr>
            <w:tcW w:w="397" w:type="pct"/>
            <w:noWrap/>
            <w:vAlign w:val="center"/>
          </w:tcPr>
          <w:p w14:paraId="3DD299B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47.38</w:t>
            </w:r>
          </w:p>
        </w:tc>
        <w:tc>
          <w:tcPr>
            <w:tcW w:w="235" w:type="pct"/>
            <w:noWrap/>
            <w:vAlign w:val="center"/>
          </w:tcPr>
          <w:p w14:paraId="4F291FF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850E4B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32.85</w:t>
            </w:r>
          </w:p>
        </w:tc>
        <w:tc>
          <w:tcPr>
            <w:tcW w:w="460" w:type="pct"/>
            <w:noWrap/>
            <w:vAlign w:val="center"/>
          </w:tcPr>
          <w:p w14:paraId="0E6673F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55.69</w:t>
            </w:r>
          </w:p>
        </w:tc>
        <w:tc>
          <w:tcPr>
            <w:tcW w:w="383" w:type="pct"/>
            <w:noWrap/>
            <w:vAlign w:val="center"/>
          </w:tcPr>
          <w:p w14:paraId="3C6E755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C79AF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8203BF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29.69</w:t>
            </w:r>
          </w:p>
        </w:tc>
        <w:tc>
          <w:tcPr>
            <w:tcW w:w="388" w:type="pct"/>
            <w:noWrap/>
            <w:vAlign w:val="center"/>
          </w:tcPr>
          <w:p w14:paraId="2A6161C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979C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3F12C0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w:t>
            </w:r>
          </w:p>
        </w:tc>
        <w:tc>
          <w:tcPr>
            <w:tcW w:w="212" w:type="pct"/>
            <w:vMerge w:val="continue"/>
            <w:noWrap/>
            <w:vAlign w:val="center"/>
          </w:tcPr>
          <w:p w14:paraId="152199D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6075309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华美达注塑机</w:t>
            </w:r>
            <w:r>
              <w:rPr>
                <w:rFonts w:hint="eastAsia" w:ascii="Times New Roman" w:hAnsi="Times New Roman" w:eastAsia="宋体" w:cs="Times New Roman"/>
                <w:i w:val="0"/>
                <w:iCs w:val="0"/>
                <w:color w:val="auto"/>
                <w:kern w:val="0"/>
                <w:sz w:val="21"/>
                <w:szCs w:val="21"/>
                <w:u w:val="none"/>
                <w:lang w:val="en-US" w:eastAsia="zh-CN" w:bidi="ar"/>
              </w:rPr>
              <w:t>3</w:t>
            </w:r>
          </w:p>
        </w:tc>
        <w:tc>
          <w:tcPr>
            <w:tcW w:w="425" w:type="pct"/>
            <w:vMerge w:val="restart"/>
            <w:noWrap/>
            <w:vAlign w:val="center"/>
          </w:tcPr>
          <w:p w14:paraId="2460D0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0E1BCC8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DED70E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DEEDE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24.76</w:t>
            </w:r>
          </w:p>
        </w:tc>
        <w:tc>
          <w:tcPr>
            <w:tcW w:w="397" w:type="pct"/>
            <w:noWrap/>
            <w:vAlign w:val="center"/>
          </w:tcPr>
          <w:p w14:paraId="6DF8AB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43.04</w:t>
            </w:r>
          </w:p>
        </w:tc>
        <w:tc>
          <w:tcPr>
            <w:tcW w:w="235" w:type="pct"/>
            <w:noWrap/>
            <w:vAlign w:val="center"/>
          </w:tcPr>
          <w:p w14:paraId="2CDCC6A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CAC714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42.45</w:t>
            </w:r>
          </w:p>
        </w:tc>
        <w:tc>
          <w:tcPr>
            <w:tcW w:w="460" w:type="pct"/>
            <w:noWrap/>
            <w:vAlign w:val="center"/>
          </w:tcPr>
          <w:p w14:paraId="618BB31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55.63</w:t>
            </w:r>
          </w:p>
        </w:tc>
        <w:tc>
          <w:tcPr>
            <w:tcW w:w="383" w:type="pct"/>
            <w:noWrap/>
            <w:vAlign w:val="center"/>
          </w:tcPr>
          <w:p w14:paraId="7FFDC1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C7F0E9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6BAF87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29.63</w:t>
            </w:r>
          </w:p>
        </w:tc>
        <w:tc>
          <w:tcPr>
            <w:tcW w:w="388" w:type="pct"/>
            <w:noWrap/>
            <w:vAlign w:val="center"/>
          </w:tcPr>
          <w:p w14:paraId="56AC8C6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1D7D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0BC83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w:t>
            </w:r>
          </w:p>
        </w:tc>
        <w:tc>
          <w:tcPr>
            <w:tcW w:w="212" w:type="pct"/>
            <w:vMerge w:val="continue"/>
            <w:noWrap/>
            <w:vAlign w:val="center"/>
          </w:tcPr>
          <w:p w14:paraId="1FC08DF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1900DE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388079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89035D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DB45C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24.76</w:t>
            </w:r>
          </w:p>
        </w:tc>
        <w:tc>
          <w:tcPr>
            <w:tcW w:w="397" w:type="pct"/>
            <w:noWrap/>
            <w:vAlign w:val="center"/>
          </w:tcPr>
          <w:p w14:paraId="4CA6B19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43.04</w:t>
            </w:r>
          </w:p>
        </w:tc>
        <w:tc>
          <w:tcPr>
            <w:tcW w:w="235" w:type="pct"/>
            <w:noWrap/>
            <w:vAlign w:val="center"/>
          </w:tcPr>
          <w:p w14:paraId="41E4A7E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665233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42.44</w:t>
            </w:r>
          </w:p>
        </w:tc>
        <w:tc>
          <w:tcPr>
            <w:tcW w:w="460" w:type="pct"/>
            <w:noWrap/>
            <w:vAlign w:val="center"/>
          </w:tcPr>
          <w:p w14:paraId="5706B9A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55.63</w:t>
            </w:r>
          </w:p>
        </w:tc>
        <w:tc>
          <w:tcPr>
            <w:tcW w:w="383" w:type="pct"/>
            <w:noWrap/>
            <w:vAlign w:val="center"/>
          </w:tcPr>
          <w:p w14:paraId="779B2C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7DDB49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D8421E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29.63</w:t>
            </w:r>
          </w:p>
        </w:tc>
        <w:tc>
          <w:tcPr>
            <w:tcW w:w="388" w:type="pct"/>
            <w:noWrap/>
            <w:vAlign w:val="center"/>
          </w:tcPr>
          <w:p w14:paraId="2985D62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D7FE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2B1111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212" w:type="pct"/>
            <w:vMerge w:val="continue"/>
            <w:noWrap/>
            <w:vAlign w:val="center"/>
          </w:tcPr>
          <w:p w14:paraId="72C651A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3526E2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B8CD2A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5C1B6F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ADA82A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24.76</w:t>
            </w:r>
          </w:p>
        </w:tc>
        <w:tc>
          <w:tcPr>
            <w:tcW w:w="397" w:type="pct"/>
            <w:noWrap/>
            <w:vAlign w:val="center"/>
          </w:tcPr>
          <w:p w14:paraId="7F9DADA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43.04</w:t>
            </w:r>
          </w:p>
        </w:tc>
        <w:tc>
          <w:tcPr>
            <w:tcW w:w="235" w:type="pct"/>
            <w:noWrap/>
            <w:vAlign w:val="center"/>
          </w:tcPr>
          <w:p w14:paraId="38B322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E25FDB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38.35</w:t>
            </w:r>
          </w:p>
        </w:tc>
        <w:tc>
          <w:tcPr>
            <w:tcW w:w="460" w:type="pct"/>
            <w:noWrap/>
            <w:vAlign w:val="center"/>
          </w:tcPr>
          <w:p w14:paraId="05A7C64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55.65</w:t>
            </w:r>
          </w:p>
        </w:tc>
        <w:tc>
          <w:tcPr>
            <w:tcW w:w="383" w:type="pct"/>
            <w:noWrap/>
            <w:vAlign w:val="center"/>
          </w:tcPr>
          <w:p w14:paraId="4E675E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99309C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488B1B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29.65</w:t>
            </w:r>
          </w:p>
        </w:tc>
        <w:tc>
          <w:tcPr>
            <w:tcW w:w="388" w:type="pct"/>
            <w:noWrap/>
            <w:vAlign w:val="center"/>
          </w:tcPr>
          <w:p w14:paraId="4A510A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3BE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2B159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212" w:type="pct"/>
            <w:vMerge w:val="continue"/>
            <w:noWrap/>
            <w:vAlign w:val="center"/>
          </w:tcPr>
          <w:p w14:paraId="545761B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5E7ACD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75BEAC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274A53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0B202E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24.76</w:t>
            </w:r>
          </w:p>
        </w:tc>
        <w:tc>
          <w:tcPr>
            <w:tcW w:w="397" w:type="pct"/>
            <w:noWrap/>
            <w:vAlign w:val="center"/>
          </w:tcPr>
          <w:p w14:paraId="000BB7A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43.04</w:t>
            </w:r>
          </w:p>
        </w:tc>
        <w:tc>
          <w:tcPr>
            <w:tcW w:w="235" w:type="pct"/>
            <w:noWrap/>
            <w:vAlign w:val="center"/>
          </w:tcPr>
          <w:p w14:paraId="585883C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B8BD5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6.43</w:t>
            </w:r>
          </w:p>
        </w:tc>
        <w:tc>
          <w:tcPr>
            <w:tcW w:w="460" w:type="pct"/>
            <w:noWrap/>
            <w:vAlign w:val="center"/>
          </w:tcPr>
          <w:p w14:paraId="21DF933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58.69</w:t>
            </w:r>
          </w:p>
        </w:tc>
        <w:tc>
          <w:tcPr>
            <w:tcW w:w="383" w:type="pct"/>
            <w:noWrap/>
            <w:vAlign w:val="center"/>
          </w:tcPr>
          <w:p w14:paraId="7CF346E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7B17D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F0BDA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32.69</w:t>
            </w:r>
          </w:p>
        </w:tc>
        <w:tc>
          <w:tcPr>
            <w:tcW w:w="388" w:type="pct"/>
            <w:noWrap/>
            <w:vAlign w:val="center"/>
          </w:tcPr>
          <w:p w14:paraId="3BD52C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709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A1442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w:t>
            </w:r>
          </w:p>
        </w:tc>
        <w:tc>
          <w:tcPr>
            <w:tcW w:w="212" w:type="pct"/>
            <w:vMerge w:val="continue"/>
            <w:noWrap/>
            <w:vAlign w:val="center"/>
          </w:tcPr>
          <w:p w14:paraId="5CE50C1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4BDBDF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5D317E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D94BC9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36818F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24.76</w:t>
            </w:r>
          </w:p>
        </w:tc>
        <w:tc>
          <w:tcPr>
            <w:tcW w:w="397" w:type="pct"/>
            <w:noWrap/>
            <w:vAlign w:val="center"/>
          </w:tcPr>
          <w:p w14:paraId="42EC751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43.04</w:t>
            </w:r>
          </w:p>
        </w:tc>
        <w:tc>
          <w:tcPr>
            <w:tcW w:w="235" w:type="pct"/>
            <w:noWrap/>
            <w:vAlign w:val="center"/>
          </w:tcPr>
          <w:p w14:paraId="5877C5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C51E3C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26.02</w:t>
            </w:r>
          </w:p>
        </w:tc>
        <w:tc>
          <w:tcPr>
            <w:tcW w:w="460" w:type="pct"/>
            <w:noWrap/>
            <w:vAlign w:val="center"/>
          </w:tcPr>
          <w:p w14:paraId="1310465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55.80</w:t>
            </w:r>
          </w:p>
        </w:tc>
        <w:tc>
          <w:tcPr>
            <w:tcW w:w="383" w:type="pct"/>
            <w:noWrap/>
            <w:vAlign w:val="center"/>
          </w:tcPr>
          <w:p w14:paraId="628D9C2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948EC9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2930F7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29.80</w:t>
            </w:r>
          </w:p>
        </w:tc>
        <w:tc>
          <w:tcPr>
            <w:tcW w:w="388" w:type="pct"/>
            <w:noWrap/>
            <w:vAlign w:val="center"/>
          </w:tcPr>
          <w:p w14:paraId="6A47760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1EC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43B70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w:t>
            </w:r>
          </w:p>
        </w:tc>
        <w:tc>
          <w:tcPr>
            <w:tcW w:w="212" w:type="pct"/>
            <w:vMerge w:val="continue"/>
            <w:noWrap/>
            <w:vAlign w:val="center"/>
          </w:tcPr>
          <w:p w14:paraId="6F219A7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6567E2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C1B71E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0E21BA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C478AE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24.76</w:t>
            </w:r>
          </w:p>
        </w:tc>
        <w:tc>
          <w:tcPr>
            <w:tcW w:w="397" w:type="pct"/>
            <w:noWrap/>
            <w:vAlign w:val="center"/>
          </w:tcPr>
          <w:p w14:paraId="7EB80B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43.04</w:t>
            </w:r>
          </w:p>
        </w:tc>
        <w:tc>
          <w:tcPr>
            <w:tcW w:w="235" w:type="pct"/>
            <w:noWrap/>
            <w:vAlign w:val="center"/>
          </w:tcPr>
          <w:p w14:paraId="03E7498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F9372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31.67</w:t>
            </w:r>
          </w:p>
        </w:tc>
        <w:tc>
          <w:tcPr>
            <w:tcW w:w="460" w:type="pct"/>
            <w:noWrap/>
            <w:vAlign w:val="center"/>
          </w:tcPr>
          <w:p w14:paraId="0895C7C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55.71</w:t>
            </w:r>
          </w:p>
        </w:tc>
        <w:tc>
          <w:tcPr>
            <w:tcW w:w="383" w:type="pct"/>
            <w:noWrap/>
            <w:vAlign w:val="center"/>
          </w:tcPr>
          <w:p w14:paraId="66E681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4AEC2F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4C09DD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29.71</w:t>
            </w:r>
          </w:p>
        </w:tc>
        <w:tc>
          <w:tcPr>
            <w:tcW w:w="388" w:type="pct"/>
            <w:noWrap/>
            <w:vAlign w:val="center"/>
          </w:tcPr>
          <w:p w14:paraId="42B6065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5492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29E628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w:t>
            </w:r>
          </w:p>
        </w:tc>
        <w:tc>
          <w:tcPr>
            <w:tcW w:w="212" w:type="pct"/>
            <w:vMerge w:val="continue"/>
            <w:noWrap/>
            <w:vAlign w:val="center"/>
          </w:tcPr>
          <w:p w14:paraId="360AFFE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5CDF286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华美达注塑机</w:t>
            </w:r>
            <w:r>
              <w:rPr>
                <w:rFonts w:hint="eastAsia" w:ascii="Times New Roman" w:hAnsi="Times New Roman" w:eastAsia="宋体" w:cs="Times New Roman"/>
                <w:i w:val="0"/>
                <w:iCs w:val="0"/>
                <w:color w:val="auto"/>
                <w:kern w:val="0"/>
                <w:sz w:val="21"/>
                <w:szCs w:val="21"/>
                <w:u w:val="none"/>
                <w:lang w:val="en-US" w:eastAsia="zh-CN" w:bidi="ar"/>
              </w:rPr>
              <w:t>4</w:t>
            </w:r>
          </w:p>
        </w:tc>
        <w:tc>
          <w:tcPr>
            <w:tcW w:w="425" w:type="pct"/>
            <w:vMerge w:val="restart"/>
            <w:noWrap/>
            <w:vAlign w:val="center"/>
          </w:tcPr>
          <w:p w14:paraId="521A131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2570563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75533A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776DF0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27.54</w:t>
            </w:r>
          </w:p>
        </w:tc>
        <w:tc>
          <w:tcPr>
            <w:tcW w:w="397" w:type="pct"/>
            <w:noWrap/>
            <w:vAlign w:val="center"/>
          </w:tcPr>
          <w:p w14:paraId="3151C9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38.45</w:t>
            </w:r>
          </w:p>
        </w:tc>
        <w:tc>
          <w:tcPr>
            <w:tcW w:w="235" w:type="pct"/>
            <w:noWrap/>
            <w:vAlign w:val="center"/>
          </w:tcPr>
          <w:p w14:paraId="4A9F48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249394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42.84</w:t>
            </w:r>
          </w:p>
        </w:tc>
        <w:tc>
          <w:tcPr>
            <w:tcW w:w="460" w:type="pct"/>
            <w:noWrap/>
            <w:vAlign w:val="center"/>
          </w:tcPr>
          <w:p w14:paraId="4E4464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55.62</w:t>
            </w:r>
          </w:p>
        </w:tc>
        <w:tc>
          <w:tcPr>
            <w:tcW w:w="383" w:type="pct"/>
            <w:noWrap/>
            <w:vAlign w:val="center"/>
          </w:tcPr>
          <w:p w14:paraId="45186EA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D50D36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D8D64E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29.62</w:t>
            </w:r>
          </w:p>
        </w:tc>
        <w:tc>
          <w:tcPr>
            <w:tcW w:w="388" w:type="pct"/>
            <w:noWrap/>
            <w:vAlign w:val="center"/>
          </w:tcPr>
          <w:p w14:paraId="043BC31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4314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476231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212" w:type="pct"/>
            <w:vMerge w:val="continue"/>
            <w:noWrap/>
            <w:vAlign w:val="center"/>
          </w:tcPr>
          <w:p w14:paraId="77C8637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337A5A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5746A8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EF8942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094506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27.54</w:t>
            </w:r>
          </w:p>
        </w:tc>
        <w:tc>
          <w:tcPr>
            <w:tcW w:w="397" w:type="pct"/>
            <w:noWrap/>
            <w:vAlign w:val="center"/>
          </w:tcPr>
          <w:p w14:paraId="3C2555E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38.45</w:t>
            </w:r>
          </w:p>
        </w:tc>
        <w:tc>
          <w:tcPr>
            <w:tcW w:w="235" w:type="pct"/>
            <w:noWrap/>
            <w:vAlign w:val="center"/>
          </w:tcPr>
          <w:p w14:paraId="1C8059B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C23E4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37.76</w:t>
            </w:r>
          </w:p>
        </w:tc>
        <w:tc>
          <w:tcPr>
            <w:tcW w:w="460" w:type="pct"/>
            <w:noWrap/>
            <w:vAlign w:val="center"/>
          </w:tcPr>
          <w:p w14:paraId="1E0B7BB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55.65</w:t>
            </w:r>
          </w:p>
        </w:tc>
        <w:tc>
          <w:tcPr>
            <w:tcW w:w="383" w:type="pct"/>
            <w:noWrap/>
            <w:vAlign w:val="center"/>
          </w:tcPr>
          <w:p w14:paraId="54E8D99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2AC4C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EE3D99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29.65</w:t>
            </w:r>
          </w:p>
        </w:tc>
        <w:tc>
          <w:tcPr>
            <w:tcW w:w="388" w:type="pct"/>
            <w:noWrap/>
            <w:vAlign w:val="center"/>
          </w:tcPr>
          <w:p w14:paraId="18A1F8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D9DF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8CE67A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w:t>
            </w:r>
          </w:p>
        </w:tc>
        <w:tc>
          <w:tcPr>
            <w:tcW w:w="212" w:type="pct"/>
            <w:vMerge w:val="continue"/>
            <w:noWrap/>
            <w:vAlign w:val="center"/>
          </w:tcPr>
          <w:p w14:paraId="35162D6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DA6B2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D9080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DFDB6B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D5ACA2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27.54</w:t>
            </w:r>
          </w:p>
        </w:tc>
        <w:tc>
          <w:tcPr>
            <w:tcW w:w="397" w:type="pct"/>
            <w:noWrap/>
            <w:vAlign w:val="center"/>
          </w:tcPr>
          <w:p w14:paraId="77D1BDD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38.45</w:t>
            </w:r>
          </w:p>
        </w:tc>
        <w:tc>
          <w:tcPr>
            <w:tcW w:w="235" w:type="pct"/>
            <w:noWrap/>
            <w:vAlign w:val="center"/>
          </w:tcPr>
          <w:p w14:paraId="3B3FEF8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874EFF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33.11</w:t>
            </w:r>
          </w:p>
        </w:tc>
        <w:tc>
          <w:tcPr>
            <w:tcW w:w="460" w:type="pct"/>
            <w:noWrap/>
            <w:vAlign w:val="center"/>
          </w:tcPr>
          <w:p w14:paraId="1790EC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55.69</w:t>
            </w:r>
          </w:p>
        </w:tc>
        <w:tc>
          <w:tcPr>
            <w:tcW w:w="383" w:type="pct"/>
            <w:noWrap/>
            <w:vAlign w:val="center"/>
          </w:tcPr>
          <w:p w14:paraId="2BF5CED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4C237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76D054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29.69</w:t>
            </w:r>
          </w:p>
        </w:tc>
        <w:tc>
          <w:tcPr>
            <w:tcW w:w="388" w:type="pct"/>
            <w:noWrap/>
            <w:vAlign w:val="center"/>
          </w:tcPr>
          <w:p w14:paraId="41751EE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ED4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E100D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212" w:type="pct"/>
            <w:vMerge w:val="continue"/>
            <w:noWrap/>
            <w:vAlign w:val="center"/>
          </w:tcPr>
          <w:p w14:paraId="63AFB64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795ED0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D157A0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D84660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64EE12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27.54</w:t>
            </w:r>
          </w:p>
        </w:tc>
        <w:tc>
          <w:tcPr>
            <w:tcW w:w="397" w:type="pct"/>
            <w:noWrap/>
            <w:vAlign w:val="center"/>
          </w:tcPr>
          <w:p w14:paraId="462BF5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38.45</w:t>
            </w:r>
          </w:p>
        </w:tc>
        <w:tc>
          <w:tcPr>
            <w:tcW w:w="235" w:type="pct"/>
            <w:noWrap/>
            <w:vAlign w:val="center"/>
          </w:tcPr>
          <w:p w14:paraId="2961326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DFAD34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6.27</w:t>
            </w:r>
          </w:p>
        </w:tc>
        <w:tc>
          <w:tcPr>
            <w:tcW w:w="460" w:type="pct"/>
            <w:noWrap/>
            <w:vAlign w:val="center"/>
          </w:tcPr>
          <w:p w14:paraId="399D255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58.81</w:t>
            </w:r>
          </w:p>
        </w:tc>
        <w:tc>
          <w:tcPr>
            <w:tcW w:w="383" w:type="pct"/>
            <w:noWrap/>
            <w:vAlign w:val="center"/>
          </w:tcPr>
          <w:p w14:paraId="71DB41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B168C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E4E6D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32.81</w:t>
            </w:r>
          </w:p>
        </w:tc>
        <w:tc>
          <w:tcPr>
            <w:tcW w:w="388" w:type="pct"/>
            <w:noWrap/>
            <w:vAlign w:val="center"/>
          </w:tcPr>
          <w:p w14:paraId="6FF3E5A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C837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F55AD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w:t>
            </w:r>
          </w:p>
        </w:tc>
        <w:tc>
          <w:tcPr>
            <w:tcW w:w="212" w:type="pct"/>
            <w:vMerge w:val="continue"/>
            <w:noWrap/>
            <w:vAlign w:val="center"/>
          </w:tcPr>
          <w:p w14:paraId="1EBF3B4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E986FB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5704C9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C36008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296D18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27.54</w:t>
            </w:r>
          </w:p>
        </w:tc>
        <w:tc>
          <w:tcPr>
            <w:tcW w:w="397" w:type="pct"/>
            <w:noWrap/>
            <w:vAlign w:val="center"/>
          </w:tcPr>
          <w:p w14:paraId="1AB51C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38.45</w:t>
            </w:r>
          </w:p>
        </w:tc>
        <w:tc>
          <w:tcPr>
            <w:tcW w:w="235" w:type="pct"/>
            <w:noWrap/>
            <w:vAlign w:val="center"/>
          </w:tcPr>
          <w:p w14:paraId="00B9722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51BA11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31.34</w:t>
            </w:r>
          </w:p>
        </w:tc>
        <w:tc>
          <w:tcPr>
            <w:tcW w:w="460" w:type="pct"/>
            <w:noWrap/>
            <w:vAlign w:val="center"/>
          </w:tcPr>
          <w:p w14:paraId="1C59E3A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55.71</w:t>
            </w:r>
          </w:p>
        </w:tc>
        <w:tc>
          <w:tcPr>
            <w:tcW w:w="383" w:type="pct"/>
            <w:noWrap/>
            <w:vAlign w:val="center"/>
          </w:tcPr>
          <w:p w14:paraId="58E61A3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6769CC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9FD0FB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29.71</w:t>
            </w:r>
          </w:p>
        </w:tc>
        <w:tc>
          <w:tcPr>
            <w:tcW w:w="388" w:type="pct"/>
            <w:noWrap/>
            <w:vAlign w:val="center"/>
          </w:tcPr>
          <w:p w14:paraId="73BF40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350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235D4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w:t>
            </w:r>
          </w:p>
        </w:tc>
        <w:tc>
          <w:tcPr>
            <w:tcW w:w="212" w:type="pct"/>
            <w:vMerge w:val="continue"/>
            <w:noWrap/>
            <w:vAlign w:val="center"/>
          </w:tcPr>
          <w:p w14:paraId="790949F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052CEC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EC6937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D5F6D7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3D550C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27.54</w:t>
            </w:r>
          </w:p>
        </w:tc>
        <w:tc>
          <w:tcPr>
            <w:tcW w:w="397" w:type="pct"/>
            <w:noWrap/>
            <w:vAlign w:val="center"/>
          </w:tcPr>
          <w:p w14:paraId="783EDC7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38.45</w:t>
            </w:r>
          </w:p>
        </w:tc>
        <w:tc>
          <w:tcPr>
            <w:tcW w:w="235" w:type="pct"/>
            <w:noWrap/>
            <w:vAlign w:val="center"/>
          </w:tcPr>
          <w:p w14:paraId="084C15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0A5A33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30.39</w:t>
            </w:r>
          </w:p>
        </w:tc>
        <w:tc>
          <w:tcPr>
            <w:tcW w:w="460" w:type="pct"/>
            <w:noWrap/>
            <w:vAlign w:val="center"/>
          </w:tcPr>
          <w:p w14:paraId="3343C03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55.72</w:t>
            </w:r>
          </w:p>
        </w:tc>
        <w:tc>
          <w:tcPr>
            <w:tcW w:w="383" w:type="pct"/>
            <w:noWrap/>
            <w:vAlign w:val="center"/>
          </w:tcPr>
          <w:p w14:paraId="1FE64C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8F9A42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C437A8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29.72</w:t>
            </w:r>
          </w:p>
        </w:tc>
        <w:tc>
          <w:tcPr>
            <w:tcW w:w="388" w:type="pct"/>
            <w:noWrap/>
            <w:vAlign w:val="center"/>
          </w:tcPr>
          <w:p w14:paraId="42A1B3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CAD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C2B6F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w:t>
            </w:r>
          </w:p>
        </w:tc>
        <w:tc>
          <w:tcPr>
            <w:tcW w:w="212" w:type="pct"/>
            <w:vMerge w:val="continue"/>
            <w:noWrap/>
            <w:vAlign w:val="center"/>
          </w:tcPr>
          <w:p w14:paraId="250F190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6C69AC7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华美达注塑机</w:t>
            </w:r>
            <w:r>
              <w:rPr>
                <w:rFonts w:hint="eastAsia" w:ascii="Times New Roman" w:hAnsi="Times New Roman" w:eastAsia="宋体" w:cs="Times New Roman"/>
                <w:i w:val="0"/>
                <w:iCs w:val="0"/>
                <w:color w:val="auto"/>
                <w:kern w:val="0"/>
                <w:sz w:val="21"/>
                <w:szCs w:val="21"/>
                <w:u w:val="none"/>
                <w:lang w:val="en-US" w:eastAsia="zh-CN" w:bidi="ar"/>
              </w:rPr>
              <w:t>5</w:t>
            </w:r>
          </w:p>
        </w:tc>
        <w:tc>
          <w:tcPr>
            <w:tcW w:w="425" w:type="pct"/>
            <w:vMerge w:val="restart"/>
            <w:noWrap/>
            <w:vAlign w:val="center"/>
          </w:tcPr>
          <w:p w14:paraId="398475A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3DBE93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8A957B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ADDD6B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30.05</w:t>
            </w:r>
          </w:p>
        </w:tc>
        <w:tc>
          <w:tcPr>
            <w:tcW w:w="397" w:type="pct"/>
            <w:noWrap/>
            <w:vAlign w:val="center"/>
          </w:tcPr>
          <w:p w14:paraId="01707E1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34.11</w:t>
            </w:r>
          </w:p>
        </w:tc>
        <w:tc>
          <w:tcPr>
            <w:tcW w:w="235" w:type="pct"/>
            <w:noWrap/>
            <w:vAlign w:val="center"/>
          </w:tcPr>
          <w:p w14:paraId="128E02A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559DD1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43.09</w:t>
            </w:r>
          </w:p>
        </w:tc>
        <w:tc>
          <w:tcPr>
            <w:tcW w:w="460" w:type="pct"/>
            <w:noWrap/>
            <w:vAlign w:val="center"/>
          </w:tcPr>
          <w:p w14:paraId="1F6E046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55.62</w:t>
            </w:r>
          </w:p>
        </w:tc>
        <w:tc>
          <w:tcPr>
            <w:tcW w:w="383" w:type="pct"/>
            <w:noWrap/>
            <w:vAlign w:val="center"/>
          </w:tcPr>
          <w:p w14:paraId="3580FF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4CDF48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5AD872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29.62</w:t>
            </w:r>
          </w:p>
        </w:tc>
        <w:tc>
          <w:tcPr>
            <w:tcW w:w="388" w:type="pct"/>
            <w:noWrap/>
            <w:vAlign w:val="center"/>
          </w:tcPr>
          <w:p w14:paraId="1E7EE0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553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A6A34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w:t>
            </w:r>
          </w:p>
        </w:tc>
        <w:tc>
          <w:tcPr>
            <w:tcW w:w="212" w:type="pct"/>
            <w:vMerge w:val="continue"/>
            <w:noWrap/>
            <w:vAlign w:val="center"/>
          </w:tcPr>
          <w:p w14:paraId="5201F35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AF25C0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9D1903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04078A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6AF55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30.05</w:t>
            </w:r>
          </w:p>
        </w:tc>
        <w:tc>
          <w:tcPr>
            <w:tcW w:w="397" w:type="pct"/>
            <w:noWrap/>
            <w:vAlign w:val="center"/>
          </w:tcPr>
          <w:p w14:paraId="52EF642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34.11</w:t>
            </w:r>
          </w:p>
        </w:tc>
        <w:tc>
          <w:tcPr>
            <w:tcW w:w="235" w:type="pct"/>
            <w:noWrap/>
            <w:vAlign w:val="center"/>
          </w:tcPr>
          <w:p w14:paraId="3D26705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C14353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33.34</w:t>
            </w:r>
          </w:p>
        </w:tc>
        <w:tc>
          <w:tcPr>
            <w:tcW w:w="460" w:type="pct"/>
            <w:noWrap/>
            <w:vAlign w:val="center"/>
          </w:tcPr>
          <w:p w14:paraId="2EE602E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55.69</w:t>
            </w:r>
          </w:p>
        </w:tc>
        <w:tc>
          <w:tcPr>
            <w:tcW w:w="383" w:type="pct"/>
            <w:noWrap/>
            <w:vAlign w:val="center"/>
          </w:tcPr>
          <w:p w14:paraId="51EB33B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B70B1E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9945F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29.69</w:t>
            </w:r>
          </w:p>
        </w:tc>
        <w:tc>
          <w:tcPr>
            <w:tcW w:w="388" w:type="pct"/>
            <w:noWrap/>
            <w:vAlign w:val="center"/>
          </w:tcPr>
          <w:p w14:paraId="4C79CB3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BC0E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56BAE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27</w:t>
            </w:r>
          </w:p>
        </w:tc>
        <w:tc>
          <w:tcPr>
            <w:tcW w:w="212" w:type="pct"/>
            <w:vMerge w:val="continue"/>
            <w:noWrap/>
            <w:vAlign w:val="center"/>
          </w:tcPr>
          <w:p w14:paraId="356FA5A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B6A717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987999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76B2AC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573DE0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30.05</w:t>
            </w:r>
          </w:p>
        </w:tc>
        <w:tc>
          <w:tcPr>
            <w:tcW w:w="397" w:type="pct"/>
            <w:noWrap/>
            <w:vAlign w:val="center"/>
          </w:tcPr>
          <w:p w14:paraId="132FEC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34.11</w:t>
            </w:r>
          </w:p>
        </w:tc>
        <w:tc>
          <w:tcPr>
            <w:tcW w:w="235" w:type="pct"/>
            <w:noWrap/>
            <w:vAlign w:val="center"/>
          </w:tcPr>
          <w:p w14:paraId="63493EE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C32444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28.20</w:t>
            </w:r>
          </w:p>
        </w:tc>
        <w:tc>
          <w:tcPr>
            <w:tcW w:w="460" w:type="pct"/>
            <w:noWrap/>
            <w:vAlign w:val="center"/>
          </w:tcPr>
          <w:p w14:paraId="239BAB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55.76</w:t>
            </w:r>
          </w:p>
        </w:tc>
        <w:tc>
          <w:tcPr>
            <w:tcW w:w="383" w:type="pct"/>
            <w:noWrap/>
            <w:vAlign w:val="center"/>
          </w:tcPr>
          <w:p w14:paraId="43D7A7B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020BAB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5AC89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29.76</w:t>
            </w:r>
          </w:p>
        </w:tc>
        <w:tc>
          <w:tcPr>
            <w:tcW w:w="388" w:type="pct"/>
            <w:noWrap/>
            <w:vAlign w:val="center"/>
          </w:tcPr>
          <w:p w14:paraId="7A917E1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0E89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2902A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28</w:t>
            </w:r>
          </w:p>
        </w:tc>
        <w:tc>
          <w:tcPr>
            <w:tcW w:w="212" w:type="pct"/>
            <w:vMerge w:val="continue"/>
            <w:noWrap/>
            <w:vAlign w:val="center"/>
          </w:tcPr>
          <w:p w14:paraId="6E35E72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3E1B1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E81935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2C2373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682EE8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30.05</w:t>
            </w:r>
          </w:p>
        </w:tc>
        <w:tc>
          <w:tcPr>
            <w:tcW w:w="397" w:type="pct"/>
            <w:noWrap/>
            <w:vAlign w:val="center"/>
          </w:tcPr>
          <w:p w14:paraId="2D17DEB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34.11</w:t>
            </w:r>
          </w:p>
        </w:tc>
        <w:tc>
          <w:tcPr>
            <w:tcW w:w="235" w:type="pct"/>
            <w:noWrap/>
            <w:vAlign w:val="center"/>
          </w:tcPr>
          <w:p w14:paraId="23B3F9C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DFF2FD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6.23</w:t>
            </w:r>
          </w:p>
        </w:tc>
        <w:tc>
          <w:tcPr>
            <w:tcW w:w="460" w:type="pct"/>
            <w:noWrap/>
            <w:vAlign w:val="center"/>
          </w:tcPr>
          <w:p w14:paraId="4EA26AA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58.84</w:t>
            </w:r>
          </w:p>
        </w:tc>
        <w:tc>
          <w:tcPr>
            <w:tcW w:w="383" w:type="pct"/>
            <w:noWrap/>
            <w:vAlign w:val="center"/>
          </w:tcPr>
          <w:p w14:paraId="0F2F642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366E6A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2EB2F1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32.84</w:t>
            </w:r>
          </w:p>
        </w:tc>
        <w:tc>
          <w:tcPr>
            <w:tcW w:w="388" w:type="pct"/>
            <w:noWrap/>
            <w:vAlign w:val="center"/>
          </w:tcPr>
          <w:p w14:paraId="13CD74C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9F34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3" w:type="pct"/>
            <w:noWrap/>
            <w:vAlign w:val="center"/>
          </w:tcPr>
          <w:p w14:paraId="4BF4134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29</w:t>
            </w:r>
          </w:p>
        </w:tc>
        <w:tc>
          <w:tcPr>
            <w:tcW w:w="212" w:type="pct"/>
            <w:vMerge w:val="continue"/>
            <w:noWrap/>
            <w:vAlign w:val="center"/>
          </w:tcPr>
          <w:p w14:paraId="2033807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B1315A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DB259A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67B7BA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FEA3D4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30.05</w:t>
            </w:r>
          </w:p>
        </w:tc>
        <w:tc>
          <w:tcPr>
            <w:tcW w:w="397" w:type="pct"/>
            <w:noWrap/>
            <w:vAlign w:val="center"/>
          </w:tcPr>
          <w:p w14:paraId="31FFEF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34.11</w:t>
            </w:r>
          </w:p>
        </w:tc>
        <w:tc>
          <w:tcPr>
            <w:tcW w:w="235" w:type="pct"/>
            <w:noWrap/>
            <w:vAlign w:val="center"/>
          </w:tcPr>
          <w:p w14:paraId="34FC4D0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4B72B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36.32</w:t>
            </w:r>
          </w:p>
        </w:tc>
        <w:tc>
          <w:tcPr>
            <w:tcW w:w="460" w:type="pct"/>
            <w:noWrap/>
            <w:vAlign w:val="center"/>
          </w:tcPr>
          <w:p w14:paraId="5025C53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55.66</w:t>
            </w:r>
          </w:p>
        </w:tc>
        <w:tc>
          <w:tcPr>
            <w:tcW w:w="383" w:type="pct"/>
            <w:noWrap/>
            <w:vAlign w:val="center"/>
          </w:tcPr>
          <w:p w14:paraId="1C5E3A5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0BBD73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45EC65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29.66</w:t>
            </w:r>
          </w:p>
        </w:tc>
        <w:tc>
          <w:tcPr>
            <w:tcW w:w="388" w:type="pct"/>
            <w:noWrap/>
            <w:vAlign w:val="center"/>
          </w:tcPr>
          <w:p w14:paraId="2F3264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A5B0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EBA49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30</w:t>
            </w:r>
          </w:p>
        </w:tc>
        <w:tc>
          <w:tcPr>
            <w:tcW w:w="212" w:type="pct"/>
            <w:vMerge w:val="continue"/>
            <w:noWrap/>
            <w:vAlign w:val="center"/>
          </w:tcPr>
          <w:p w14:paraId="69B5334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6EB505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566F8E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E1AA72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9DE797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30.05</w:t>
            </w:r>
          </w:p>
        </w:tc>
        <w:tc>
          <w:tcPr>
            <w:tcW w:w="397" w:type="pct"/>
            <w:noWrap/>
            <w:vAlign w:val="center"/>
          </w:tcPr>
          <w:p w14:paraId="40CD15A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34.11</w:t>
            </w:r>
          </w:p>
        </w:tc>
        <w:tc>
          <w:tcPr>
            <w:tcW w:w="235" w:type="pct"/>
            <w:noWrap/>
            <w:vAlign w:val="center"/>
          </w:tcPr>
          <w:p w14:paraId="19FD80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B4165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29.10</w:t>
            </w:r>
          </w:p>
        </w:tc>
        <w:tc>
          <w:tcPr>
            <w:tcW w:w="460" w:type="pct"/>
            <w:noWrap/>
            <w:vAlign w:val="center"/>
          </w:tcPr>
          <w:p w14:paraId="39DC0B8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55.74</w:t>
            </w:r>
          </w:p>
        </w:tc>
        <w:tc>
          <w:tcPr>
            <w:tcW w:w="383" w:type="pct"/>
            <w:noWrap/>
            <w:vAlign w:val="center"/>
          </w:tcPr>
          <w:p w14:paraId="0334A4C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BD80FD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E79B5C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29.74</w:t>
            </w:r>
          </w:p>
        </w:tc>
        <w:tc>
          <w:tcPr>
            <w:tcW w:w="388" w:type="pct"/>
            <w:noWrap/>
            <w:vAlign w:val="center"/>
          </w:tcPr>
          <w:p w14:paraId="7FAA7A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A4B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02CD5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31</w:t>
            </w:r>
          </w:p>
        </w:tc>
        <w:tc>
          <w:tcPr>
            <w:tcW w:w="212" w:type="pct"/>
            <w:vMerge w:val="continue"/>
            <w:noWrap/>
            <w:vAlign w:val="center"/>
          </w:tcPr>
          <w:p w14:paraId="3A302C7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1E7C17B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华美达注塑机</w:t>
            </w:r>
            <w:r>
              <w:rPr>
                <w:rFonts w:hint="eastAsia" w:ascii="Times New Roman" w:hAnsi="Times New Roman" w:eastAsia="宋体" w:cs="Times New Roman"/>
                <w:i w:val="0"/>
                <w:iCs w:val="0"/>
                <w:color w:val="auto"/>
                <w:kern w:val="0"/>
                <w:sz w:val="21"/>
                <w:szCs w:val="21"/>
                <w:u w:val="none"/>
                <w:lang w:val="en-US" w:eastAsia="zh-CN" w:bidi="ar"/>
              </w:rPr>
              <w:t>6</w:t>
            </w:r>
          </w:p>
        </w:tc>
        <w:tc>
          <w:tcPr>
            <w:tcW w:w="425" w:type="pct"/>
            <w:vMerge w:val="restart"/>
            <w:noWrap/>
            <w:vAlign w:val="center"/>
          </w:tcPr>
          <w:p w14:paraId="318A4CE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1B97A16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B53D37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7A541B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33.26</w:t>
            </w:r>
          </w:p>
        </w:tc>
        <w:tc>
          <w:tcPr>
            <w:tcW w:w="397" w:type="pct"/>
            <w:noWrap/>
            <w:vAlign w:val="center"/>
          </w:tcPr>
          <w:p w14:paraId="7AD9A68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29.08</w:t>
            </w:r>
          </w:p>
        </w:tc>
        <w:tc>
          <w:tcPr>
            <w:tcW w:w="235" w:type="pct"/>
            <w:noWrap/>
            <w:vAlign w:val="center"/>
          </w:tcPr>
          <w:p w14:paraId="74BA6B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CAF36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43.66</w:t>
            </w:r>
          </w:p>
        </w:tc>
        <w:tc>
          <w:tcPr>
            <w:tcW w:w="460" w:type="pct"/>
            <w:noWrap/>
            <w:vAlign w:val="center"/>
          </w:tcPr>
          <w:p w14:paraId="72D97E4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55.62</w:t>
            </w:r>
          </w:p>
        </w:tc>
        <w:tc>
          <w:tcPr>
            <w:tcW w:w="383" w:type="pct"/>
            <w:noWrap/>
            <w:vAlign w:val="center"/>
          </w:tcPr>
          <w:p w14:paraId="2E7BB0D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7DF13E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499272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29.62</w:t>
            </w:r>
          </w:p>
        </w:tc>
        <w:tc>
          <w:tcPr>
            <w:tcW w:w="388" w:type="pct"/>
            <w:noWrap/>
            <w:vAlign w:val="center"/>
          </w:tcPr>
          <w:p w14:paraId="37349B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5CE9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A752C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w:t>
            </w:r>
          </w:p>
        </w:tc>
        <w:tc>
          <w:tcPr>
            <w:tcW w:w="212" w:type="pct"/>
            <w:vMerge w:val="continue"/>
            <w:noWrap/>
            <w:vAlign w:val="center"/>
          </w:tcPr>
          <w:p w14:paraId="0901170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81FE79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335296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544932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30A889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33.26</w:t>
            </w:r>
          </w:p>
        </w:tc>
        <w:tc>
          <w:tcPr>
            <w:tcW w:w="397" w:type="pct"/>
            <w:noWrap/>
            <w:vAlign w:val="center"/>
          </w:tcPr>
          <w:p w14:paraId="47D44C4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29.08</w:t>
            </w:r>
          </w:p>
        </w:tc>
        <w:tc>
          <w:tcPr>
            <w:tcW w:w="235" w:type="pct"/>
            <w:noWrap/>
            <w:vAlign w:val="center"/>
          </w:tcPr>
          <w:p w14:paraId="356027E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5A9C3A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28.20</w:t>
            </w:r>
          </w:p>
        </w:tc>
        <w:tc>
          <w:tcPr>
            <w:tcW w:w="460" w:type="pct"/>
            <w:noWrap/>
            <w:vAlign w:val="center"/>
          </w:tcPr>
          <w:p w14:paraId="035716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55.76</w:t>
            </w:r>
          </w:p>
        </w:tc>
        <w:tc>
          <w:tcPr>
            <w:tcW w:w="383" w:type="pct"/>
            <w:noWrap/>
            <w:vAlign w:val="center"/>
          </w:tcPr>
          <w:p w14:paraId="2824DDB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AF808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674821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29.76</w:t>
            </w:r>
          </w:p>
        </w:tc>
        <w:tc>
          <w:tcPr>
            <w:tcW w:w="388" w:type="pct"/>
            <w:noWrap/>
            <w:vAlign w:val="center"/>
          </w:tcPr>
          <w:p w14:paraId="444D58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BB7C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5D7A1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w:t>
            </w:r>
          </w:p>
        </w:tc>
        <w:tc>
          <w:tcPr>
            <w:tcW w:w="212" w:type="pct"/>
            <w:vMerge w:val="continue"/>
            <w:noWrap/>
            <w:vAlign w:val="center"/>
          </w:tcPr>
          <w:p w14:paraId="4C286F7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9DF59F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50183F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5A1AD1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F66DC3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33.26</w:t>
            </w:r>
          </w:p>
        </w:tc>
        <w:tc>
          <w:tcPr>
            <w:tcW w:w="397" w:type="pct"/>
            <w:noWrap/>
            <w:vAlign w:val="center"/>
          </w:tcPr>
          <w:p w14:paraId="617F721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29.08</w:t>
            </w:r>
          </w:p>
        </w:tc>
        <w:tc>
          <w:tcPr>
            <w:tcW w:w="235" w:type="pct"/>
            <w:noWrap/>
            <w:vAlign w:val="center"/>
          </w:tcPr>
          <w:p w14:paraId="7CC234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D1154B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22.41</w:t>
            </w:r>
          </w:p>
        </w:tc>
        <w:tc>
          <w:tcPr>
            <w:tcW w:w="460" w:type="pct"/>
            <w:noWrap/>
            <w:vAlign w:val="center"/>
          </w:tcPr>
          <w:p w14:paraId="1CAD3AE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55.89</w:t>
            </w:r>
          </w:p>
        </w:tc>
        <w:tc>
          <w:tcPr>
            <w:tcW w:w="383" w:type="pct"/>
            <w:noWrap/>
            <w:vAlign w:val="center"/>
          </w:tcPr>
          <w:p w14:paraId="1DA33ED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63F9FD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F7D160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29.89</w:t>
            </w:r>
          </w:p>
        </w:tc>
        <w:tc>
          <w:tcPr>
            <w:tcW w:w="388" w:type="pct"/>
            <w:noWrap/>
            <w:vAlign w:val="center"/>
          </w:tcPr>
          <w:p w14:paraId="1BE33F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624A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18A00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w:t>
            </w:r>
          </w:p>
        </w:tc>
        <w:tc>
          <w:tcPr>
            <w:tcW w:w="212" w:type="pct"/>
            <w:vMerge w:val="continue"/>
            <w:noWrap/>
            <w:vAlign w:val="center"/>
          </w:tcPr>
          <w:p w14:paraId="0F4F65D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346032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6930ED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p>
        </w:tc>
        <w:tc>
          <w:tcPr>
            <w:tcW w:w="373" w:type="pct"/>
            <w:vMerge w:val="continue"/>
            <w:noWrap w:val="0"/>
            <w:vAlign w:val="center"/>
          </w:tcPr>
          <w:p w14:paraId="4738C6B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B2B5DC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33.26</w:t>
            </w:r>
          </w:p>
        </w:tc>
        <w:tc>
          <w:tcPr>
            <w:tcW w:w="397" w:type="pct"/>
            <w:noWrap/>
            <w:vAlign w:val="center"/>
          </w:tcPr>
          <w:p w14:paraId="7953A7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29.08</w:t>
            </w:r>
          </w:p>
        </w:tc>
        <w:tc>
          <w:tcPr>
            <w:tcW w:w="235" w:type="pct"/>
            <w:noWrap/>
            <w:vAlign w:val="center"/>
          </w:tcPr>
          <w:p w14:paraId="1536E54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75C8CB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5.91</w:t>
            </w:r>
          </w:p>
        </w:tc>
        <w:tc>
          <w:tcPr>
            <w:tcW w:w="460" w:type="pct"/>
            <w:noWrap/>
            <w:vAlign w:val="center"/>
          </w:tcPr>
          <w:p w14:paraId="306B6FE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59.09</w:t>
            </w:r>
          </w:p>
        </w:tc>
        <w:tc>
          <w:tcPr>
            <w:tcW w:w="383" w:type="pct"/>
            <w:noWrap/>
            <w:vAlign w:val="center"/>
          </w:tcPr>
          <w:p w14:paraId="22C46B3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692291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028B5E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33.09</w:t>
            </w:r>
          </w:p>
        </w:tc>
        <w:tc>
          <w:tcPr>
            <w:tcW w:w="388" w:type="pct"/>
            <w:noWrap/>
            <w:vAlign w:val="center"/>
          </w:tcPr>
          <w:p w14:paraId="39EB950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870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110C93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35</w:t>
            </w:r>
          </w:p>
        </w:tc>
        <w:tc>
          <w:tcPr>
            <w:tcW w:w="212" w:type="pct"/>
            <w:vMerge w:val="continue"/>
            <w:noWrap/>
            <w:vAlign w:val="center"/>
          </w:tcPr>
          <w:p w14:paraId="3CB9C0C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BC39FF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EC87EC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B1CBBF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BEE0E8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33.26</w:t>
            </w:r>
          </w:p>
        </w:tc>
        <w:tc>
          <w:tcPr>
            <w:tcW w:w="397" w:type="pct"/>
            <w:noWrap/>
            <w:vAlign w:val="center"/>
          </w:tcPr>
          <w:p w14:paraId="6D531AC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29.08</w:t>
            </w:r>
          </w:p>
        </w:tc>
        <w:tc>
          <w:tcPr>
            <w:tcW w:w="235" w:type="pct"/>
            <w:noWrap/>
            <w:vAlign w:val="center"/>
          </w:tcPr>
          <w:p w14:paraId="5A338C6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266054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42.22</w:t>
            </w:r>
          </w:p>
        </w:tc>
        <w:tc>
          <w:tcPr>
            <w:tcW w:w="460" w:type="pct"/>
            <w:noWrap/>
            <w:vAlign w:val="center"/>
          </w:tcPr>
          <w:p w14:paraId="35E8644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55.63</w:t>
            </w:r>
          </w:p>
        </w:tc>
        <w:tc>
          <w:tcPr>
            <w:tcW w:w="383" w:type="pct"/>
            <w:noWrap/>
            <w:vAlign w:val="center"/>
          </w:tcPr>
          <w:p w14:paraId="47C1D81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171FB8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37FF85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29.63</w:t>
            </w:r>
          </w:p>
        </w:tc>
        <w:tc>
          <w:tcPr>
            <w:tcW w:w="388" w:type="pct"/>
            <w:noWrap/>
            <w:vAlign w:val="center"/>
          </w:tcPr>
          <w:p w14:paraId="7EED1C0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0BD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738ED0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36</w:t>
            </w:r>
          </w:p>
        </w:tc>
        <w:tc>
          <w:tcPr>
            <w:tcW w:w="212" w:type="pct"/>
            <w:vMerge w:val="continue"/>
            <w:noWrap/>
            <w:vAlign w:val="center"/>
          </w:tcPr>
          <w:p w14:paraId="3BECD69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15AC3D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AB7857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FE0F9E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7DF5D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33.26</w:t>
            </w:r>
          </w:p>
        </w:tc>
        <w:tc>
          <w:tcPr>
            <w:tcW w:w="397" w:type="pct"/>
            <w:noWrap/>
            <w:vAlign w:val="center"/>
          </w:tcPr>
          <w:p w14:paraId="1F2F10B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29.08</w:t>
            </w:r>
          </w:p>
        </w:tc>
        <w:tc>
          <w:tcPr>
            <w:tcW w:w="235" w:type="pct"/>
            <w:noWrap/>
            <w:vAlign w:val="center"/>
          </w:tcPr>
          <w:p w14:paraId="30AEB6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E5A78C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27.81</w:t>
            </w:r>
          </w:p>
        </w:tc>
        <w:tc>
          <w:tcPr>
            <w:tcW w:w="460" w:type="pct"/>
            <w:noWrap/>
            <w:vAlign w:val="center"/>
          </w:tcPr>
          <w:p w14:paraId="552D1E9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55.76</w:t>
            </w:r>
          </w:p>
        </w:tc>
        <w:tc>
          <w:tcPr>
            <w:tcW w:w="383" w:type="pct"/>
            <w:noWrap/>
            <w:vAlign w:val="center"/>
          </w:tcPr>
          <w:p w14:paraId="3E014A6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4F6D53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BB943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29.76</w:t>
            </w:r>
          </w:p>
        </w:tc>
        <w:tc>
          <w:tcPr>
            <w:tcW w:w="388" w:type="pct"/>
            <w:noWrap/>
            <w:vAlign w:val="center"/>
          </w:tcPr>
          <w:p w14:paraId="32C82D2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8B1B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3A43C6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37</w:t>
            </w:r>
          </w:p>
        </w:tc>
        <w:tc>
          <w:tcPr>
            <w:tcW w:w="212" w:type="pct"/>
            <w:vMerge w:val="continue"/>
            <w:noWrap/>
            <w:vAlign w:val="center"/>
          </w:tcPr>
          <w:p w14:paraId="6812B2E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522FCA5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华美达注塑机</w:t>
            </w:r>
            <w:r>
              <w:rPr>
                <w:rFonts w:hint="eastAsia" w:ascii="Times New Roman" w:hAnsi="Times New Roman" w:eastAsia="宋体" w:cs="Times New Roman"/>
                <w:i w:val="0"/>
                <w:iCs w:val="0"/>
                <w:color w:val="auto"/>
                <w:kern w:val="0"/>
                <w:sz w:val="21"/>
                <w:szCs w:val="21"/>
                <w:u w:val="none"/>
                <w:lang w:val="en-US" w:eastAsia="zh-CN" w:bidi="ar"/>
              </w:rPr>
              <w:t>7</w:t>
            </w:r>
          </w:p>
        </w:tc>
        <w:tc>
          <w:tcPr>
            <w:tcW w:w="425" w:type="pct"/>
            <w:vMerge w:val="restart"/>
            <w:noWrap/>
            <w:vAlign w:val="center"/>
          </w:tcPr>
          <w:p w14:paraId="1986380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5783FDE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110F67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86BADE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35.6</w:t>
            </w:r>
          </w:p>
        </w:tc>
        <w:tc>
          <w:tcPr>
            <w:tcW w:w="397" w:type="pct"/>
            <w:noWrap/>
            <w:vAlign w:val="center"/>
          </w:tcPr>
          <w:p w14:paraId="588A0F7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24.92</w:t>
            </w:r>
          </w:p>
        </w:tc>
        <w:tc>
          <w:tcPr>
            <w:tcW w:w="235" w:type="pct"/>
            <w:noWrap/>
            <w:vAlign w:val="center"/>
          </w:tcPr>
          <w:p w14:paraId="2B20BC4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398B1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43.84</w:t>
            </w:r>
          </w:p>
        </w:tc>
        <w:tc>
          <w:tcPr>
            <w:tcW w:w="460" w:type="pct"/>
            <w:noWrap/>
            <w:vAlign w:val="center"/>
          </w:tcPr>
          <w:p w14:paraId="5F5548D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55.62</w:t>
            </w:r>
          </w:p>
        </w:tc>
        <w:tc>
          <w:tcPr>
            <w:tcW w:w="383" w:type="pct"/>
            <w:noWrap/>
            <w:vAlign w:val="center"/>
          </w:tcPr>
          <w:p w14:paraId="14CAE88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2B6061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27098F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29.62</w:t>
            </w:r>
          </w:p>
        </w:tc>
        <w:tc>
          <w:tcPr>
            <w:tcW w:w="388" w:type="pct"/>
            <w:noWrap/>
            <w:vAlign w:val="center"/>
          </w:tcPr>
          <w:p w14:paraId="609093B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88F9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450B2C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38</w:t>
            </w:r>
          </w:p>
        </w:tc>
        <w:tc>
          <w:tcPr>
            <w:tcW w:w="212" w:type="pct"/>
            <w:vMerge w:val="continue"/>
            <w:noWrap/>
            <w:vAlign w:val="center"/>
          </w:tcPr>
          <w:p w14:paraId="21B59A3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5AD652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3925FB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56002F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8C39E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35.6</w:t>
            </w:r>
          </w:p>
        </w:tc>
        <w:tc>
          <w:tcPr>
            <w:tcW w:w="397" w:type="pct"/>
            <w:noWrap/>
            <w:vAlign w:val="center"/>
          </w:tcPr>
          <w:p w14:paraId="1EBF6F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24.92</w:t>
            </w:r>
          </w:p>
        </w:tc>
        <w:tc>
          <w:tcPr>
            <w:tcW w:w="235" w:type="pct"/>
            <w:noWrap/>
            <w:vAlign w:val="center"/>
          </w:tcPr>
          <w:p w14:paraId="7310A75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07546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23.96</w:t>
            </w:r>
          </w:p>
        </w:tc>
        <w:tc>
          <w:tcPr>
            <w:tcW w:w="460" w:type="pct"/>
            <w:noWrap/>
            <w:vAlign w:val="center"/>
          </w:tcPr>
          <w:p w14:paraId="6CA5B2C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55.84</w:t>
            </w:r>
          </w:p>
        </w:tc>
        <w:tc>
          <w:tcPr>
            <w:tcW w:w="383" w:type="pct"/>
            <w:noWrap/>
            <w:vAlign w:val="center"/>
          </w:tcPr>
          <w:p w14:paraId="7A45E0C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9A94C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010E7B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29.84</w:t>
            </w:r>
          </w:p>
        </w:tc>
        <w:tc>
          <w:tcPr>
            <w:tcW w:w="388" w:type="pct"/>
            <w:noWrap/>
            <w:vAlign w:val="center"/>
          </w:tcPr>
          <w:p w14:paraId="1202FB9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D97C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31B232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39</w:t>
            </w:r>
          </w:p>
        </w:tc>
        <w:tc>
          <w:tcPr>
            <w:tcW w:w="212" w:type="pct"/>
            <w:vMerge w:val="continue"/>
            <w:noWrap/>
            <w:vAlign w:val="center"/>
          </w:tcPr>
          <w:p w14:paraId="2AC10CA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E42BF4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A11F21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118F64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9584E1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35.6</w:t>
            </w:r>
          </w:p>
        </w:tc>
        <w:tc>
          <w:tcPr>
            <w:tcW w:w="397" w:type="pct"/>
            <w:noWrap/>
            <w:vAlign w:val="center"/>
          </w:tcPr>
          <w:p w14:paraId="4A0869C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24.92</w:t>
            </w:r>
          </w:p>
        </w:tc>
        <w:tc>
          <w:tcPr>
            <w:tcW w:w="235" w:type="pct"/>
            <w:noWrap/>
            <w:vAlign w:val="center"/>
          </w:tcPr>
          <w:p w14:paraId="750B6EE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2BDAF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17.73</w:t>
            </w:r>
          </w:p>
        </w:tc>
        <w:tc>
          <w:tcPr>
            <w:tcW w:w="460" w:type="pct"/>
            <w:noWrap/>
            <w:vAlign w:val="center"/>
          </w:tcPr>
          <w:p w14:paraId="42D5EC5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56.09</w:t>
            </w:r>
          </w:p>
        </w:tc>
        <w:tc>
          <w:tcPr>
            <w:tcW w:w="383" w:type="pct"/>
            <w:noWrap/>
            <w:vAlign w:val="center"/>
          </w:tcPr>
          <w:p w14:paraId="090DE21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1C4653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5320C2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30.09</w:t>
            </w:r>
          </w:p>
        </w:tc>
        <w:tc>
          <w:tcPr>
            <w:tcW w:w="388" w:type="pct"/>
            <w:noWrap/>
            <w:vAlign w:val="center"/>
          </w:tcPr>
          <w:p w14:paraId="18827EF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B62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0C8DDD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40</w:t>
            </w:r>
          </w:p>
        </w:tc>
        <w:tc>
          <w:tcPr>
            <w:tcW w:w="212" w:type="pct"/>
            <w:vMerge w:val="continue"/>
            <w:noWrap/>
            <w:vAlign w:val="center"/>
          </w:tcPr>
          <w:p w14:paraId="5654C14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23530A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6CAAC3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C27C1C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9E6C56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35.6</w:t>
            </w:r>
          </w:p>
        </w:tc>
        <w:tc>
          <w:tcPr>
            <w:tcW w:w="397" w:type="pct"/>
            <w:noWrap/>
            <w:vAlign w:val="center"/>
          </w:tcPr>
          <w:p w14:paraId="38394C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24.92</w:t>
            </w:r>
          </w:p>
        </w:tc>
        <w:tc>
          <w:tcPr>
            <w:tcW w:w="235" w:type="pct"/>
            <w:noWrap/>
            <w:vAlign w:val="center"/>
          </w:tcPr>
          <w:p w14:paraId="5B1D2EA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DAA50D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5.92</w:t>
            </w:r>
          </w:p>
        </w:tc>
        <w:tc>
          <w:tcPr>
            <w:tcW w:w="460" w:type="pct"/>
            <w:noWrap/>
            <w:vAlign w:val="center"/>
          </w:tcPr>
          <w:p w14:paraId="42BF4A9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59.08</w:t>
            </w:r>
          </w:p>
        </w:tc>
        <w:tc>
          <w:tcPr>
            <w:tcW w:w="383" w:type="pct"/>
            <w:noWrap/>
            <w:vAlign w:val="center"/>
          </w:tcPr>
          <w:p w14:paraId="01AD68F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BEF5A4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EEE898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33.08</w:t>
            </w:r>
          </w:p>
        </w:tc>
        <w:tc>
          <w:tcPr>
            <w:tcW w:w="388" w:type="pct"/>
            <w:noWrap/>
            <w:vAlign w:val="center"/>
          </w:tcPr>
          <w:p w14:paraId="070100B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A976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3C2216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41</w:t>
            </w:r>
          </w:p>
        </w:tc>
        <w:tc>
          <w:tcPr>
            <w:tcW w:w="212" w:type="pct"/>
            <w:vMerge w:val="continue"/>
            <w:noWrap/>
            <w:vAlign w:val="center"/>
          </w:tcPr>
          <w:p w14:paraId="0800ED2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969068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CEAD49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976644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937AB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35.6</w:t>
            </w:r>
          </w:p>
        </w:tc>
        <w:tc>
          <w:tcPr>
            <w:tcW w:w="397" w:type="pct"/>
            <w:noWrap/>
            <w:vAlign w:val="center"/>
          </w:tcPr>
          <w:p w14:paraId="07530AD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24.92</w:t>
            </w:r>
          </w:p>
        </w:tc>
        <w:tc>
          <w:tcPr>
            <w:tcW w:w="235" w:type="pct"/>
            <w:noWrap/>
            <w:vAlign w:val="center"/>
          </w:tcPr>
          <w:p w14:paraId="41FB6CE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00A500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46.97</w:t>
            </w:r>
          </w:p>
        </w:tc>
        <w:tc>
          <w:tcPr>
            <w:tcW w:w="460" w:type="pct"/>
            <w:noWrap/>
            <w:vAlign w:val="center"/>
          </w:tcPr>
          <w:p w14:paraId="16396BE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55.61</w:t>
            </w:r>
          </w:p>
        </w:tc>
        <w:tc>
          <w:tcPr>
            <w:tcW w:w="383" w:type="pct"/>
            <w:noWrap/>
            <w:vAlign w:val="center"/>
          </w:tcPr>
          <w:p w14:paraId="12C0C1D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7B8AF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91F44F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29.61</w:t>
            </w:r>
          </w:p>
        </w:tc>
        <w:tc>
          <w:tcPr>
            <w:tcW w:w="388" w:type="pct"/>
            <w:noWrap/>
            <w:vAlign w:val="center"/>
          </w:tcPr>
          <w:p w14:paraId="6B5073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1FC1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5FFAAC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42</w:t>
            </w:r>
          </w:p>
        </w:tc>
        <w:tc>
          <w:tcPr>
            <w:tcW w:w="212" w:type="pct"/>
            <w:vMerge w:val="continue"/>
            <w:noWrap/>
            <w:vAlign w:val="center"/>
          </w:tcPr>
          <w:p w14:paraId="1E739C2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D87B0B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464A2A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95A467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534CCA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35.6</w:t>
            </w:r>
          </w:p>
        </w:tc>
        <w:tc>
          <w:tcPr>
            <w:tcW w:w="397" w:type="pct"/>
            <w:noWrap/>
            <w:vAlign w:val="center"/>
          </w:tcPr>
          <w:p w14:paraId="078669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24.92</w:t>
            </w:r>
          </w:p>
        </w:tc>
        <w:tc>
          <w:tcPr>
            <w:tcW w:w="235" w:type="pct"/>
            <w:noWrap/>
            <w:vAlign w:val="center"/>
          </w:tcPr>
          <w:p w14:paraId="72C7A0F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4E1321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26.52</w:t>
            </w:r>
          </w:p>
        </w:tc>
        <w:tc>
          <w:tcPr>
            <w:tcW w:w="460" w:type="pct"/>
            <w:noWrap/>
            <w:vAlign w:val="center"/>
          </w:tcPr>
          <w:p w14:paraId="637D439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55.79</w:t>
            </w:r>
          </w:p>
        </w:tc>
        <w:tc>
          <w:tcPr>
            <w:tcW w:w="383" w:type="pct"/>
            <w:noWrap/>
            <w:vAlign w:val="center"/>
          </w:tcPr>
          <w:p w14:paraId="12D7C5E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B89D57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30A95D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29.79</w:t>
            </w:r>
          </w:p>
        </w:tc>
        <w:tc>
          <w:tcPr>
            <w:tcW w:w="388" w:type="pct"/>
            <w:noWrap/>
            <w:vAlign w:val="center"/>
          </w:tcPr>
          <w:p w14:paraId="29FE157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145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ED95DD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43</w:t>
            </w:r>
          </w:p>
        </w:tc>
        <w:tc>
          <w:tcPr>
            <w:tcW w:w="212" w:type="pct"/>
            <w:vMerge w:val="continue"/>
            <w:noWrap/>
            <w:vAlign w:val="center"/>
          </w:tcPr>
          <w:p w14:paraId="71D1D5E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1AC70F7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华美达注塑机</w:t>
            </w:r>
            <w:r>
              <w:rPr>
                <w:rFonts w:hint="eastAsia" w:ascii="Times New Roman" w:hAnsi="Times New Roman" w:eastAsia="宋体" w:cs="Times New Roman"/>
                <w:i w:val="0"/>
                <w:iCs w:val="0"/>
                <w:color w:val="auto"/>
                <w:kern w:val="0"/>
                <w:sz w:val="21"/>
                <w:szCs w:val="21"/>
                <w:u w:val="none"/>
                <w:lang w:val="en-US" w:eastAsia="zh-CN" w:bidi="ar"/>
              </w:rPr>
              <w:t>8</w:t>
            </w:r>
          </w:p>
        </w:tc>
        <w:tc>
          <w:tcPr>
            <w:tcW w:w="425" w:type="pct"/>
            <w:vMerge w:val="restart"/>
            <w:noWrap/>
            <w:vAlign w:val="center"/>
          </w:tcPr>
          <w:p w14:paraId="2A00E1E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691E036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831880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5E61F6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38.29</w:t>
            </w:r>
          </w:p>
        </w:tc>
        <w:tc>
          <w:tcPr>
            <w:tcW w:w="397" w:type="pct"/>
            <w:noWrap/>
            <w:vAlign w:val="center"/>
          </w:tcPr>
          <w:p w14:paraId="03D61AC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20.76</w:t>
            </w:r>
          </w:p>
        </w:tc>
        <w:tc>
          <w:tcPr>
            <w:tcW w:w="235" w:type="pct"/>
            <w:noWrap/>
            <w:vAlign w:val="center"/>
          </w:tcPr>
          <w:p w14:paraId="2E9064B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8DD1D4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44.34</w:t>
            </w:r>
          </w:p>
        </w:tc>
        <w:tc>
          <w:tcPr>
            <w:tcW w:w="460" w:type="pct"/>
            <w:noWrap/>
            <w:vAlign w:val="center"/>
          </w:tcPr>
          <w:p w14:paraId="3CF8F5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55.62</w:t>
            </w:r>
          </w:p>
        </w:tc>
        <w:tc>
          <w:tcPr>
            <w:tcW w:w="383" w:type="pct"/>
            <w:noWrap/>
            <w:vAlign w:val="center"/>
          </w:tcPr>
          <w:p w14:paraId="4EF3C3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6ABE1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516E58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29.62</w:t>
            </w:r>
          </w:p>
        </w:tc>
        <w:tc>
          <w:tcPr>
            <w:tcW w:w="388" w:type="pct"/>
            <w:noWrap/>
            <w:vAlign w:val="center"/>
          </w:tcPr>
          <w:p w14:paraId="546A436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609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2F93F0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w:t>
            </w:r>
          </w:p>
        </w:tc>
        <w:tc>
          <w:tcPr>
            <w:tcW w:w="212" w:type="pct"/>
            <w:vMerge w:val="continue"/>
            <w:noWrap/>
            <w:vAlign w:val="center"/>
          </w:tcPr>
          <w:p w14:paraId="1696E3D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C70597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B8C2CF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A2FC05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159C3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38.29</w:t>
            </w:r>
          </w:p>
        </w:tc>
        <w:tc>
          <w:tcPr>
            <w:tcW w:w="397" w:type="pct"/>
            <w:noWrap/>
            <w:vAlign w:val="center"/>
          </w:tcPr>
          <w:p w14:paraId="69E42D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20.76</w:t>
            </w:r>
          </w:p>
        </w:tc>
        <w:tc>
          <w:tcPr>
            <w:tcW w:w="235" w:type="pct"/>
            <w:noWrap/>
            <w:vAlign w:val="center"/>
          </w:tcPr>
          <w:p w14:paraId="59F44D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A4EFFC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19.71</w:t>
            </w:r>
          </w:p>
        </w:tc>
        <w:tc>
          <w:tcPr>
            <w:tcW w:w="460" w:type="pct"/>
            <w:noWrap/>
            <w:vAlign w:val="center"/>
          </w:tcPr>
          <w:p w14:paraId="1EBB7D1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55.99</w:t>
            </w:r>
          </w:p>
        </w:tc>
        <w:tc>
          <w:tcPr>
            <w:tcW w:w="383" w:type="pct"/>
            <w:noWrap/>
            <w:vAlign w:val="center"/>
          </w:tcPr>
          <w:p w14:paraId="3E89A6C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03F606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489B5A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29.99</w:t>
            </w:r>
          </w:p>
        </w:tc>
        <w:tc>
          <w:tcPr>
            <w:tcW w:w="388" w:type="pct"/>
            <w:noWrap/>
            <w:vAlign w:val="center"/>
          </w:tcPr>
          <w:p w14:paraId="774A3F6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A0CF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C9339E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45</w:t>
            </w:r>
          </w:p>
        </w:tc>
        <w:tc>
          <w:tcPr>
            <w:tcW w:w="212" w:type="pct"/>
            <w:vMerge w:val="continue"/>
            <w:noWrap/>
            <w:vAlign w:val="center"/>
          </w:tcPr>
          <w:p w14:paraId="6050171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F0775D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E37625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057E8B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067E29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38.29</w:t>
            </w:r>
          </w:p>
        </w:tc>
        <w:tc>
          <w:tcPr>
            <w:tcW w:w="397" w:type="pct"/>
            <w:noWrap/>
            <w:vAlign w:val="center"/>
          </w:tcPr>
          <w:p w14:paraId="6523CA0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20.76</w:t>
            </w:r>
          </w:p>
        </w:tc>
        <w:tc>
          <w:tcPr>
            <w:tcW w:w="235" w:type="pct"/>
            <w:noWrap/>
            <w:vAlign w:val="center"/>
          </w:tcPr>
          <w:p w14:paraId="6F9968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45EF2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12.93</w:t>
            </w:r>
          </w:p>
        </w:tc>
        <w:tc>
          <w:tcPr>
            <w:tcW w:w="460" w:type="pct"/>
            <w:noWrap/>
            <w:vAlign w:val="center"/>
          </w:tcPr>
          <w:p w14:paraId="54DCB14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56.55</w:t>
            </w:r>
          </w:p>
        </w:tc>
        <w:tc>
          <w:tcPr>
            <w:tcW w:w="383" w:type="pct"/>
            <w:noWrap/>
            <w:vAlign w:val="center"/>
          </w:tcPr>
          <w:p w14:paraId="3159D24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84359D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AC9280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30.55</w:t>
            </w:r>
          </w:p>
        </w:tc>
        <w:tc>
          <w:tcPr>
            <w:tcW w:w="388" w:type="pct"/>
            <w:noWrap/>
            <w:vAlign w:val="center"/>
          </w:tcPr>
          <w:p w14:paraId="62102B5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1B5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ED1C74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46</w:t>
            </w:r>
          </w:p>
        </w:tc>
        <w:tc>
          <w:tcPr>
            <w:tcW w:w="212" w:type="pct"/>
            <w:vMerge w:val="continue"/>
            <w:noWrap/>
            <w:vAlign w:val="center"/>
          </w:tcPr>
          <w:p w14:paraId="43B60AE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2DFC8F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181B43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0E1E86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4CB243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38.29</w:t>
            </w:r>
          </w:p>
        </w:tc>
        <w:tc>
          <w:tcPr>
            <w:tcW w:w="397" w:type="pct"/>
            <w:noWrap/>
            <w:vAlign w:val="center"/>
          </w:tcPr>
          <w:p w14:paraId="32CCB37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20.76</w:t>
            </w:r>
          </w:p>
        </w:tc>
        <w:tc>
          <w:tcPr>
            <w:tcW w:w="235" w:type="pct"/>
            <w:noWrap/>
            <w:vAlign w:val="center"/>
          </w:tcPr>
          <w:p w14:paraId="786E2C8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0093AE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5.63</w:t>
            </w:r>
          </w:p>
        </w:tc>
        <w:tc>
          <w:tcPr>
            <w:tcW w:w="460" w:type="pct"/>
            <w:noWrap/>
            <w:vAlign w:val="center"/>
          </w:tcPr>
          <w:p w14:paraId="7FFDD51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59.33</w:t>
            </w:r>
          </w:p>
        </w:tc>
        <w:tc>
          <w:tcPr>
            <w:tcW w:w="383" w:type="pct"/>
            <w:noWrap/>
            <w:vAlign w:val="center"/>
          </w:tcPr>
          <w:p w14:paraId="2DB7FE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B85E99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3CA517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33.33</w:t>
            </w:r>
          </w:p>
        </w:tc>
        <w:tc>
          <w:tcPr>
            <w:tcW w:w="388" w:type="pct"/>
            <w:noWrap/>
            <w:vAlign w:val="center"/>
          </w:tcPr>
          <w:p w14:paraId="7C13177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A6B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6B7864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47</w:t>
            </w:r>
          </w:p>
        </w:tc>
        <w:tc>
          <w:tcPr>
            <w:tcW w:w="212" w:type="pct"/>
            <w:vMerge w:val="continue"/>
            <w:noWrap/>
            <w:vAlign w:val="center"/>
          </w:tcPr>
          <w:p w14:paraId="70E555F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0CF3DD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54CE0B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ADF61B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5D148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38.29</w:t>
            </w:r>
          </w:p>
        </w:tc>
        <w:tc>
          <w:tcPr>
            <w:tcW w:w="397" w:type="pct"/>
            <w:noWrap/>
            <w:vAlign w:val="center"/>
          </w:tcPr>
          <w:p w14:paraId="40DBD92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20.76</w:t>
            </w:r>
          </w:p>
        </w:tc>
        <w:tc>
          <w:tcPr>
            <w:tcW w:w="235" w:type="pct"/>
            <w:noWrap/>
            <w:vAlign w:val="center"/>
          </w:tcPr>
          <w:p w14:paraId="782690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3A227E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51.85</w:t>
            </w:r>
          </w:p>
        </w:tc>
        <w:tc>
          <w:tcPr>
            <w:tcW w:w="460" w:type="pct"/>
            <w:noWrap/>
            <w:vAlign w:val="center"/>
          </w:tcPr>
          <w:p w14:paraId="57C080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55.59</w:t>
            </w:r>
          </w:p>
        </w:tc>
        <w:tc>
          <w:tcPr>
            <w:tcW w:w="383" w:type="pct"/>
            <w:noWrap/>
            <w:vAlign w:val="center"/>
          </w:tcPr>
          <w:p w14:paraId="41A618B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1F4324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6386CE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29.59</w:t>
            </w:r>
          </w:p>
        </w:tc>
        <w:tc>
          <w:tcPr>
            <w:tcW w:w="388" w:type="pct"/>
            <w:noWrap/>
            <w:vAlign w:val="center"/>
          </w:tcPr>
          <w:p w14:paraId="290BA1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1FB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4050A2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48</w:t>
            </w:r>
          </w:p>
        </w:tc>
        <w:tc>
          <w:tcPr>
            <w:tcW w:w="212" w:type="pct"/>
            <w:vMerge w:val="continue"/>
            <w:noWrap/>
            <w:vAlign w:val="center"/>
          </w:tcPr>
          <w:p w14:paraId="698633B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231FCD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59E476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C54EA9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3C2B0D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38.29</w:t>
            </w:r>
          </w:p>
        </w:tc>
        <w:tc>
          <w:tcPr>
            <w:tcW w:w="397" w:type="pct"/>
            <w:noWrap/>
            <w:vAlign w:val="center"/>
          </w:tcPr>
          <w:p w14:paraId="5191A7E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20.76</w:t>
            </w:r>
          </w:p>
        </w:tc>
        <w:tc>
          <w:tcPr>
            <w:tcW w:w="235" w:type="pct"/>
            <w:noWrap/>
            <w:vAlign w:val="center"/>
          </w:tcPr>
          <w:p w14:paraId="28A96D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7B0D4A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25.48</w:t>
            </w:r>
          </w:p>
        </w:tc>
        <w:tc>
          <w:tcPr>
            <w:tcW w:w="460" w:type="pct"/>
            <w:noWrap/>
            <w:vAlign w:val="center"/>
          </w:tcPr>
          <w:p w14:paraId="609D862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55.81</w:t>
            </w:r>
          </w:p>
        </w:tc>
        <w:tc>
          <w:tcPr>
            <w:tcW w:w="383" w:type="pct"/>
            <w:noWrap/>
            <w:vAlign w:val="center"/>
          </w:tcPr>
          <w:p w14:paraId="411657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489AAC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E84595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29.81</w:t>
            </w:r>
          </w:p>
        </w:tc>
        <w:tc>
          <w:tcPr>
            <w:tcW w:w="388" w:type="pct"/>
            <w:noWrap/>
            <w:vAlign w:val="center"/>
          </w:tcPr>
          <w:p w14:paraId="02B4556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8090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93672B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49</w:t>
            </w:r>
          </w:p>
        </w:tc>
        <w:tc>
          <w:tcPr>
            <w:tcW w:w="212" w:type="pct"/>
            <w:vMerge w:val="continue"/>
            <w:noWrap/>
            <w:vAlign w:val="center"/>
          </w:tcPr>
          <w:p w14:paraId="68A5A58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4745E94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华美达注塑机</w:t>
            </w:r>
            <w:r>
              <w:rPr>
                <w:rFonts w:hint="eastAsia" w:ascii="Times New Roman" w:hAnsi="Times New Roman" w:eastAsia="宋体" w:cs="Times New Roman"/>
                <w:i w:val="0"/>
                <w:iCs w:val="0"/>
                <w:color w:val="auto"/>
                <w:kern w:val="0"/>
                <w:sz w:val="21"/>
                <w:szCs w:val="21"/>
                <w:u w:val="none"/>
                <w:lang w:val="en-US" w:eastAsia="zh-CN" w:bidi="ar"/>
              </w:rPr>
              <w:t>9</w:t>
            </w:r>
          </w:p>
        </w:tc>
        <w:tc>
          <w:tcPr>
            <w:tcW w:w="425" w:type="pct"/>
            <w:vMerge w:val="restart"/>
            <w:noWrap/>
            <w:vAlign w:val="center"/>
          </w:tcPr>
          <w:p w14:paraId="5FD6647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75EA3B4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lang w:val="en-US" w:eastAsia="zh-CN"/>
              </w:rPr>
            </w:pPr>
          </w:p>
        </w:tc>
        <w:tc>
          <w:tcPr>
            <w:tcW w:w="373" w:type="pct"/>
            <w:vMerge w:val="continue"/>
            <w:noWrap w:val="0"/>
            <w:vAlign w:val="center"/>
          </w:tcPr>
          <w:p w14:paraId="4EEF9DE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F2464B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5.39</w:t>
            </w:r>
          </w:p>
        </w:tc>
        <w:tc>
          <w:tcPr>
            <w:tcW w:w="397" w:type="pct"/>
            <w:noWrap/>
            <w:vAlign w:val="center"/>
          </w:tcPr>
          <w:p w14:paraId="59E1BD5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6.8</w:t>
            </w:r>
          </w:p>
        </w:tc>
        <w:tc>
          <w:tcPr>
            <w:tcW w:w="235" w:type="pct"/>
            <w:noWrap/>
            <w:vAlign w:val="center"/>
          </w:tcPr>
          <w:p w14:paraId="2E8AE18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2B265D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8.69</w:t>
            </w:r>
          </w:p>
        </w:tc>
        <w:tc>
          <w:tcPr>
            <w:tcW w:w="460" w:type="pct"/>
            <w:noWrap/>
            <w:vAlign w:val="center"/>
          </w:tcPr>
          <w:p w14:paraId="27E773E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57.53</w:t>
            </w:r>
          </w:p>
        </w:tc>
        <w:tc>
          <w:tcPr>
            <w:tcW w:w="383" w:type="pct"/>
            <w:noWrap/>
            <w:vAlign w:val="center"/>
          </w:tcPr>
          <w:p w14:paraId="4A78601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F8744D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6EDD9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31.53</w:t>
            </w:r>
          </w:p>
        </w:tc>
        <w:tc>
          <w:tcPr>
            <w:tcW w:w="388" w:type="pct"/>
            <w:noWrap/>
            <w:vAlign w:val="center"/>
          </w:tcPr>
          <w:p w14:paraId="18ED2A5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408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8EFC1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w:t>
            </w:r>
          </w:p>
        </w:tc>
        <w:tc>
          <w:tcPr>
            <w:tcW w:w="212" w:type="pct"/>
            <w:vMerge w:val="continue"/>
            <w:noWrap/>
            <w:vAlign w:val="center"/>
          </w:tcPr>
          <w:p w14:paraId="7946FF1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E5C63D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8316B7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3F8F98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4A28E7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5.39</w:t>
            </w:r>
          </w:p>
        </w:tc>
        <w:tc>
          <w:tcPr>
            <w:tcW w:w="397" w:type="pct"/>
            <w:noWrap/>
            <w:vAlign w:val="center"/>
          </w:tcPr>
          <w:p w14:paraId="7BE2E4F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6.8</w:t>
            </w:r>
          </w:p>
        </w:tc>
        <w:tc>
          <w:tcPr>
            <w:tcW w:w="235" w:type="pct"/>
            <w:noWrap/>
            <w:vAlign w:val="center"/>
          </w:tcPr>
          <w:p w14:paraId="5B1A71B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26666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6.90</w:t>
            </w:r>
          </w:p>
        </w:tc>
        <w:tc>
          <w:tcPr>
            <w:tcW w:w="460" w:type="pct"/>
            <w:noWrap/>
            <w:vAlign w:val="center"/>
          </w:tcPr>
          <w:p w14:paraId="0E15424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58.39</w:t>
            </w:r>
          </w:p>
        </w:tc>
        <w:tc>
          <w:tcPr>
            <w:tcW w:w="383" w:type="pct"/>
            <w:noWrap/>
            <w:vAlign w:val="center"/>
          </w:tcPr>
          <w:p w14:paraId="0DDDA22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ADA8A7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814FE3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32.39</w:t>
            </w:r>
          </w:p>
        </w:tc>
        <w:tc>
          <w:tcPr>
            <w:tcW w:w="388" w:type="pct"/>
            <w:noWrap/>
            <w:vAlign w:val="center"/>
          </w:tcPr>
          <w:p w14:paraId="3830AB7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5B99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B4DB99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51</w:t>
            </w:r>
          </w:p>
        </w:tc>
        <w:tc>
          <w:tcPr>
            <w:tcW w:w="212" w:type="pct"/>
            <w:vMerge w:val="continue"/>
            <w:noWrap/>
            <w:vAlign w:val="center"/>
          </w:tcPr>
          <w:p w14:paraId="6003509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E78D09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9682BC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p>
        </w:tc>
        <w:tc>
          <w:tcPr>
            <w:tcW w:w="373" w:type="pct"/>
            <w:vMerge w:val="continue"/>
            <w:noWrap w:val="0"/>
            <w:vAlign w:val="center"/>
          </w:tcPr>
          <w:p w14:paraId="1EC04B7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0B3798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5.39</w:t>
            </w:r>
          </w:p>
        </w:tc>
        <w:tc>
          <w:tcPr>
            <w:tcW w:w="397" w:type="pct"/>
            <w:noWrap/>
            <w:vAlign w:val="center"/>
          </w:tcPr>
          <w:p w14:paraId="15069C8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6.8</w:t>
            </w:r>
          </w:p>
        </w:tc>
        <w:tc>
          <w:tcPr>
            <w:tcW w:w="235" w:type="pct"/>
            <w:noWrap/>
            <w:vAlign w:val="center"/>
          </w:tcPr>
          <w:p w14:paraId="0F480F6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289F33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10.09</w:t>
            </w:r>
          </w:p>
        </w:tc>
        <w:tc>
          <w:tcPr>
            <w:tcW w:w="460" w:type="pct"/>
            <w:noWrap/>
            <w:vAlign w:val="center"/>
          </w:tcPr>
          <w:p w14:paraId="075AFC3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57.10</w:t>
            </w:r>
          </w:p>
        </w:tc>
        <w:tc>
          <w:tcPr>
            <w:tcW w:w="383" w:type="pct"/>
            <w:noWrap/>
            <w:vAlign w:val="center"/>
          </w:tcPr>
          <w:p w14:paraId="2E59459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BD0873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51A68F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31.10</w:t>
            </w:r>
          </w:p>
        </w:tc>
        <w:tc>
          <w:tcPr>
            <w:tcW w:w="388" w:type="pct"/>
            <w:noWrap/>
            <w:vAlign w:val="center"/>
          </w:tcPr>
          <w:p w14:paraId="717B05D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9029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D0B44D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52</w:t>
            </w:r>
          </w:p>
        </w:tc>
        <w:tc>
          <w:tcPr>
            <w:tcW w:w="212" w:type="pct"/>
            <w:vMerge w:val="continue"/>
            <w:noWrap/>
            <w:vAlign w:val="center"/>
          </w:tcPr>
          <w:p w14:paraId="3960EB4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3A5C5E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A3C29D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D7766B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1FB258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5.39</w:t>
            </w:r>
          </w:p>
        </w:tc>
        <w:tc>
          <w:tcPr>
            <w:tcW w:w="397" w:type="pct"/>
            <w:noWrap/>
            <w:vAlign w:val="center"/>
          </w:tcPr>
          <w:p w14:paraId="653595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6.8</w:t>
            </w:r>
          </w:p>
        </w:tc>
        <w:tc>
          <w:tcPr>
            <w:tcW w:w="235" w:type="pct"/>
            <w:noWrap/>
            <w:vAlign w:val="center"/>
          </w:tcPr>
          <w:p w14:paraId="25AB487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027B74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41.14</w:t>
            </w:r>
          </w:p>
        </w:tc>
        <w:tc>
          <w:tcPr>
            <w:tcW w:w="460" w:type="pct"/>
            <w:noWrap/>
            <w:vAlign w:val="center"/>
          </w:tcPr>
          <w:p w14:paraId="2FDD06C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55.63</w:t>
            </w:r>
          </w:p>
        </w:tc>
        <w:tc>
          <w:tcPr>
            <w:tcW w:w="383" w:type="pct"/>
            <w:noWrap/>
            <w:vAlign w:val="center"/>
          </w:tcPr>
          <w:p w14:paraId="3A8A0F2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FDB7BA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120326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29.63</w:t>
            </w:r>
          </w:p>
        </w:tc>
        <w:tc>
          <w:tcPr>
            <w:tcW w:w="388" w:type="pct"/>
            <w:noWrap/>
            <w:vAlign w:val="center"/>
          </w:tcPr>
          <w:p w14:paraId="1A54C6F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A69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C2454F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53</w:t>
            </w:r>
          </w:p>
        </w:tc>
        <w:tc>
          <w:tcPr>
            <w:tcW w:w="212" w:type="pct"/>
            <w:vMerge w:val="continue"/>
            <w:noWrap/>
            <w:vAlign w:val="center"/>
          </w:tcPr>
          <w:p w14:paraId="5B8BE94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7C1F46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0E1B87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7FD019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FE31C1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5.39</w:t>
            </w:r>
          </w:p>
        </w:tc>
        <w:tc>
          <w:tcPr>
            <w:tcW w:w="397" w:type="pct"/>
            <w:noWrap/>
            <w:vAlign w:val="center"/>
          </w:tcPr>
          <w:p w14:paraId="4DCE269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6.8</w:t>
            </w:r>
          </w:p>
        </w:tc>
        <w:tc>
          <w:tcPr>
            <w:tcW w:w="235" w:type="pct"/>
            <w:noWrap/>
            <w:vAlign w:val="center"/>
          </w:tcPr>
          <w:p w14:paraId="7EACC0F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EA4DBD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51.51</w:t>
            </w:r>
          </w:p>
        </w:tc>
        <w:tc>
          <w:tcPr>
            <w:tcW w:w="460" w:type="pct"/>
            <w:noWrap/>
            <w:vAlign w:val="center"/>
          </w:tcPr>
          <w:p w14:paraId="6FFF200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55.59</w:t>
            </w:r>
          </w:p>
        </w:tc>
        <w:tc>
          <w:tcPr>
            <w:tcW w:w="383" w:type="pct"/>
            <w:noWrap/>
            <w:vAlign w:val="center"/>
          </w:tcPr>
          <w:p w14:paraId="5A59468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828112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04FAE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29.59</w:t>
            </w:r>
          </w:p>
        </w:tc>
        <w:tc>
          <w:tcPr>
            <w:tcW w:w="388" w:type="pct"/>
            <w:noWrap/>
            <w:vAlign w:val="center"/>
          </w:tcPr>
          <w:p w14:paraId="79B464C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724C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039101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54</w:t>
            </w:r>
          </w:p>
        </w:tc>
        <w:tc>
          <w:tcPr>
            <w:tcW w:w="212" w:type="pct"/>
            <w:vMerge w:val="continue"/>
            <w:noWrap/>
            <w:vAlign w:val="center"/>
          </w:tcPr>
          <w:p w14:paraId="31F3977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4B1580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16C052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C35AE1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BB4066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5.39</w:t>
            </w:r>
          </w:p>
        </w:tc>
        <w:tc>
          <w:tcPr>
            <w:tcW w:w="397" w:type="pct"/>
            <w:noWrap/>
            <w:vAlign w:val="center"/>
          </w:tcPr>
          <w:p w14:paraId="5794794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6.8</w:t>
            </w:r>
          </w:p>
        </w:tc>
        <w:tc>
          <w:tcPr>
            <w:tcW w:w="235" w:type="pct"/>
            <w:noWrap/>
            <w:vAlign w:val="center"/>
          </w:tcPr>
          <w:p w14:paraId="502CEB8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0BC039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7.65</w:t>
            </w:r>
          </w:p>
        </w:tc>
        <w:tc>
          <w:tcPr>
            <w:tcW w:w="460" w:type="pct"/>
            <w:noWrap/>
            <w:vAlign w:val="center"/>
          </w:tcPr>
          <w:p w14:paraId="6076B48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57.98</w:t>
            </w:r>
          </w:p>
        </w:tc>
        <w:tc>
          <w:tcPr>
            <w:tcW w:w="383" w:type="pct"/>
            <w:noWrap/>
            <w:vAlign w:val="center"/>
          </w:tcPr>
          <w:p w14:paraId="24D63E8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BB06EF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A68256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31.98</w:t>
            </w:r>
          </w:p>
        </w:tc>
        <w:tc>
          <w:tcPr>
            <w:tcW w:w="388" w:type="pct"/>
            <w:noWrap/>
            <w:vAlign w:val="center"/>
          </w:tcPr>
          <w:p w14:paraId="0202CCE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387B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83541E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55</w:t>
            </w:r>
          </w:p>
        </w:tc>
        <w:tc>
          <w:tcPr>
            <w:tcW w:w="212" w:type="pct"/>
            <w:vMerge w:val="continue"/>
            <w:noWrap/>
            <w:vAlign w:val="center"/>
          </w:tcPr>
          <w:p w14:paraId="091FBA8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512580A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华美达注塑机</w:t>
            </w:r>
            <w:r>
              <w:rPr>
                <w:rFonts w:hint="eastAsia" w:ascii="Times New Roman" w:hAnsi="Times New Roman" w:eastAsia="宋体" w:cs="Times New Roman"/>
                <w:i w:val="0"/>
                <w:iCs w:val="0"/>
                <w:color w:val="auto"/>
                <w:kern w:val="0"/>
                <w:sz w:val="21"/>
                <w:szCs w:val="21"/>
                <w:u w:val="none"/>
                <w:lang w:val="en-US" w:eastAsia="zh-CN" w:bidi="ar"/>
              </w:rPr>
              <w:t>10</w:t>
            </w:r>
          </w:p>
        </w:tc>
        <w:tc>
          <w:tcPr>
            <w:tcW w:w="425" w:type="pct"/>
            <w:vMerge w:val="restart"/>
            <w:noWrap/>
            <w:vAlign w:val="center"/>
          </w:tcPr>
          <w:p w14:paraId="236F066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1434D42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868FA2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A2F8ED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w:t>
            </w:r>
          </w:p>
        </w:tc>
        <w:tc>
          <w:tcPr>
            <w:tcW w:w="397" w:type="pct"/>
            <w:noWrap/>
            <w:vAlign w:val="center"/>
          </w:tcPr>
          <w:p w14:paraId="0FD2EF1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10.73</w:t>
            </w:r>
          </w:p>
        </w:tc>
        <w:tc>
          <w:tcPr>
            <w:tcW w:w="235" w:type="pct"/>
            <w:noWrap/>
            <w:vAlign w:val="center"/>
          </w:tcPr>
          <w:p w14:paraId="354B679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22D266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8.62</w:t>
            </w:r>
          </w:p>
        </w:tc>
        <w:tc>
          <w:tcPr>
            <w:tcW w:w="460" w:type="pct"/>
            <w:noWrap/>
            <w:vAlign w:val="center"/>
          </w:tcPr>
          <w:p w14:paraId="3EF3F7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57.56</w:t>
            </w:r>
          </w:p>
        </w:tc>
        <w:tc>
          <w:tcPr>
            <w:tcW w:w="383" w:type="pct"/>
            <w:noWrap/>
            <w:vAlign w:val="center"/>
          </w:tcPr>
          <w:p w14:paraId="18653BA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0869A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9325FB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31.56</w:t>
            </w:r>
          </w:p>
        </w:tc>
        <w:tc>
          <w:tcPr>
            <w:tcW w:w="388" w:type="pct"/>
            <w:noWrap/>
            <w:vAlign w:val="center"/>
          </w:tcPr>
          <w:p w14:paraId="51A0CF1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D1F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12F912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56</w:t>
            </w:r>
          </w:p>
        </w:tc>
        <w:tc>
          <w:tcPr>
            <w:tcW w:w="212" w:type="pct"/>
            <w:vMerge w:val="continue"/>
            <w:noWrap/>
            <w:vAlign w:val="center"/>
          </w:tcPr>
          <w:p w14:paraId="696BD75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C99AFF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DAD12B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DE5C17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03DEE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w:t>
            </w:r>
          </w:p>
        </w:tc>
        <w:tc>
          <w:tcPr>
            <w:tcW w:w="397" w:type="pct"/>
            <w:noWrap/>
            <w:vAlign w:val="center"/>
          </w:tcPr>
          <w:p w14:paraId="42785EC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10.73</w:t>
            </w:r>
          </w:p>
        </w:tc>
        <w:tc>
          <w:tcPr>
            <w:tcW w:w="235" w:type="pct"/>
            <w:noWrap/>
            <w:vAlign w:val="center"/>
          </w:tcPr>
          <w:p w14:paraId="6908F51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59D5B1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10.90</w:t>
            </w:r>
          </w:p>
        </w:tc>
        <w:tc>
          <w:tcPr>
            <w:tcW w:w="460" w:type="pct"/>
            <w:noWrap/>
            <w:vAlign w:val="center"/>
          </w:tcPr>
          <w:p w14:paraId="42B4FB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56.90</w:t>
            </w:r>
          </w:p>
        </w:tc>
        <w:tc>
          <w:tcPr>
            <w:tcW w:w="383" w:type="pct"/>
            <w:noWrap/>
            <w:vAlign w:val="center"/>
          </w:tcPr>
          <w:p w14:paraId="368CEFB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EE098A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1DCE97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30.90</w:t>
            </w:r>
          </w:p>
        </w:tc>
        <w:tc>
          <w:tcPr>
            <w:tcW w:w="388" w:type="pct"/>
            <w:noWrap/>
            <w:vAlign w:val="center"/>
          </w:tcPr>
          <w:p w14:paraId="1CEA5D4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0861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BD1ED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57</w:t>
            </w:r>
          </w:p>
        </w:tc>
        <w:tc>
          <w:tcPr>
            <w:tcW w:w="212" w:type="pct"/>
            <w:vMerge w:val="continue"/>
            <w:noWrap/>
            <w:vAlign w:val="center"/>
          </w:tcPr>
          <w:p w14:paraId="4B2F028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EE0A0E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1DA878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DAD6A2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A830C0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w:t>
            </w:r>
          </w:p>
        </w:tc>
        <w:tc>
          <w:tcPr>
            <w:tcW w:w="397" w:type="pct"/>
            <w:noWrap/>
            <w:vAlign w:val="center"/>
          </w:tcPr>
          <w:p w14:paraId="5121DFC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10.73</w:t>
            </w:r>
          </w:p>
        </w:tc>
        <w:tc>
          <w:tcPr>
            <w:tcW w:w="235" w:type="pct"/>
            <w:noWrap/>
            <w:vAlign w:val="center"/>
          </w:tcPr>
          <w:p w14:paraId="67DC771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8FFBD5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14.48</w:t>
            </w:r>
          </w:p>
        </w:tc>
        <w:tc>
          <w:tcPr>
            <w:tcW w:w="460" w:type="pct"/>
            <w:noWrap/>
            <w:vAlign w:val="center"/>
          </w:tcPr>
          <w:p w14:paraId="53E5BF1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56.36</w:t>
            </w:r>
          </w:p>
        </w:tc>
        <w:tc>
          <w:tcPr>
            <w:tcW w:w="383" w:type="pct"/>
            <w:noWrap/>
            <w:vAlign w:val="center"/>
          </w:tcPr>
          <w:p w14:paraId="7BB6F0D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E80131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533E7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30.36</w:t>
            </w:r>
          </w:p>
        </w:tc>
        <w:tc>
          <w:tcPr>
            <w:tcW w:w="388" w:type="pct"/>
            <w:noWrap/>
            <w:vAlign w:val="center"/>
          </w:tcPr>
          <w:p w14:paraId="7A1AFD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F981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DD15E2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58</w:t>
            </w:r>
          </w:p>
        </w:tc>
        <w:tc>
          <w:tcPr>
            <w:tcW w:w="212" w:type="pct"/>
            <w:vMerge w:val="continue"/>
            <w:noWrap/>
            <w:vAlign w:val="center"/>
          </w:tcPr>
          <w:p w14:paraId="00433BD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D3B876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2ACA1E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DA8B48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A0287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w:t>
            </w:r>
          </w:p>
        </w:tc>
        <w:tc>
          <w:tcPr>
            <w:tcW w:w="397" w:type="pct"/>
            <w:noWrap/>
            <w:vAlign w:val="center"/>
          </w:tcPr>
          <w:p w14:paraId="55C8C64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10.73</w:t>
            </w:r>
          </w:p>
        </w:tc>
        <w:tc>
          <w:tcPr>
            <w:tcW w:w="235" w:type="pct"/>
            <w:noWrap/>
            <w:vAlign w:val="center"/>
          </w:tcPr>
          <w:p w14:paraId="6F5845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468E32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41.02</w:t>
            </w:r>
          </w:p>
        </w:tc>
        <w:tc>
          <w:tcPr>
            <w:tcW w:w="460" w:type="pct"/>
            <w:noWrap/>
            <w:vAlign w:val="center"/>
          </w:tcPr>
          <w:p w14:paraId="468F792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55.63</w:t>
            </w:r>
          </w:p>
        </w:tc>
        <w:tc>
          <w:tcPr>
            <w:tcW w:w="383" w:type="pct"/>
            <w:noWrap/>
            <w:vAlign w:val="center"/>
          </w:tcPr>
          <w:p w14:paraId="7787D46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81EC33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EE72B9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29.63</w:t>
            </w:r>
          </w:p>
        </w:tc>
        <w:tc>
          <w:tcPr>
            <w:tcW w:w="388" w:type="pct"/>
            <w:noWrap/>
            <w:vAlign w:val="center"/>
          </w:tcPr>
          <w:p w14:paraId="3F250FE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B3B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FBCCB8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59</w:t>
            </w:r>
          </w:p>
        </w:tc>
        <w:tc>
          <w:tcPr>
            <w:tcW w:w="212" w:type="pct"/>
            <w:vMerge w:val="continue"/>
            <w:noWrap/>
            <w:vAlign w:val="center"/>
          </w:tcPr>
          <w:p w14:paraId="66B060F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E37F7C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7358F9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209C95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8666F7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w:t>
            </w:r>
          </w:p>
        </w:tc>
        <w:tc>
          <w:tcPr>
            <w:tcW w:w="397" w:type="pct"/>
            <w:noWrap/>
            <w:vAlign w:val="center"/>
          </w:tcPr>
          <w:p w14:paraId="7911DC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10.73</w:t>
            </w:r>
          </w:p>
        </w:tc>
        <w:tc>
          <w:tcPr>
            <w:tcW w:w="235" w:type="pct"/>
            <w:noWrap/>
            <w:vAlign w:val="center"/>
          </w:tcPr>
          <w:p w14:paraId="4C2AF45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4EF76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47.07</w:t>
            </w:r>
          </w:p>
        </w:tc>
        <w:tc>
          <w:tcPr>
            <w:tcW w:w="460" w:type="pct"/>
            <w:noWrap/>
            <w:vAlign w:val="center"/>
          </w:tcPr>
          <w:p w14:paraId="6429A5F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55.61</w:t>
            </w:r>
          </w:p>
        </w:tc>
        <w:tc>
          <w:tcPr>
            <w:tcW w:w="383" w:type="pct"/>
            <w:noWrap/>
            <w:vAlign w:val="center"/>
          </w:tcPr>
          <w:p w14:paraId="7128703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FB668B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F7EA0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29.61</w:t>
            </w:r>
          </w:p>
        </w:tc>
        <w:tc>
          <w:tcPr>
            <w:tcW w:w="388" w:type="pct"/>
            <w:noWrap/>
            <w:vAlign w:val="center"/>
          </w:tcPr>
          <w:p w14:paraId="15F2A8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4EEA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13828F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60</w:t>
            </w:r>
          </w:p>
        </w:tc>
        <w:tc>
          <w:tcPr>
            <w:tcW w:w="212" w:type="pct"/>
            <w:vMerge w:val="continue"/>
            <w:noWrap/>
            <w:vAlign w:val="center"/>
          </w:tcPr>
          <w:p w14:paraId="267CA7E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92ECFF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50F813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9F1036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9E7C8F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w:t>
            </w:r>
          </w:p>
        </w:tc>
        <w:tc>
          <w:tcPr>
            <w:tcW w:w="397" w:type="pct"/>
            <w:noWrap/>
            <w:vAlign w:val="center"/>
          </w:tcPr>
          <w:p w14:paraId="389F56B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10.73</w:t>
            </w:r>
          </w:p>
        </w:tc>
        <w:tc>
          <w:tcPr>
            <w:tcW w:w="235" w:type="pct"/>
            <w:noWrap/>
            <w:vAlign w:val="center"/>
          </w:tcPr>
          <w:p w14:paraId="525A839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B63253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6.35</w:t>
            </w:r>
          </w:p>
        </w:tc>
        <w:tc>
          <w:tcPr>
            <w:tcW w:w="460" w:type="pct"/>
            <w:noWrap/>
            <w:vAlign w:val="center"/>
          </w:tcPr>
          <w:p w14:paraId="5212DEE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58.75</w:t>
            </w:r>
          </w:p>
        </w:tc>
        <w:tc>
          <w:tcPr>
            <w:tcW w:w="383" w:type="pct"/>
            <w:noWrap/>
            <w:vAlign w:val="center"/>
          </w:tcPr>
          <w:p w14:paraId="504CB62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1B1B96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2B12AE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32.75</w:t>
            </w:r>
          </w:p>
        </w:tc>
        <w:tc>
          <w:tcPr>
            <w:tcW w:w="388" w:type="pct"/>
            <w:noWrap/>
            <w:vAlign w:val="center"/>
          </w:tcPr>
          <w:p w14:paraId="3C1A714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4FA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0FDE491">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61</w:t>
            </w:r>
          </w:p>
        </w:tc>
        <w:tc>
          <w:tcPr>
            <w:tcW w:w="212" w:type="pct"/>
            <w:vMerge w:val="continue"/>
            <w:noWrap/>
            <w:vAlign w:val="center"/>
          </w:tcPr>
          <w:p w14:paraId="086EBA0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p>
        </w:tc>
        <w:tc>
          <w:tcPr>
            <w:tcW w:w="278" w:type="pct"/>
            <w:vMerge w:val="restart"/>
            <w:noWrap/>
            <w:vAlign w:val="center"/>
          </w:tcPr>
          <w:p w14:paraId="2A59FFC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华美达注塑机</w:t>
            </w:r>
            <w:r>
              <w:rPr>
                <w:rFonts w:hint="eastAsia" w:ascii="Times New Roman" w:hAnsi="Times New Roman" w:eastAsia="宋体" w:cs="Times New Roman"/>
                <w:i w:val="0"/>
                <w:iCs w:val="0"/>
                <w:color w:val="auto"/>
                <w:kern w:val="0"/>
                <w:sz w:val="21"/>
                <w:szCs w:val="21"/>
                <w:u w:val="none"/>
                <w:lang w:val="en-US" w:eastAsia="zh-CN" w:bidi="ar"/>
              </w:rPr>
              <w:t>11</w:t>
            </w:r>
          </w:p>
        </w:tc>
        <w:tc>
          <w:tcPr>
            <w:tcW w:w="425" w:type="pct"/>
            <w:vMerge w:val="restart"/>
            <w:noWrap/>
            <w:vAlign w:val="center"/>
          </w:tcPr>
          <w:p w14:paraId="76DB56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3601EAA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lang w:val="en-US" w:eastAsia="zh-CN"/>
              </w:rPr>
            </w:pPr>
          </w:p>
        </w:tc>
        <w:tc>
          <w:tcPr>
            <w:tcW w:w="373" w:type="pct"/>
            <w:vMerge w:val="continue"/>
            <w:noWrap w:val="0"/>
            <w:vAlign w:val="center"/>
          </w:tcPr>
          <w:p w14:paraId="287FC08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06B48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w:t>
            </w:r>
          </w:p>
        </w:tc>
        <w:tc>
          <w:tcPr>
            <w:tcW w:w="397" w:type="pct"/>
            <w:noWrap/>
            <w:vAlign w:val="center"/>
          </w:tcPr>
          <w:p w14:paraId="50FE87F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14.55</w:t>
            </w:r>
          </w:p>
        </w:tc>
        <w:tc>
          <w:tcPr>
            <w:tcW w:w="235" w:type="pct"/>
            <w:noWrap/>
            <w:vAlign w:val="center"/>
          </w:tcPr>
          <w:p w14:paraId="1118B74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978AD3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8.94</w:t>
            </w:r>
          </w:p>
        </w:tc>
        <w:tc>
          <w:tcPr>
            <w:tcW w:w="460" w:type="pct"/>
            <w:noWrap/>
            <w:vAlign w:val="center"/>
          </w:tcPr>
          <w:p w14:paraId="2867BA3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57.44</w:t>
            </w:r>
          </w:p>
        </w:tc>
        <w:tc>
          <w:tcPr>
            <w:tcW w:w="383" w:type="pct"/>
            <w:noWrap/>
            <w:vAlign w:val="center"/>
          </w:tcPr>
          <w:p w14:paraId="610CC5B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C11E2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536D9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31.44</w:t>
            </w:r>
          </w:p>
        </w:tc>
        <w:tc>
          <w:tcPr>
            <w:tcW w:w="388" w:type="pct"/>
            <w:noWrap/>
            <w:vAlign w:val="center"/>
          </w:tcPr>
          <w:p w14:paraId="260D44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475B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9A3E5E4">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62</w:t>
            </w:r>
          </w:p>
        </w:tc>
        <w:tc>
          <w:tcPr>
            <w:tcW w:w="212" w:type="pct"/>
            <w:vMerge w:val="continue"/>
            <w:noWrap/>
            <w:vAlign w:val="center"/>
          </w:tcPr>
          <w:p w14:paraId="45C974B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D283C6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6BECAC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D642AC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2B65DB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w:t>
            </w:r>
          </w:p>
        </w:tc>
        <w:tc>
          <w:tcPr>
            <w:tcW w:w="397" w:type="pct"/>
            <w:noWrap/>
            <w:vAlign w:val="center"/>
          </w:tcPr>
          <w:p w14:paraId="3B7CB04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14.55</w:t>
            </w:r>
          </w:p>
        </w:tc>
        <w:tc>
          <w:tcPr>
            <w:tcW w:w="235" w:type="pct"/>
            <w:noWrap/>
            <w:vAlign w:val="center"/>
          </w:tcPr>
          <w:p w14:paraId="38BAAD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5FBFD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14.78</w:t>
            </w:r>
          </w:p>
        </w:tc>
        <w:tc>
          <w:tcPr>
            <w:tcW w:w="460" w:type="pct"/>
            <w:noWrap/>
            <w:vAlign w:val="center"/>
          </w:tcPr>
          <w:p w14:paraId="0AEA714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56.33</w:t>
            </w:r>
          </w:p>
        </w:tc>
        <w:tc>
          <w:tcPr>
            <w:tcW w:w="383" w:type="pct"/>
            <w:noWrap/>
            <w:vAlign w:val="center"/>
          </w:tcPr>
          <w:p w14:paraId="5D29761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2C84E2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FB824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30.33</w:t>
            </w:r>
          </w:p>
        </w:tc>
        <w:tc>
          <w:tcPr>
            <w:tcW w:w="388" w:type="pct"/>
            <w:noWrap/>
            <w:vAlign w:val="center"/>
          </w:tcPr>
          <w:p w14:paraId="258A0DE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F05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8F37F8E">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63</w:t>
            </w:r>
          </w:p>
        </w:tc>
        <w:tc>
          <w:tcPr>
            <w:tcW w:w="212" w:type="pct"/>
            <w:vMerge w:val="continue"/>
            <w:noWrap/>
            <w:vAlign w:val="center"/>
          </w:tcPr>
          <w:p w14:paraId="387A817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3407AD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45928D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6E24AA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25FA9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w:t>
            </w:r>
          </w:p>
        </w:tc>
        <w:tc>
          <w:tcPr>
            <w:tcW w:w="397" w:type="pct"/>
            <w:noWrap/>
            <w:vAlign w:val="center"/>
          </w:tcPr>
          <w:p w14:paraId="55E9A04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14.55</w:t>
            </w:r>
          </w:p>
        </w:tc>
        <w:tc>
          <w:tcPr>
            <w:tcW w:w="235" w:type="pct"/>
            <w:noWrap/>
            <w:vAlign w:val="center"/>
          </w:tcPr>
          <w:p w14:paraId="3CB8AA3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CC6B4F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18.61</w:t>
            </w:r>
          </w:p>
        </w:tc>
        <w:tc>
          <w:tcPr>
            <w:tcW w:w="460" w:type="pct"/>
            <w:noWrap/>
            <w:vAlign w:val="center"/>
          </w:tcPr>
          <w:p w14:paraId="33D7197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56.04</w:t>
            </w:r>
          </w:p>
        </w:tc>
        <w:tc>
          <w:tcPr>
            <w:tcW w:w="383" w:type="pct"/>
            <w:noWrap/>
            <w:vAlign w:val="center"/>
          </w:tcPr>
          <w:p w14:paraId="52263D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4E2BDD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B5A6D1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30.04</w:t>
            </w:r>
          </w:p>
        </w:tc>
        <w:tc>
          <w:tcPr>
            <w:tcW w:w="388" w:type="pct"/>
            <w:noWrap/>
            <w:vAlign w:val="center"/>
          </w:tcPr>
          <w:p w14:paraId="0C58D9E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4168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8159BA0">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64</w:t>
            </w:r>
          </w:p>
        </w:tc>
        <w:tc>
          <w:tcPr>
            <w:tcW w:w="212" w:type="pct"/>
            <w:vMerge w:val="continue"/>
            <w:noWrap/>
            <w:vAlign w:val="center"/>
          </w:tcPr>
          <w:p w14:paraId="4B9E0FF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7735AC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A6F001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C85BD8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27FB5E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w:t>
            </w:r>
          </w:p>
        </w:tc>
        <w:tc>
          <w:tcPr>
            <w:tcW w:w="397" w:type="pct"/>
            <w:noWrap/>
            <w:vAlign w:val="center"/>
          </w:tcPr>
          <w:p w14:paraId="748A23F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14.55</w:t>
            </w:r>
          </w:p>
        </w:tc>
        <w:tc>
          <w:tcPr>
            <w:tcW w:w="235" w:type="pct"/>
            <w:noWrap/>
            <w:vAlign w:val="center"/>
          </w:tcPr>
          <w:p w14:paraId="5B3781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F3F56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40.53</w:t>
            </w:r>
          </w:p>
        </w:tc>
        <w:tc>
          <w:tcPr>
            <w:tcW w:w="460" w:type="pct"/>
            <w:noWrap/>
            <w:vAlign w:val="center"/>
          </w:tcPr>
          <w:p w14:paraId="7ADE50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55.64</w:t>
            </w:r>
          </w:p>
        </w:tc>
        <w:tc>
          <w:tcPr>
            <w:tcW w:w="383" w:type="pct"/>
            <w:noWrap/>
            <w:vAlign w:val="center"/>
          </w:tcPr>
          <w:p w14:paraId="666A8BD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824610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0C3EA4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29.64</w:t>
            </w:r>
          </w:p>
        </w:tc>
        <w:tc>
          <w:tcPr>
            <w:tcW w:w="388" w:type="pct"/>
            <w:noWrap/>
            <w:vAlign w:val="center"/>
          </w:tcPr>
          <w:p w14:paraId="734FE8D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F74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D39A6F9">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65</w:t>
            </w:r>
          </w:p>
        </w:tc>
        <w:tc>
          <w:tcPr>
            <w:tcW w:w="212" w:type="pct"/>
            <w:vMerge w:val="continue"/>
            <w:noWrap/>
            <w:vAlign w:val="center"/>
          </w:tcPr>
          <w:p w14:paraId="481F38A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9F0800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265A75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8F6760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7FC110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w:t>
            </w:r>
          </w:p>
        </w:tc>
        <w:tc>
          <w:tcPr>
            <w:tcW w:w="397" w:type="pct"/>
            <w:noWrap/>
            <w:vAlign w:val="center"/>
          </w:tcPr>
          <w:p w14:paraId="458F95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14.55</w:t>
            </w:r>
          </w:p>
        </w:tc>
        <w:tc>
          <w:tcPr>
            <w:tcW w:w="235" w:type="pct"/>
            <w:noWrap/>
            <w:vAlign w:val="center"/>
          </w:tcPr>
          <w:p w14:paraId="7FA865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A8F20B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42.93</w:t>
            </w:r>
          </w:p>
        </w:tc>
        <w:tc>
          <w:tcPr>
            <w:tcW w:w="460" w:type="pct"/>
            <w:noWrap/>
            <w:vAlign w:val="center"/>
          </w:tcPr>
          <w:p w14:paraId="42DB417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55.62</w:t>
            </w:r>
          </w:p>
        </w:tc>
        <w:tc>
          <w:tcPr>
            <w:tcW w:w="383" w:type="pct"/>
            <w:noWrap/>
            <w:vAlign w:val="center"/>
          </w:tcPr>
          <w:p w14:paraId="4725CBA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8BD35A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95369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29.62</w:t>
            </w:r>
          </w:p>
        </w:tc>
        <w:tc>
          <w:tcPr>
            <w:tcW w:w="388" w:type="pct"/>
            <w:noWrap/>
            <w:vAlign w:val="center"/>
          </w:tcPr>
          <w:p w14:paraId="134588E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664D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C1E2187">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66</w:t>
            </w:r>
          </w:p>
        </w:tc>
        <w:tc>
          <w:tcPr>
            <w:tcW w:w="212" w:type="pct"/>
            <w:vMerge w:val="continue"/>
            <w:noWrap/>
            <w:vAlign w:val="center"/>
          </w:tcPr>
          <w:p w14:paraId="207C76E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3DC9DD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BED186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9AFD63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ED7753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w:t>
            </w:r>
          </w:p>
        </w:tc>
        <w:tc>
          <w:tcPr>
            <w:tcW w:w="397" w:type="pct"/>
            <w:noWrap/>
            <w:vAlign w:val="center"/>
          </w:tcPr>
          <w:p w14:paraId="7F417B1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14.55</w:t>
            </w:r>
          </w:p>
        </w:tc>
        <w:tc>
          <w:tcPr>
            <w:tcW w:w="235" w:type="pct"/>
            <w:noWrap/>
            <w:vAlign w:val="center"/>
          </w:tcPr>
          <w:p w14:paraId="4A14FF4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82195A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4.78</w:t>
            </w:r>
          </w:p>
        </w:tc>
        <w:tc>
          <w:tcPr>
            <w:tcW w:w="460" w:type="pct"/>
            <w:noWrap/>
            <w:vAlign w:val="center"/>
          </w:tcPr>
          <w:p w14:paraId="6258E7F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60.22</w:t>
            </w:r>
          </w:p>
        </w:tc>
        <w:tc>
          <w:tcPr>
            <w:tcW w:w="383" w:type="pct"/>
            <w:noWrap/>
            <w:vAlign w:val="center"/>
          </w:tcPr>
          <w:p w14:paraId="67C9277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4438D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D36A8F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34.22</w:t>
            </w:r>
          </w:p>
        </w:tc>
        <w:tc>
          <w:tcPr>
            <w:tcW w:w="388" w:type="pct"/>
            <w:noWrap/>
            <w:vAlign w:val="center"/>
          </w:tcPr>
          <w:p w14:paraId="3588E61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04FD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4CC9A32">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67</w:t>
            </w:r>
          </w:p>
        </w:tc>
        <w:tc>
          <w:tcPr>
            <w:tcW w:w="212" w:type="pct"/>
            <w:vMerge w:val="continue"/>
            <w:noWrap/>
            <w:vAlign w:val="center"/>
          </w:tcPr>
          <w:p w14:paraId="777AA30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44B8510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华美达注塑机</w:t>
            </w:r>
            <w:r>
              <w:rPr>
                <w:rFonts w:hint="eastAsia" w:ascii="Times New Roman" w:hAnsi="Times New Roman" w:eastAsia="宋体" w:cs="Times New Roman"/>
                <w:i w:val="0"/>
                <w:iCs w:val="0"/>
                <w:color w:val="auto"/>
                <w:kern w:val="0"/>
                <w:sz w:val="21"/>
                <w:szCs w:val="21"/>
                <w:u w:val="none"/>
                <w:lang w:val="en-US" w:eastAsia="zh-CN" w:bidi="ar"/>
              </w:rPr>
              <w:t>12</w:t>
            </w:r>
          </w:p>
        </w:tc>
        <w:tc>
          <w:tcPr>
            <w:tcW w:w="425" w:type="pct"/>
            <w:vMerge w:val="restart"/>
            <w:noWrap/>
            <w:vAlign w:val="center"/>
          </w:tcPr>
          <w:p w14:paraId="1B375FE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43146E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B93C96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37E5E4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-0.14</w:t>
            </w:r>
          </w:p>
        </w:tc>
        <w:tc>
          <w:tcPr>
            <w:tcW w:w="397" w:type="pct"/>
            <w:noWrap/>
            <w:vAlign w:val="center"/>
          </w:tcPr>
          <w:p w14:paraId="7D40CA5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18.11</w:t>
            </w:r>
          </w:p>
        </w:tc>
        <w:tc>
          <w:tcPr>
            <w:tcW w:w="235" w:type="pct"/>
            <w:noWrap/>
            <w:vAlign w:val="center"/>
          </w:tcPr>
          <w:p w14:paraId="78D5842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AFF55C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8.93</w:t>
            </w:r>
          </w:p>
        </w:tc>
        <w:tc>
          <w:tcPr>
            <w:tcW w:w="460" w:type="pct"/>
            <w:noWrap/>
            <w:vAlign w:val="center"/>
          </w:tcPr>
          <w:p w14:paraId="3C64942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57.45</w:t>
            </w:r>
          </w:p>
        </w:tc>
        <w:tc>
          <w:tcPr>
            <w:tcW w:w="383" w:type="pct"/>
            <w:noWrap/>
            <w:vAlign w:val="center"/>
          </w:tcPr>
          <w:p w14:paraId="61F5682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F5E694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CCB479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31.45</w:t>
            </w:r>
          </w:p>
        </w:tc>
        <w:tc>
          <w:tcPr>
            <w:tcW w:w="388" w:type="pct"/>
            <w:noWrap/>
            <w:vAlign w:val="center"/>
          </w:tcPr>
          <w:p w14:paraId="4335038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7A4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C8C5A0C">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68</w:t>
            </w:r>
          </w:p>
        </w:tc>
        <w:tc>
          <w:tcPr>
            <w:tcW w:w="212" w:type="pct"/>
            <w:vMerge w:val="continue"/>
            <w:noWrap/>
            <w:vAlign w:val="center"/>
          </w:tcPr>
          <w:p w14:paraId="6857D66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516A5E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0A65FE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05CFFF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CDCE81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-0.14</w:t>
            </w:r>
          </w:p>
        </w:tc>
        <w:tc>
          <w:tcPr>
            <w:tcW w:w="397" w:type="pct"/>
            <w:noWrap/>
            <w:vAlign w:val="center"/>
          </w:tcPr>
          <w:p w14:paraId="51F695F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18.11</w:t>
            </w:r>
          </w:p>
        </w:tc>
        <w:tc>
          <w:tcPr>
            <w:tcW w:w="235" w:type="pct"/>
            <w:noWrap/>
            <w:vAlign w:val="center"/>
          </w:tcPr>
          <w:p w14:paraId="5815CB7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B0C756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18.40</w:t>
            </w:r>
          </w:p>
        </w:tc>
        <w:tc>
          <w:tcPr>
            <w:tcW w:w="460" w:type="pct"/>
            <w:noWrap/>
            <w:vAlign w:val="center"/>
          </w:tcPr>
          <w:p w14:paraId="5D5E2D6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56.06</w:t>
            </w:r>
          </w:p>
        </w:tc>
        <w:tc>
          <w:tcPr>
            <w:tcW w:w="383" w:type="pct"/>
            <w:noWrap/>
            <w:vAlign w:val="center"/>
          </w:tcPr>
          <w:p w14:paraId="5ECA01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0CB760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B5B4D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30.06</w:t>
            </w:r>
          </w:p>
        </w:tc>
        <w:tc>
          <w:tcPr>
            <w:tcW w:w="388" w:type="pct"/>
            <w:noWrap/>
            <w:vAlign w:val="center"/>
          </w:tcPr>
          <w:p w14:paraId="454B875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75D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F1A5A24">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69</w:t>
            </w:r>
          </w:p>
        </w:tc>
        <w:tc>
          <w:tcPr>
            <w:tcW w:w="212" w:type="pct"/>
            <w:vMerge w:val="continue"/>
            <w:noWrap/>
            <w:vAlign w:val="center"/>
          </w:tcPr>
          <w:p w14:paraId="39067D2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07F6FD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253777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058621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5EC6B8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-0.14</w:t>
            </w:r>
          </w:p>
        </w:tc>
        <w:tc>
          <w:tcPr>
            <w:tcW w:w="397" w:type="pct"/>
            <w:noWrap/>
            <w:vAlign w:val="center"/>
          </w:tcPr>
          <w:p w14:paraId="1C709D8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18.11</w:t>
            </w:r>
          </w:p>
        </w:tc>
        <w:tc>
          <w:tcPr>
            <w:tcW w:w="235" w:type="pct"/>
            <w:noWrap/>
            <w:vAlign w:val="center"/>
          </w:tcPr>
          <w:p w14:paraId="7F572E1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7291E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22.57</w:t>
            </w:r>
          </w:p>
        </w:tc>
        <w:tc>
          <w:tcPr>
            <w:tcW w:w="460" w:type="pct"/>
            <w:noWrap/>
            <w:vAlign w:val="center"/>
          </w:tcPr>
          <w:p w14:paraId="36EEB72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55.88</w:t>
            </w:r>
          </w:p>
        </w:tc>
        <w:tc>
          <w:tcPr>
            <w:tcW w:w="383" w:type="pct"/>
            <w:noWrap/>
            <w:vAlign w:val="center"/>
          </w:tcPr>
          <w:p w14:paraId="61CEBBA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F016EB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969C1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29.88</w:t>
            </w:r>
          </w:p>
        </w:tc>
        <w:tc>
          <w:tcPr>
            <w:tcW w:w="388" w:type="pct"/>
            <w:noWrap/>
            <w:vAlign w:val="center"/>
          </w:tcPr>
          <w:p w14:paraId="3F675E4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AE6B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2A08477">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70</w:t>
            </w:r>
          </w:p>
        </w:tc>
        <w:tc>
          <w:tcPr>
            <w:tcW w:w="212" w:type="pct"/>
            <w:vMerge w:val="continue"/>
            <w:noWrap/>
            <w:vAlign w:val="center"/>
          </w:tcPr>
          <w:p w14:paraId="3C7C95F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E5CA70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9F47AA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EB2822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BA0229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-0.14</w:t>
            </w:r>
          </w:p>
        </w:tc>
        <w:tc>
          <w:tcPr>
            <w:tcW w:w="397" w:type="pct"/>
            <w:noWrap/>
            <w:vAlign w:val="center"/>
          </w:tcPr>
          <w:p w14:paraId="16372D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18.11</w:t>
            </w:r>
          </w:p>
        </w:tc>
        <w:tc>
          <w:tcPr>
            <w:tcW w:w="235" w:type="pct"/>
            <w:noWrap/>
            <w:vAlign w:val="center"/>
          </w:tcPr>
          <w:p w14:paraId="305A884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D602A3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40.38</w:t>
            </w:r>
          </w:p>
        </w:tc>
        <w:tc>
          <w:tcPr>
            <w:tcW w:w="460" w:type="pct"/>
            <w:noWrap/>
            <w:vAlign w:val="center"/>
          </w:tcPr>
          <w:p w14:paraId="3C4099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55.64</w:t>
            </w:r>
          </w:p>
        </w:tc>
        <w:tc>
          <w:tcPr>
            <w:tcW w:w="383" w:type="pct"/>
            <w:noWrap/>
            <w:vAlign w:val="center"/>
          </w:tcPr>
          <w:p w14:paraId="036416E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7F8E8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097447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29.64</w:t>
            </w:r>
          </w:p>
        </w:tc>
        <w:tc>
          <w:tcPr>
            <w:tcW w:w="388" w:type="pct"/>
            <w:noWrap/>
            <w:vAlign w:val="center"/>
          </w:tcPr>
          <w:p w14:paraId="0A81FD1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56F8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AAAA24E">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71</w:t>
            </w:r>
          </w:p>
        </w:tc>
        <w:tc>
          <w:tcPr>
            <w:tcW w:w="212" w:type="pct"/>
            <w:vMerge w:val="continue"/>
            <w:noWrap/>
            <w:vAlign w:val="center"/>
          </w:tcPr>
          <w:p w14:paraId="6F8E439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906A8D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5619EF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371207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C7D723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-0.14</w:t>
            </w:r>
          </w:p>
        </w:tc>
        <w:tc>
          <w:tcPr>
            <w:tcW w:w="397" w:type="pct"/>
            <w:noWrap/>
            <w:vAlign w:val="center"/>
          </w:tcPr>
          <w:p w14:paraId="72DE3E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18.11</w:t>
            </w:r>
          </w:p>
        </w:tc>
        <w:tc>
          <w:tcPr>
            <w:tcW w:w="235" w:type="pct"/>
            <w:noWrap/>
            <w:vAlign w:val="center"/>
          </w:tcPr>
          <w:p w14:paraId="7FA917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F4AB0D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38.93</w:t>
            </w:r>
          </w:p>
        </w:tc>
        <w:tc>
          <w:tcPr>
            <w:tcW w:w="460" w:type="pct"/>
            <w:noWrap/>
            <w:vAlign w:val="center"/>
          </w:tcPr>
          <w:p w14:paraId="367A3D7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55.64</w:t>
            </w:r>
          </w:p>
        </w:tc>
        <w:tc>
          <w:tcPr>
            <w:tcW w:w="383" w:type="pct"/>
            <w:noWrap/>
            <w:vAlign w:val="center"/>
          </w:tcPr>
          <w:p w14:paraId="3274F8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1D7ED4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A8D652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29.64</w:t>
            </w:r>
          </w:p>
        </w:tc>
        <w:tc>
          <w:tcPr>
            <w:tcW w:w="388" w:type="pct"/>
            <w:noWrap/>
            <w:vAlign w:val="center"/>
          </w:tcPr>
          <w:p w14:paraId="73146B3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C8D3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79F946C">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72</w:t>
            </w:r>
          </w:p>
        </w:tc>
        <w:tc>
          <w:tcPr>
            <w:tcW w:w="212" w:type="pct"/>
            <w:vMerge w:val="continue"/>
            <w:noWrap/>
            <w:vAlign w:val="center"/>
          </w:tcPr>
          <w:p w14:paraId="7EB1783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9AFE34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664374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C0A00B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276324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-0.14</w:t>
            </w:r>
          </w:p>
        </w:tc>
        <w:tc>
          <w:tcPr>
            <w:tcW w:w="397" w:type="pct"/>
            <w:noWrap/>
            <w:vAlign w:val="center"/>
          </w:tcPr>
          <w:p w14:paraId="13A7FBE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18.11</w:t>
            </w:r>
          </w:p>
        </w:tc>
        <w:tc>
          <w:tcPr>
            <w:tcW w:w="235" w:type="pct"/>
            <w:noWrap/>
            <w:vAlign w:val="center"/>
          </w:tcPr>
          <w:p w14:paraId="7ECB203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BDCEDC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3.56</w:t>
            </w:r>
          </w:p>
        </w:tc>
        <w:tc>
          <w:tcPr>
            <w:tcW w:w="460" w:type="pct"/>
            <w:noWrap/>
            <w:vAlign w:val="center"/>
          </w:tcPr>
          <w:p w14:paraId="6678DC9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62.07</w:t>
            </w:r>
          </w:p>
        </w:tc>
        <w:tc>
          <w:tcPr>
            <w:tcW w:w="383" w:type="pct"/>
            <w:noWrap/>
            <w:vAlign w:val="center"/>
          </w:tcPr>
          <w:p w14:paraId="3FC3CB2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09E324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5288C8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36.07</w:t>
            </w:r>
          </w:p>
        </w:tc>
        <w:tc>
          <w:tcPr>
            <w:tcW w:w="388" w:type="pct"/>
            <w:noWrap/>
            <w:vAlign w:val="center"/>
          </w:tcPr>
          <w:p w14:paraId="149FD53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E49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43198BD">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73</w:t>
            </w:r>
          </w:p>
        </w:tc>
        <w:tc>
          <w:tcPr>
            <w:tcW w:w="212" w:type="pct"/>
            <w:vMerge w:val="continue"/>
            <w:noWrap/>
            <w:vAlign w:val="center"/>
          </w:tcPr>
          <w:p w14:paraId="4CDAE14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33BBD62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华美达注塑机</w:t>
            </w:r>
            <w:r>
              <w:rPr>
                <w:rFonts w:hint="eastAsia" w:ascii="Times New Roman" w:hAnsi="Times New Roman" w:eastAsia="宋体" w:cs="Times New Roman"/>
                <w:i w:val="0"/>
                <w:iCs w:val="0"/>
                <w:color w:val="auto"/>
                <w:kern w:val="0"/>
                <w:sz w:val="21"/>
                <w:szCs w:val="21"/>
                <w:u w:val="none"/>
                <w:lang w:val="en-US" w:eastAsia="zh-CN" w:bidi="ar"/>
              </w:rPr>
              <w:t>13</w:t>
            </w:r>
          </w:p>
        </w:tc>
        <w:tc>
          <w:tcPr>
            <w:tcW w:w="425" w:type="pct"/>
            <w:vMerge w:val="restart"/>
            <w:noWrap/>
            <w:vAlign w:val="center"/>
          </w:tcPr>
          <w:p w14:paraId="666197E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5BB7A41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BE43C5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19F25F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w:t>
            </w:r>
          </w:p>
        </w:tc>
        <w:tc>
          <w:tcPr>
            <w:tcW w:w="397" w:type="pct"/>
            <w:noWrap/>
            <w:vAlign w:val="center"/>
          </w:tcPr>
          <w:p w14:paraId="6F81E0E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21.31</w:t>
            </w:r>
          </w:p>
        </w:tc>
        <w:tc>
          <w:tcPr>
            <w:tcW w:w="235" w:type="pct"/>
            <w:noWrap/>
            <w:vAlign w:val="center"/>
          </w:tcPr>
          <w:p w14:paraId="588976D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B26B57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8.85</w:t>
            </w:r>
          </w:p>
        </w:tc>
        <w:tc>
          <w:tcPr>
            <w:tcW w:w="460" w:type="pct"/>
            <w:noWrap/>
            <w:vAlign w:val="center"/>
          </w:tcPr>
          <w:p w14:paraId="08EFA27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57.47</w:t>
            </w:r>
          </w:p>
        </w:tc>
        <w:tc>
          <w:tcPr>
            <w:tcW w:w="383" w:type="pct"/>
            <w:noWrap/>
            <w:vAlign w:val="center"/>
          </w:tcPr>
          <w:p w14:paraId="100A5BD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F9F669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BC4B2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31.47</w:t>
            </w:r>
          </w:p>
        </w:tc>
        <w:tc>
          <w:tcPr>
            <w:tcW w:w="388" w:type="pct"/>
            <w:noWrap/>
            <w:vAlign w:val="center"/>
          </w:tcPr>
          <w:p w14:paraId="6D02B84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50C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E1F70B2">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74</w:t>
            </w:r>
          </w:p>
        </w:tc>
        <w:tc>
          <w:tcPr>
            <w:tcW w:w="212" w:type="pct"/>
            <w:vMerge w:val="continue"/>
            <w:noWrap/>
            <w:vAlign w:val="center"/>
          </w:tcPr>
          <w:p w14:paraId="0FF97E8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2678C2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E8832C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67C921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9F4EC7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w:t>
            </w:r>
          </w:p>
        </w:tc>
        <w:tc>
          <w:tcPr>
            <w:tcW w:w="397" w:type="pct"/>
            <w:noWrap/>
            <w:vAlign w:val="center"/>
          </w:tcPr>
          <w:p w14:paraId="09AC1E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21.31</w:t>
            </w:r>
          </w:p>
        </w:tc>
        <w:tc>
          <w:tcPr>
            <w:tcW w:w="235" w:type="pct"/>
            <w:noWrap/>
            <w:vAlign w:val="center"/>
          </w:tcPr>
          <w:p w14:paraId="741064D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B7D61D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21.66</w:t>
            </w:r>
          </w:p>
        </w:tc>
        <w:tc>
          <w:tcPr>
            <w:tcW w:w="460" w:type="pct"/>
            <w:noWrap/>
            <w:vAlign w:val="center"/>
          </w:tcPr>
          <w:p w14:paraId="3BB28AB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55.91</w:t>
            </w:r>
          </w:p>
        </w:tc>
        <w:tc>
          <w:tcPr>
            <w:tcW w:w="383" w:type="pct"/>
            <w:noWrap/>
            <w:vAlign w:val="center"/>
          </w:tcPr>
          <w:p w14:paraId="69FAD5D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5A83AC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E24BA4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29.91</w:t>
            </w:r>
          </w:p>
        </w:tc>
        <w:tc>
          <w:tcPr>
            <w:tcW w:w="388" w:type="pct"/>
            <w:noWrap/>
            <w:vAlign w:val="center"/>
          </w:tcPr>
          <w:p w14:paraId="036401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92FE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FFFCC27">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75</w:t>
            </w:r>
          </w:p>
        </w:tc>
        <w:tc>
          <w:tcPr>
            <w:tcW w:w="212" w:type="pct"/>
            <w:vMerge w:val="continue"/>
            <w:noWrap/>
            <w:vAlign w:val="center"/>
          </w:tcPr>
          <w:p w14:paraId="4D64823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97F7D1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49526D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B726C6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067F26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w:t>
            </w:r>
          </w:p>
        </w:tc>
        <w:tc>
          <w:tcPr>
            <w:tcW w:w="397" w:type="pct"/>
            <w:noWrap/>
            <w:vAlign w:val="center"/>
          </w:tcPr>
          <w:p w14:paraId="718B2E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21.31</w:t>
            </w:r>
          </w:p>
        </w:tc>
        <w:tc>
          <w:tcPr>
            <w:tcW w:w="235" w:type="pct"/>
            <w:noWrap/>
            <w:vAlign w:val="center"/>
          </w:tcPr>
          <w:p w14:paraId="2B9A76A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26F17F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26.15</w:t>
            </w:r>
          </w:p>
        </w:tc>
        <w:tc>
          <w:tcPr>
            <w:tcW w:w="460" w:type="pct"/>
            <w:noWrap/>
            <w:vAlign w:val="center"/>
          </w:tcPr>
          <w:p w14:paraId="0F6A4FD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55.79</w:t>
            </w:r>
          </w:p>
        </w:tc>
        <w:tc>
          <w:tcPr>
            <w:tcW w:w="383" w:type="pct"/>
            <w:noWrap/>
            <w:vAlign w:val="center"/>
          </w:tcPr>
          <w:p w14:paraId="7F783E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7F491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36A3C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29.79</w:t>
            </w:r>
          </w:p>
        </w:tc>
        <w:tc>
          <w:tcPr>
            <w:tcW w:w="388" w:type="pct"/>
            <w:noWrap/>
            <w:vAlign w:val="center"/>
          </w:tcPr>
          <w:p w14:paraId="1C4D188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2AA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1A633A7">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76</w:t>
            </w:r>
          </w:p>
        </w:tc>
        <w:tc>
          <w:tcPr>
            <w:tcW w:w="212" w:type="pct"/>
            <w:vMerge w:val="continue"/>
            <w:noWrap/>
            <w:vAlign w:val="center"/>
          </w:tcPr>
          <w:p w14:paraId="4AC95FA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CACE1B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B78C66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8F5E37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94F676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w:t>
            </w:r>
          </w:p>
        </w:tc>
        <w:tc>
          <w:tcPr>
            <w:tcW w:w="397" w:type="pct"/>
            <w:noWrap/>
            <w:vAlign w:val="center"/>
          </w:tcPr>
          <w:p w14:paraId="24AA0B4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21.31</w:t>
            </w:r>
          </w:p>
        </w:tc>
        <w:tc>
          <w:tcPr>
            <w:tcW w:w="235" w:type="pct"/>
            <w:noWrap/>
            <w:vAlign w:val="center"/>
          </w:tcPr>
          <w:p w14:paraId="0CC79D8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C02D37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40.30</w:t>
            </w:r>
          </w:p>
        </w:tc>
        <w:tc>
          <w:tcPr>
            <w:tcW w:w="460" w:type="pct"/>
            <w:noWrap/>
            <w:vAlign w:val="center"/>
          </w:tcPr>
          <w:p w14:paraId="444737A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55.64</w:t>
            </w:r>
          </w:p>
        </w:tc>
        <w:tc>
          <w:tcPr>
            <w:tcW w:w="383" w:type="pct"/>
            <w:noWrap/>
            <w:vAlign w:val="center"/>
          </w:tcPr>
          <w:p w14:paraId="2C9F8FA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44472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B39045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29.64</w:t>
            </w:r>
          </w:p>
        </w:tc>
        <w:tc>
          <w:tcPr>
            <w:tcW w:w="388" w:type="pct"/>
            <w:noWrap/>
            <w:vAlign w:val="center"/>
          </w:tcPr>
          <w:p w14:paraId="1F4697D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F58F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B4B9B72">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77</w:t>
            </w:r>
          </w:p>
        </w:tc>
        <w:tc>
          <w:tcPr>
            <w:tcW w:w="212" w:type="pct"/>
            <w:vMerge w:val="continue"/>
            <w:noWrap/>
            <w:vAlign w:val="center"/>
          </w:tcPr>
          <w:p w14:paraId="281F75F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943E25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EC93E5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1E861E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965C32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w:t>
            </w:r>
          </w:p>
        </w:tc>
        <w:tc>
          <w:tcPr>
            <w:tcW w:w="397" w:type="pct"/>
            <w:noWrap/>
            <w:vAlign w:val="center"/>
          </w:tcPr>
          <w:p w14:paraId="5D9FBD1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21.31</w:t>
            </w:r>
          </w:p>
        </w:tc>
        <w:tc>
          <w:tcPr>
            <w:tcW w:w="235" w:type="pct"/>
            <w:noWrap/>
            <w:vAlign w:val="center"/>
          </w:tcPr>
          <w:p w14:paraId="285F86C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FA02CD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35.31</w:t>
            </w:r>
          </w:p>
        </w:tc>
        <w:tc>
          <w:tcPr>
            <w:tcW w:w="460" w:type="pct"/>
            <w:noWrap/>
            <w:vAlign w:val="center"/>
          </w:tcPr>
          <w:p w14:paraId="716B9D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55.67</w:t>
            </w:r>
          </w:p>
        </w:tc>
        <w:tc>
          <w:tcPr>
            <w:tcW w:w="383" w:type="pct"/>
            <w:noWrap/>
            <w:vAlign w:val="center"/>
          </w:tcPr>
          <w:p w14:paraId="2D4433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15ABD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DA29D6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29.67</w:t>
            </w:r>
          </w:p>
        </w:tc>
        <w:tc>
          <w:tcPr>
            <w:tcW w:w="388" w:type="pct"/>
            <w:noWrap/>
            <w:vAlign w:val="center"/>
          </w:tcPr>
          <w:p w14:paraId="47F40F9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D615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6F69201">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78</w:t>
            </w:r>
          </w:p>
        </w:tc>
        <w:tc>
          <w:tcPr>
            <w:tcW w:w="212" w:type="pct"/>
            <w:vMerge w:val="continue"/>
            <w:noWrap/>
            <w:vAlign w:val="center"/>
          </w:tcPr>
          <w:p w14:paraId="5398E75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881958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4679E9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86B1CE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17C1F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w:t>
            </w:r>
          </w:p>
        </w:tc>
        <w:tc>
          <w:tcPr>
            <w:tcW w:w="397" w:type="pct"/>
            <w:noWrap/>
            <w:vAlign w:val="center"/>
          </w:tcPr>
          <w:p w14:paraId="4CD9969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21.31</w:t>
            </w:r>
          </w:p>
        </w:tc>
        <w:tc>
          <w:tcPr>
            <w:tcW w:w="235" w:type="pct"/>
            <w:noWrap/>
            <w:vAlign w:val="center"/>
          </w:tcPr>
          <w:p w14:paraId="0A08EB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EBD63E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2.52</w:t>
            </w:r>
          </w:p>
        </w:tc>
        <w:tc>
          <w:tcPr>
            <w:tcW w:w="460" w:type="pct"/>
            <w:noWrap/>
            <w:vAlign w:val="center"/>
          </w:tcPr>
          <w:p w14:paraId="56BCCED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64.56</w:t>
            </w:r>
          </w:p>
        </w:tc>
        <w:tc>
          <w:tcPr>
            <w:tcW w:w="383" w:type="pct"/>
            <w:noWrap/>
            <w:vAlign w:val="center"/>
          </w:tcPr>
          <w:p w14:paraId="7974492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F50B5B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98148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38.56</w:t>
            </w:r>
          </w:p>
        </w:tc>
        <w:tc>
          <w:tcPr>
            <w:tcW w:w="388" w:type="pct"/>
            <w:noWrap/>
            <w:vAlign w:val="center"/>
          </w:tcPr>
          <w:p w14:paraId="7172DE8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C7AF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173175C">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79</w:t>
            </w:r>
          </w:p>
        </w:tc>
        <w:tc>
          <w:tcPr>
            <w:tcW w:w="212" w:type="pct"/>
            <w:vMerge w:val="continue"/>
            <w:noWrap/>
            <w:vAlign w:val="center"/>
          </w:tcPr>
          <w:p w14:paraId="70A28C6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3D1584D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华美达注塑机</w:t>
            </w:r>
            <w:r>
              <w:rPr>
                <w:rFonts w:hint="eastAsia" w:ascii="Times New Roman" w:hAnsi="Times New Roman" w:eastAsia="宋体" w:cs="Times New Roman"/>
                <w:i w:val="0"/>
                <w:iCs w:val="0"/>
                <w:color w:val="auto"/>
                <w:kern w:val="0"/>
                <w:sz w:val="21"/>
                <w:szCs w:val="21"/>
                <w:u w:val="none"/>
                <w:lang w:val="en-US" w:eastAsia="zh-CN" w:bidi="ar"/>
              </w:rPr>
              <w:t>14</w:t>
            </w:r>
          </w:p>
        </w:tc>
        <w:tc>
          <w:tcPr>
            <w:tcW w:w="425" w:type="pct"/>
            <w:vMerge w:val="restart"/>
            <w:noWrap/>
            <w:vAlign w:val="center"/>
          </w:tcPr>
          <w:p w14:paraId="576586C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799454A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lang w:val="en-US" w:eastAsia="zh-CN"/>
              </w:rPr>
            </w:pPr>
          </w:p>
        </w:tc>
        <w:tc>
          <w:tcPr>
            <w:tcW w:w="373" w:type="pct"/>
            <w:vMerge w:val="continue"/>
            <w:noWrap w:val="0"/>
            <w:vAlign w:val="center"/>
          </w:tcPr>
          <w:p w14:paraId="648D232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6AB2DE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-3.71</w:t>
            </w:r>
          </w:p>
        </w:tc>
        <w:tc>
          <w:tcPr>
            <w:tcW w:w="397" w:type="pct"/>
            <w:noWrap/>
            <w:vAlign w:val="center"/>
          </w:tcPr>
          <w:p w14:paraId="0AFA664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24.63</w:t>
            </w:r>
          </w:p>
        </w:tc>
        <w:tc>
          <w:tcPr>
            <w:tcW w:w="235" w:type="pct"/>
            <w:noWrap/>
            <w:vAlign w:val="center"/>
          </w:tcPr>
          <w:p w14:paraId="678198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9539A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8.72</w:t>
            </w:r>
          </w:p>
        </w:tc>
        <w:tc>
          <w:tcPr>
            <w:tcW w:w="460" w:type="pct"/>
            <w:noWrap/>
            <w:vAlign w:val="center"/>
          </w:tcPr>
          <w:p w14:paraId="4E57E0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57.52</w:t>
            </w:r>
          </w:p>
        </w:tc>
        <w:tc>
          <w:tcPr>
            <w:tcW w:w="383" w:type="pct"/>
            <w:noWrap/>
            <w:vAlign w:val="center"/>
          </w:tcPr>
          <w:p w14:paraId="40A250F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E83CF5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737C9C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31.52</w:t>
            </w:r>
          </w:p>
        </w:tc>
        <w:tc>
          <w:tcPr>
            <w:tcW w:w="388" w:type="pct"/>
            <w:noWrap/>
            <w:vAlign w:val="center"/>
          </w:tcPr>
          <w:p w14:paraId="2F5B2F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F9AC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37FAB6F">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w:t>
            </w:r>
          </w:p>
        </w:tc>
        <w:tc>
          <w:tcPr>
            <w:tcW w:w="212" w:type="pct"/>
            <w:vMerge w:val="continue"/>
            <w:noWrap/>
            <w:vAlign w:val="center"/>
          </w:tcPr>
          <w:p w14:paraId="300BEA8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965889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2B2ED4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448EE1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89D8CB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-3.71</w:t>
            </w:r>
          </w:p>
        </w:tc>
        <w:tc>
          <w:tcPr>
            <w:tcW w:w="397" w:type="pct"/>
            <w:noWrap/>
            <w:vAlign w:val="center"/>
          </w:tcPr>
          <w:p w14:paraId="4C5C49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24.63</w:t>
            </w:r>
          </w:p>
        </w:tc>
        <w:tc>
          <w:tcPr>
            <w:tcW w:w="235" w:type="pct"/>
            <w:noWrap/>
            <w:vAlign w:val="center"/>
          </w:tcPr>
          <w:p w14:paraId="04340EA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5E31EA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25.04</w:t>
            </w:r>
          </w:p>
        </w:tc>
        <w:tc>
          <w:tcPr>
            <w:tcW w:w="460" w:type="pct"/>
            <w:noWrap/>
            <w:vAlign w:val="center"/>
          </w:tcPr>
          <w:p w14:paraId="624D528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55.82</w:t>
            </w:r>
          </w:p>
        </w:tc>
        <w:tc>
          <w:tcPr>
            <w:tcW w:w="383" w:type="pct"/>
            <w:noWrap/>
            <w:vAlign w:val="center"/>
          </w:tcPr>
          <w:p w14:paraId="3B3689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5725C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961C62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29.82</w:t>
            </w:r>
          </w:p>
        </w:tc>
        <w:tc>
          <w:tcPr>
            <w:tcW w:w="388" w:type="pct"/>
            <w:noWrap/>
            <w:vAlign w:val="center"/>
          </w:tcPr>
          <w:p w14:paraId="6B69B40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A0A0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96F8E74">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81</w:t>
            </w:r>
          </w:p>
        </w:tc>
        <w:tc>
          <w:tcPr>
            <w:tcW w:w="212" w:type="pct"/>
            <w:vMerge w:val="continue"/>
            <w:noWrap/>
            <w:vAlign w:val="center"/>
          </w:tcPr>
          <w:p w14:paraId="01685496">
            <w:pPr>
              <w:keepNext w:val="0"/>
              <w:keepLines w:val="0"/>
              <w:pageBreakBefore w:val="0"/>
              <w:widowControl/>
              <w:kinsoku/>
              <w:wordWrap/>
              <w:overflowPunct/>
              <w:topLinePunct w:val="0"/>
              <w:autoSpaceDE/>
              <w:autoSpaceDN/>
              <w:bidi w:val="0"/>
              <w:adjustRightInd/>
              <w:snapToGrid w:val="0"/>
              <w:jc w:val="both"/>
              <w:rPr>
                <w:rFonts w:hint="default" w:ascii="Times New Roman" w:hAnsi="Times New Roman" w:eastAsia="宋体" w:cs="Times New Roman"/>
                <w:i w:val="0"/>
                <w:iCs w:val="0"/>
                <w:color w:val="auto"/>
                <w:sz w:val="21"/>
                <w:szCs w:val="21"/>
                <w:u w:val="none"/>
                <w:lang w:val="en-US" w:eastAsia="zh-CN"/>
              </w:rPr>
            </w:pPr>
          </w:p>
        </w:tc>
        <w:tc>
          <w:tcPr>
            <w:tcW w:w="278" w:type="pct"/>
            <w:vMerge w:val="continue"/>
            <w:noWrap/>
            <w:vAlign w:val="center"/>
          </w:tcPr>
          <w:p w14:paraId="674D4F3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306FD4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p>
        </w:tc>
        <w:tc>
          <w:tcPr>
            <w:tcW w:w="373" w:type="pct"/>
            <w:vMerge w:val="continue"/>
            <w:noWrap w:val="0"/>
            <w:vAlign w:val="center"/>
          </w:tcPr>
          <w:p w14:paraId="1CC463F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FF567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-3.71</w:t>
            </w:r>
          </w:p>
        </w:tc>
        <w:tc>
          <w:tcPr>
            <w:tcW w:w="397" w:type="pct"/>
            <w:noWrap/>
            <w:vAlign w:val="center"/>
          </w:tcPr>
          <w:p w14:paraId="08B5331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24.63</w:t>
            </w:r>
          </w:p>
        </w:tc>
        <w:tc>
          <w:tcPr>
            <w:tcW w:w="235" w:type="pct"/>
            <w:noWrap/>
            <w:vAlign w:val="center"/>
          </w:tcPr>
          <w:p w14:paraId="5DB04F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489845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29.88</w:t>
            </w:r>
          </w:p>
        </w:tc>
        <w:tc>
          <w:tcPr>
            <w:tcW w:w="460" w:type="pct"/>
            <w:noWrap/>
            <w:vAlign w:val="center"/>
          </w:tcPr>
          <w:p w14:paraId="3CB2DAD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55.73</w:t>
            </w:r>
          </w:p>
        </w:tc>
        <w:tc>
          <w:tcPr>
            <w:tcW w:w="383" w:type="pct"/>
            <w:noWrap/>
            <w:vAlign w:val="center"/>
          </w:tcPr>
          <w:p w14:paraId="728ADA3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7DE9F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101E7E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29.73</w:t>
            </w:r>
          </w:p>
        </w:tc>
        <w:tc>
          <w:tcPr>
            <w:tcW w:w="388" w:type="pct"/>
            <w:noWrap/>
            <w:vAlign w:val="center"/>
          </w:tcPr>
          <w:p w14:paraId="6525F5F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ACD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DE43C4C">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82</w:t>
            </w:r>
          </w:p>
        </w:tc>
        <w:tc>
          <w:tcPr>
            <w:tcW w:w="212" w:type="pct"/>
            <w:vMerge w:val="continue"/>
            <w:noWrap/>
            <w:vAlign w:val="center"/>
          </w:tcPr>
          <w:p w14:paraId="29A5AC2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7668EE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57A9AF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FE46D0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06BA41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-3.71</w:t>
            </w:r>
          </w:p>
        </w:tc>
        <w:tc>
          <w:tcPr>
            <w:tcW w:w="397" w:type="pct"/>
            <w:noWrap/>
            <w:vAlign w:val="center"/>
          </w:tcPr>
          <w:p w14:paraId="325A22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24.63</w:t>
            </w:r>
          </w:p>
        </w:tc>
        <w:tc>
          <w:tcPr>
            <w:tcW w:w="235" w:type="pct"/>
            <w:noWrap/>
            <w:vAlign w:val="center"/>
          </w:tcPr>
          <w:p w14:paraId="42EB984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8D1AAA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40.27</w:t>
            </w:r>
          </w:p>
        </w:tc>
        <w:tc>
          <w:tcPr>
            <w:tcW w:w="460" w:type="pct"/>
            <w:noWrap/>
            <w:vAlign w:val="center"/>
          </w:tcPr>
          <w:p w14:paraId="751A6C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55.64</w:t>
            </w:r>
          </w:p>
        </w:tc>
        <w:tc>
          <w:tcPr>
            <w:tcW w:w="383" w:type="pct"/>
            <w:noWrap/>
            <w:vAlign w:val="center"/>
          </w:tcPr>
          <w:p w14:paraId="3D09C34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EB486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AD1553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29.64</w:t>
            </w:r>
          </w:p>
        </w:tc>
        <w:tc>
          <w:tcPr>
            <w:tcW w:w="388" w:type="pct"/>
            <w:noWrap/>
            <w:vAlign w:val="center"/>
          </w:tcPr>
          <w:p w14:paraId="7A9543A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E51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6DE8352">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83</w:t>
            </w:r>
          </w:p>
        </w:tc>
        <w:tc>
          <w:tcPr>
            <w:tcW w:w="212" w:type="pct"/>
            <w:vMerge w:val="continue"/>
            <w:noWrap/>
            <w:vAlign w:val="center"/>
          </w:tcPr>
          <w:p w14:paraId="2EC4BF2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54403B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2F68DD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7DDE90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C978AF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-3.71</w:t>
            </w:r>
          </w:p>
        </w:tc>
        <w:tc>
          <w:tcPr>
            <w:tcW w:w="397" w:type="pct"/>
            <w:noWrap/>
            <w:vAlign w:val="center"/>
          </w:tcPr>
          <w:p w14:paraId="1C85505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24.63</w:t>
            </w:r>
          </w:p>
        </w:tc>
        <w:tc>
          <w:tcPr>
            <w:tcW w:w="235" w:type="pct"/>
            <w:noWrap/>
            <w:vAlign w:val="center"/>
          </w:tcPr>
          <w:p w14:paraId="24926B4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55609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31.53</w:t>
            </w:r>
          </w:p>
        </w:tc>
        <w:tc>
          <w:tcPr>
            <w:tcW w:w="460" w:type="pct"/>
            <w:noWrap/>
            <w:vAlign w:val="center"/>
          </w:tcPr>
          <w:p w14:paraId="084FA31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55.71</w:t>
            </w:r>
          </w:p>
        </w:tc>
        <w:tc>
          <w:tcPr>
            <w:tcW w:w="383" w:type="pct"/>
            <w:noWrap/>
            <w:vAlign w:val="center"/>
          </w:tcPr>
          <w:p w14:paraId="2DE9B9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F7C818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B689E6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29.71</w:t>
            </w:r>
          </w:p>
        </w:tc>
        <w:tc>
          <w:tcPr>
            <w:tcW w:w="388" w:type="pct"/>
            <w:noWrap/>
            <w:vAlign w:val="center"/>
          </w:tcPr>
          <w:p w14:paraId="3468BD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8B74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866EA4C">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84</w:t>
            </w:r>
          </w:p>
        </w:tc>
        <w:tc>
          <w:tcPr>
            <w:tcW w:w="212" w:type="pct"/>
            <w:vMerge w:val="continue"/>
            <w:noWrap/>
            <w:vAlign w:val="center"/>
          </w:tcPr>
          <w:p w14:paraId="672B853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48ADFF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51E6E5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9E740E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2005D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-3.71</w:t>
            </w:r>
          </w:p>
        </w:tc>
        <w:tc>
          <w:tcPr>
            <w:tcW w:w="397" w:type="pct"/>
            <w:noWrap/>
            <w:vAlign w:val="center"/>
          </w:tcPr>
          <w:p w14:paraId="3A49B6D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24.63</w:t>
            </w:r>
          </w:p>
        </w:tc>
        <w:tc>
          <w:tcPr>
            <w:tcW w:w="235" w:type="pct"/>
            <w:noWrap/>
            <w:vAlign w:val="center"/>
          </w:tcPr>
          <w:p w14:paraId="3F8DC5F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5B46DF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1.48</w:t>
            </w:r>
          </w:p>
        </w:tc>
        <w:tc>
          <w:tcPr>
            <w:tcW w:w="460" w:type="pct"/>
            <w:noWrap/>
            <w:vAlign w:val="center"/>
          </w:tcPr>
          <w:p w14:paraId="570031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68.81</w:t>
            </w:r>
          </w:p>
        </w:tc>
        <w:tc>
          <w:tcPr>
            <w:tcW w:w="383" w:type="pct"/>
            <w:noWrap/>
            <w:vAlign w:val="center"/>
          </w:tcPr>
          <w:p w14:paraId="4B568A7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E2EA64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0B2856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42.81</w:t>
            </w:r>
          </w:p>
        </w:tc>
        <w:tc>
          <w:tcPr>
            <w:tcW w:w="388" w:type="pct"/>
            <w:noWrap/>
            <w:vAlign w:val="center"/>
          </w:tcPr>
          <w:p w14:paraId="53D193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1E6A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DE2B1F8">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85</w:t>
            </w:r>
          </w:p>
        </w:tc>
        <w:tc>
          <w:tcPr>
            <w:tcW w:w="212" w:type="pct"/>
            <w:vMerge w:val="continue"/>
            <w:noWrap/>
            <w:vAlign w:val="center"/>
          </w:tcPr>
          <w:p w14:paraId="69857EC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7E13795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华美达注塑机</w:t>
            </w:r>
            <w:r>
              <w:rPr>
                <w:rFonts w:hint="eastAsia" w:ascii="Times New Roman" w:hAnsi="Times New Roman" w:eastAsia="宋体" w:cs="Times New Roman"/>
                <w:i w:val="0"/>
                <w:iCs w:val="0"/>
                <w:color w:val="auto"/>
                <w:kern w:val="0"/>
                <w:sz w:val="21"/>
                <w:szCs w:val="21"/>
                <w:u w:val="none"/>
                <w:lang w:val="en-US" w:eastAsia="zh-CN" w:bidi="ar"/>
              </w:rPr>
              <w:t>15</w:t>
            </w:r>
          </w:p>
        </w:tc>
        <w:tc>
          <w:tcPr>
            <w:tcW w:w="425" w:type="pct"/>
            <w:vMerge w:val="restart"/>
            <w:noWrap/>
            <w:vAlign w:val="center"/>
          </w:tcPr>
          <w:p w14:paraId="17297AE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4554B7A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1DF4D3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3E8F2E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-5.67</w:t>
            </w:r>
          </w:p>
        </w:tc>
        <w:tc>
          <w:tcPr>
            <w:tcW w:w="397" w:type="pct"/>
            <w:noWrap/>
            <w:vAlign w:val="center"/>
          </w:tcPr>
          <w:p w14:paraId="432BA4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28.07</w:t>
            </w:r>
          </w:p>
        </w:tc>
        <w:tc>
          <w:tcPr>
            <w:tcW w:w="235" w:type="pct"/>
            <w:noWrap/>
            <w:vAlign w:val="center"/>
          </w:tcPr>
          <w:p w14:paraId="76B924A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6A660D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8.54</w:t>
            </w:r>
          </w:p>
        </w:tc>
        <w:tc>
          <w:tcPr>
            <w:tcW w:w="460" w:type="pct"/>
            <w:noWrap/>
            <w:vAlign w:val="center"/>
          </w:tcPr>
          <w:p w14:paraId="66B9258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57.59</w:t>
            </w:r>
          </w:p>
        </w:tc>
        <w:tc>
          <w:tcPr>
            <w:tcW w:w="383" w:type="pct"/>
            <w:noWrap/>
            <w:vAlign w:val="center"/>
          </w:tcPr>
          <w:p w14:paraId="3B9B15D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A3DC31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1E20D7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31.59</w:t>
            </w:r>
          </w:p>
        </w:tc>
        <w:tc>
          <w:tcPr>
            <w:tcW w:w="388" w:type="pct"/>
            <w:noWrap/>
            <w:vAlign w:val="center"/>
          </w:tcPr>
          <w:p w14:paraId="4579D91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3958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C4BEDEB">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86</w:t>
            </w:r>
          </w:p>
        </w:tc>
        <w:tc>
          <w:tcPr>
            <w:tcW w:w="212" w:type="pct"/>
            <w:vMerge w:val="continue"/>
            <w:noWrap/>
            <w:vAlign w:val="center"/>
          </w:tcPr>
          <w:p w14:paraId="41BE26C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B4EFFE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B6606D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C5F015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EA3174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-5.67</w:t>
            </w:r>
          </w:p>
        </w:tc>
        <w:tc>
          <w:tcPr>
            <w:tcW w:w="397" w:type="pct"/>
            <w:noWrap/>
            <w:vAlign w:val="center"/>
          </w:tcPr>
          <w:p w14:paraId="312DE3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28.07</w:t>
            </w:r>
          </w:p>
        </w:tc>
        <w:tc>
          <w:tcPr>
            <w:tcW w:w="235" w:type="pct"/>
            <w:noWrap/>
            <w:vAlign w:val="center"/>
          </w:tcPr>
          <w:p w14:paraId="243C694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323F66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28.55</w:t>
            </w:r>
          </w:p>
        </w:tc>
        <w:tc>
          <w:tcPr>
            <w:tcW w:w="460" w:type="pct"/>
            <w:noWrap/>
            <w:vAlign w:val="center"/>
          </w:tcPr>
          <w:p w14:paraId="68DD0F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55.75</w:t>
            </w:r>
          </w:p>
        </w:tc>
        <w:tc>
          <w:tcPr>
            <w:tcW w:w="383" w:type="pct"/>
            <w:noWrap/>
            <w:vAlign w:val="center"/>
          </w:tcPr>
          <w:p w14:paraId="147AC4F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649113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C66DD7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29.75</w:t>
            </w:r>
          </w:p>
        </w:tc>
        <w:tc>
          <w:tcPr>
            <w:tcW w:w="388" w:type="pct"/>
            <w:noWrap/>
            <w:vAlign w:val="center"/>
          </w:tcPr>
          <w:p w14:paraId="6C15A9E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FEB8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CB96CAF">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87</w:t>
            </w:r>
          </w:p>
        </w:tc>
        <w:tc>
          <w:tcPr>
            <w:tcW w:w="212" w:type="pct"/>
            <w:vMerge w:val="continue"/>
            <w:noWrap/>
            <w:vAlign w:val="center"/>
          </w:tcPr>
          <w:p w14:paraId="194BA9D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59DB4A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65BE2A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8A76BA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F4C1C8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-5.67</w:t>
            </w:r>
          </w:p>
        </w:tc>
        <w:tc>
          <w:tcPr>
            <w:tcW w:w="397" w:type="pct"/>
            <w:noWrap/>
            <w:vAlign w:val="center"/>
          </w:tcPr>
          <w:p w14:paraId="4DC0B9E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28.07</w:t>
            </w:r>
          </w:p>
        </w:tc>
        <w:tc>
          <w:tcPr>
            <w:tcW w:w="235" w:type="pct"/>
            <w:noWrap/>
            <w:vAlign w:val="center"/>
          </w:tcPr>
          <w:p w14:paraId="5E6E63D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EA9A9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33.77</w:t>
            </w:r>
          </w:p>
        </w:tc>
        <w:tc>
          <w:tcPr>
            <w:tcW w:w="460" w:type="pct"/>
            <w:noWrap/>
            <w:vAlign w:val="center"/>
          </w:tcPr>
          <w:p w14:paraId="79B7822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55.69</w:t>
            </w:r>
          </w:p>
        </w:tc>
        <w:tc>
          <w:tcPr>
            <w:tcW w:w="383" w:type="pct"/>
            <w:noWrap/>
            <w:vAlign w:val="center"/>
          </w:tcPr>
          <w:p w14:paraId="62FE951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F39131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46285B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29.69</w:t>
            </w:r>
          </w:p>
        </w:tc>
        <w:tc>
          <w:tcPr>
            <w:tcW w:w="388" w:type="pct"/>
            <w:noWrap/>
            <w:vAlign w:val="center"/>
          </w:tcPr>
          <w:p w14:paraId="271B4B5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4ECF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95AA7DE">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88</w:t>
            </w:r>
          </w:p>
        </w:tc>
        <w:tc>
          <w:tcPr>
            <w:tcW w:w="212" w:type="pct"/>
            <w:vMerge w:val="continue"/>
            <w:noWrap/>
            <w:vAlign w:val="center"/>
          </w:tcPr>
          <w:p w14:paraId="72A35CA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59C34F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26A661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0AB248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937C32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-5.67</w:t>
            </w:r>
          </w:p>
        </w:tc>
        <w:tc>
          <w:tcPr>
            <w:tcW w:w="397" w:type="pct"/>
            <w:noWrap/>
            <w:vAlign w:val="center"/>
          </w:tcPr>
          <w:p w14:paraId="1FE4C0F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28.07</w:t>
            </w:r>
          </w:p>
        </w:tc>
        <w:tc>
          <w:tcPr>
            <w:tcW w:w="235" w:type="pct"/>
            <w:noWrap/>
            <w:vAlign w:val="center"/>
          </w:tcPr>
          <w:p w14:paraId="32DF88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CACFC7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40.28</w:t>
            </w:r>
          </w:p>
        </w:tc>
        <w:tc>
          <w:tcPr>
            <w:tcW w:w="460" w:type="pct"/>
            <w:noWrap/>
            <w:vAlign w:val="center"/>
          </w:tcPr>
          <w:p w14:paraId="3AE5E4B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55.64</w:t>
            </w:r>
          </w:p>
        </w:tc>
        <w:tc>
          <w:tcPr>
            <w:tcW w:w="383" w:type="pct"/>
            <w:noWrap/>
            <w:vAlign w:val="center"/>
          </w:tcPr>
          <w:p w14:paraId="2D4357C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B5B7A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FDD20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29.64</w:t>
            </w:r>
          </w:p>
        </w:tc>
        <w:tc>
          <w:tcPr>
            <w:tcW w:w="388" w:type="pct"/>
            <w:noWrap/>
            <w:vAlign w:val="center"/>
          </w:tcPr>
          <w:p w14:paraId="40C5A6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74B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768EE8E">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89</w:t>
            </w:r>
          </w:p>
        </w:tc>
        <w:tc>
          <w:tcPr>
            <w:tcW w:w="212" w:type="pct"/>
            <w:vMerge w:val="continue"/>
            <w:noWrap/>
            <w:vAlign w:val="center"/>
          </w:tcPr>
          <w:p w14:paraId="3D251D3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1CA374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148170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972795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FE9CFB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-5.67</w:t>
            </w:r>
          </w:p>
        </w:tc>
        <w:tc>
          <w:tcPr>
            <w:tcW w:w="397" w:type="pct"/>
            <w:noWrap/>
            <w:vAlign w:val="center"/>
          </w:tcPr>
          <w:p w14:paraId="12EB13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28.07</w:t>
            </w:r>
          </w:p>
        </w:tc>
        <w:tc>
          <w:tcPr>
            <w:tcW w:w="235" w:type="pct"/>
            <w:noWrap/>
            <w:vAlign w:val="center"/>
          </w:tcPr>
          <w:p w14:paraId="1A4F52C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D364CE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27.59</w:t>
            </w:r>
          </w:p>
        </w:tc>
        <w:tc>
          <w:tcPr>
            <w:tcW w:w="460" w:type="pct"/>
            <w:noWrap/>
            <w:vAlign w:val="center"/>
          </w:tcPr>
          <w:p w14:paraId="6414E8F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55.77</w:t>
            </w:r>
          </w:p>
        </w:tc>
        <w:tc>
          <w:tcPr>
            <w:tcW w:w="383" w:type="pct"/>
            <w:noWrap/>
            <w:vAlign w:val="center"/>
          </w:tcPr>
          <w:p w14:paraId="70765D5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6C8EB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69D96B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29.77</w:t>
            </w:r>
          </w:p>
        </w:tc>
        <w:tc>
          <w:tcPr>
            <w:tcW w:w="388" w:type="pct"/>
            <w:noWrap/>
            <w:vAlign w:val="center"/>
          </w:tcPr>
          <w:p w14:paraId="2B89747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CB3C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10D4954">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212" w:type="pct"/>
            <w:vMerge w:val="continue"/>
            <w:noWrap/>
            <w:vAlign w:val="center"/>
          </w:tcPr>
          <w:p w14:paraId="24ACF5E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C5E271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E11455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AF92F1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AA60BE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-5.67</w:t>
            </w:r>
          </w:p>
        </w:tc>
        <w:tc>
          <w:tcPr>
            <w:tcW w:w="397" w:type="pct"/>
            <w:noWrap/>
            <w:vAlign w:val="center"/>
          </w:tcPr>
          <w:p w14:paraId="19B8F7E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28.07</w:t>
            </w:r>
          </w:p>
        </w:tc>
        <w:tc>
          <w:tcPr>
            <w:tcW w:w="235" w:type="pct"/>
            <w:noWrap/>
            <w:vAlign w:val="center"/>
          </w:tcPr>
          <w:p w14:paraId="621BEC4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ADE26D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0.43</w:t>
            </w:r>
          </w:p>
        </w:tc>
        <w:tc>
          <w:tcPr>
            <w:tcW w:w="460" w:type="pct"/>
            <w:noWrap/>
            <w:vAlign w:val="center"/>
          </w:tcPr>
          <w:p w14:paraId="6CF82C3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79.36</w:t>
            </w:r>
          </w:p>
        </w:tc>
        <w:tc>
          <w:tcPr>
            <w:tcW w:w="383" w:type="pct"/>
            <w:noWrap/>
            <w:vAlign w:val="center"/>
          </w:tcPr>
          <w:p w14:paraId="0875EF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5F078F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78359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53.36</w:t>
            </w:r>
          </w:p>
        </w:tc>
        <w:tc>
          <w:tcPr>
            <w:tcW w:w="388" w:type="pct"/>
            <w:noWrap/>
            <w:vAlign w:val="center"/>
          </w:tcPr>
          <w:p w14:paraId="003C8EE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C05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B7458EE">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91</w:t>
            </w:r>
          </w:p>
        </w:tc>
        <w:tc>
          <w:tcPr>
            <w:tcW w:w="212" w:type="pct"/>
            <w:vMerge w:val="continue"/>
            <w:noWrap/>
            <w:vAlign w:val="center"/>
          </w:tcPr>
          <w:p w14:paraId="64DD6B3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6C30917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华美达注塑机</w:t>
            </w:r>
            <w:r>
              <w:rPr>
                <w:rFonts w:hint="eastAsia" w:ascii="Times New Roman" w:hAnsi="Times New Roman" w:eastAsia="宋体" w:cs="Times New Roman"/>
                <w:i w:val="0"/>
                <w:iCs w:val="0"/>
                <w:color w:val="auto"/>
                <w:kern w:val="0"/>
                <w:sz w:val="21"/>
                <w:szCs w:val="21"/>
                <w:u w:val="none"/>
                <w:lang w:val="en-US" w:eastAsia="zh-CN" w:bidi="ar"/>
              </w:rPr>
              <w:t>16</w:t>
            </w:r>
          </w:p>
        </w:tc>
        <w:tc>
          <w:tcPr>
            <w:tcW w:w="425" w:type="pct"/>
            <w:vMerge w:val="restart"/>
            <w:noWrap/>
            <w:vAlign w:val="center"/>
          </w:tcPr>
          <w:p w14:paraId="3EB572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5F80E22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lang w:val="en-US" w:eastAsia="zh-CN"/>
              </w:rPr>
            </w:pPr>
          </w:p>
        </w:tc>
        <w:tc>
          <w:tcPr>
            <w:tcW w:w="373" w:type="pct"/>
            <w:vMerge w:val="continue"/>
            <w:noWrap w:val="0"/>
            <w:vAlign w:val="center"/>
          </w:tcPr>
          <w:p w14:paraId="5F7E0CB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2D3BEF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-7.15</w:t>
            </w:r>
          </w:p>
        </w:tc>
        <w:tc>
          <w:tcPr>
            <w:tcW w:w="397" w:type="pct"/>
            <w:noWrap/>
            <w:vAlign w:val="center"/>
          </w:tcPr>
          <w:p w14:paraId="3BBEB0C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31.76</w:t>
            </w:r>
          </w:p>
        </w:tc>
        <w:tc>
          <w:tcPr>
            <w:tcW w:w="235" w:type="pct"/>
            <w:noWrap/>
            <w:vAlign w:val="center"/>
          </w:tcPr>
          <w:p w14:paraId="13B4BC4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A9DF82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8.91</w:t>
            </w:r>
          </w:p>
        </w:tc>
        <w:tc>
          <w:tcPr>
            <w:tcW w:w="460" w:type="pct"/>
            <w:noWrap/>
            <w:vAlign w:val="center"/>
          </w:tcPr>
          <w:p w14:paraId="1F24591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57.45</w:t>
            </w:r>
          </w:p>
        </w:tc>
        <w:tc>
          <w:tcPr>
            <w:tcW w:w="383" w:type="pct"/>
            <w:noWrap/>
            <w:vAlign w:val="center"/>
          </w:tcPr>
          <w:p w14:paraId="40F439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345581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4A1D8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31.45</w:t>
            </w:r>
          </w:p>
        </w:tc>
        <w:tc>
          <w:tcPr>
            <w:tcW w:w="388" w:type="pct"/>
            <w:noWrap/>
            <w:vAlign w:val="center"/>
          </w:tcPr>
          <w:p w14:paraId="14872C8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5479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D2BF610">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92</w:t>
            </w:r>
          </w:p>
        </w:tc>
        <w:tc>
          <w:tcPr>
            <w:tcW w:w="212" w:type="pct"/>
            <w:vMerge w:val="continue"/>
            <w:noWrap/>
            <w:vAlign w:val="center"/>
          </w:tcPr>
          <w:p w14:paraId="54CB8C0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27FB4B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79864D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BEC1EE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44EF37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-7.15</w:t>
            </w:r>
          </w:p>
        </w:tc>
        <w:tc>
          <w:tcPr>
            <w:tcW w:w="397" w:type="pct"/>
            <w:noWrap/>
            <w:vAlign w:val="center"/>
          </w:tcPr>
          <w:p w14:paraId="6793051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31.76</w:t>
            </w:r>
          </w:p>
        </w:tc>
        <w:tc>
          <w:tcPr>
            <w:tcW w:w="235" w:type="pct"/>
            <w:noWrap/>
            <w:vAlign w:val="center"/>
          </w:tcPr>
          <w:p w14:paraId="0BEDA4E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A8AB70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32.28</w:t>
            </w:r>
          </w:p>
        </w:tc>
        <w:tc>
          <w:tcPr>
            <w:tcW w:w="460" w:type="pct"/>
            <w:noWrap/>
            <w:vAlign w:val="center"/>
          </w:tcPr>
          <w:p w14:paraId="69B8DB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55.70</w:t>
            </w:r>
          </w:p>
        </w:tc>
        <w:tc>
          <w:tcPr>
            <w:tcW w:w="383" w:type="pct"/>
            <w:noWrap/>
            <w:vAlign w:val="center"/>
          </w:tcPr>
          <w:p w14:paraId="5FFFFB8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BB49DA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A48AB4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29.70</w:t>
            </w:r>
          </w:p>
        </w:tc>
        <w:tc>
          <w:tcPr>
            <w:tcW w:w="388" w:type="pct"/>
            <w:noWrap/>
            <w:vAlign w:val="center"/>
          </w:tcPr>
          <w:p w14:paraId="73444A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DB04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16DD1B6">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93</w:t>
            </w:r>
          </w:p>
        </w:tc>
        <w:tc>
          <w:tcPr>
            <w:tcW w:w="212" w:type="pct"/>
            <w:vMerge w:val="continue"/>
            <w:noWrap/>
            <w:vAlign w:val="center"/>
          </w:tcPr>
          <w:p w14:paraId="5CEF369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87329C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C81EA7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AD1481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40EEA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-7.15</w:t>
            </w:r>
          </w:p>
        </w:tc>
        <w:tc>
          <w:tcPr>
            <w:tcW w:w="397" w:type="pct"/>
            <w:noWrap/>
            <w:vAlign w:val="center"/>
          </w:tcPr>
          <w:p w14:paraId="7167C44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31.76</w:t>
            </w:r>
          </w:p>
        </w:tc>
        <w:tc>
          <w:tcPr>
            <w:tcW w:w="235" w:type="pct"/>
            <w:noWrap/>
            <w:vAlign w:val="center"/>
          </w:tcPr>
          <w:p w14:paraId="16A0494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6F00CA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37.74</w:t>
            </w:r>
          </w:p>
        </w:tc>
        <w:tc>
          <w:tcPr>
            <w:tcW w:w="460" w:type="pct"/>
            <w:noWrap/>
            <w:vAlign w:val="center"/>
          </w:tcPr>
          <w:p w14:paraId="024B2C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55.65</w:t>
            </w:r>
          </w:p>
        </w:tc>
        <w:tc>
          <w:tcPr>
            <w:tcW w:w="383" w:type="pct"/>
            <w:noWrap/>
            <w:vAlign w:val="center"/>
          </w:tcPr>
          <w:p w14:paraId="0F43BBF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A96771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84D3E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29.65</w:t>
            </w:r>
          </w:p>
        </w:tc>
        <w:tc>
          <w:tcPr>
            <w:tcW w:w="388" w:type="pct"/>
            <w:noWrap/>
            <w:vAlign w:val="center"/>
          </w:tcPr>
          <w:p w14:paraId="3BDABEE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89F1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6427891">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94</w:t>
            </w:r>
          </w:p>
        </w:tc>
        <w:tc>
          <w:tcPr>
            <w:tcW w:w="212" w:type="pct"/>
            <w:vMerge w:val="continue"/>
            <w:noWrap/>
            <w:vAlign w:val="center"/>
          </w:tcPr>
          <w:p w14:paraId="4A9D2B8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A38E8E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FEEE78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7D0673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4A7F1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-7.15</w:t>
            </w:r>
          </w:p>
        </w:tc>
        <w:tc>
          <w:tcPr>
            <w:tcW w:w="397" w:type="pct"/>
            <w:noWrap/>
            <w:vAlign w:val="center"/>
          </w:tcPr>
          <w:p w14:paraId="0209595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31.76</w:t>
            </w:r>
          </w:p>
        </w:tc>
        <w:tc>
          <w:tcPr>
            <w:tcW w:w="235" w:type="pct"/>
            <w:noWrap/>
            <w:vAlign w:val="center"/>
          </w:tcPr>
          <w:p w14:paraId="4CED63C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BA4489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39.75</w:t>
            </w:r>
          </w:p>
        </w:tc>
        <w:tc>
          <w:tcPr>
            <w:tcW w:w="460" w:type="pct"/>
            <w:noWrap/>
            <w:vAlign w:val="center"/>
          </w:tcPr>
          <w:p w14:paraId="1522F74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55.64</w:t>
            </w:r>
          </w:p>
        </w:tc>
        <w:tc>
          <w:tcPr>
            <w:tcW w:w="383" w:type="pct"/>
            <w:noWrap/>
            <w:vAlign w:val="center"/>
          </w:tcPr>
          <w:p w14:paraId="1E4933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E418B6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84780B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29.64</w:t>
            </w:r>
          </w:p>
        </w:tc>
        <w:tc>
          <w:tcPr>
            <w:tcW w:w="388" w:type="pct"/>
            <w:noWrap/>
            <w:vAlign w:val="center"/>
          </w:tcPr>
          <w:p w14:paraId="7BCC800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0883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54CE775">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212" w:type="pct"/>
            <w:vMerge w:val="continue"/>
            <w:noWrap/>
            <w:vAlign w:val="center"/>
          </w:tcPr>
          <w:p w14:paraId="528957F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B5661E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4DB9F7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09C252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7B4429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-7.15</w:t>
            </w:r>
          </w:p>
        </w:tc>
        <w:tc>
          <w:tcPr>
            <w:tcW w:w="397" w:type="pct"/>
            <w:noWrap/>
            <w:vAlign w:val="center"/>
          </w:tcPr>
          <w:p w14:paraId="55CCF31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31.76</w:t>
            </w:r>
          </w:p>
        </w:tc>
        <w:tc>
          <w:tcPr>
            <w:tcW w:w="235" w:type="pct"/>
            <w:noWrap/>
            <w:vAlign w:val="center"/>
          </w:tcPr>
          <w:p w14:paraId="7FB867A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B06415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23.62</w:t>
            </w:r>
          </w:p>
        </w:tc>
        <w:tc>
          <w:tcPr>
            <w:tcW w:w="460" w:type="pct"/>
            <w:noWrap/>
            <w:vAlign w:val="center"/>
          </w:tcPr>
          <w:p w14:paraId="2B34C1B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55.85</w:t>
            </w:r>
          </w:p>
        </w:tc>
        <w:tc>
          <w:tcPr>
            <w:tcW w:w="383" w:type="pct"/>
            <w:noWrap/>
            <w:vAlign w:val="center"/>
          </w:tcPr>
          <w:p w14:paraId="1ECDCA1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D6A48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DF1F3B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29.85</w:t>
            </w:r>
          </w:p>
        </w:tc>
        <w:tc>
          <w:tcPr>
            <w:tcW w:w="388" w:type="pct"/>
            <w:noWrap/>
            <w:vAlign w:val="center"/>
          </w:tcPr>
          <w:p w14:paraId="39229FE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7A2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BED90F9">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96</w:t>
            </w:r>
          </w:p>
        </w:tc>
        <w:tc>
          <w:tcPr>
            <w:tcW w:w="212" w:type="pct"/>
            <w:vMerge w:val="continue"/>
            <w:noWrap/>
            <w:vAlign w:val="center"/>
          </w:tcPr>
          <w:p w14:paraId="15076CE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6DEB8C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B1CA67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909812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EB5C63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-7.15</w:t>
            </w:r>
          </w:p>
        </w:tc>
        <w:tc>
          <w:tcPr>
            <w:tcW w:w="397" w:type="pct"/>
            <w:noWrap/>
            <w:vAlign w:val="center"/>
          </w:tcPr>
          <w:p w14:paraId="72FBA65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31.76</w:t>
            </w:r>
          </w:p>
        </w:tc>
        <w:tc>
          <w:tcPr>
            <w:tcW w:w="235" w:type="pct"/>
            <w:noWrap/>
            <w:vAlign w:val="center"/>
          </w:tcPr>
          <w:p w14:paraId="66BA6E6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BC9AC6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1.13</w:t>
            </w:r>
          </w:p>
        </w:tc>
        <w:tc>
          <w:tcPr>
            <w:tcW w:w="460" w:type="pct"/>
            <w:noWrap/>
            <w:vAlign w:val="center"/>
          </w:tcPr>
          <w:p w14:paraId="6E4C3A0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71.07</w:t>
            </w:r>
          </w:p>
        </w:tc>
        <w:tc>
          <w:tcPr>
            <w:tcW w:w="383" w:type="pct"/>
            <w:noWrap/>
            <w:vAlign w:val="center"/>
          </w:tcPr>
          <w:p w14:paraId="5FF3362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3205C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662425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45.07</w:t>
            </w:r>
          </w:p>
        </w:tc>
        <w:tc>
          <w:tcPr>
            <w:tcW w:w="388" w:type="pct"/>
            <w:noWrap/>
            <w:vAlign w:val="center"/>
          </w:tcPr>
          <w:p w14:paraId="74B61E3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15D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F6B9D27">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97</w:t>
            </w:r>
          </w:p>
        </w:tc>
        <w:tc>
          <w:tcPr>
            <w:tcW w:w="212" w:type="pct"/>
            <w:vMerge w:val="continue"/>
            <w:noWrap/>
            <w:vAlign w:val="center"/>
          </w:tcPr>
          <w:p w14:paraId="0254DD9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5F7B843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华美达注塑机</w:t>
            </w:r>
            <w:r>
              <w:rPr>
                <w:rFonts w:hint="eastAsia" w:ascii="Times New Roman" w:hAnsi="Times New Roman" w:eastAsia="宋体" w:cs="Times New Roman"/>
                <w:i w:val="0"/>
                <w:iCs w:val="0"/>
                <w:color w:val="auto"/>
                <w:kern w:val="0"/>
                <w:sz w:val="21"/>
                <w:szCs w:val="21"/>
                <w:u w:val="none"/>
                <w:lang w:val="en-US" w:eastAsia="zh-CN" w:bidi="ar"/>
              </w:rPr>
              <w:t>17</w:t>
            </w:r>
          </w:p>
        </w:tc>
        <w:tc>
          <w:tcPr>
            <w:tcW w:w="425" w:type="pct"/>
            <w:vMerge w:val="restart"/>
            <w:noWrap/>
            <w:vAlign w:val="center"/>
          </w:tcPr>
          <w:p w14:paraId="60D550C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556301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lang w:val="en-US" w:eastAsia="zh-CN"/>
              </w:rPr>
            </w:pPr>
          </w:p>
        </w:tc>
        <w:tc>
          <w:tcPr>
            <w:tcW w:w="373" w:type="pct"/>
            <w:vMerge w:val="continue"/>
            <w:noWrap w:val="0"/>
            <w:vAlign w:val="center"/>
          </w:tcPr>
          <w:p w14:paraId="5304F0E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A85D3D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-8.62</w:t>
            </w:r>
          </w:p>
        </w:tc>
        <w:tc>
          <w:tcPr>
            <w:tcW w:w="397" w:type="pct"/>
            <w:noWrap/>
            <w:vAlign w:val="center"/>
          </w:tcPr>
          <w:p w14:paraId="5DDB324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35.57</w:t>
            </w:r>
          </w:p>
        </w:tc>
        <w:tc>
          <w:tcPr>
            <w:tcW w:w="235" w:type="pct"/>
            <w:noWrap/>
            <w:vAlign w:val="center"/>
          </w:tcPr>
          <w:p w14:paraId="2FAC71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8910E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9.34</w:t>
            </w:r>
          </w:p>
        </w:tc>
        <w:tc>
          <w:tcPr>
            <w:tcW w:w="460" w:type="pct"/>
            <w:noWrap/>
            <w:vAlign w:val="center"/>
          </w:tcPr>
          <w:p w14:paraId="63A9880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57.31</w:t>
            </w:r>
          </w:p>
        </w:tc>
        <w:tc>
          <w:tcPr>
            <w:tcW w:w="383" w:type="pct"/>
            <w:noWrap/>
            <w:vAlign w:val="center"/>
          </w:tcPr>
          <w:p w14:paraId="10F2E28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38EB0E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7CB2D3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31.31</w:t>
            </w:r>
          </w:p>
        </w:tc>
        <w:tc>
          <w:tcPr>
            <w:tcW w:w="388" w:type="pct"/>
            <w:noWrap/>
            <w:vAlign w:val="center"/>
          </w:tcPr>
          <w:p w14:paraId="0C201A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E719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AC12329">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98</w:t>
            </w:r>
          </w:p>
        </w:tc>
        <w:tc>
          <w:tcPr>
            <w:tcW w:w="212" w:type="pct"/>
            <w:vMerge w:val="continue"/>
            <w:noWrap/>
            <w:vAlign w:val="center"/>
          </w:tcPr>
          <w:p w14:paraId="5563BC6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44261F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1DE005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1BD637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4E0431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-8.62</w:t>
            </w:r>
          </w:p>
        </w:tc>
        <w:tc>
          <w:tcPr>
            <w:tcW w:w="397" w:type="pct"/>
            <w:noWrap/>
            <w:vAlign w:val="center"/>
          </w:tcPr>
          <w:p w14:paraId="54E7AA3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35.57</w:t>
            </w:r>
          </w:p>
        </w:tc>
        <w:tc>
          <w:tcPr>
            <w:tcW w:w="235" w:type="pct"/>
            <w:noWrap/>
            <w:vAlign w:val="center"/>
          </w:tcPr>
          <w:p w14:paraId="29E261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5F71CB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36.14</w:t>
            </w:r>
          </w:p>
        </w:tc>
        <w:tc>
          <w:tcPr>
            <w:tcW w:w="460" w:type="pct"/>
            <w:noWrap/>
            <w:vAlign w:val="center"/>
          </w:tcPr>
          <w:p w14:paraId="2783463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55.66</w:t>
            </w:r>
          </w:p>
        </w:tc>
        <w:tc>
          <w:tcPr>
            <w:tcW w:w="383" w:type="pct"/>
            <w:noWrap/>
            <w:vAlign w:val="center"/>
          </w:tcPr>
          <w:p w14:paraId="1D221ED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345AAC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CCD471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29.66</w:t>
            </w:r>
          </w:p>
        </w:tc>
        <w:tc>
          <w:tcPr>
            <w:tcW w:w="388" w:type="pct"/>
            <w:noWrap/>
            <w:vAlign w:val="center"/>
          </w:tcPr>
          <w:p w14:paraId="0F76D66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F15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2278F34">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99</w:t>
            </w:r>
          </w:p>
        </w:tc>
        <w:tc>
          <w:tcPr>
            <w:tcW w:w="212" w:type="pct"/>
            <w:vMerge w:val="continue"/>
            <w:noWrap/>
            <w:vAlign w:val="center"/>
          </w:tcPr>
          <w:p w14:paraId="72519D2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D60BFF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EACA07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E989FD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AB5848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-8.62</w:t>
            </w:r>
          </w:p>
        </w:tc>
        <w:tc>
          <w:tcPr>
            <w:tcW w:w="397" w:type="pct"/>
            <w:noWrap/>
            <w:vAlign w:val="center"/>
          </w:tcPr>
          <w:p w14:paraId="08C21B4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35.57</w:t>
            </w:r>
          </w:p>
        </w:tc>
        <w:tc>
          <w:tcPr>
            <w:tcW w:w="235" w:type="pct"/>
            <w:noWrap/>
            <w:vAlign w:val="center"/>
          </w:tcPr>
          <w:p w14:paraId="334B05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158B1C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41.81</w:t>
            </w:r>
          </w:p>
        </w:tc>
        <w:tc>
          <w:tcPr>
            <w:tcW w:w="460" w:type="pct"/>
            <w:noWrap/>
            <w:vAlign w:val="center"/>
          </w:tcPr>
          <w:p w14:paraId="3D3BEA3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55.63</w:t>
            </w:r>
          </w:p>
        </w:tc>
        <w:tc>
          <w:tcPr>
            <w:tcW w:w="383" w:type="pct"/>
            <w:noWrap/>
            <w:vAlign w:val="center"/>
          </w:tcPr>
          <w:p w14:paraId="6F7203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F9C0B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BF3E92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29.63</w:t>
            </w:r>
          </w:p>
        </w:tc>
        <w:tc>
          <w:tcPr>
            <w:tcW w:w="388" w:type="pct"/>
            <w:noWrap/>
            <w:vAlign w:val="center"/>
          </w:tcPr>
          <w:p w14:paraId="76AA1E9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8F1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C2C4160">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212" w:type="pct"/>
            <w:vMerge w:val="continue"/>
            <w:noWrap/>
            <w:vAlign w:val="center"/>
          </w:tcPr>
          <w:p w14:paraId="25ADDD4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0D1CEB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D27D33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2A0B05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A9B6D6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-8.62</w:t>
            </w:r>
          </w:p>
        </w:tc>
        <w:tc>
          <w:tcPr>
            <w:tcW w:w="397" w:type="pct"/>
            <w:noWrap/>
            <w:vAlign w:val="center"/>
          </w:tcPr>
          <w:p w14:paraId="08BCBEF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35.57</w:t>
            </w:r>
          </w:p>
        </w:tc>
        <w:tc>
          <w:tcPr>
            <w:tcW w:w="235" w:type="pct"/>
            <w:noWrap/>
            <w:vAlign w:val="center"/>
          </w:tcPr>
          <w:p w14:paraId="4360E3F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E37B95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39.15</w:t>
            </w:r>
          </w:p>
        </w:tc>
        <w:tc>
          <w:tcPr>
            <w:tcW w:w="460" w:type="pct"/>
            <w:noWrap/>
            <w:vAlign w:val="center"/>
          </w:tcPr>
          <w:p w14:paraId="59C9360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55.64</w:t>
            </w:r>
          </w:p>
        </w:tc>
        <w:tc>
          <w:tcPr>
            <w:tcW w:w="383" w:type="pct"/>
            <w:noWrap/>
            <w:vAlign w:val="center"/>
          </w:tcPr>
          <w:p w14:paraId="0518471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07B3E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3498C0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29.64</w:t>
            </w:r>
          </w:p>
        </w:tc>
        <w:tc>
          <w:tcPr>
            <w:tcW w:w="388" w:type="pct"/>
            <w:noWrap/>
            <w:vAlign w:val="center"/>
          </w:tcPr>
          <w:p w14:paraId="0EF25B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1973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284153B">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101</w:t>
            </w:r>
          </w:p>
        </w:tc>
        <w:tc>
          <w:tcPr>
            <w:tcW w:w="212" w:type="pct"/>
            <w:vMerge w:val="continue"/>
            <w:noWrap/>
            <w:vAlign w:val="center"/>
          </w:tcPr>
          <w:p w14:paraId="4EAFDA8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415FA0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eastAsia="zh-CN"/>
              </w:rPr>
            </w:pPr>
          </w:p>
        </w:tc>
        <w:tc>
          <w:tcPr>
            <w:tcW w:w="425" w:type="pct"/>
            <w:vMerge w:val="continue"/>
            <w:noWrap/>
            <w:vAlign w:val="center"/>
          </w:tcPr>
          <w:p w14:paraId="1CEB24D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p>
        </w:tc>
        <w:tc>
          <w:tcPr>
            <w:tcW w:w="373" w:type="pct"/>
            <w:vMerge w:val="continue"/>
            <w:noWrap w:val="0"/>
            <w:vAlign w:val="center"/>
          </w:tcPr>
          <w:p w14:paraId="16C4D84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C618DD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-8.62</w:t>
            </w:r>
          </w:p>
        </w:tc>
        <w:tc>
          <w:tcPr>
            <w:tcW w:w="397" w:type="pct"/>
            <w:noWrap/>
            <w:vAlign w:val="center"/>
          </w:tcPr>
          <w:p w14:paraId="7E3FB6C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35.57</w:t>
            </w:r>
          </w:p>
        </w:tc>
        <w:tc>
          <w:tcPr>
            <w:tcW w:w="235" w:type="pct"/>
            <w:noWrap/>
            <w:vAlign w:val="center"/>
          </w:tcPr>
          <w:p w14:paraId="2835E2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A73274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19.54</w:t>
            </w:r>
          </w:p>
        </w:tc>
        <w:tc>
          <w:tcPr>
            <w:tcW w:w="460" w:type="pct"/>
            <w:noWrap/>
            <w:vAlign w:val="center"/>
          </w:tcPr>
          <w:p w14:paraId="7D02082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56.00</w:t>
            </w:r>
          </w:p>
        </w:tc>
        <w:tc>
          <w:tcPr>
            <w:tcW w:w="383" w:type="pct"/>
            <w:noWrap/>
            <w:vAlign w:val="center"/>
          </w:tcPr>
          <w:p w14:paraId="461B7B5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508A95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6ABB77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30.00</w:t>
            </w:r>
          </w:p>
        </w:tc>
        <w:tc>
          <w:tcPr>
            <w:tcW w:w="388" w:type="pct"/>
            <w:noWrap/>
            <w:vAlign w:val="center"/>
          </w:tcPr>
          <w:p w14:paraId="1491B1C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A36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00BF555">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102</w:t>
            </w:r>
          </w:p>
        </w:tc>
        <w:tc>
          <w:tcPr>
            <w:tcW w:w="212" w:type="pct"/>
            <w:vMerge w:val="continue"/>
            <w:noWrap/>
            <w:vAlign w:val="center"/>
          </w:tcPr>
          <w:p w14:paraId="3165633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DC6E9A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87D264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4D0335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19CD51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-8.62</w:t>
            </w:r>
          </w:p>
        </w:tc>
        <w:tc>
          <w:tcPr>
            <w:tcW w:w="397" w:type="pct"/>
            <w:noWrap/>
            <w:vAlign w:val="center"/>
          </w:tcPr>
          <w:p w14:paraId="4A13DED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35.57</w:t>
            </w:r>
          </w:p>
        </w:tc>
        <w:tc>
          <w:tcPr>
            <w:tcW w:w="235" w:type="pct"/>
            <w:noWrap/>
            <w:vAlign w:val="center"/>
          </w:tcPr>
          <w:p w14:paraId="5C1931D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666355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2.79</w:t>
            </w:r>
          </w:p>
        </w:tc>
        <w:tc>
          <w:tcPr>
            <w:tcW w:w="460" w:type="pct"/>
            <w:noWrap/>
            <w:vAlign w:val="center"/>
          </w:tcPr>
          <w:p w14:paraId="0FC8ED0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63.80</w:t>
            </w:r>
          </w:p>
        </w:tc>
        <w:tc>
          <w:tcPr>
            <w:tcW w:w="383" w:type="pct"/>
            <w:noWrap/>
            <w:vAlign w:val="center"/>
          </w:tcPr>
          <w:p w14:paraId="3D65220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EC98DE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06EAE1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37.80</w:t>
            </w:r>
          </w:p>
        </w:tc>
        <w:tc>
          <w:tcPr>
            <w:tcW w:w="388" w:type="pct"/>
            <w:noWrap/>
            <w:vAlign w:val="center"/>
          </w:tcPr>
          <w:p w14:paraId="6EB060D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944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207C57F">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103</w:t>
            </w:r>
          </w:p>
        </w:tc>
        <w:tc>
          <w:tcPr>
            <w:tcW w:w="212" w:type="pct"/>
            <w:vMerge w:val="continue"/>
            <w:noWrap/>
            <w:vAlign w:val="center"/>
          </w:tcPr>
          <w:p w14:paraId="0646A86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7003B1B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华美达注塑机</w:t>
            </w:r>
            <w:r>
              <w:rPr>
                <w:rFonts w:hint="eastAsia" w:ascii="Times New Roman" w:hAnsi="Times New Roman" w:eastAsia="宋体" w:cs="Times New Roman"/>
                <w:i w:val="0"/>
                <w:iCs w:val="0"/>
                <w:color w:val="auto"/>
                <w:kern w:val="0"/>
                <w:sz w:val="21"/>
                <w:szCs w:val="21"/>
                <w:u w:val="none"/>
                <w:lang w:val="en-US" w:eastAsia="zh-CN" w:bidi="ar"/>
              </w:rPr>
              <w:t>18</w:t>
            </w:r>
          </w:p>
        </w:tc>
        <w:tc>
          <w:tcPr>
            <w:tcW w:w="425" w:type="pct"/>
            <w:vMerge w:val="restart"/>
            <w:noWrap/>
            <w:vAlign w:val="center"/>
          </w:tcPr>
          <w:p w14:paraId="0A97C5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6A80DD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A8B2FE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573BEC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-10.34</w:t>
            </w:r>
          </w:p>
        </w:tc>
        <w:tc>
          <w:tcPr>
            <w:tcW w:w="397" w:type="pct"/>
            <w:noWrap/>
            <w:vAlign w:val="center"/>
          </w:tcPr>
          <w:p w14:paraId="5DBC79E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40.12</w:t>
            </w:r>
          </w:p>
        </w:tc>
        <w:tc>
          <w:tcPr>
            <w:tcW w:w="235" w:type="pct"/>
            <w:noWrap/>
            <w:vAlign w:val="center"/>
          </w:tcPr>
          <w:p w14:paraId="225B63F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80A03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9.88</w:t>
            </w:r>
          </w:p>
        </w:tc>
        <w:tc>
          <w:tcPr>
            <w:tcW w:w="460" w:type="pct"/>
            <w:noWrap/>
            <w:vAlign w:val="center"/>
          </w:tcPr>
          <w:p w14:paraId="4EB33C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57.15</w:t>
            </w:r>
          </w:p>
        </w:tc>
        <w:tc>
          <w:tcPr>
            <w:tcW w:w="383" w:type="pct"/>
            <w:noWrap/>
            <w:vAlign w:val="center"/>
          </w:tcPr>
          <w:p w14:paraId="6C94D0E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DC4AE6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20797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31.15</w:t>
            </w:r>
          </w:p>
        </w:tc>
        <w:tc>
          <w:tcPr>
            <w:tcW w:w="388" w:type="pct"/>
            <w:noWrap/>
            <w:vAlign w:val="center"/>
          </w:tcPr>
          <w:p w14:paraId="7581B6B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B196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B93682C">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104</w:t>
            </w:r>
          </w:p>
        </w:tc>
        <w:tc>
          <w:tcPr>
            <w:tcW w:w="212" w:type="pct"/>
            <w:vMerge w:val="continue"/>
            <w:noWrap/>
            <w:vAlign w:val="center"/>
          </w:tcPr>
          <w:p w14:paraId="52AC695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7F397B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E680F2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BBB607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A3BD3C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-10.34</w:t>
            </w:r>
          </w:p>
        </w:tc>
        <w:tc>
          <w:tcPr>
            <w:tcW w:w="397" w:type="pct"/>
            <w:noWrap/>
            <w:vAlign w:val="center"/>
          </w:tcPr>
          <w:p w14:paraId="195B788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40.12</w:t>
            </w:r>
          </w:p>
        </w:tc>
        <w:tc>
          <w:tcPr>
            <w:tcW w:w="235" w:type="pct"/>
            <w:noWrap/>
            <w:vAlign w:val="center"/>
          </w:tcPr>
          <w:p w14:paraId="75DE7A0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82C19D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40.75</w:t>
            </w:r>
          </w:p>
        </w:tc>
        <w:tc>
          <w:tcPr>
            <w:tcW w:w="460" w:type="pct"/>
            <w:noWrap/>
            <w:vAlign w:val="center"/>
          </w:tcPr>
          <w:p w14:paraId="5FDC305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55.63</w:t>
            </w:r>
          </w:p>
        </w:tc>
        <w:tc>
          <w:tcPr>
            <w:tcW w:w="383" w:type="pct"/>
            <w:noWrap/>
            <w:vAlign w:val="center"/>
          </w:tcPr>
          <w:p w14:paraId="272F8C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8A348F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29937D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29.63</w:t>
            </w:r>
          </w:p>
        </w:tc>
        <w:tc>
          <w:tcPr>
            <w:tcW w:w="388" w:type="pct"/>
            <w:noWrap/>
            <w:vAlign w:val="center"/>
          </w:tcPr>
          <w:p w14:paraId="074A67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E3D3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1F99D3D">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105</w:t>
            </w:r>
          </w:p>
        </w:tc>
        <w:tc>
          <w:tcPr>
            <w:tcW w:w="212" w:type="pct"/>
            <w:vMerge w:val="continue"/>
            <w:noWrap/>
            <w:vAlign w:val="center"/>
          </w:tcPr>
          <w:p w14:paraId="6F08558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D1959C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04A4BD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843844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CBC12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-10.34</w:t>
            </w:r>
          </w:p>
        </w:tc>
        <w:tc>
          <w:tcPr>
            <w:tcW w:w="397" w:type="pct"/>
            <w:noWrap/>
            <w:vAlign w:val="center"/>
          </w:tcPr>
          <w:p w14:paraId="79DACC6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40.12</w:t>
            </w:r>
          </w:p>
        </w:tc>
        <w:tc>
          <w:tcPr>
            <w:tcW w:w="235" w:type="pct"/>
            <w:noWrap/>
            <w:vAlign w:val="center"/>
          </w:tcPr>
          <w:p w14:paraId="5FCBFDD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9BB5A1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46.68</w:t>
            </w:r>
          </w:p>
        </w:tc>
        <w:tc>
          <w:tcPr>
            <w:tcW w:w="460" w:type="pct"/>
            <w:noWrap/>
            <w:vAlign w:val="center"/>
          </w:tcPr>
          <w:p w14:paraId="7C3BB38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55.61</w:t>
            </w:r>
          </w:p>
        </w:tc>
        <w:tc>
          <w:tcPr>
            <w:tcW w:w="383" w:type="pct"/>
            <w:noWrap/>
            <w:vAlign w:val="center"/>
          </w:tcPr>
          <w:p w14:paraId="34497B4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30B42A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D948E9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29.61</w:t>
            </w:r>
          </w:p>
        </w:tc>
        <w:tc>
          <w:tcPr>
            <w:tcW w:w="388" w:type="pct"/>
            <w:noWrap/>
            <w:vAlign w:val="center"/>
          </w:tcPr>
          <w:p w14:paraId="36CCCF5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6486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95BE3AE">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106</w:t>
            </w:r>
          </w:p>
        </w:tc>
        <w:tc>
          <w:tcPr>
            <w:tcW w:w="212" w:type="pct"/>
            <w:vMerge w:val="continue"/>
            <w:noWrap/>
            <w:vAlign w:val="center"/>
          </w:tcPr>
          <w:p w14:paraId="20592AB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F8959D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AD50A3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AA48A4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A48448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-10.34</w:t>
            </w:r>
          </w:p>
        </w:tc>
        <w:tc>
          <w:tcPr>
            <w:tcW w:w="397" w:type="pct"/>
            <w:noWrap/>
            <w:vAlign w:val="center"/>
          </w:tcPr>
          <w:p w14:paraId="08ABEF9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40.12</w:t>
            </w:r>
          </w:p>
        </w:tc>
        <w:tc>
          <w:tcPr>
            <w:tcW w:w="235" w:type="pct"/>
            <w:noWrap/>
            <w:vAlign w:val="center"/>
          </w:tcPr>
          <w:p w14:paraId="3A0ACC2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3B3F27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38.41</w:t>
            </w:r>
          </w:p>
        </w:tc>
        <w:tc>
          <w:tcPr>
            <w:tcW w:w="460" w:type="pct"/>
            <w:noWrap/>
            <w:vAlign w:val="center"/>
          </w:tcPr>
          <w:p w14:paraId="763339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55.65</w:t>
            </w:r>
          </w:p>
        </w:tc>
        <w:tc>
          <w:tcPr>
            <w:tcW w:w="383" w:type="pct"/>
            <w:noWrap/>
            <w:vAlign w:val="center"/>
          </w:tcPr>
          <w:p w14:paraId="5A755E4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BB63CD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32EBB5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29.65</w:t>
            </w:r>
          </w:p>
        </w:tc>
        <w:tc>
          <w:tcPr>
            <w:tcW w:w="388" w:type="pct"/>
            <w:noWrap/>
            <w:vAlign w:val="center"/>
          </w:tcPr>
          <w:p w14:paraId="40CEB29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2D2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EF2E301">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107</w:t>
            </w:r>
          </w:p>
        </w:tc>
        <w:tc>
          <w:tcPr>
            <w:tcW w:w="212" w:type="pct"/>
            <w:vMerge w:val="continue"/>
            <w:noWrap/>
            <w:vAlign w:val="center"/>
          </w:tcPr>
          <w:p w14:paraId="063FE52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BD0B05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B6C84E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C5B02D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0B3188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-10.34</w:t>
            </w:r>
          </w:p>
        </w:tc>
        <w:tc>
          <w:tcPr>
            <w:tcW w:w="397" w:type="pct"/>
            <w:noWrap/>
            <w:vAlign w:val="center"/>
          </w:tcPr>
          <w:p w14:paraId="4E36EA8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40.12</w:t>
            </w:r>
          </w:p>
        </w:tc>
        <w:tc>
          <w:tcPr>
            <w:tcW w:w="235" w:type="pct"/>
            <w:noWrap/>
            <w:vAlign w:val="center"/>
          </w:tcPr>
          <w:p w14:paraId="4BD3559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EC837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14.68</w:t>
            </w:r>
          </w:p>
        </w:tc>
        <w:tc>
          <w:tcPr>
            <w:tcW w:w="460" w:type="pct"/>
            <w:noWrap/>
            <w:vAlign w:val="center"/>
          </w:tcPr>
          <w:p w14:paraId="2E9545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56.34</w:t>
            </w:r>
          </w:p>
        </w:tc>
        <w:tc>
          <w:tcPr>
            <w:tcW w:w="383" w:type="pct"/>
            <w:noWrap/>
            <w:vAlign w:val="center"/>
          </w:tcPr>
          <w:p w14:paraId="0798706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D761B5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A83B50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30.34</w:t>
            </w:r>
          </w:p>
        </w:tc>
        <w:tc>
          <w:tcPr>
            <w:tcW w:w="388" w:type="pct"/>
            <w:noWrap/>
            <w:vAlign w:val="center"/>
          </w:tcPr>
          <w:p w14:paraId="64072A6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FBC1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8E79351">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108</w:t>
            </w:r>
          </w:p>
        </w:tc>
        <w:tc>
          <w:tcPr>
            <w:tcW w:w="212" w:type="pct"/>
            <w:vMerge w:val="continue"/>
            <w:noWrap/>
            <w:vAlign w:val="center"/>
          </w:tcPr>
          <w:p w14:paraId="7134FD2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5EE0F4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3D47F4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2566AE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095B2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-10.34</w:t>
            </w:r>
          </w:p>
        </w:tc>
        <w:tc>
          <w:tcPr>
            <w:tcW w:w="397" w:type="pct"/>
            <w:noWrap/>
            <w:vAlign w:val="center"/>
          </w:tcPr>
          <w:p w14:paraId="2EE0A60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40.12</w:t>
            </w:r>
          </w:p>
        </w:tc>
        <w:tc>
          <w:tcPr>
            <w:tcW w:w="235" w:type="pct"/>
            <w:noWrap/>
            <w:vAlign w:val="center"/>
          </w:tcPr>
          <w:p w14:paraId="3F49EF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455528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4.79</w:t>
            </w:r>
          </w:p>
        </w:tc>
        <w:tc>
          <w:tcPr>
            <w:tcW w:w="460" w:type="pct"/>
            <w:noWrap/>
            <w:vAlign w:val="center"/>
          </w:tcPr>
          <w:p w14:paraId="40382CF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60.21</w:t>
            </w:r>
          </w:p>
        </w:tc>
        <w:tc>
          <w:tcPr>
            <w:tcW w:w="383" w:type="pct"/>
            <w:noWrap/>
            <w:vAlign w:val="center"/>
          </w:tcPr>
          <w:p w14:paraId="4EA27DD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37933B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A541E0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34.21</w:t>
            </w:r>
          </w:p>
        </w:tc>
        <w:tc>
          <w:tcPr>
            <w:tcW w:w="388" w:type="pct"/>
            <w:noWrap/>
            <w:vAlign w:val="center"/>
          </w:tcPr>
          <w:p w14:paraId="3489980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78D1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0CD50C6">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109</w:t>
            </w:r>
          </w:p>
        </w:tc>
        <w:tc>
          <w:tcPr>
            <w:tcW w:w="212" w:type="pct"/>
            <w:vMerge w:val="continue"/>
            <w:noWrap/>
            <w:vAlign w:val="center"/>
          </w:tcPr>
          <w:p w14:paraId="50113B7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2F98C3D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华美达注塑机</w:t>
            </w:r>
            <w:r>
              <w:rPr>
                <w:rFonts w:hint="eastAsia" w:ascii="Times New Roman" w:hAnsi="Times New Roman" w:eastAsia="宋体" w:cs="Times New Roman"/>
                <w:i w:val="0"/>
                <w:iCs w:val="0"/>
                <w:color w:val="auto"/>
                <w:kern w:val="0"/>
                <w:sz w:val="21"/>
                <w:szCs w:val="21"/>
                <w:u w:val="none"/>
                <w:lang w:val="en-US" w:eastAsia="zh-CN" w:bidi="ar"/>
              </w:rPr>
              <w:t>19</w:t>
            </w:r>
          </w:p>
        </w:tc>
        <w:tc>
          <w:tcPr>
            <w:tcW w:w="425" w:type="pct"/>
            <w:vMerge w:val="restart"/>
            <w:noWrap/>
            <w:vAlign w:val="center"/>
          </w:tcPr>
          <w:p w14:paraId="033C0A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01777D2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lang w:val="en-US" w:eastAsia="zh-CN"/>
              </w:rPr>
            </w:pPr>
          </w:p>
        </w:tc>
        <w:tc>
          <w:tcPr>
            <w:tcW w:w="373" w:type="pct"/>
            <w:vMerge w:val="continue"/>
            <w:noWrap w:val="0"/>
            <w:vAlign w:val="center"/>
          </w:tcPr>
          <w:p w14:paraId="09A3EF9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23EC31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-12.07</w:t>
            </w:r>
          </w:p>
        </w:tc>
        <w:tc>
          <w:tcPr>
            <w:tcW w:w="397" w:type="pct"/>
            <w:noWrap/>
            <w:vAlign w:val="center"/>
          </w:tcPr>
          <w:p w14:paraId="3BD589F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43.81</w:t>
            </w:r>
          </w:p>
        </w:tc>
        <w:tc>
          <w:tcPr>
            <w:tcW w:w="235" w:type="pct"/>
            <w:noWrap/>
            <w:vAlign w:val="center"/>
          </w:tcPr>
          <w:p w14:paraId="68A8E2A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81E781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10.02</w:t>
            </w:r>
          </w:p>
        </w:tc>
        <w:tc>
          <w:tcPr>
            <w:tcW w:w="460" w:type="pct"/>
            <w:noWrap/>
            <w:vAlign w:val="center"/>
          </w:tcPr>
          <w:p w14:paraId="25017FD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57.11</w:t>
            </w:r>
          </w:p>
        </w:tc>
        <w:tc>
          <w:tcPr>
            <w:tcW w:w="383" w:type="pct"/>
            <w:noWrap/>
            <w:vAlign w:val="center"/>
          </w:tcPr>
          <w:p w14:paraId="1E5B60C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7AF29F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E5756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31.11</w:t>
            </w:r>
          </w:p>
        </w:tc>
        <w:tc>
          <w:tcPr>
            <w:tcW w:w="388" w:type="pct"/>
            <w:noWrap/>
            <w:vAlign w:val="center"/>
          </w:tcPr>
          <w:p w14:paraId="539AC0B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77B9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6BE1F2D">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110</w:t>
            </w:r>
          </w:p>
        </w:tc>
        <w:tc>
          <w:tcPr>
            <w:tcW w:w="212" w:type="pct"/>
            <w:vMerge w:val="continue"/>
            <w:noWrap/>
            <w:vAlign w:val="center"/>
          </w:tcPr>
          <w:p w14:paraId="4ABC156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FAFDAA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B20533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F2BCA8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4537B1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-12.07</w:t>
            </w:r>
          </w:p>
        </w:tc>
        <w:tc>
          <w:tcPr>
            <w:tcW w:w="397" w:type="pct"/>
            <w:noWrap/>
            <w:vAlign w:val="center"/>
          </w:tcPr>
          <w:p w14:paraId="0333429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43.81</w:t>
            </w:r>
          </w:p>
        </w:tc>
        <w:tc>
          <w:tcPr>
            <w:tcW w:w="235" w:type="pct"/>
            <w:noWrap/>
            <w:vAlign w:val="center"/>
          </w:tcPr>
          <w:p w14:paraId="4BBC116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B96275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44.50</w:t>
            </w:r>
          </w:p>
        </w:tc>
        <w:tc>
          <w:tcPr>
            <w:tcW w:w="460" w:type="pct"/>
            <w:noWrap/>
            <w:vAlign w:val="center"/>
          </w:tcPr>
          <w:p w14:paraId="08938E6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55.62</w:t>
            </w:r>
          </w:p>
        </w:tc>
        <w:tc>
          <w:tcPr>
            <w:tcW w:w="383" w:type="pct"/>
            <w:noWrap/>
            <w:vAlign w:val="center"/>
          </w:tcPr>
          <w:p w14:paraId="04C105F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324F2E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6FFC9F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29.62</w:t>
            </w:r>
          </w:p>
        </w:tc>
        <w:tc>
          <w:tcPr>
            <w:tcW w:w="388" w:type="pct"/>
            <w:noWrap/>
            <w:vAlign w:val="center"/>
          </w:tcPr>
          <w:p w14:paraId="4DEB07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8E00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390839A">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111</w:t>
            </w:r>
          </w:p>
        </w:tc>
        <w:tc>
          <w:tcPr>
            <w:tcW w:w="212" w:type="pct"/>
            <w:vMerge w:val="continue"/>
            <w:noWrap/>
            <w:vAlign w:val="center"/>
          </w:tcPr>
          <w:p w14:paraId="6BCDDC7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p>
        </w:tc>
        <w:tc>
          <w:tcPr>
            <w:tcW w:w="278" w:type="pct"/>
            <w:vMerge w:val="continue"/>
            <w:noWrap/>
            <w:vAlign w:val="center"/>
          </w:tcPr>
          <w:p w14:paraId="341F525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3B1698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p>
        </w:tc>
        <w:tc>
          <w:tcPr>
            <w:tcW w:w="373" w:type="pct"/>
            <w:vMerge w:val="continue"/>
            <w:noWrap w:val="0"/>
            <w:vAlign w:val="center"/>
          </w:tcPr>
          <w:p w14:paraId="09E6DF1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698849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-12.07</w:t>
            </w:r>
          </w:p>
        </w:tc>
        <w:tc>
          <w:tcPr>
            <w:tcW w:w="397" w:type="pct"/>
            <w:noWrap/>
            <w:vAlign w:val="center"/>
          </w:tcPr>
          <w:p w14:paraId="6A437D9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43.81</w:t>
            </w:r>
          </w:p>
        </w:tc>
        <w:tc>
          <w:tcPr>
            <w:tcW w:w="235" w:type="pct"/>
            <w:noWrap/>
            <w:vAlign w:val="center"/>
          </w:tcPr>
          <w:p w14:paraId="25CB0B6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F4906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50.72</w:t>
            </w:r>
          </w:p>
        </w:tc>
        <w:tc>
          <w:tcPr>
            <w:tcW w:w="460" w:type="pct"/>
            <w:noWrap/>
            <w:vAlign w:val="center"/>
          </w:tcPr>
          <w:p w14:paraId="73B23A0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55.59</w:t>
            </w:r>
          </w:p>
        </w:tc>
        <w:tc>
          <w:tcPr>
            <w:tcW w:w="383" w:type="pct"/>
            <w:noWrap/>
            <w:vAlign w:val="center"/>
          </w:tcPr>
          <w:p w14:paraId="5B4A3AF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0F3C3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6B23E8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29.59</w:t>
            </w:r>
          </w:p>
        </w:tc>
        <w:tc>
          <w:tcPr>
            <w:tcW w:w="388" w:type="pct"/>
            <w:noWrap/>
            <w:vAlign w:val="center"/>
          </w:tcPr>
          <w:p w14:paraId="15E2EAD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13FB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DA759DC">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112</w:t>
            </w:r>
          </w:p>
        </w:tc>
        <w:tc>
          <w:tcPr>
            <w:tcW w:w="212" w:type="pct"/>
            <w:vMerge w:val="continue"/>
            <w:noWrap/>
            <w:vAlign w:val="center"/>
          </w:tcPr>
          <w:p w14:paraId="180E54A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F3E2E9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D03FD8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AA133E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108FFA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-12.07</w:t>
            </w:r>
          </w:p>
        </w:tc>
        <w:tc>
          <w:tcPr>
            <w:tcW w:w="397" w:type="pct"/>
            <w:noWrap/>
            <w:vAlign w:val="center"/>
          </w:tcPr>
          <w:p w14:paraId="51F592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43.81</w:t>
            </w:r>
          </w:p>
        </w:tc>
        <w:tc>
          <w:tcPr>
            <w:tcW w:w="235" w:type="pct"/>
            <w:noWrap/>
            <w:vAlign w:val="center"/>
          </w:tcPr>
          <w:p w14:paraId="37EFAF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7502A1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38.10</w:t>
            </w:r>
          </w:p>
        </w:tc>
        <w:tc>
          <w:tcPr>
            <w:tcW w:w="460" w:type="pct"/>
            <w:noWrap/>
            <w:vAlign w:val="center"/>
          </w:tcPr>
          <w:p w14:paraId="5BD0561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55.65</w:t>
            </w:r>
          </w:p>
        </w:tc>
        <w:tc>
          <w:tcPr>
            <w:tcW w:w="383" w:type="pct"/>
            <w:noWrap/>
            <w:vAlign w:val="center"/>
          </w:tcPr>
          <w:p w14:paraId="365062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CA9E05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887A7D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29.65</w:t>
            </w:r>
          </w:p>
        </w:tc>
        <w:tc>
          <w:tcPr>
            <w:tcW w:w="388" w:type="pct"/>
            <w:noWrap/>
            <w:vAlign w:val="center"/>
          </w:tcPr>
          <w:p w14:paraId="640638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0961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85409B0">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113</w:t>
            </w:r>
          </w:p>
        </w:tc>
        <w:tc>
          <w:tcPr>
            <w:tcW w:w="212" w:type="pct"/>
            <w:vMerge w:val="continue"/>
            <w:noWrap/>
            <w:vAlign w:val="center"/>
          </w:tcPr>
          <w:p w14:paraId="304CEFD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B6B717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759B21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1EEE1C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77CB7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-12.07</w:t>
            </w:r>
          </w:p>
        </w:tc>
        <w:tc>
          <w:tcPr>
            <w:tcW w:w="397" w:type="pct"/>
            <w:noWrap/>
            <w:vAlign w:val="center"/>
          </w:tcPr>
          <w:p w14:paraId="4219F5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43.81</w:t>
            </w:r>
          </w:p>
        </w:tc>
        <w:tc>
          <w:tcPr>
            <w:tcW w:w="235" w:type="pct"/>
            <w:noWrap/>
            <w:vAlign w:val="center"/>
          </w:tcPr>
          <w:p w14:paraId="4746F4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7EE46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10.61</w:t>
            </w:r>
          </w:p>
        </w:tc>
        <w:tc>
          <w:tcPr>
            <w:tcW w:w="460" w:type="pct"/>
            <w:noWrap/>
            <w:vAlign w:val="center"/>
          </w:tcPr>
          <w:p w14:paraId="4FF318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56.97</w:t>
            </w:r>
          </w:p>
        </w:tc>
        <w:tc>
          <w:tcPr>
            <w:tcW w:w="383" w:type="pct"/>
            <w:noWrap/>
            <w:vAlign w:val="center"/>
          </w:tcPr>
          <w:p w14:paraId="48DAA4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79603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CA73A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30.97</w:t>
            </w:r>
          </w:p>
        </w:tc>
        <w:tc>
          <w:tcPr>
            <w:tcW w:w="388" w:type="pct"/>
            <w:noWrap/>
            <w:vAlign w:val="center"/>
          </w:tcPr>
          <w:p w14:paraId="0CA5D4A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94D6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3663188">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114</w:t>
            </w:r>
          </w:p>
        </w:tc>
        <w:tc>
          <w:tcPr>
            <w:tcW w:w="212" w:type="pct"/>
            <w:vMerge w:val="continue"/>
            <w:noWrap/>
            <w:vAlign w:val="center"/>
          </w:tcPr>
          <w:p w14:paraId="4E552EA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24178A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043E10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65C68E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F4382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-12.07</w:t>
            </w:r>
          </w:p>
        </w:tc>
        <w:tc>
          <w:tcPr>
            <w:tcW w:w="397" w:type="pct"/>
            <w:noWrap/>
            <w:vAlign w:val="center"/>
          </w:tcPr>
          <w:p w14:paraId="6426B9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43.81</w:t>
            </w:r>
          </w:p>
        </w:tc>
        <w:tc>
          <w:tcPr>
            <w:tcW w:w="235" w:type="pct"/>
            <w:noWrap/>
            <w:vAlign w:val="center"/>
          </w:tcPr>
          <w:p w14:paraId="3A83D76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0B32F2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6.17</w:t>
            </w:r>
          </w:p>
        </w:tc>
        <w:tc>
          <w:tcPr>
            <w:tcW w:w="460" w:type="pct"/>
            <w:noWrap/>
            <w:vAlign w:val="center"/>
          </w:tcPr>
          <w:p w14:paraId="5CB0EF8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58.88</w:t>
            </w:r>
          </w:p>
        </w:tc>
        <w:tc>
          <w:tcPr>
            <w:tcW w:w="383" w:type="pct"/>
            <w:noWrap/>
            <w:vAlign w:val="center"/>
          </w:tcPr>
          <w:p w14:paraId="4BCBF7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6C49BF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5C2DFA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32.88</w:t>
            </w:r>
          </w:p>
        </w:tc>
        <w:tc>
          <w:tcPr>
            <w:tcW w:w="388" w:type="pct"/>
            <w:noWrap/>
            <w:vAlign w:val="center"/>
          </w:tcPr>
          <w:p w14:paraId="2B67E12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5D90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C9E34DF">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115</w:t>
            </w:r>
          </w:p>
        </w:tc>
        <w:tc>
          <w:tcPr>
            <w:tcW w:w="212" w:type="pct"/>
            <w:vMerge w:val="continue"/>
            <w:noWrap/>
            <w:vAlign w:val="center"/>
          </w:tcPr>
          <w:p w14:paraId="67E380A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63772FA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华美达注塑机2</w:t>
            </w:r>
            <w:r>
              <w:rPr>
                <w:rFonts w:hint="eastAsia" w:ascii="Times New Roman" w:hAnsi="Times New Roman" w:eastAsia="宋体" w:cs="Times New Roman"/>
                <w:i w:val="0"/>
                <w:iCs w:val="0"/>
                <w:color w:val="auto"/>
                <w:kern w:val="0"/>
                <w:sz w:val="21"/>
                <w:szCs w:val="21"/>
                <w:u w:val="none"/>
                <w:lang w:val="en-US" w:eastAsia="zh-CN" w:bidi="ar"/>
              </w:rPr>
              <w:t>0</w:t>
            </w:r>
          </w:p>
        </w:tc>
        <w:tc>
          <w:tcPr>
            <w:tcW w:w="425" w:type="pct"/>
            <w:vMerge w:val="restart"/>
            <w:noWrap/>
            <w:vAlign w:val="center"/>
          </w:tcPr>
          <w:p w14:paraId="464746C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eastAsia="宋体" w:cs="Times New Roman"/>
                <w:i w:val="0"/>
                <w:iCs w:val="0"/>
                <w:color w:val="auto"/>
                <w:kern w:val="0"/>
                <w:sz w:val="21"/>
                <w:szCs w:val="21"/>
                <w:u w:val="none"/>
                <w:lang w:val="en-US" w:eastAsia="zh-CN" w:bidi="ar"/>
              </w:rPr>
              <w:t>/1</w:t>
            </w:r>
          </w:p>
          <w:p w14:paraId="74A333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04AB56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B20AD4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-14.16</w:t>
            </w:r>
          </w:p>
        </w:tc>
        <w:tc>
          <w:tcPr>
            <w:tcW w:w="397" w:type="pct"/>
            <w:noWrap/>
            <w:vAlign w:val="center"/>
          </w:tcPr>
          <w:p w14:paraId="75D5404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48.23</w:t>
            </w:r>
          </w:p>
        </w:tc>
        <w:tc>
          <w:tcPr>
            <w:tcW w:w="235" w:type="pct"/>
            <w:noWrap/>
            <w:vAlign w:val="center"/>
          </w:tcPr>
          <w:p w14:paraId="1271D8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4DC392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10.18</w:t>
            </w:r>
          </w:p>
        </w:tc>
        <w:tc>
          <w:tcPr>
            <w:tcW w:w="460" w:type="pct"/>
            <w:noWrap/>
            <w:vAlign w:val="center"/>
          </w:tcPr>
          <w:p w14:paraId="12AE72B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57.07</w:t>
            </w:r>
          </w:p>
        </w:tc>
        <w:tc>
          <w:tcPr>
            <w:tcW w:w="383" w:type="pct"/>
            <w:noWrap/>
            <w:vAlign w:val="center"/>
          </w:tcPr>
          <w:p w14:paraId="3ADA76A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BEC189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C0D205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31.07</w:t>
            </w:r>
          </w:p>
        </w:tc>
        <w:tc>
          <w:tcPr>
            <w:tcW w:w="388" w:type="pct"/>
            <w:noWrap/>
            <w:vAlign w:val="center"/>
          </w:tcPr>
          <w:p w14:paraId="617C838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78A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09A5D38">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116</w:t>
            </w:r>
          </w:p>
        </w:tc>
        <w:tc>
          <w:tcPr>
            <w:tcW w:w="212" w:type="pct"/>
            <w:vMerge w:val="continue"/>
            <w:noWrap/>
            <w:vAlign w:val="center"/>
          </w:tcPr>
          <w:p w14:paraId="6126EE4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3BD793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0860D3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7B5E38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D3BD36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-14.16</w:t>
            </w:r>
          </w:p>
        </w:tc>
        <w:tc>
          <w:tcPr>
            <w:tcW w:w="397" w:type="pct"/>
            <w:noWrap/>
            <w:vAlign w:val="center"/>
          </w:tcPr>
          <w:p w14:paraId="71E2ADC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48.23</w:t>
            </w:r>
          </w:p>
        </w:tc>
        <w:tc>
          <w:tcPr>
            <w:tcW w:w="235" w:type="pct"/>
            <w:noWrap/>
            <w:vAlign w:val="center"/>
          </w:tcPr>
          <w:p w14:paraId="6C56C7A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1AA0FD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48.99</w:t>
            </w:r>
          </w:p>
        </w:tc>
        <w:tc>
          <w:tcPr>
            <w:tcW w:w="460" w:type="pct"/>
            <w:noWrap/>
            <w:vAlign w:val="center"/>
          </w:tcPr>
          <w:p w14:paraId="4ED19A0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55.60</w:t>
            </w:r>
          </w:p>
        </w:tc>
        <w:tc>
          <w:tcPr>
            <w:tcW w:w="383" w:type="pct"/>
            <w:noWrap/>
            <w:vAlign w:val="center"/>
          </w:tcPr>
          <w:p w14:paraId="3009CB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61F510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01607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29.60</w:t>
            </w:r>
          </w:p>
        </w:tc>
        <w:tc>
          <w:tcPr>
            <w:tcW w:w="388" w:type="pct"/>
            <w:noWrap/>
            <w:vAlign w:val="center"/>
          </w:tcPr>
          <w:p w14:paraId="68B840C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3CA5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7CB1D03">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117</w:t>
            </w:r>
          </w:p>
        </w:tc>
        <w:tc>
          <w:tcPr>
            <w:tcW w:w="212" w:type="pct"/>
            <w:vMerge w:val="continue"/>
            <w:noWrap/>
            <w:vAlign w:val="center"/>
          </w:tcPr>
          <w:p w14:paraId="49668B5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008F3B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320BB2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920F3A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EA935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-14.16</w:t>
            </w:r>
          </w:p>
        </w:tc>
        <w:tc>
          <w:tcPr>
            <w:tcW w:w="397" w:type="pct"/>
            <w:noWrap/>
            <w:vAlign w:val="center"/>
          </w:tcPr>
          <w:p w14:paraId="21C0438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48.23</w:t>
            </w:r>
          </w:p>
        </w:tc>
        <w:tc>
          <w:tcPr>
            <w:tcW w:w="235" w:type="pct"/>
            <w:noWrap/>
            <w:vAlign w:val="center"/>
          </w:tcPr>
          <w:p w14:paraId="22735FC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526041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55.58</w:t>
            </w:r>
          </w:p>
        </w:tc>
        <w:tc>
          <w:tcPr>
            <w:tcW w:w="460" w:type="pct"/>
            <w:noWrap/>
            <w:vAlign w:val="center"/>
          </w:tcPr>
          <w:p w14:paraId="52570D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55.58</w:t>
            </w:r>
          </w:p>
        </w:tc>
        <w:tc>
          <w:tcPr>
            <w:tcW w:w="383" w:type="pct"/>
            <w:noWrap/>
            <w:vAlign w:val="center"/>
          </w:tcPr>
          <w:p w14:paraId="03EFEE7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8799B3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21B05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29.58</w:t>
            </w:r>
          </w:p>
        </w:tc>
        <w:tc>
          <w:tcPr>
            <w:tcW w:w="388" w:type="pct"/>
            <w:noWrap/>
            <w:vAlign w:val="center"/>
          </w:tcPr>
          <w:p w14:paraId="2302CBE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EFA6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A7A5680">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118</w:t>
            </w:r>
          </w:p>
        </w:tc>
        <w:tc>
          <w:tcPr>
            <w:tcW w:w="212" w:type="pct"/>
            <w:vMerge w:val="continue"/>
            <w:noWrap/>
            <w:vAlign w:val="center"/>
          </w:tcPr>
          <w:p w14:paraId="6A120E3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EFAE2F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3C9860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A390E4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8A087F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-14.16</w:t>
            </w:r>
          </w:p>
        </w:tc>
        <w:tc>
          <w:tcPr>
            <w:tcW w:w="397" w:type="pct"/>
            <w:noWrap/>
            <w:vAlign w:val="center"/>
          </w:tcPr>
          <w:p w14:paraId="1EE117E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48.23</w:t>
            </w:r>
          </w:p>
        </w:tc>
        <w:tc>
          <w:tcPr>
            <w:tcW w:w="235" w:type="pct"/>
            <w:noWrap/>
            <w:vAlign w:val="center"/>
          </w:tcPr>
          <w:p w14:paraId="628E0EF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F954A6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37.74</w:t>
            </w:r>
          </w:p>
        </w:tc>
        <w:tc>
          <w:tcPr>
            <w:tcW w:w="460" w:type="pct"/>
            <w:noWrap/>
            <w:vAlign w:val="center"/>
          </w:tcPr>
          <w:p w14:paraId="3068A57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55.65</w:t>
            </w:r>
          </w:p>
        </w:tc>
        <w:tc>
          <w:tcPr>
            <w:tcW w:w="383" w:type="pct"/>
            <w:noWrap/>
            <w:vAlign w:val="center"/>
          </w:tcPr>
          <w:p w14:paraId="5663D95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7F4144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7AC8E6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29.65</w:t>
            </w:r>
          </w:p>
        </w:tc>
        <w:tc>
          <w:tcPr>
            <w:tcW w:w="388" w:type="pct"/>
            <w:noWrap/>
            <w:vAlign w:val="center"/>
          </w:tcPr>
          <w:p w14:paraId="6DEAF2E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667C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CDD8F4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119</w:t>
            </w:r>
          </w:p>
        </w:tc>
        <w:tc>
          <w:tcPr>
            <w:tcW w:w="212" w:type="pct"/>
            <w:vMerge w:val="continue"/>
            <w:noWrap/>
            <w:vAlign w:val="center"/>
          </w:tcPr>
          <w:p w14:paraId="0048AEE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DACD10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6E0A06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5742ED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C9078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-14.16</w:t>
            </w:r>
          </w:p>
        </w:tc>
        <w:tc>
          <w:tcPr>
            <w:tcW w:w="397" w:type="pct"/>
            <w:noWrap/>
            <w:vAlign w:val="center"/>
          </w:tcPr>
          <w:p w14:paraId="210F9CB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48.23</w:t>
            </w:r>
          </w:p>
        </w:tc>
        <w:tc>
          <w:tcPr>
            <w:tcW w:w="235" w:type="pct"/>
            <w:noWrap/>
            <w:vAlign w:val="center"/>
          </w:tcPr>
          <w:p w14:paraId="547212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4FC31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5.72</w:t>
            </w:r>
          </w:p>
        </w:tc>
        <w:tc>
          <w:tcPr>
            <w:tcW w:w="460" w:type="pct"/>
            <w:noWrap/>
            <w:vAlign w:val="center"/>
          </w:tcPr>
          <w:p w14:paraId="631246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59.25</w:t>
            </w:r>
          </w:p>
        </w:tc>
        <w:tc>
          <w:tcPr>
            <w:tcW w:w="383" w:type="pct"/>
            <w:noWrap/>
            <w:vAlign w:val="center"/>
          </w:tcPr>
          <w:p w14:paraId="353B293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CE9F75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FAB78D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33.25</w:t>
            </w:r>
          </w:p>
        </w:tc>
        <w:tc>
          <w:tcPr>
            <w:tcW w:w="388" w:type="pct"/>
            <w:noWrap/>
            <w:vAlign w:val="center"/>
          </w:tcPr>
          <w:p w14:paraId="0F4F6F2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EEC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929CCA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212" w:type="pct"/>
            <w:vMerge w:val="continue"/>
            <w:noWrap/>
            <w:vAlign w:val="center"/>
          </w:tcPr>
          <w:p w14:paraId="0ADEC21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951728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9138C2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5984AF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ACE604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-14.16</w:t>
            </w:r>
          </w:p>
        </w:tc>
        <w:tc>
          <w:tcPr>
            <w:tcW w:w="397" w:type="pct"/>
            <w:noWrap/>
            <w:vAlign w:val="center"/>
          </w:tcPr>
          <w:p w14:paraId="491C6A6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48.23</w:t>
            </w:r>
          </w:p>
        </w:tc>
        <w:tc>
          <w:tcPr>
            <w:tcW w:w="235" w:type="pct"/>
            <w:noWrap/>
            <w:vAlign w:val="center"/>
          </w:tcPr>
          <w:p w14:paraId="026A86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68A006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7.82</w:t>
            </w:r>
          </w:p>
        </w:tc>
        <w:tc>
          <w:tcPr>
            <w:tcW w:w="460" w:type="pct"/>
            <w:noWrap/>
            <w:vAlign w:val="center"/>
          </w:tcPr>
          <w:p w14:paraId="28E11AA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57.90</w:t>
            </w:r>
          </w:p>
        </w:tc>
        <w:tc>
          <w:tcPr>
            <w:tcW w:w="383" w:type="pct"/>
            <w:noWrap/>
            <w:vAlign w:val="center"/>
          </w:tcPr>
          <w:p w14:paraId="00A8317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F4CE28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13B6DE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31.90</w:t>
            </w:r>
          </w:p>
        </w:tc>
        <w:tc>
          <w:tcPr>
            <w:tcW w:w="388" w:type="pct"/>
            <w:noWrap/>
            <w:vAlign w:val="center"/>
          </w:tcPr>
          <w:p w14:paraId="4EA4D99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719B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248C58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121</w:t>
            </w:r>
          </w:p>
        </w:tc>
        <w:tc>
          <w:tcPr>
            <w:tcW w:w="212" w:type="pct"/>
            <w:vMerge w:val="continue"/>
            <w:noWrap/>
            <w:vAlign w:val="center"/>
          </w:tcPr>
          <w:p w14:paraId="5E399A3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14F0C1C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rPr>
              <w:t>尚发机械手1</w:t>
            </w:r>
          </w:p>
        </w:tc>
        <w:tc>
          <w:tcPr>
            <w:tcW w:w="425" w:type="pct"/>
            <w:vMerge w:val="restart"/>
            <w:noWrap/>
            <w:vAlign w:val="center"/>
          </w:tcPr>
          <w:p w14:paraId="2A4A6B3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082A23B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982D0E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16.69</w:t>
            </w:r>
          </w:p>
        </w:tc>
        <w:tc>
          <w:tcPr>
            <w:tcW w:w="397" w:type="pct"/>
            <w:noWrap/>
            <w:vAlign w:val="center"/>
          </w:tcPr>
          <w:p w14:paraId="421FCE3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50.09</w:t>
            </w:r>
          </w:p>
        </w:tc>
        <w:tc>
          <w:tcPr>
            <w:tcW w:w="235" w:type="pct"/>
            <w:noWrap/>
            <w:vAlign w:val="center"/>
          </w:tcPr>
          <w:p w14:paraId="76C0912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6507E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38.48</w:t>
            </w:r>
          </w:p>
        </w:tc>
        <w:tc>
          <w:tcPr>
            <w:tcW w:w="460" w:type="pct"/>
            <w:noWrap/>
            <w:vAlign w:val="center"/>
          </w:tcPr>
          <w:p w14:paraId="20FED3B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40.65</w:t>
            </w:r>
          </w:p>
        </w:tc>
        <w:tc>
          <w:tcPr>
            <w:tcW w:w="383" w:type="pct"/>
            <w:noWrap/>
            <w:vAlign w:val="center"/>
          </w:tcPr>
          <w:p w14:paraId="306D77D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81934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9554E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14.65</w:t>
            </w:r>
          </w:p>
        </w:tc>
        <w:tc>
          <w:tcPr>
            <w:tcW w:w="388" w:type="pct"/>
            <w:noWrap/>
            <w:vAlign w:val="center"/>
          </w:tcPr>
          <w:p w14:paraId="5D75A36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D37C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43E9A5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122</w:t>
            </w:r>
          </w:p>
        </w:tc>
        <w:tc>
          <w:tcPr>
            <w:tcW w:w="212" w:type="pct"/>
            <w:vMerge w:val="continue"/>
            <w:noWrap/>
            <w:vAlign w:val="center"/>
          </w:tcPr>
          <w:p w14:paraId="0F1FD35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71D7AD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02A8F4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B2AC8F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BFA392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16.69</w:t>
            </w:r>
          </w:p>
        </w:tc>
        <w:tc>
          <w:tcPr>
            <w:tcW w:w="397" w:type="pct"/>
            <w:noWrap/>
            <w:vAlign w:val="center"/>
          </w:tcPr>
          <w:p w14:paraId="6B939C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50.09</w:t>
            </w:r>
          </w:p>
        </w:tc>
        <w:tc>
          <w:tcPr>
            <w:tcW w:w="235" w:type="pct"/>
            <w:noWrap/>
            <w:vAlign w:val="center"/>
          </w:tcPr>
          <w:p w14:paraId="08A62CE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18020B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49.77</w:t>
            </w:r>
          </w:p>
        </w:tc>
        <w:tc>
          <w:tcPr>
            <w:tcW w:w="460" w:type="pct"/>
            <w:noWrap/>
            <w:vAlign w:val="center"/>
          </w:tcPr>
          <w:p w14:paraId="44CC2B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40.60</w:t>
            </w:r>
          </w:p>
        </w:tc>
        <w:tc>
          <w:tcPr>
            <w:tcW w:w="383" w:type="pct"/>
            <w:noWrap/>
            <w:vAlign w:val="center"/>
          </w:tcPr>
          <w:p w14:paraId="0B456F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82FE6C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DDFE3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14.60</w:t>
            </w:r>
          </w:p>
        </w:tc>
        <w:tc>
          <w:tcPr>
            <w:tcW w:w="388" w:type="pct"/>
            <w:noWrap/>
            <w:vAlign w:val="center"/>
          </w:tcPr>
          <w:p w14:paraId="49E707C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B58A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547614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123</w:t>
            </w:r>
          </w:p>
        </w:tc>
        <w:tc>
          <w:tcPr>
            <w:tcW w:w="212" w:type="pct"/>
            <w:vMerge w:val="continue"/>
            <w:noWrap/>
            <w:vAlign w:val="center"/>
          </w:tcPr>
          <w:p w14:paraId="71BD173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BB9972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DD09B2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089F17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6B30D5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16.69</w:t>
            </w:r>
          </w:p>
        </w:tc>
        <w:tc>
          <w:tcPr>
            <w:tcW w:w="397" w:type="pct"/>
            <w:noWrap/>
            <w:vAlign w:val="center"/>
          </w:tcPr>
          <w:p w14:paraId="1D13A01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50.09</w:t>
            </w:r>
          </w:p>
        </w:tc>
        <w:tc>
          <w:tcPr>
            <w:tcW w:w="235" w:type="pct"/>
            <w:noWrap/>
            <w:vAlign w:val="center"/>
          </w:tcPr>
          <w:p w14:paraId="752995B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D0E5B9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47.59</w:t>
            </w:r>
          </w:p>
        </w:tc>
        <w:tc>
          <w:tcPr>
            <w:tcW w:w="460" w:type="pct"/>
            <w:noWrap/>
            <w:vAlign w:val="center"/>
          </w:tcPr>
          <w:p w14:paraId="1C10CA1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40.60</w:t>
            </w:r>
          </w:p>
        </w:tc>
        <w:tc>
          <w:tcPr>
            <w:tcW w:w="383" w:type="pct"/>
            <w:noWrap/>
            <w:vAlign w:val="center"/>
          </w:tcPr>
          <w:p w14:paraId="6AF3BC2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5B2214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91983E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14.60</w:t>
            </w:r>
          </w:p>
        </w:tc>
        <w:tc>
          <w:tcPr>
            <w:tcW w:w="388" w:type="pct"/>
            <w:noWrap/>
            <w:vAlign w:val="center"/>
          </w:tcPr>
          <w:p w14:paraId="7B9EAB8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015D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73A77A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124</w:t>
            </w:r>
          </w:p>
        </w:tc>
        <w:tc>
          <w:tcPr>
            <w:tcW w:w="212" w:type="pct"/>
            <w:vMerge w:val="continue"/>
            <w:noWrap/>
            <w:vAlign w:val="center"/>
          </w:tcPr>
          <w:p w14:paraId="4592B63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49392A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D7DE24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57BC44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BD5DEE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16.69</w:t>
            </w:r>
          </w:p>
        </w:tc>
        <w:tc>
          <w:tcPr>
            <w:tcW w:w="397" w:type="pct"/>
            <w:noWrap/>
            <w:vAlign w:val="center"/>
          </w:tcPr>
          <w:p w14:paraId="6A48932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50.09</w:t>
            </w:r>
          </w:p>
        </w:tc>
        <w:tc>
          <w:tcPr>
            <w:tcW w:w="235" w:type="pct"/>
            <w:noWrap/>
            <w:vAlign w:val="center"/>
          </w:tcPr>
          <w:p w14:paraId="7F82BF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ACE5B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9.98</w:t>
            </w:r>
          </w:p>
        </w:tc>
        <w:tc>
          <w:tcPr>
            <w:tcW w:w="460" w:type="pct"/>
            <w:noWrap/>
            <w:vAlign w:val="center"/>
          </w:tcPr>
          <w:p w14:paraId="34EB5FA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42.12</w:t>
            </w:r>
          </w:p>
        </w:tc>
        <w:tc>
          <w:tcPr>
            <w:tcW w:w="383" w:type="pct"/>
            <w:noWrap/>
            <w:vAlign w:val="center"/>
          </w:tcPr>
          <w:p w14:paraId="41B9B94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B91E55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97B76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16.12</w:t>
            </w:r>
          </w:p>
        </w:tc>
        <w:tc>
          <w:tcPr>
            <w:tcW w:w="388" w:type="pct"/>
            <w:noWrap/>
            <w:vAlign w:val="center"/>
          </w:tcPr>
          <w:p w14:paraId="669D00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7D4D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93EE18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125</w:t>
            </w:r>
          </w:p>
        </w:tc>
        <w:tc>
          <w:tcPr>
            <w:tcW w:w="212" w:type="pct"/>
            <w:vMerge w:val="continue"/>
            <w:noWrap/>
            <w:vAlign w:val="center"/>
          </w:tcPr>
          <w:p w14:paraId="69FD209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42E081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8248D9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403F5F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67883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16.69</w:t>
            </w:r>
          </w:p>
        </w:tc>
        <w:tc>
          <w:tcPr>
            <w:tcW w:w="397" w:type="pct"/>
            <w:noWrap/>
            <w:vAlign w:val="center"/>
          </w:tcPr>
          <w:p w14:paraId="324E73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50.09</w:t>
            </w:r>
          </w:p>
        </w:tc>
        <w:tc>
          <w:tcPr>
            <w:tcW w:w="235" w:type="pct"/>
            <w:noWrap/>
            <w:vAlign w:val="center"/>
          </w:tcPr>
          <w:p w14:paraId="1CB49ED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4A3C83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16.34</w:t>
            </w:r>
          </w:p>
        </w:tc>
        <w:tc>
          <w:tcPr>
            <w:tcW w:w="460" w:type="pct"/>
            <w:noWrap/>
            <w:vAlign w:val="center"/>
          </w:tcPr>
          <w:p w14:paraId="2E6A51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41.19</w:t>
            </w:r>
          </w:p>
        </w:tc>
        <w:tc>
          <w:tcPr>
            <w:tcW w:w="383" w:type="pct"/>
            <w:noWrap/>
            <w:vAlign w:val="center"/>
          </w:tcPr>
          <w:p w14:paraId="3E85BEE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C07FCF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2ABAB8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15.19</w:t>
            </w:r>
          </w:p>
        </w:tc>
        <w:tc>
          <w:tcPr>
            <w:tcW w:w="388" w:type="pct"/>
            <w:noWrap/>
            <w:vAlign w:val="center"/>
          </w:tcPr>
          <w:p w14:paraId="0398205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D03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755E37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126</w:t>
            </w:r>
          </w:p>
        </w:tc>
        <w:tc>
          <w:tcPr>
            <w:tcW w:w="212" w:type="pct"/>
            <w:vMerge w:val="continue"/>
            <w:noWrap/>
            <w:vAlign w:val="center"/>
          </w:tcPr>
          <w:p w14:paraId="6A964F9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CE7296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D6CCD2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4E3444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883E85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16.69</w:t>
            </w:r>
          </w:p>
        </w:tc>
        <w:tc>
          <w:tcPr>
            <w:tcW w:w="397" w:type="pct"/>
            <w:noWrap/>
            <w:vAlign w:val="center"/>
          </w:tcPr>
          <w:p w14:paraId="12F01C9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50.09</w:t>
            </w:r>
          </w:p>
        </w:tc>
        <w:tc>
          <w:tcPr>
            <w:tcW w:w="235" w:type="pct"/>
            <w:noWrap/>
            <w:vAlign w:val="center"/>
          </w:tcPr>
          <w:p w14:paraId="4722464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31A60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30.95</w:t>
            </w:r>
          </w:p>
        </w:tc>
        <w:tc>
          <w:tcPr>
            <w:tcW w:w="460" w:type="pct"/>
            <w:noWrap/>
            <w:vAlign w:val="center"/>
          </w:tcPr>
          <w:p w14:paraId="007D58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40.72</w:t>
            </w:r>
          </w:p>
        </w:tc>
        <w:tc>
          <w:tcPr>
            <w:tcW w:w="383" w:type="pct"/>
            <w:noWrap/>
            <w:vAlign w:val="center"/>
          </w:tcPr>
          <w:p w14:paraId="1764AA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E7D43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9EBF55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14.72</w:t>
            </w:r>
          </w:p>
        </w:tc>
        <w:tc>
          <w:tcPr>
            <w:tcW w:w="388" w:type="pct"/>
            <w:noWrap/>
            <w:vAlign w:val="center"/>
          </w:tcPr>
          <w:p w14:paraId="7D46358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8D4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186BBE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127</w:t>
            </w:r>
          </w:p>
        </w:tc>
        <w:tc>
          <w:tcPr>
            <w:tcW w:w="212" w:type="pct"/>
            <w:vMerge w:val="continue"/>
            <w:noWrap/>
            <w:vAlign w:val="center"/>
          </w:tcPr>
          <w:p w14:paraId="17B3F45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715382B0">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eastAsia="zh-CN"/>
              </w:rPr>
            </w:pPr>
            <w:r>
              <w:rPr>
                <w:rFonts w:hint="default" w:ascii="Times New Roman" w:hAnsi="Times New Roman" w:eastAsia="宋体" w:cs="Times New Roman"/>
                <w:i w:val="0"/>
                <w:iCs w:val="0"/>
                <w:color w:val="auto"/>
                <w:sz w:val="21"/>
                <w:szCs w:val="21"/>
                <w:u w:val="none"/>
              </w:rPr>
              <w:t>尚发机械手</w:t>
            </w:r>
            <w:r>
              <w:rPr>
                <w:rFonts w:hint="eastAsia" w:ascii="Times New Roman" w:hAnsi="Times New Roman" w:eastAsia="宋体" w:cs="Times New Roman"/>
                <w:i w:val="0"/>
                <w:iCs w:val="0"/>
                <w:color w:val="auto"/>
                <w:sz w:val="21"/>
                <w:szCs w:val="21"/>
                <w:u w:val="none"/>
                <w:lang w:val="en-US" w:eastAsia="zh-CN"/>
              </w:rPr>
              <w:t>2</w:t>
            </w:r>
          </w:p>
        </w:tc>
        <w:tc>
          <w:tcPr>
            <w:tcW w:w="425" w:type="pct"/>
            <w:vMerge w:val="restart"/>
            <w:noWrap/>
            <w:vAlign w:val="center"/>
          </w:tcPr>
          <w:p w14:paraId="3C23E5C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650E5C2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C5C217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w:t>
            </w:r>
          </w:p>
        </w:tc>
        <w:tc>
          <w:tcPr>
            <w:tcW w:w="397" w:type="pct"/>
            <w:noWrap/>
            <w:vAlign w:val="center"/>
          </w:tcPr>
          <w:p w14:paraId="327446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46.36</w:t>
            </w:r>
          </w:p>
        </w:tc>
        <w:tc>
          <w:tcPr>
            <w:tcW w:w="235" w:type="pct"/>
            <w:noWrap/>
            <w:vAlign w:val="center"/>
          </w:tcPr>
          <w:p w14:paraId="4FAB450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9C30E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38.48</w:t>
            </w:r>
          </w:p>
        </w:tc>
        <w:tc>
          <w:tcPr>
            <w:tcW w:w="460" w:type="pct"/>
            <w:noWrap/>
            <w:vAlign w:val="center"/>
          </w:tcPr>
          <w:p w14:paraId="4D7806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40.65</w:t>
            </w:r>
          </w:p>
        </w:tc>
        <w:tc>
          <w:tcPr>
            <w:tcW w:w="383" w:type="pct"/>
            <w:noWrap/>
            <w:vAlign w:val="center"/>
          </w:tcPr>
          <w:p w14:paraId="6E8FF5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CEB204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0BBB61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14.65</w:t>
            </w:r>
          </w:p>
        </w:tc>
        <w:tc>
          <w:tcPr>
            <w:tcW w:w="388" w:type="pct"/>
            <w:noWrap/>
            <w:vAlign w:val="center"/>
          </w:tcPr>
          <w:p w14:paraId="080F935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8E1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D68474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128</w:t>
            </w:r>
          </w:p>
        </w:tc>
        <w:tc>
          <w:tcPr>
            <w:tcW w:w="212" w:type="pct"/>
            <w:vMerge w:val="continue"/>
            <w:noWrap/>
            <w:vAlign w:val="center"/>
          </w:tcPr>
          <w:p w14:paraId="7031EC1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E944C5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C7BBAC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892119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8D4941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w:t>
            </w:r>
          </w:p>
        </w:tc>
        <w:tc>
          <w:tcPr>
            <w:tcW w:w="397" w:type="pct"/>
            <w:noWrap/>
            <w:vAlign w:val="center"/>
          </w:tcPr>
          <w:p w14:paraId="3CAE22E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46.36</w:t>
            </w:r>
          </w:p>
        </w:tc>
        <w:tc>
          <w:tcPr>
            <w:tcW w:w="235" w:type="pct"/>
            <w:noWrap/>
            <w:vAlign w:val="center"/>
          </w:tcPr>
          <w:p w14:paraId="3DB6219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4EE31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45.98</w:t>
            </w:r>
          </w:p>
        </w:tc>
        <w:tc>
          <w:tcPr>
            <w:tcW w:w="460" w:type="pct"/>
            <w:noWrap/>
            <w:vAlign w:val="center"/>
          </w:tcPr>
          <w:p w14:paraId="118BFA8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40.61</w:t>
            </w:r>
          </w:p>
        </w:tc>
        <w:tc>
          <w:tcPr>
            <w:tcW w:w="383" w:type="pct"/>
            <w:noWrap/>
            <w:vAlign w:val="center"/>
          </w:tcPr>
          <w:p w14:paraId="2838AA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7D124D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6AE0F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14.61</w:t>
            </w:r>
          </w:p>
        </w:tc>
        <w:tc>
          <w:tcPr>
            <w:tcW w:w="388" w:type="pct"/>
            <w:noWrap/>
            <w:vAlign w:val="center"/>
          </w:tcPr>
          <w:p w14:paraId="6A3FD2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14F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DB90C8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129</w:t>
            </w:r>
          </w:p>
        </w:tc>
        <w:tc>
          <w:tcPr>
            <w:tcW w:w="212" w:type="pct"/>
            <w:vMerge w:val="continue"/>
            <w:noWrap/>
            <w:vAlign w:val="center"/>
          </w:tcPr>
          <w:p w14:paraId="75C6E28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21BBD8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60C476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8A8D93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932BE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w:t>
            </w:r>
          </w:p>
        </w:tc>
        <w:tc>
          <w:tcPr>
            <w:tcW w:w="397" w:type="pct"/>
            <w:noWrap/>
            <w:vAlign w:val="center"/>
          </w:tcPr>
          <w:p w14:paraId="1D3EA1D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46.36</w:t>
            </w:r>
          </w:p>
        </w:tc>
        <w:tc>
          <w:tcPr>
            <w:tcW w:w="235" w:type="pct"/>
            <w:noWrap/>
            <w:vAlign w:val="center"/>
          </w:tcPr>
          <w:p w14:paraId="1CBD093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C2A36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43.44</w:t>
            </w:r>
          </w:p>
        </w:tc>
        <w:tc>
          <w:tcPr>
            <w:tcW w:w="460" w:type="pct"/>
            <w:noWrap/>
            <w:vAlign w:val="center"/>
          </w:tcPr>
          <w:p w14:paraId="35AB652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40.62</w:t>
            </w:r>
          </w:p>
        </w:tc>
        <w:tc>
          <w:tcPr>
            <w:tcW w:w="383" w:type="pct"/>
            <w:noWrap/>
            <w:vAlign w:val="center"/>
          </w:tcPr>
          <w:p w14:paraId="28580A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796B2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61DB25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14.62</w:t>
            </w:r>
          </w:p>
        </w:tc>
        <w:tc>
          <w:tcPr>
            <w:tcW w:w="388" w:type="pct"/>
            <w:noWrap/>
            <w:vAlign w:val="center"/>
          </w:tcPr>
          <w:p w14:paraId="6751C55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4188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EC5EDD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130</w:t>
            </w:r>
          </w:p>
        </w:tc>
        <w:tc>
          <w:tcPr>
            <w:tcW w:w="212" w:type="pct"/>
            <w:vMerge w:val="continue"/>
            <w:noWrap/>
            <w:vAlign w:val="center"/>
          </w:tcPr>
          <w:p w14:paraId="340DF65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F0236E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0E9869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B918E5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2F460B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w:t>
            </w:r>
          </w:p>
        </w:tc>
        <w:tc>
          <w:tcPr>
            <w:tcW w:w="397" w:type="pct"/>
            <w:noWrap/>
            <w:vAlign w:val="center"/>
          </w:tcPr>
          <w:p w14:paraId="5B92C50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46.36</w:t>
            </w:r>
          </w:p>
        </w:tc>
        <w:tc>
          <w:tcPr>
            <w:tcW w:w="235" w:type="pct"/>
            <w:noWrap/>
            <w:vAlign w:val="center"/>
          </w:tcPr>
          <w:p w14:paraId="5B445E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599A06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10.15</w:t>
            </w:r>
          </w:p>
        </w:tc>
        <w:tc>
          <w:tcPr>
            <w:tcW w:w="460" w:type="pct"/>
            <w:noWrap/>
            <w:vAlign w:val="center"/>
          </w:tcPr>
          <w:p w14:paraId="6ED2273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42.08</w:t>
            </w:r>
          </w:p>
        </w:tc>
        <w:tc>
          <w:tcPr>
            <w:tcW w:w="383" w:type="pct"/>
            <w:noWrap/>
            <w:vAlign w:val="center"/>
          </w:tcPr>
          <w:p w14:paraId="6E1F219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29D5D7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923904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16.08</w:t>
            </w:r>
          </w:p>
        </w:tc>
        <w:tc>
          <w:tcPr>
            <w:tcW w:w="388" w:type="pct"/>
            <w:noWrap/>
            <w:vAlign w:val="center"/>
          </w:tcPr>
          <w:p w14:paraId="7748F8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90E2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2C132A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131</w:t>
            </w:r>
          </w:p>
        </w:tc>
        <w:tc>
          <w:tcPr>
            <w:tcW w:w="212" w:type="pct"/>
            <w:vMerge w:val="continue"/>
            <w:noWrap/>
            <w:vAlign w:val="center"/>
          </w:tcPr>
          <w:p w14:paraId="1FC099D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A9C49A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C8BF7C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970B6C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ADB392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w:t>
            </w:r>
          </w:p>
        </w:tc>
        <w:tc>
          <w:tcPr>
            <w:tcW w:w="397" w:type="pct"/>
            <w:noWrap/>
            <w:vAlign w:val="center"/>
          </w:tcPr>
          <w:p w14:paraId="0DE89E9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46.36</w:t>
            </w:r>
          </w:p>
        </w:tc>
        <w:tc>
          <w:tcPr>
            <w:tcW w:w="235" w:type="pct"/>
            <w:noWrap/>
            <w:vAlign w:val="center"/>
          </w:tcPr>
          <w:p w14:paraId="089138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0A6B1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20.52</w:t>
            </w:r>
          </w:p>
        </w:tc>
        <w:tc>
          <w:tcPr>
            <w:tcW w:w="460" w:type="pct"/>
            <w:noWrap/>
            <w:vAlign w:val="center"/>
          </w:tcPr>
          <w:p w14:paraId="2A07BB2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40.96</w:t>
            </w:r>
          </w:p>
        </w:tc>
        <w:tc>
          <w:tcPr>
            <w:tcW w:w="383" w:type="pct"/>
            <w:noWrap/>
            <w:vAlign w:val="center"/>
          </w:tcPr>
          <w:p w14:paraId="6F50E64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BF20EA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7F10CB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14.96</w:t>
            </w:r>
          </w:p>
        </w:tc>
        <w:tc>
          <w:tcPr>
            <w:tcW w:w="388" w:type="pct"/>
            <w:noWrap/>
            <w:vAlign w:val="center"/>
          </w:tcPr>
          <w:p w14:paraId="6687641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5C54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059B38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132</w:t>
            </w:r>
          </w:p>
        </w:tc>
        <w:tc>
          <w:tcPr>
            <w:tcW w:w="212" w:type="pct"/>
            <w:vMerge w:val="continue"/>
            <w:noWrap/>
            <w:vAlign w:val="center"/>
          </w:tcPr>
          <w:p w14:paraId="5958436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3DB08D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B023F6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70F6FD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7D5B94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w:t>
            </w:r>
          </w:p>
        </w:tc>
        <w:tc>
          <w:tcPr>
            <w:tcW w:w="397" w:type="pct"/>
            <w:noWrap/>
            <w:vAlign w:val="center"/>
          </w:tcPr>
          <w:p w14:paraId="549304B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46.36</w:t>
            </w:r>
          </w:p>
        </w:tc>
        <w:tc>
          <w:tcPr>
            <w:tcW w:w="235" w:type="pct"/>
            <w:noWrap/>
            <w:vAlign w:val="center"/>
          </w:tcPr>
          <w:p w14:paraId="7A69F54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F0290B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29.66</w:t>
            </w:r>
          </w:p>
        </w:tc>
        <w:tc>
          <w:tcPr>
            <w:tcW w:w="460" w:type="pct"/>
            <w:noWrap/>
            <w:vAlign w:val="center"/>
          </w:tcPr>
          <w:p w14:paraId="1E01B7D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40.73</w:t>
            </w:r>
          </w:p>
        </w:tc>
        <w:tc>
          <w:tcPr>
            <w:tcW w:w="383" w:type="pct"/>
            <w:noWrap/>
            <w:vAlign w:val="center"/>
          </w:tcPr>
          <w:p w14:paraId="389118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88C00D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D382DF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14.73</w:t>
            </w:r>
          </w:p>
        </w:tc>
        <w:tc>
          <w:tcPr>
            <w:tcW w:w="388" w:type="pct"/>
            <w:noWrap/>
            <w:vAlign w:val="center"/>
          </w:tcPr>
          <w:p w14:paraId="67806E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F812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C5632E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133</w:t>
            </w:r>
          </w:p>
        </w:tc>
        <w:tc>
          <w:tcPr>
            <w:tcW w:w="212" w:type="pct"/>
            <w:vMerge w:val="continue"/>
            <w:noWrap/>
            <w:vAlign w:val="center"/>
          </w:tcPr>
          <w:p w14:paraId="6CDDF31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12805789">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eastAsia="zh-CN"/>
              </w:rPr>
            </w:pPr>
            <w:r>
              <w:rPr>
                <w:rFonts w:hint="default" w:ascii="Times New Roman" w:hAnsi="Times New Roman" w:eastAsia="宋体" w:cs="Times New Roman"/>
                <w:i w:val="0"/>
                <w:iCs w:val="0"/>
                <w:color w:val="auto"/>
                <w:sz w:val="21"/>
                <w:szCs w:val="21"/>
                <w:u w:val="none"/>
              </w:rPr>
              <w:t>尚发机械手</w:t>
            </w:r>
            <w:r>
              <w:rPr>
                <w:rFonts w:hint="eastAsia" w:ascii="Times New Roman" w:hAnsi="Times New Roman" w:eastAsia="宋体" w:cs="Times New Roman"/>
                <w:i w:val="0"/>
                <w:iCs w:val="0"/>
                <w:color w:val="auto"/>
                <w:sz w:val="21"/>
                <w:szCs w:val="21"/>
                <w:u w:val="none"/>
                <w:lang w:val="en-US" w:eastAsia="zh-CN"/>
              </w:rPr>
              <w:t>3</w:t>
            </w:r>
          </w:p>
        </w:tc>
        <w:tc>
          <w:tcPr>
            <w:tcW w:w="425" w:type="pct"/>
            <w:vMerge w:val="restart"/>
            <w:noWrap/>
            <w:vAlign w:val="center"/>
          </w:tcPr>
          <w:p w14:paraId="7CB0D7E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06A39BC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C47057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21.38</w:t>
            </w:r>
          </w:p>
        </w:tc>
        <w:tc>
          <w:tcPr>
            <w:tcW w:w="397" w:type="pct"/>
            <w:noWrap/>
            <w:vAlign w:val="center"/>
          </w:tcPr>
          <w:p w14:paraId="37C713C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41.91</w:t>
            </w:r>
          </w:p>
        </w:tc>
        <w:tc>
          <w:tcPr>
            <w:tcW w:w="235" w:type="pct"/>
            <w:noWrap/>
            <w:vAlign w:val="center"/>
          </w:tcPr>
          <w:p w14:paraId="3FE450B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AFA55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38.93</w:t>
            </w:r>
          </w:p>
        </w:tc>
        <w:tc>
          <w:tcPr>
            <w:tcW w:w="460" w:type="pct"/>
            <w:noWrap/>
            <w:vAlign w:val="center"/>
          </w:tcPr>
          <w:p w14:paraId="53F94D8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40.64</w:t>
            </w:r>
          </w:p>
        </w:tc>
        <w:tc>
          <w:tcPr>
            <w:tcW w:w="383" w:type="pct"/>
            <w:noWrap/>
            <w:vAlign w:val="center"/>
          </w:tcPr>
          <w:p w14:paraId="5B39EEA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217CE6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8B6818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14.64</w:t>
            </w:r>
          </w:p>
        </w:tc>
        <w:tc>
          <w:tcPr>
            <w:tcW w:w="388" w:type="pct"/>
            <w:noWrap/>
            <w:vAlign w:val="center"/>
          </w:tcPr>
          <w:p w14:paraId="50FCBB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7BB4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A17632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134</w:t>
            </w:r>
          </w:p>
        </w:tc>
        <w:tc>
          <w:tcPr>
            <w:tcW w:w="212" w:type="pct"/>
            <w:vMerge w:val="continue"/>
            <w:noWrap/>
            <w:vAlign w:val="center"/>
          </w:tcPr>
          <w:p w14:paraId="2D81276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280FB1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98EF4E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BAF81F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FB2712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21.38</w:t>
            </w:r>
          </w:p>
        </w:tc>
        <w:tc>
          <w:tcPr>
            <w:tcW w:w="397" w:type="pct"/>
            <w:noWrap/>
            <w:vAlign w:val="center"/>
          </w:tcPr>
          <w:p w14:paraId="2A4A104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41.91</w:t>
            </w:r>
          </w:p>
        </w:tc>
        <w:tc>
          <w:tcPr>
            <w:tcW w:w="235" w:type="pct"/>
            <w:noWrap/>
            <w:vAlign w:val="center"/>
          </w:tcPr>
          <w:p w14:paraId="236F87C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C3E9CD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41.43</w:t>
            </w:r>
          </w:p>
        </w:tc>
        <w:tc>
          <w:tcPr>
            <w:tcW w:w="460" w:type="pct"/>
            <w:noWrap/>
            <w:vAlign w:val="center"/>
          </w:tcPr>
          <w:p w14:paraId="5022B1A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40.63</w:t>
            </w:r>
          </w:p>
        </w:tc>
        <w:tc>
          <w:tcPr>
            <w:tcW w:w="383" w:type="pct"/>
            <w:noWrap/>
            <w:vAlign w:val="center"/>
          </w:tcPr>
          <w:p w14:paraId="76EB022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F852EC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1C30B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14.63</w:t>
            </w:r>
          </w:p>
        </w:tc>
        <w:tc>
          <w:tcPr>
            <w:tcW w:w="388" w:type="pct"/>
            <w:noWrap/>
            <w:vAlign w:val="center"/>
          </w:tcPr>
          <w:p w14:paraId="393A15D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4CC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D07A07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135</w:t>
            </w:r>
          </w:p>
        </w:tc>
        <w:tc>
          <w:tcPr>
            <w:tcW w:w="212" w:type="pct"/>
            <w:vMerge w:val="continue"/>
            <w:noWrap/>
            <w:vAlign w:val="center"/>
          </w:tcPr>
          <w:p w14:paraId="12A7036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A132C1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DA27C5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24997C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61323E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21.38</w:t>
            </w:r>
          </w:p>
        </w:tc>
        <w:tc>
          <w:tcPr>
            <w:tcW w:w="397" w:type="pct"/>
            <w:noWrap/>
            <w:vAlign w:val="center"/>
          </w:tcPr>
          <w:p w14:paraId="1945B5C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41.91</w:t>
            </w:r>
          </w:p>
        </w:tc>
        <w:tc>
          <w:tcPr>
            <w:tcW w:w="235" w:type="pct"/>
            <w:noWrap/>
            <w:vAlign w:val="center"/>
          </w:tcPr>
          <w:p w14:paraId="339A69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7ABCB6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38.34</w:t>
            </w:r>
          </w:p>
        </w:tc>
        <w:tc>
          <w:tcPr>
            <w:tcW w:w="460" w:type="pct"/>
            <w:noWrap/>
            <w:vAlign w:val="center"/>
          </w:tcPr>
          <w:p w14:paraId="435E071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40.65</w:t>
            </w:r>
          </w:p>
        </w:tc>
        <w:tc>
          <w:tcPr>
            <w:tcW w:w="383" w:type="pct"/>
            <w:noWrap/>
            <w:vAlign w:val="center"/>
          </w:tcPr>
          <w:p w14:paraId="15E3A1E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4B800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9E2F35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14.65</w:t>
            </w:r>
          </w:p>
        </w:tc>
        <w:tc>
          <w:tcPr>
            <w:tcW w:w="388" w:type="pct"/>
            <w:noWrap/>
            <w:vAlign w:val="center"/>
          </w:tcPr>
          <w:p w14:paraId="69AE2E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716B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94206E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136</w:t>
            </w:r>
          </w:p>
        </w:tc>
        <w:tc>
          <w:tcPr>
            <w:tcW w:w="212" w:type="pct"/>
            <w:vMerge w:val="continue"/>
            <w:noWrap/>
            <w:vAlign w:val="center"/>
          </w:tcPr>
          <w:p w14:paraId="1250B69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DFC6F9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0D6AF6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438988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9A11EF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21.38</w:t>
            </w:r>
          </w:p>
        </w:tc>
        <w:tc>
          <w:tcPr>
            <w:tcW w:w="397" w:type="pct"/>
            <w:noWrap/>
            <w:vAlign w:val="center"/>
          </w:tcPr>
          <w:p w14:paraId="2CD3D53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41.91</w:t>
            </w:r>
          </w:p>
        </w:tc>
        <w:tc>
          <w:tcPr>
            <w:tcW w:w="235" w:type="pct"/>
            <w:noWrap/>
            <w:vAlign w:val="center"/>
          </w:tcPr>
          <w:p w14:paraId="23F3EF8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9B5956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9.93</w:t>
            </w:r>
          </w:p>
        </w:tc>
        <w:tc>
          <w:tcPr>
            <w:tcW w:w="460" w:type="pct"/>
            <w:noWrap/>
            <w:vAlign w:val="center"/>
          </w:tcPr>
          <w:p w14:paraId="5379BC8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42.14</w:t>
            </w:r>
          </w:p>
        </w:tc>
        <w:tc>
          <w:tcPr>
            <w:tcW w:w="383" w:type="pct"/>
            <w:noWrap/>
            <w:vAlign w:val="center"/>
          </w:tcPr>
          <w:p w14:paraId="50EFE93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199751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0BF630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16.14</w:t>
            </w:r>
          </w:p>
        </w:tc>
        <w:tc>
          <w:tcPr>
            <w:tcW w:w="388" w:type="pct"/>
            <w:noWrap/>
            <w:vAlign w:val="center"/>
          </w:tcPr>
          <w:p w14:paraId="4F62138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724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344E54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137</w:t>
            </w:r>
          </w:p>
        </w:tc>
        <w:tc>
          <w:tcPr>
            <w:tcW w:w="212" w:type="pct"/>
            <w:vMerge w:val="continue"/>
            <w:noWrap/>
            <w:vAlign w:val="center"/>
          </w:tcPr>
          <w:p w14:paraId="7E02605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12ECA3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94F1D8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B5F686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236B7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21.38</w:t>
            </w:r>
          </w:p>
        </w:tc>
        <w:tc>
          <w:tcPr>
            <w:tcW w:w="397" w:type="pct"/>
            <w:noWrap/>
            <w:vAlign w:val="center"/>
          </w:tcPr>
          <w:p w14:paraId="1E3B82F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41.91</w:t>
            </w:r>
          </w:p>
        </w:tc>
        <w:tc>
          <w:tcPr>
            <w:tcW w:w="235" w:type="pct"/>
            <w:noWrap/>
            <w:vAlign w:val="center"/>
          </w:tcPr>
          <w:p w14:paraId="7F65C2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B0D42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25.71</w:t>
            </w:r>
          </w:p>
        </w:tc>
        <w:tc>
          <w:tcPr>
            <w:tcW w:w="460" w:type="pct"/>
            <w:noWrap/>
            <w:vAlign w:val="center"/>
          </w:tcPr>
          <w:p w14:paraId="7C59CE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40.80</w:t>
            </w:r>
          </w:p>
        </w:tc>
        <w:tc>
          <w:tcPr>
            <w:tcW w:w="383" w:type="pct"/>
            <w:noWrap/>
            <w:vAlign w:val="center"/>
          </w:tcPr>
          <w:p w14:paraId="05C7861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93F185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70DF99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14.80</w:t>
            </w:r>
          </w:p>
        </w:tc>
        <w:tc>
          <w:tcPr>
            <w:tcW w:w="388" w:type="pct"/>
            <w:noWrap/>
            <w:vAlign w:val="center"/>
          </w:tcPr>
          <w:p w14:paraId="71CEA6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05DC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D97A2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138</w:t>
            </w:r>
          </w:p>
        </w:tc>
        <w:tc>
          <w:tcPr>
            <w:tcW w:w="212" w:type="pct"/>
            <w:vMerge w:val="continue"/>
            <w:noWrap/>
            <w:vAlign w:val="center"/>
          </w:tcPr>
          <w:p w14:paraId="09AB388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8AE10D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F146C5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B30100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768F1F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21.38</w:t>
            </w:r>
          </w:p>
        </w:tc>
        <w:tc>
          <w:tcPr>
            <w:tcW w:w="397" w:type="pct"/>
            <w:noWrap/>
            <w:vAlign w:val="center"/>
          </w:tcPr>
          <w:p w14:paraId="3B1089F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41.91</w:t>
            </w:r>
          </w:p>
        </w:tc>
        <w:tc>
          <w:tcPr>
            <w:tcW w:w="235" w:type="pct"/>
            <w:noWrap/>
            <w:vAlign w:val="center"/>
          </w:tcPr>
          <w:p w14:paraId="13A9D0C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7DC4C7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28.48</w:t>
            </w:r>
          </w:p>
        </w:tc>
        <w:tc>
          <w:tcPr>
            <w:tcW w:w="460" w:type="pct"/>
            <w:noWrap/>
            <w:vAlign w:val="center"/>
          </w:tcPr>
          <w:p w14:paraId="197A2CC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40.75</w:t>
            </w:r>
          </w:p>
        </w:tc>
        <w:tc>
          <w:tcPr>
            <w:tcW w:w="383" w:type="pct"/>
            <w:noWrap/>
            <w:vAlign w:val="center"/>
          </w:tcPr>
          <w:p w14:paraId="051AA05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FD225D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15C3EE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14.75</w:t>
            </w:r>
          </w:p>
        </w:tc>
        <w:tc>
          <w:tcPr>
            <w:tcW w:w="388" w:type="pct"/>
            <w:noWrap/>
            <w:vAlign w:val="center"/>
          </w:tcPr>
          <w:p w14:paraId="318889F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E4A1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CC2B76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139</w:t>
            </w:r>
          </w:p>
        </w:tc>
        <w:tc>
          <w:tcPr>
            <w:tcW w:w="212" w:type="pct"/>
            <w:vMerge w:val="continue"/>
            <w:noWrap/>
            <w:vAlign w:val="center"/>
          </w:tcPr>
          <w:p w14:paraId="072A0D0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0418D53B">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eastAsia="zh-CN"/>
              </w:rPr>
            </w:pPr>
            <w:r>
              <w:rPr>
                <w:rFonts w:hint="default" w:ascii="Times New Roman" w:hAnsi="Times New Roman" w:eastAsia="宋体" w:cs="Times New Roman"/>
                <w:i w:val="0"/>
                <w:iCs w:val="0"/>
                <w:color w:val="auto"/>
                <w:sz w:val="21"/>
                <w:szCs w:val="21"/>
                <w:u w:val="none"/>
              </w:rPr>
              <w:t>尚发机械手</w:t>
            </w:r>
            <w:r>
              <w:rPr>
                <w:rFonts w:hint="eastAsia" w:ascii="Times New Roman" w:hAnsi="Times New Roman" w:eastAsia="宋体" w:cs="Times New Roman"/>
                <w:i w:val="0"/>
                <w:iCs w:val="0"/>
                <w:color w:val="auto"/>
                <w:sz w:val="21"/>
                <w:szCs w:val="21"/>
                <w:u w:val="none"/>
                <w:lang w:val="en-US" w:eastAsia="zh-CN"/>
              </w:rPr>
              <w:t>4</w:t>
            </w:r>
          </w:p>
        </w:tc>
        <w:tc>
          <w:tcPr>
            <w:tcW w:w="425" w:type="pct"/>
            <w:vMerge w:val="restart"/>
            <w:noWrap/>
            <w:vAlign w:val="center"/>
          </w:tcPr>
          <w:p w14:paraId="2A659DC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14B0783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4C4BE6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24.48</w:t>
            </w:r>
          </w:p>
        </w:tc>
        <w:tc>
          <w:tcPr>
            <w:tcW w:w="397" w:type="pct"/>
            <w:noWrap/>
            <w:vAlign w:val="center"/>
          </w:tcPr>
          <w:p w14:paraId="046BED3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37.06</w:t>
            </w:r>
          </w:p>
        </w:tc>
        <w:tc>
          <w:tcPr>
            <w:tcW w:w="235" w:type="pct"/>
            <w:noWrap/>
            <w:vAlign w:val="center"/>
          </w:tcPr>
          <w:p w14:paraId="21E2633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9F3AFF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39.48</w:t>
            </w:r>
          </w:p>
        </w:tc>
        <w:tc>
          <w:tcPr>
            <w:tcW w:w="460" w:type="pct"/>
            <w:noWrap/>
            <w:vAlign w:val="center"/>
          </w:tcPr>
          <w:p w14:paraId="6A1ECE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40.64</w:t>
            </w:r>
          </w:p>
        </w:tc>
        <w:tc>
          <w:tcPr>
            <w:tcW w:w="383" w:type="pct"/>
            <w:noWrap/>
            <w:vAlign w:val="center"/>
          </w:tcPr>
          <w:p w14:paraId="46CA849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C7F45E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BB74C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14.64</w:t>
            </w:r>
          </w:p>
        </w:tc>
        <w:tc>
          <w:tcPr>
            <w:tcW w:w="388" w:type="pct"/>
            <w:noWrap/>
            <w:vAlign w:val="center"/>
          </w:tcPr>
          <w:p w14:paraId="6E85B8F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777D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5D125F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140</w:t>
            </w:r>
          </w:p>
        </w:tc>
        <w:tc>
          <w:tcPr>
            <w:tcW w:w="212" w:type="pct"/>
            <w:vMerge w:val="continue"/>
            <w:noWrap/>
            <w:vAlign w:val="center"/>
          </w:tcPr>
          <w:p w14:paraId="587D470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14CECC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5E8C0D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4255D6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99AB7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24.48</w:t>
            </w:r>
          </w:p>
        </w:tc>
        <w:tc>
          <w:tcPr>
            <w:tcW w:w="397" w:type="pct"/>
            <w:noWrap/>
            <w:vAlign w:val="center"/>
          </w:tcPr>
          <w:p w14:paraId="3C6D97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37.06</w:t>
            </w:r>
          </w:p>
        </w:tc>
        <w:tc>
          <w:tcPr>
            <w:tcW w:w="235" w:type="pct"/>
            <w:noWrap/>
            <w:vAlign w:val="center"/>
          </w:tcPr>
          <w:p w14:paraId="41EF0C3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931912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36.48</w:t>
            </w:r>
          </w:p>
        </w:tc>
        <w:tc>
          <w:tcPr>
            <w:tcW w:w="460" w:type="pct"/>
            <w:noWrap/>
            <w:vAlign w:val="center"/>
          </w:tcPr>
          <w:p w14:paraId="278FA17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40.66</w:t>
            </w:r>
          </w:p>
        </w:tc>
        <w:tc>
          <w:tcPr>
            <w:tcW w:w="383" w:type="pct"/>
            <w:noWrap/>
            <w:vAlign w:val="center"/>
          </w:tcPr>
          <w:p w14:paraId="109824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E22794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CDB165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14.66</w:t>
            </w:r>
          </w:p>
        </w:tc>
        <w:tc>
          <w:tcPr>
            <w:tcW w:w="388" w:type="pct"/>
            <w:noWrap/>
            <w:vAlign w:val="center"/>
          </w:tcPr>
          <w:p w14:paraId="5526553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CBA4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0D22A8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141</w:t>
            </w:r>
          </w:p>
        </w:tc>
        <w:tc>
          <w:tcPr>
            <w:tcW w:w="212" w:type="pct"/>
            <w:vMerge w:val="continue"/>
            <w:noWrap/>
            <w:vAlign w:val="center"/>
          </w:tcPr>
          <w:p w14:paraId="4B53AC5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B765CE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0B8613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EDD7CE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0C535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24.48</w:t>
            </w:r>
          </w:p>
        </w:tc>
        <w:tc>
          <w:tcPr>
            <w:tcW w:w="397" w:type="pct"/>
            <w:noWrap/>
            <w:vAlign w:val="center"/>
          </w:tcPr>
          <w:p w14:paraId="11978E4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37.06</w:t>
            </w:r>
          </w:p>
        </w:tc>
        <w:tc>
          <w:tcPr>
            <w:tcW w:w="235" w:type="pct"/>
            <w:noWrap/>
            <w:vAlign w:val="center"/>
          </w:tcPr>
          <w:p w14:paraId="0588A46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96B00E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32.76</w:t>
            </w:r>
          </w:p>
        </w:tc>
        <w:tc>
          <w:tcPr>
            <w:tcW w:w="460" w:type="pct"/>
            <w:noWrap/>
            <w:vAlign w:val="center"/>
          </w:tcPr>
          <w:p w14:paraId="770C0FB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40.70</w:t>
            </w:r>
          </w:p>
        </w:tc>
        <w:tc>
          <w:tcPr>
            <w:tcW w:w="383" w:type="pct"/>
            <w:noWrap/>
            <w:vAlign w:val="center"/>
          </w:tcPr>
          <w:p w14:paraId="7EDDA62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1CA63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3304B8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14.70</w:t>
            </w:r>
          </w:p>
        </w:tc>
        <w:tc>
          <w:tcPr>
            <w:tcW w:w="388" w:type="pct"/>
            <w:noWrap/>
            <w:vAlign w:val="center"/>
          </w:tcPr>
          <w:p w14:paraId="2357F2D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A4C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5E890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142</w:t>
            </w:r>
          </w:p>
        </w:tc>
        <w:tc>
          <w:tcPr>
            <w:tcW w:w="212" w:type="pct"/>
            <w:vMerge w:val="continue"/>
            <w:noWrap/>
            <w:vAlign w:val="center"/>
          </w:tcPr>
          <w:p w14:paraId="2EEF88C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B20C8C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96483B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F5E44C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D5C95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24.48</w:t>
            </w:r>
          </w:p>
        </w:tc>
        <w:tc>
          <w:tcPr>
            <w:tcW w:w="397" w:type="pct"/>
            <w:noWrap/>
            <w:vAlign w:val="center"/>
          </w:tcPr>
          <w:p w14:paraId="2BD4298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37.06</w:t>
            </w:r>
          </w:p>
        </w:tc>
        <w:tc>
          <w:tcPr>
            <w:tcW w:w="235" w:type="pct"/>
            <w:noWrap/>
            <w:vAlign w:val="center"/>
          </w:tcPr>
          <w:p w14:paraId="29F4BC2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2F1F04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9.62</w:t>
            </w:r>
          </w:p>
        </w:tc>
        <w:tc>
          <w:tcPr>
            <w:tcW w:w="460" w:type="pct"/>
            <w:noWrap/>
            <w:vAlign w:val="center"/>
          </w:tcPr>
          <w:p w14:paraId="561EA7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42.23</w:t>
            </w:r>
          </w:p>
        </w:tc>
        <w:tc>
          <w:tcPr>
            <w:tcW w:w="383" w:type="pct"/>
            <w:noWrap/>
            <w:vAlign w:val="center"/>
          </w:tcPr>
          <w:p w14:paraId="006924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9328A9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CC715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16.23</w:t>
            </w:r>
          </w:p>
        </w:tc>
        <w:tc>
          <w:tcPr>
            <w:tcW w:w="388" w:type="pct"/>
            <w:noWrap/>
            <w:vAlign w:val="center"/>
          </w:tcPr>
          <w:p w14:paraId="769E141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F21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DF39F0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143</w:t>
            </w:r>
          </w:p>
        </w:tc>
        <w:tc>
          <w:tcPr>
            <w:tcW w:w="212" w:type="pct"/>
            <w:vMerge w:val="continue"/>
            <w:noWrap/>
            <w:vAlign w:val="center"/>
          </w:tcPr>
          <w:p w14:paraId="5B5B3A4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4A3AFF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CA178A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3FA6DF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401D53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24.48</w:t>
            </w:r>
          </w:p>
        </w:tc>
        <w:tc>
          <w:tcPr>
            <w:tcW w:w="397" w:type="pct"/>
            <w:noWrap/>
            <w:vAlign w:val="center"/>
          </w:tcPr>
          <w:p w14:paraId="04B2FF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37.06</w:t>
            </w:r>
          </w:p>
        </w:tc>
        <w:tc>
          <w:tcPr>
            <w:tcW w:w="235" w:type="pct"/>
            <w:noWrap/>
            <w:vAlign w:val="center"/>
          </w:tcPr>
          <w:p w14:paraId="0229747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0C39AD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31.39</w:t>
            </w:r>
          </w:p>
        </w:tc>
        <w:tc>
          <w:tcPr>
            <w:tcW w:w="460" w:type="pct"/>
            <w:noWrap/>
            <w:vAlign w:val="center"/>
          </w:tcPr>
          <w:p w14:paraId="4870371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40.71</w:t>
            </w:r>
          </w:p>
        </w:tc>
        <w:tc>
          <w:tcPr>
            <w:tcW w:w="383" w:type="pct"/>
            <w:noWrap/>
            <w:vAlign w:val="center"/>
          </w:tcPr>
          <w:p w14:paraId="28F301E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5C13E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CA7CD5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14.71</w:t>
            </w:r>
          </w:p>
        </w:tc>
        <w:tc>
          <w:tcPr>
            <w:tcW w:w="388" w:type="pct"/>
            <w:noWrap/>
            <w:vAlign w:val="center"/>
          </w:tcPr>
          <w:p w14:paraId="5E63305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A10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E2058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144</w:t>
            </w:r>
          </w:p>
        </w:tc>
        <w:tc>
          <w:tcPr>
            <w:tcW w:w="212" w:type="pct"/>
            <w:vMerge w:val="continue"/>
            <w:noWrap/>
            <w:vAlign w:val="center"/>
          </w:tcPr>
          <w:p w14:paraId="66D9C8B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14B7B1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8E7237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C10DCB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FC35B4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24.48</w:t>
            </w:r>
          </w:p>
        </w:tc>
        <w:tc>
          <w:tcPr>
            <w:tcW w:w="397" w:type="pct"/>
            <w:noWrap/>
            <w:vAlign w:val="center"/>
          </w:tcPr>
          <w:p w14:paraId="3685324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37.06</w:t>
            </w:r>
          </w:p>
        </w:tc>
        <w:tc>
          <w:tcPr>
            <w:tcW w:w="235" w:type="pct"/>
            <w:noWrap/>
            <w:vAlign w:val="center"/>
          </w:tcPr>
          <w:p w14:paraId="046B9CB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17DC3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27.24</w:t>
            </w:r>
          </w:p>
        </w:tc>
        <w:tc>
          <w:tcPr>
            <w:tcW w:w="460" w:type="pct"/>
            <w:noWrap/>
            <w:vAlign w:val="center"/>
          </w:tcPr>
          <w:p w14:paraId="28EC85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40.77</w:t>
            </w:r>
          </w:p>
        </w:tc>
        <w:tc>
          <w:tcPr>
            <w:tcW w:w="383" w:type="pct"/>
            <w:noWrap/>
            <w:vAlign w:val="center"/>
          </w:tcPr>
          <w:p w14:paraId="6C02FA9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56A3ED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33079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14.77</w:t>
            </w:r>
          </w:p>
        </w:tc>
        <w:tc>
          <w:tcPr>
            <w:tcW w:w="388" w:type="pct"/>
            <w:noWrap/>
            <w:vAlign w:val="center"/>
          </w:tcPr>
          <w:p w14:paraId="683F469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D888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477C7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145</w:t>
            </w:r>
          </w:p>
        </w:tc>
        <w:tc>
          <w:tcPr>
            <w:tcW w:w="212" w:type="pct"/>
            <w:vMerge w:val="continue"/>
            <w:noWrap/>
            <w:vAlign w:val="center"/>
          </w:tcPr>
          <w:p w14:paraId="3E587B6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6886105F">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eastAsia="zh-CN"/>
              </w:rPr>
            </w:pPr>
            <w:r>
              <w:rPr>
                <w:rFonts w:hint="default" w:ascii="Times New Roman" w:hAnsi="Times New Roman" w:eastAsia="宋体" w:cs="Times New Roman"/>
                <w:i w:val="0"/>
                <w:iCs w:val="0"/>
                <w:color w:val="auto"/>
                <w:sz w:val="21"/>
                <w:szCs w:val="21"/>
                <w:u w:val="none"/>
              </w:rPr>
              <w:t>尚发机械手</w:t>
            </w:r>
            <w:r>
              <w:rPr>
                <w:rFonts w:hint="eastAsia" w:ascii="Times New Roman" w:hAnsi="Times New Roman" w:eastAsia="宋体" w:cs="Times New Roman"/>
                <w:i w:val="0"/>
                <w:iCs w:val="0"/>
                <w:color w:val="auto"/>
                <w:sz w:val="21"/>
                <w:szCs w:val="21"/>
                <w:u w:val="none"/>
                <w:lang w:val="en-US" w:eastAsia="zh-CN"/>
              </w:rPr>
              <w:t>5</w:t>
            </w:r>
          </w:p>
        </w:tc>
        <w:tc>
          <w:tcPr>
            <w:tcW w:w="425" w:type="pct"/>
            <w:vMerge w:val="restart"/>
            <w:noWrap/>
            <w:vAlign w:val="center"/>
          </w:tcPr>
          <w:p w14:paraId="32A5AF4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56DDE38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17B6F0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27.1</w:t>
            </w:r>
          </w:p>
        </w:tc>
        <w:tc>
          <w:tcPr>
            <w:tcW w:w="397" w:type="pct"/>
            <w:noWrap/>
            <w:vAlign w:val="center"/>
          </w:tcPr>
          <w:p w14:paraId="531454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32.77</w:t>
            </w:r>
          </w:p>
        </w:tc>
        <w:tc>
          <w:tcPr>
            <w:tcW w:w="235" w:type="pct"/>
            <w:noWrap/>
            <w:vAlign w:val="center"/>
          </w:tcPr>
          <w:p w14:paraId="29966CA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DAA97D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39.85</w:t>
            </w:r>
          </w:p>
        </w:tc>
        <w:tc>
          <w:tcPr>
            <w:tcW w:w="460" w:type="pct"/>
            <w:noWrap/>
            <w:vAlign w:val="center"/>
          </w:tcPr>
          <w:p w14:paraId="06EC1F9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55.64</w:t>
            </w:r>
          </w:p>
        </w:tc>
        <w:tc>
          <w:tcPr>
            <w:tcW w:w="383" w:type="pct"/>
            <w:noWrap/>
            <w:vAlign w:val="center"/>
          </w:tcPr>
          <w:p w14:paraId="02568F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52A99F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C5EB7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29.64</w:t>
            </w:r>
          </w:p>
        </w:tc>
        <w:tc>
          <w:tcPr>
            <w:tcW w:w="388" w:type="pct"/>
            <w:noWrap/>
            <w:vAlign w:val="center"/>
          </w:tcPr>
          <w:p w14:paraId="47920C5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7884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E71A2B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146</w:t>
            </w:r>
          </w:p>
        </w:tc>
        <w:tc>
          <w:tcPr>
            <w:tcW w:w="212" w:type="pct"/>
            <w:vMerge w:val="continue"/>
            <w:noWrap/>
            <w:vAlign w:val="center"/>
          </w:tcPr>
          <w:p w14:paraId="6AFB86D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DBBFB3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F16CCD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A6ACBF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6CD75E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27.1</w:t>
            </w:r>
          </w:p>
        </w:tc>
        <w:tc>
          <w:tcPr>
            <w:tcW w:w="397" w:type="pct"/>
            <w:noWrap/>
            <w:vAlign w:val="center"/>
          </w:tcPr>
          <w:p w14:paraId="6A319C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32.77</w:t>
            </w:r>
          </w:p>
        </w:tc>
        <w:tc>
          <w:tcPr>
            <w:tcW w:w="235" w:type="pct"/>
            <w:noWrap/>
            <w:vAlign w:val="center"/>
          </w:tcPr>
          <w:p w14:paraId="1F518D3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748900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32.10</w:t>
            </w:r>
          </w:p>
        </w:tc>
        <w:tc>
          <w:tcPr>
            <w:tcW w:w="460" w:type="pct"/>
            <w:noWrap/>
            <w:vAlign w:val="center"/>
          </w:tcPr>
          <w:p w14:paraId="6E4C5E2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55.70</w:t>
            </w:r>
          </w:p>
        </w:tc>
        <w:tc>
          <w:tcPr>
            <w:tcW w:w="383" w:type="pct"/>
            <w:noWrap/>
            <w:vAlign w:val="center"/>
          </w:tcPr>
          <w:p w14:paraId="6E6C51E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A15B45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064382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29.70</w:t>
            </w:r>
          </w:p>
        </w:tc>
        <w:tc>
          <w:tcPr>
            <w:tcW w:w="388" w:type="pct"/>
            <w:noWrap/>
            <w:vAlign w:val="center"/>
          </w:tcPr>
          <w:p w14:paraId="23CA10F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3C81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899C56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147</w:t>
            </w:r>
          </w:p>
        </w:tc>
        <w:tc>
          <w:tcPr>
            <w:tcW w:w="212" w:type="pct"/>
            <w:vMerge w:val="continue"/>
            <w:noWrap/>
            <w:vAlign w:val="center"/>
          </w:tcPr>
          <w:p w14:paraId="7EF6F8C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F55A04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F38651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2C0BE2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85169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27.1</w:t>
            </w:r>
          </w:p>
        </w:tc>
        <w:tc>
          <w:tcPr>
            <w:tcW w:w="397" w:type="pct"/>
            <w:noWrap/>
            <w:vAlign w:val="center"/>
          </w:tcPr>
          <w:p w14:paraId="7F8D2C9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32.77</w:t>
            </w:r>
          </w:p>
        </w:tc>
        <w:tc>
          <w:tcPr>
            <w:tcW w:w="235" w:type="pct"/>
            <w:noWrap/>
            <w:vAlign w:val="center"/>
          </w:tcPr>
          <w:p w14:paraId="5D70745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695AC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27.86</w:t>
            </w:r>
          </w:p>
        </w:tc>
        <w:tc>
          <w:tcPr>
            <w:tcW w:w="460" w:type="pct"/>
            <w:noWrap/>
            <w:vAlign w:val="center"/>
          </w:tcPr>
          <w:p w14:paraId="12A9137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55.76</w:t>
            </w:r>
          </w:p>
        </w:tc>
        <w:tc>
          <w:tcPr>
            <w:tcW w:w="383" w:type="pct"/>
            <w:noWrap/>
            <w:vAlign w:val="center"/>
          </w:tcPr>
          <w:p w14:paraId="61E1227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A31A1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322F4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29.76</w:t>
            </w:r>
          </w:p>
        </w:tc>
        <w:tc>
          <w:tcPr>
            <w:tcW w:w="388" w:type="pct"/>
            <w:noWrap/>
            <w:vAlign w:val="center"/>
          </w:tcPr>
          <w:p w14:paraId="3E6BDDD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9964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0DFCF7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148</w:t>
            </w:r>
          </w:p>
        </w:tc>
        <w:tc>
          <w:tcPr>
            <w:tcW w:w="212" w:type="pct"/>
            <w:vMerge w:val="continue"/>
            <w:noWrap/>
            <w:vAlign w:val="center"/>
          </w:tcPr>
          <w:p w14:paraId="5170957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B2EA89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C515A1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7C110D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D9781E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27.1</w:t>
            </w:r>
          </w:p>
        </w:tc>
        <w:tc>
          <w:tcPr>
            <w:tcW w:w="397" w:type="pct"/>
            <w:noWrap/>
            <w:vAlign w:val="center"/>
          </w:tcPr>
          <w:p w14:paraId="3EDD35B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32.77</w:t>
            </w:r>
          </w:p>
        </w:tc>
        <w:tc>
          <w:tcPr>
            <w:tcW w:w="235" w:type="pct"/>
            <w:noWrap/>
            <w:vAlign w:val="center"/>
          </w:tcPr>
          <w:p w14:paraId="34EF63F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AEB324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9.45</w:t>
            </w:r>
          </w:p>
        </w:tc>
        <w:tc>
          <w:tcPr>
            <w:tcW w:w="460" w:type="pct"/>
            <w:noWrap/>
            <w:vAlign w:val="center"/>
          </w:tcPr>
          <w:p w14:paraId="4D96369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57.28</w:t>
            </w:r>
          </w:p>
        </w:tc>
        <w:tc>
          <w:tcPr>
            <w:tcW w:w="383" w:type="pct"/>
            <w:noWrap/>
            <w:vAlign w:val="center"/>
          </w:tcPr>
          <w:p w14:paraId="5466C9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BBE630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157D0B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31.28</w:t>
            </w:r>
          </w:p>
        </w:tc>
        <w:tc>
          <w:tcPr>
            <w:tcW w:w="388" w:type="pct"/>
            <w:noWrap/>
            <w:vAlign w:val="center"/>
          </w:tcPr>
          <w:p w14:paraId="3EA15CE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94A7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8BAF95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149</w:t>
            </w:r>
          </w:p>
        </w:tc>
        <w:tc>
          <w:tcPr>
            <w:tcW w:w="212" w:type="pct"/>
            <w:vMerge w:val="continue"/>
            <w:noWrap/>
            <w:vAlign w:val="center"/>
          </w:tcPr>
          <w:p w14:paraId="499AE9C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C1EF24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714386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6FEA59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E7E92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27.1</w:t>
            </w:r>
          </w:p>
        </w:tc>
        <w:tc>
          <w:tcPr>
            <w:tcW w:w="397" w:type="pct"/>
            <w:noWrap/>
            <w:vAlign w:val="center"/>
          </w:tcPr>
          <w:p w14:paraId="2489E6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32.77</w:t>
            </w:r>
          </w:p>
        </w:tc>
        <w:tc>
          <w:tcPr>
            <w:tcW w:w="235" w:type="pct"/>
            <w:noWrap/>
            <w:vAlign w:val="center"/>
          </w:tcPr>
          <w:p w14:paraId="79EE94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538D8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36.37</w:t>
            </w:r>
          </w:p>
        </w:tc>
        <w:tc>
          <w:tcPr>
            <w:tcW w:w="460" w:type="pct"/>
            <w:noWrap/>
            <w:vAlign w:val="center"/>
          </w:tcPr>
          <w:p w14:paraId="3941DC4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55.66</w:t>
            </w:r>
          </w:p>
        </w:tc>
        <w:tc>
          <w:tcPr>
            <w:tcW w:w="383" w:type="pct"/>
            <w:noWrap/>
            <w:vAlign w:val="center"/>
          </w:tcPr>
          <w:p w14:paraId="3B04E90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BCFA1F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B435F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29.66</w:t>
            </w:r>
          </w:p>
        </w:tc>
        <w:tc>
          <w:tcPr>
            <w:tcW w:w="388" w:type="pct"/>
            <w:noWrap/>
            <w:vAlign w:val="center"/>
          </w:tcPr>
          <w:p w14:paraId="4D254D6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D390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D5DB9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150</w:t>
            </w:r>
          </w:p>
        </w:tc>
        <w:tc>
          <w:tcPr>
            <w:tcW w:w="212" w:type="pct"/>
            <w:vMerge w:val="continue"/>
            <w:noWrap/>
            <w:vAlign w:val="center"/>
          </w:tcPr>
          <w:p w14:paraId="654BD8F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CEBC77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263D34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8FAF30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B55B5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27.1</w:t>
            </w:r>
          </w:p>
        </w:tc>
        <w:tc>
          <w:tcPr>
            <w:tcW w:w="397" w:type="pct"/>
            <w:noWrap/>
            <w:vAlign w:val="center"/>
          </w:tcPr>
          <w:p w14:paraId="4D79DA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32.77</w:t>
            </w:r>
          </w:p>
        </w:tc>
        <w:tc>
          <w:tcPr>
            <w:tcW w:w="235" w:type="pct"/>
            <w:noWrap/>
            <w:vAlign w:val="center"/>
          </w:tcPr>
          <w:p w14:paraId="53E9BA2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92390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26.06</w:t>
            </w:r>
          </w:p>
        </w:tc>
        <w:tc>
          <w:tcPr>
            <w:tcW w:w="460" w:type="pct"/>
            <w:noWrap/>
            <w:vAlign w:val="center"/>
          </w:tcPr>
          <w:p w14:paraId="795E39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55.80</w:t>
            </w:r>
          </w:p>
        </w:tc>
        <w:tc>
          <w:tcPr>
            <w:tcW w:w="383" w:type="pct"/>
            <w:noWrap/>
            <w:vAlign w:val="center"/>
          </w:tcPr>
          <w:p w14:paraId="09E50E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7F2510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43786F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29.80</w:t>
            </w:r>
          </w:p>
        </w:tc>
        <w:tc>
          <w:tcPr>
            <w:tcW w:w="388" w:type="pct"/>
            <w:noWrap/>
            <w:vAlign w:val="center"/>
          </w:tcPr>
          <w:p w14:paraId="3A07E19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BC5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57632F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151</w:t>
            </w:r>
          </w:p>
        </w:tc>
        <w:tc>
          <w:tcPr>
            <w:tcW w:w="212" w:type="pct"/>
            <w:vMerge w:val="continue"/>
            <w:noWrap/>
            <w:vAlign w:val="center"/>
          </w:tcPr>
          <w:p w14:paraId="10C6FCC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07D34ACC">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eastAsia="zh-CN"/>
              </w:rPr>
            </w:pPr>
            <w:r>
              <w:rPr>
                <w:rFonts w:hint="default" w:ascii="Times New Roman" w:hAnsi="Times New Roman" w:eastAsia="宋体" w:cs="Times New Roman"/>
                <w:i w:val="0"/>
                <w:iCs w:val="0"/>
                <w:color w:val="auto"/>
                <w:sz w:val="21"/>
                <w:szCs w:val="21"/>
                <w:u w:val="none"/>
              </w:rPr>
              <w:t>尚发机械手</w:t>
            </w:r>
            <w:r>
              <w:rPr>
                <w:rFonts w:hint="eastAsia" w:ascii="Times New Roman" w:hAnsi="Times New Roman" w:eastAsia="宋体" w:cs="Times New Roman"/>
                <w:i w:val="0"/>
                <w:iCs w:val="0"/>
                <w:color w:val="auto"/>
                <w:sz w:val="21"/>
                <w:szCs w:val="21"/>
                <w:u w:val="none"/>
                <w:lang w:val="en-US" w:eastAsia="zh-CN"/>
              </w:rPr>
              <w:t>6</w:t>
            </w:r>
          </w:p>
        </w:tc>
        <w:tc>
          <w:tcPr>
            <w:tcW w:w="425" w:type="pct"/>
            <w:vMerge w:val="restart"/>
            <w:noWrap/>
            <w:vAlign w:val="center"/>
          </w:tcPr>
          <w:p w14:paraId="426E232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68E00C3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0B891F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29.96</w:t>
            </w:r>
          </w:p>
        </w:tc>
        <w:tc>
          <w:tcPr>
            <w:tcW w:w="397" w:type="pct"/>
            <w:noWrap/>
            <w:vAlign w:val="center"/>
          </w:tcPr>
          <w:p w14:paraId="3F20990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27.37</w:t>
            </w:r>
          </w:p>
        </w:tc>
        <w:tc>
          <w:tcPr>
            <w:tcW w:w="235" w:type="pct"/>
            <w:noWrap/>
            <w:vAlign w:val="center"/>
          </w:tcPr>
          <w:p w14:paraId="363E451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F57CF5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39.94</w:t>
            </w:r>
          </w:p>
        </w:tc>
        <w:tc>
          <w:tcPr>
            <w:tcW w:w="460" w:type="pct"/>
            <w:noWrap/>
            <w:vAlign w:val="center"/>
          </w:tcPr>
          <w:p w14:paraId="2F84BD3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55.64</w:t>
            </w:r>
          </w:p>
        </w:tc>
        <w:tc>
          <w:tcPr>
            <w:tcW w:w="383" w:type="pct"/>
            <w:noWrap/>
            <w:vAlign w:val="center"/>
          </w:tcPr>
          <w:p w14:paraId="7075568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04CF9A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63140E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29.64</w:t>
            </w:r>
          </w:p>
        </w:tc>
        <w:tc>
          <w:tcPr>
            <w:tcW w:w="388" w:type="pct"/>
            <w:noWrap/>
            <w:vAlign w:val="center"/>
          </w:tcPr>
          <w:p w14:paraId="324E9AA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9E7B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084DCA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152</w:t>
            </w:r>
          </w:p>
        </w:tc>
        <w:tc>
          <w:tcPr>
            <w:tcW w:w="212" w:type="pct"/>
            <w:vMerge w:val="continue"/>
            <w:noWrap/>
            <w:vAlign w:val="center"/>
          </w:tcPr>
          <w:p w14:paraId="04FEFDC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F80A6A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F0E936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DE4628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2C9A5A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29.96</w:t>
            </w:r>
          </w:p>
        </w:tc>
        <w:tc>
          <w:tcPr>
            <w:tcW w:w="397" w:type="pct"/>
            <w:noWrap/>
            <w:vAlign w:val="center"/>
          </w:tcPr>
          <w:p w14:paraId="6BBDE4B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27.37</w:t>
            </w:r>
          </w:p>
        </w:tc>
        <w:tc>
          <w:tcPr>
            <w:tcW w:w="235" w:type="pct"/>
            <w:noWrap/>
            <w:vAlign w:val="center"/>
          </w:tcPr>
          <w:p w14:paraId="7FBD811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066826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26.60</w:t>
            </w:r>
          </w:p>
        </w:tc>
        <w:tc>
          <w:tcPr>
            <w:tcW w:w="460" w:type="pct"/>
            <w:noWrap/>
            <w:vAlign w:val="center"/>
          </w:tcPr>
          <w:p w14:paraId="7DD8A12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55.78</w:t>
            </w:r>
          </w:p>
        </w:tc>
        <w:tc>
          <w:tcPr>
            <w:tcW w:w="383" w:type="pct"/>
            <w:noWrap/>
            <w:vAlign w:val="center"/>
          </w:tcPr>
          <w:p w14:paraId="726A2B9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272CD4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10BAF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29.78</w:t>
            </w:r>
          </w:p>
        </w:tc>
        <w:tc>
          <w:tcPr>
            <w:tcW w:w="388" w:type="pct"/>
            <w:noWrap/>
            <w:vAlign w:val="center"/>
          </w:tcPr>
          <w:p w14:paraId="36B1B6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AAC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EA37A6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153</w:t>
            </w:r>
          </w:p>
        </w:tc>
        <w:tc>
          <w:tcPr>
            <w:tcW w:w="212" w:type="pct"/>
            <w:vMerge w:val="continue"/>
            <w:noWrap/>
            <w:vAlign w:val="center"/>
          </w:tcPr>
          <w:p w14:paraId="76A8FC5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F8DABB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632E3D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9917C6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CA101F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29.96</w:t>
            </w:r>
          </w:p>
        </w:tc>
        <w:tc>
          <w:tcPr>
            <w:tcW w:w="397" w:type="pct"/>
            <w:noWrap/>
            <w:vAlign w:val="center"/>
          </w:tcPr>
          <w:p w14:paraId="71A130E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27.37</w:t>
            </w:r>
          </w:p>
        </w:tc>
        <w:tc>
          <w:tcPr>
            <w:tcW w:w="235" w:type="pct"/>
            <w:noWrap/>
            <w:vAlign w:val="center"/>
          </w:tcPr>
          <w:p w14:paraId="52BEF5D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45EB6B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21.84</w:t>
            </w:r>
          </w:p>
        </w:tc>
        <w:tc>
          <w:tcPr>
            <w:tcW w:w="460" w:type="pct"/>
            <w:noWrap/>
            <w:vAlign w:val="center"/>
          </w:tcPr>
          <w:p w14:paraId="331456D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55.91</w:t>
            </w:r>
          </w:p>
        </w:tc>
        <w:tc>
          <w:tcPr>
            <w:tcW w:w="383" w:type="pct"/>
            <w:noWrap/>
            <w:vAlign w:val="center"/>
          </w:tcPr>
          <w:p w14:paraId="48147E1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C3A06D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95EA7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29.91</w:t>
            </w:r>
          </w:p>
        </w:tc>
        <w:tc>
          <w:tcPr>
            <w:tcW w:w="388" w:type="pct"/>
            <w:noWrap/>
            <w:vAlign w:val="center"/>
          </w:tcPr>
          <w:p w14:paraId="159AC9A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73D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2572A7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154</w:t>
            </w:r>
          </w:p>
        </w:tc>
        <w:tc>
          <w:tcPr>
            <w:tcW w:w="212" w:type="pct"/>
            <w:vMerge w:val="continue"/>
            <w:noWrap/>
            <w:vAlign w:val="center"/>
          </w:tcPr>
          <w:p w14:paraId="4D8DD3C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98A32D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A34B32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984129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DF401D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29.96</w:t>
            </w:r>
          </w:p>
        </w:tc>
        <w:tc>
          <w:tcPr>
            <w:tcW w:w="397" w:type="pct"/>
            <w:noWrap/>
            <w:vAlign w:val="center"/>
          </w:tcPr>
          <w:p w14:paraId="4DD1DA8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27.37</w:t>
            </w:r>
          </w:p>
        </w:tc>
        <w:tc>
          <w:tcPr>
            <w:tcW w:w="235" w:type="pct"/>
            <w:noWrap/>
            <w:vAlign w:val="center"/>
          </w:tcPr>
          <w:p w14:paraId="19C65C6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0514A2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9.62</w:t>
            </w:r>
          </w:p>
        </w:tc>
        <w:tc>
          <w:tcPr>
            <w:tcW w:w="460" w:type="pct"/>
            <w:noWrap/>
            <w:vAlign w:val="center"/>
          </w:tcPr>
          <w:p w14:paraId="79AF8C2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57.23</w:t>
            </w:r>
          </w:p>
        </w:tc>
        <w:tc>
          <w:tcPr>
            <w:tcW w:w="383" w:type="pct"/>
            <w:noWrap/>
            <w:vAlign w:val="center"/>
          </w:tcPr>
          <w:p w14:paraId="5643147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89CD33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E75222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31.23</w:t>
            </w:r>
          </w:p>
        </w:tc>
        <w:tc>
          <w:tcPr>
            <w:tcW w:w="388" w:type="pct"/>
            <w:noWrap/>
            <w:vAlign w:val="center"/>
          </w:tcPr>
          <w:p w14:paraId="4CE8759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36CF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0221A6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155</w:t>
            </w:r>
          </w:p>
        </w:tc>
        <w:tc>
          <w:tcPr>
            <w:tcW w:w="212" w:type="pct"/>
            <w:vMerge w:val="continue"/>
            <w:noWrap/>
            <w:vAlign w:val="center"/>
          </w:tcPr>
          <w:p w14:paraId="27E539A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857EC2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697D22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EB2E6A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58BBBD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29.96</w:t>
            </w:r>
          </w:p>
        </w:tc>
        <w:tc>
          <w:tcPr>
            <w:tcW w:w="397" w:type="pct"/>
            <w:noWrap/>
            <w:vAlign w:val="center"/>
          </w:tcPr>
          <w:p w14:paraId="796554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27.37</w:t>
            </w:r>
          </w:p>
        </w:tc>
        <w:tc>
          <w:tcPr>
            <w:tcW w:w="235" w:type="pct"/>
            <w:noWrap/>
            <w:vAlign w:val="center"/>
          </w:tcPr>
          <w:p w14:paraId="1DDE614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794EA7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42.47</w:t>
            </w:r>
          </w:p>
        </w:tc>
        <w:tc>
          <w:tcPr>
            <w:tcW w:w="460" w:type="pct"/>
            <w:noWrap/>
            <w:vAlign w:val="center"/>
          </w:tcPr>
          <w:p w14:paraId="49C950F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55.63</w:t>
            </w:r>
          </w:p>
        </w:tc>
        <w:tc>
          <w:tcPr>
            <w:tcW w:w="383" w:type="pct"/>
            <w:noWrap/>
            <w:vAlign w:val="center"/>
          </w:tcPr>
          <w:p w14:paraId="7AEC846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0292C6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9C9306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29.63</w:t>
            </w:r>
          </w:p>
        </w:tc>
        <w:tc>
          <w:tcPr>
            <w:tcW w:w="388" w:type="pct"/>
            <w:noWrap/>
            <w:vAlign w:val="center"/>
          </w:tcPr>
          <w:p w14:paraId="5620C06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5927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C1A54A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156</w:t>
            </w:r>
          </w:p>
        </w:tc>
        <w:tc>
          <w:tcPr>
            <w:tcW w:w="212" w:type="pct"/>
            <w:vMerge w:val="continue"/>
            <w:noWrap/>
            <w:vAlign w:val="center"/>
          </w:tcPr>
          <w:p w14:paraId="6A4C224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8CE769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202671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792F66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694C0A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29.96</w:t>
            </w:r>
          </w:p>
        </w:tc>
        <w:tc>
          <w:tcPr>
            <w:tcW w:w="397" w:type="pct"/>
            <w:noWrap/>
            <w:vAlign w:val="center"/>
          </w:tcPr>
          <w:p w14:paraId="3724E63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27.37</w:t>
            </w:r>
          </w:p>
        </w:tc>
        <w:tc>
          <w:tcPr>
            <w:tcW w:w="235" w:type="pct"/>
            <w:noWrap/>
            <w:vAlign w:val="center"/>
          </w:tcPr>
          <w:p w14:paraId="3CB944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502C14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24.27</w:t>
            </w:r>
          </w:p>
        </w:tc>
        <w:tc>
          <w:tcPr>
            <w:tcW w:w="460" w:type="pct"/>
            <w:noWrap/>
            <w:vAlign w:val="center"/>
          </w:tcPr>
          <w:p w14:paraId="27AFA5E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55.84</w:t>
            </w:r>
          </w:p>
        </w:tc>
        <w:tc>
          <w:tcPr>
            <w:tcW w:w="383" w:type="pct"/>
            <w:noWrap/>
            <w:vAlign w:val="center"/>
          </w:tcPr>
          <w:p w14:paraId="2CD63E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AA6709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E79C0A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29.84</w:t>
            </w:r>
          </w:p>
        </w:tc>
        <w:tc>
          <w:tcPr>
            <w:tcW w:w="388" w:type="pct"/>
            <w:noWrap/>
            <w:vAlign w:val="center"/>
          </w:tcPr>
          <w:p w14:paraId="622C185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392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5F1223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157</w:t>
            </w:r>
          </w:p>
        </w:tc>
        <w:tc>
          <w:tcPr>
            <w:tcW w:w="212" w:type="pct"/>
            <w:vMerge w:val="continue"/>
            <w:noWrap/>
            <w:vAlign w:val="center"/>
          </w:tcPr>
          <w:p w14:paraId="28DCEE8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346274F9">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eastAsia="zh-CN"/>
              </w:rPr>
            </w:pPr>
            <w:r>
              <w:rPr>
                <w:rFonts w:hint="default" w:ascii="Times New Roman" w:hAnsi="Times New Roman" w:eastAsia="宋体" w:cs="Times New Roman"/>
                <w:i w:val="0"/>
                <w:iCs w:val="0"/>
                <w:color w:val="auto"/>
                <w:sz w:val="21"/>
                <w:szCs w:val="21"/>
                <w:u w:val="none"/>
              </w:rPr>
              <w:t>尚发机械手</w:t>
            </w:r>
            <w:r>
              <w:rPr>
                <w:rFonts w:hint="eastAsia" w:ascii="Times New Roman" w:hAnsi="Times New Roman" w:eastAsia="宋体" w:cs="Times New Roman"/>
                <w:i w:val="0"/>
                <w:iCs w:val="0"/>
                <w:color w:val="auto"/>
                <w:sz w:val="21"/>
                <w:szCs w:val="21"/>
                <w:u w:val="none"/>
                <w:lang w:val="en-US" w:eastAsia="zh-CN"/>
              </w:rPr>
              <w:t>7</w:t>
            </w:r>
          </w:p>
        </w:tc>
        <w:tc>
          <w:tcPr>
            <w:tcW w:w="425" w:type="pct"/>
            <w:vMerge w:val="restart"/>
            <w:noWrap/>
            <w:vAlign w:val="center"/>
          </w:tcPr>
          <w:p w14:paraId="6A7310D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0B1699A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182898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32.5</w:t>
            </w:r>
          </w:p>
        </w:tc>
        <w:tc>
          <w:tcPr>
            <w:tcW w:w="397" w:type="pct"/>
            <w:noWrap/>
            <w:vAlign w:val="center"/>
          </w:tcPr>
          <w:p w14:paraId="1EF5F2F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23.4</w:t>
            </w:r>
          </w:p>
        </w:tc>
        <w:tc>
          <w:tcPr>
            <w:tcW w:w="235" w:type="pct"/>
            <w:noWrap/>
            <w:vAlign w:val="center"/>
          </w:tcPr>
          <w:p w14:paraId="2187E08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CBEFE3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40.39</w:t>
            </w:r>
          </w:p>
        </w:tc>
        <w:tc>
          <w:tcPr>
            <w:tcW w:w="460" w:type="pct"/>
            <w:noWrap/>
            <w:vAlign w:val="center"/>
          </w:tcPr>
          <w:p w14:paraId="36E0AB1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40.64</w:t>
            </w:r>
          </w:p>
        </w:tc>
        <w:tc>
          <w:tcPr>
            <w:tcW w:w="383" w:type="pct"/>
            <w:noWrap/>
            <w:vAlign w:val="center"/>
          </w:tcPr>
          <w:p w14:paraId="5B38D44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1A9425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202BE5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14.64</w:t>
            </w:r>
          </w:p>
        </w:tc>
        <w:tc>
          <w:tcPr>
            <w:tcW w:w="388" w:type="pct"/>
            <w:noWrap/>
            <w:vAlign w:val="center"/>
          </w:tcPr>
          <w:p w14:paraId="4B00AE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F20C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1822BC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158</w:t>
            </w:r>
          </w:p>
        </w:tc>
        <w:tc>
          <w:tcPr>
            <w:tcW w:w="212" w:type="pct"/>
            <w:vMerge w:val="continue"/>
            <w:noWrap/>
            <w:vAlign w:val="center"/>
          </w:tcPr>
          <w:p w14:paraId="1DAE099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C03838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A9D37E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3893A7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07663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32.5</w:t>
            </w:r>
          </w:p>
        </w:tc>
        <w:tc>
          <w:tcPr>
            <w:tcW w:w="397" w:type="pct"/>
            <w:noWrap/>
            <w:vAlign w:val="center"/>
          </w:tcPr>
          <w:p w14:paraId="2E9B9A4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23.4</w:t>
            </w:r>
          </w:p>
        </w:tc>
        <w:tc>
          <w:tcPr>
            <w:tcW w:w="235" w:type="pct"/>
            <w:noWrap/>
            <w:vAlign w:val="center"/>
          </w:tcPr>
          <w:p w14:paraId="25B1448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1398CC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22.55</w:t>
            </w:r>
          </w:p>
        </w:tc>
        <w:tc>
          <w:tcPr>
            <w:tcW w:w="460" w:type="pct"/>
            <w:noWrap/>
            <w:vAlign w:val="center"/>
          </w:tcPr>
          <w:p w14:paraId="3A38889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40.88</w:t>
            </w:r>
          </w:p>
        </w:tc>
        <w:tc>
          <w:tcPr>
            <w:tcW w:w="383" w:type="pct"/>
            <w:noWrap/>
            <w:vAlign w:val="center"/>
          </w:tcPr>
          <w:p w14:paraId="4862384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EB65FF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0512FE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14.88</w:t>
            </w:r>
          </w:p>
        </w:tc>
        <w:tc>
          <w:tcPr>
            <w:tcW w:w="388" w:type="pct"/>
            <w:noWrap/>
            <w:vAlign w:val="center"/>
          </w:tcPr>
          <w:p w14:paraId="6F4CB23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DA5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4C09D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159</w:t>
            </w:r>
          </w:p>
        </w:tc>
        <w:tc>
          <w:tcPr>
            <w:tcW w:w="212" w:type="pct"/>
            <w:vMerge w:val="continue"/>
            <w:noWrap/>
            <w:vAlign w:val="center"/>
          </w:tcPr>
          <w:p w14:paraId="259B1B3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E8CD72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02FBF3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572601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82F6F7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32.5</w:t>
            </w:r>
          </w:p>
        </w:tc>
        <w:tc>
          <w:tcPr>
            <w:tcW w:w="397" w:type="pct"/>
            <w:noWrap/>
            <w:vAlign w:val="center"/>
          </w:tcPr>
          <w:p w14:paraId="5478C6C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23.4</w:t>
            </w:r>
          </w:p>
        </w:tc>
        <w:tc>
          <w:tcPr>
            <w:tcW w:w="235" w:type="pct"/>
            <w:noWrap/>
            <w:vAlign w:val="center"/>
          </w:tcPr>
          <w:p w14:paraId="491FF4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B939BF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17.27</w:t>
            </w:r>
          </w:p>
        </w:tc>
        <w:tc>
          <w:tcPr>
            <w:tcW w:w="460" w:type="pct"/>
            <w:noWrap/>
            <w:vAlign w:val="center"/>
          </w:tcPr>
          <w:p w14:paraId="24CFA5E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41.12</w:t>
            </w:r>
          </w:p>
        </w:tc>
        <w:tc>
          <w:tcPr>
            <w:tcW w:w="383" w:type="pct"/>
            <w:noWrap/>
            <w:vAlign w:val="center"/>
          </w:tcPr>
          <w:p w14:paraId="59C2A3F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66B993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371D89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15.12</w:t>
            </w:r>
          </w:p>
        </w:tc>
        <w:tc>
          <w:tcPr>
            <w:tcW w:w="388" w:type="pct"/>
            <w:noWrap/>
            <w:vAlign w:val="center"/>
          </w:tcPr>
          <w:p w14:paraId="354DD75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E52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4557DF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160</w:t>
            </w:r>
          </w:p>
        </w:tc>
        <w:tc>
          <w:tcPr>
            <w:tcW w:w="212" w:type="pct"/>
            <w:vMerge w:val="continue"/>
            <w:noWrap/>
            <w:vAlign w:val="center"/>
          </w:tcPr>
          <w:p w14:paraId="124C5E8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CBF9AA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911848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90B674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F19C98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32.5</w:t>
            </w:r>
          </w:p>
        </w:tc>
        <w:tc>
          <w:tcPr>
            <w:tcW w:w="397" w:type="pct"/>
            <w:noWrap/>
            <w:vAlign w:val="center"/>
          </w:tcPr>
          <w:p w14:paraId="7F39799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23.4</w:t>
            </w:r>
          </w:p>
        </w:tc>
        <w:tc>
          <w:tcPr>
            <w:tcW w:w="235" w:type="pct"/>
            <w:noWrap/>
            <w:vAlign w:val="center"/>
          </w:tcPr>
          <w:p w14:paraId="17E615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96411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9.37</w:t>
            </w:r>
          </w:p>
        </w:tc>
        <w:tc>
          <w:tcPr>
            <w:tcW w:w="460" w:type="pct"/>
            <w:noWrap/>
            <w:vAlign w:val="center"/>
          </w:tcPr>
          <w:p w14:paraId="53FE18E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42.30</w:t>
            </w:r>
          </w:p>
        </w:tc>
        <w:tc>
          <w:tcPr>
            <w:tcW w:w="383" w:type="pct"/>
            <w:noWrap/>
            <w:vAlign w:val="center"/>
          </w:tcPr>
          <w:p w14:paraId="5163B31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F82DF6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D822CE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16.30</w:t>
            </w:r>
          </w:p>
        </w:tc>
        <w:tc>
          <w:tcPr>
            <w:tcW w:w="388" w:type="pct"/>
            <w:noWrap/>
            <w:vAlign w:val="center"/>
          </w:tcPr>
          <w:p w14:paraId="30CE22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51CE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427226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161</w:t>
            </w:r>
          </w:p>
        </w:tc>
        <w:tc>
          <w:tcPr>
            <w:tcW w:w="212" w:type="pct"/>
            <w:vMerge w:val="continue"/>
            <w:noWrap/>
            <w:vAlign w:val="center"/>
          </w:tcPr>
          <w:p w14:paraId="5F8CC6E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500282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BA8D49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8FE846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54E8A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32.5</w:t>
            </w:r>
          </w:p>
        </w:tc>
        <w:tc>
          <w:tcPr>
            <w:tcW w:w="397" w:type="pct"/>
            <w:noWrap/>
            <w:vAlign w:val="center"/>
          </w:tcPr>
          <w:p w14:paraId="5DE098C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23.4</w:t>
            </w:r>
          </w:p>
        </w:tc>
        <w:tc>
          <w:tcPr>
            <w:tcW w:w="235" w:type="pct"/>
            <w:noWrap/>
            <w:vAlign w:val="center"/>
          </w:tcPr>
          <w:p w14:paraId="57675DD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481EDE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47.12</w:t>
            </w:r>
          </w:p>
        </w:tc>
        <w:tc>
          <w:tcPr>
            <w:tcW w:w="460" w:type="pct"/>
            <w:noWrap/>
            <w:vAlign w:val="center"/>
          </w:tcPr>
          <w:p w14:paraId="28DAC56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40.61</w:t>
            </w:r>
          </w:p>
        </w:tc>
        <w:tc>
          <w:tcPr>
            <w:tcW w:w="383" w:type="pct"/>
            <w:noWrap/>
            <w:vAlign w:val="center"/>
          </w:tcPr>
          <w:p w14:paraId="5E66EE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85F7A9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56BD1D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14.61</w:t>
            </w:r>
          </w:p>
        </w:tc>
        <w:tc>
          <w:tcPr>
            <w:tcW w:w="388" w:type="pct"/>
            <w:noWrap/>
            <w:vAlign w:val="center"/>
          </w:tcPr>
          <w:p w14:paraId="4CB2E9E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B69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A2A18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162</w:t>
            </w:r>
          </w:p>
        </w:tc>
        <w:tc>
          <w:tcPr>
            <w:tcW w:w="212" w:type="pct"/>
            <w:vMerge w:val="continue"/>
            <w:noWrap/>
            <w:vAlign w:val="center"/>
          </w:tcPr>
          <w:p w14:paraId="2247C41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230E28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2C8B61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FD5C8B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DFCE4F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32.5</w:t>
            </w:r>
          </w:p>
        </w:tc>
        <w:tc>
          <w:tcPr>
            <w:tcW w:w="397" w:type="pct"/>
            <w:noWrap/>
            <w:vAlign w:val="center"/>
          </w:tcPr>
          <w:p w14:paraId="2655558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23.4</w:t>
            </w:r>
          </w:p>
        </w:tc>
        <w:tc>
          <w:tcPr>
            <w:tcW w:w="235" w:type="pct"/>
            <w:noWrap/>
            <w:vAlign w:val="center"/>
          </w:tcPr>
          <w:p w14:paraId="253705A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2BF67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23.26</w:t>
            </w:r>
          </w:p>
        </w:tc>
        <w:tc>
          <w:tcPr>
            <w:tcW w:w="460" w:type="pct"/>
            <w:noWrap/>
            <w:vAlign w:val="center"/>
          </w:tcPr>
          <w:p w14:paraId="34BD65C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40.86</w:t>
            </w:r>
          </w:p>
        </w:tc>
        <w:tc>
          <w:tcPr>
            <w:tcW w:w="383" w:type="pct"/>
            <w:noWrap/>
            <w:vAlign w:val="center"/>
          </w:tcPr>
          <w:p w14:paraId="2C590B1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3FC64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D0D343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14.86</w:t>
            </w:r>
          </w:p>
        </w:tc>
        <w:tc>
          <w:tcPr>
            <w:tcW w:w="388" w:type="pct"/>
            <w:noWrap/>
            <w:vAlign w:val="center"/>
          </w:tcPr>
          <w:p w14:paraId="3454D01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5159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89401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163</w:t>
            </w:r>
          </w:p>
        </w:tc>
        <w:tc>
          <w:tcPr>
            <w:tcW w:w="212" w:type="pct"/>
            <w:vMerge w:val="continue"/>
            <w:noWrap/>
            <w:vAlign w:val="center"/>
          </w:tcPr>
          <w:p w14:paraId="5AB055A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0DE67D5A">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eastAsia="zh-CN"/>
              </w:rPr>
            </w:pPr>
            <w:r>
              <w:rPr>
                <w:rFonts w:hint="default" w:ascii="Times New Roman" w:hAnsi="Times New Roman" w:eastAsia="宋体" w:cs="Times New Roman"/>
                <w:i w:val="0"/>
                <w:iCs w:val="0"/>
                <w:color w:val="auto"/>
                <w:sz w:val="21"/>
                <w:szCs w:val="21"/>
                <w:u w:val="none"/>
              </w:rPr>
              <w:t>尚发机械手</w:t>
            </w:r>
            <w:r>
              <w:rPr>
                <w:rFonts w:hint="eastAsia" w:ascii="Times New Roman" w:hAnsi="Times New Roman" w:eastAsia="宋体" w:cs="Times New Roman"/>
                <w:i w:val="0"/>
                <w:iCs w:val="0"/>
                <w:color w:val="auto"/>
                <w:sz w:val="21"/>
                <w:szCs w:val="21"/>
                <w:u w:val="none"/>
                <w:lang w:val="en-US" w:eastAsia="zh-CN"/>
              </w:rPr>
              <w:t>8</w:t>
            </w:r>
          </w:p>
        </w:tc>
        <w:tc>
          <w:tcPr>
            <w:tcW w:w="425" w:type="pct"/>
            <w:vMerge w:val="restart"/>
            <w:noWrap/>
            <w:vAlign w:val="center"/>
          </w:tcPr>
          <w:p w14:paraId="50B9279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7B1038E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63BA03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35.36</w:t>
            </w:r>
          </w:p>
        </w:tc>
        <w:tc>
          <w:tcPr>
            <w:tcW w:w="397" w:type="pct"/>
            <w:noWrap/>
            <w:vAlign w:val="center"/>
          </w:tcPr>
          <w:p w14:paraId="50BED5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19.11</w:t>
            </w:r>
          </w:p>
        </w:tc>
        <w:tc>
          <w:tcPr>
            <w:tcW w:w="235" w:type="pct"/>
            <w:noWrap/>
            <w:vAlign w:val="center"/>
          </w:tcPr>
          <w:p w14:paraId="31B8023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29D2FC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40.98</w:t>
            </w:r>
          </w:p>
        </w:tc>
        <w:tc>
          <w:tcPr>
            <w:tcW w:w="460" w:type="pct"/>
            <w:noWrap/>
            <w:vAlign w:val="center"/>
          </w:tcPr>
          <w:p w14:paraId="436E2E6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40.63</w:t>
            </w:r>
          </w:p>
        </w:tc>
        <w:tc>
          <w:tcPr>
            <w:tcW w:w="383" w:type="pct"/>
            <w:noWrap/>
            <w:vAlign w:val="center"/>
          </w:tcPr>
          <w:p w14:paraId="78E505E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D8C12F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8AE670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14.63</w:t>
            </w:r>
          </w:p>
        </w:tc>
        <w:tc>
          <w:tcPr>
            <w:tcW w:w="388" w:type="pct"/>
            <w:noWrap/>
            <w:vAlign w:val="center"/>
          </w:tcPr>
          <w:p w14:paraId="6CD26D1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7C9A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1A99CC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164</w:t>
            </w:r>
          </w:p>
        </w:tc>
        <w:tc>
          <w:tcPr>
            <w:tcW w:w="212" w:type="pct"/>
            <w:vMerge w:val="continue"/>
            <w:noWrap/>
            <w:vAlign w:val="center"/>
          </w:tcPr>
          <w:p w14:paraId="60D921E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7C8F30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8FF8B8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258005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1FCD9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35.36</w:t>
            </w:r>
          </w:p>
        </w:tc>
        <w:tc>
          <w:tcPr>
            <w:tcW w:w="397" w:type="pct"/>
            <w:noWrap/>
            <w:vAlign w:val="center"/>
          </w:tcPr>
          <w:p w14:paraId="1885573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19.11</w:t>
            </w:r>
          </w:p>
        </w:tc>
        <w:tc>
          <w:tcPr>
            <w:tcW w:w="235" w:type="pct"/>
            <w:noWrap/>
            <w:vAlign w:val="center"/>
          </w:tcPr>
          <w:p w14:paraId="120A23E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C66566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18.16</w:t>
            </w:r>
          </w:p>
        </w:tc>
        <w:tc>
          <w:tcPr>
            <w:tcW w:w="460" w:type="pct"/>
            <w:noWrap/>
            <w:vAlign w:val="center"/>
          </w:tcPr>
          <w:p w14:paraId="3803708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41.07</w:t>
            </w:r>
          </w:p>
        </w:tc>
        <w:tc>
          <w:tcPr>
            <w:tcW w:w="383" w:type="pct"/>
            <w:noWrap/>
            <w:vAlign w:val="center"/>
          </w:tcPr>
          <w:p w14:paraId="5AC981C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910576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0F547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15.07</w:t>
            </w:r>
          </w:p>
        </w:tc>
        <w:tc>
          <w:tcPr>
            <w:tcW w:w="388" w:type="pct"/>
            <w:noWrap/>
            <w:vAlign w:val="center"/>
          </w:tcPr>
          <w:p w14:paraId="0DEAD8F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C5CA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84C4E5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165</w:t>
            </w:r>
          </w:p>
        </w:tc>
        <w:tc>
          <w:tcPr>
            <w:tcW w:w="212" w:type="pct"/>
            <w:vMerge w:val="continue"/>
            <w:noWrap/>
            <w:vAlign w:val="center"/>
          </w:tcPr>
          <w:p w14:paraId="65AA82B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7D0FF7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A3402D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41E7A7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C843D8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35.36</w:t>
            </w:r>
          </w:p>
        </w:tc>
        <w:tc>
          <w:tcPr>
            <w:tcW w:w="397" w:type="pct"/>
            <w:noWrap/>
            <w:vAlign w:val="center"/>
          </w:tcPr>
          <w:p w14:paraId="5DB614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19.11</w:t>
            </w:r>
          </w:p>
        </w:tc>
        <w:tc>
          <w:tcPr>
            <w:tcW w:w="235" w:type="pct"/>
            <w:noWrap/>
            <w:vAlign w:val="center"/>
          </w:tcPr>
          <w:p w14:paraId="000A888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8E8BED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12.29</w:t>
            </w:r>
          </w:p>
        </w:tc>
        <w:tc>
          <w:tcPr>
            <w:tcW w:w="460" w:type="pct"/>
            <w:noWrap/>
            <w:vAlign w:val="center"/>
          </w:tcPr>
          <w:p w14:paraId="29592FE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41.64</w:t>
            </w:r>
          </w:p>
        </w:tc>
        <w:tc>
          <w:tcPr>
            <w:tcW w:w="383" w:type="pct"/>
            <w:noWrap/>
            <w:vAlign w:val="center"/>
          </w:tcPr>
          <w:p w14:paraId="2FA8373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DF9366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AD6DE9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15.64</w:t>
            </w:r>
          </w:p>
        </w:tc>
        <w:tc>
          <w:tcPr>
            <w:tcW w:w="388" w:type="pct"/>
            <w:noWrap/>
            <w:vAlign w:val="center"/>
          </w:tcPr>
          <w:p w14:paraId="4833984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BA6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7D877B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166</w:t>
            </w:r>
          </w:p>
        </w:tc>
        <w:tc>
          <w:tcPr>
            <w:tcW w:w="212" w:type="pct"/>
            <w:vMerge w:val="continue"/>
            <w:noWrap/>
            <w:vAlign w:val="center"/>
          </w:tcPr>
          <w:p w14:paraId="60BCF9A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11B6BF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84CB9A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5804F6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9BB19A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35.36</w:t>
            </w:r>
          </w:p>
        </w:tc>
        <w:tc>
          <w:tcPr>
            <w:tcW w:w="397" w:type="pct"/>
            <w:noWrap/>
            <w:vAlign w:val="center"/>
          </w:tcPr>
          <w:p w14:paraId="161436D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19.11</w:t>
            </w:r>
          </w:p>
        </w:tc>
        <w:tc>
          <w:tcPr>
            <w:tcW w:w="235" w:type="pct"/>
            <w:noWrap/>
            <w:vAlign w:val="center"/>
          </w:tcPr>
          <w:p w14:paraId="7C34825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AFE014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9.00</w:t>
            </w:r>
          </w:p>
        </w:tc>
        <w:tc>
          <w:tcPr>
            <w:tcW w:w="460" w:type="pct"/>
            <w:noWrap/>
            <w:vAlign w:val="center"/>
          </w:tcPr>
          <w:p w14:paraId="1A2C296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42.42</w:t>
            </w:r>
          </w:p>
        </w:tc>
        <w:tc>
          <w:tcPr>
            <w:tcW w:w="383" w:type="pct"/>
            <w:noWrap/>
            <w:vAlign w:val="center"/>
          </w:tcPr>
          <w:p w14:paraId="07C843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15A304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5727B1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16.42</w:t>
            </w:r>
          </w:p>
        </w:tc>
        <w:tc>
          <w:tcPr>
            <w:tcW w:w="388" w:type="pct"/>
            <w:noWrap/>
            <w:vAlign w:val="center"/>
          </w:tcPr>
          <w:p w14:paraId="55A144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BB5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58BE6B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167</w:t>
            </w:r>
          </w:p>
        </w:tc>
        <w:tc>
          <w:tcPr>
            <w:tcW w:w="212" w:type="pct"/>
            <w:vMerge w:val="continue"/>
            <w:noWrap/>
            <w:vAlign w:val="center"/>
          </w:tcPr>
          <w:p w14:paraId="29B61CA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EC1A39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9A4E85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9F8466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9F3210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35.36</w:t>
            </w:r>
          </w:p>
        </w:tc>
        <w:tc>
          <w:tcPr>
            <w:tcW w:w="397" w:type="pct"/>
            <w:noWrap/>
            <w:vAlign w:val="center"/>
          </w:tcPr>
          <w:p w14:paraId="07AA3CF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19.11</w:t>
            </w:r>
          </w:p>
        </w:tc>
        <w:tc>
          <w:tcPr>
            <w:tcW w:w="235" w:type="pct"/>
            <w:noWrap/>
            <w:vAlign w:val="center"/>
          </w:tcPr>
          <w:p w14:paraId="1A9660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379B73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52.20</w:t>
            </w:r>
          </w:p>
        </w:tc>
        <w:tc>
          <w:tcPr>
            <w:tcW w:w="460" w:type="pct"/>
            <w:noWrap/>
            <w:vAlign w:val="center"/>
          </w:tcPr>
          <w:p w14:paraId="7E93AE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40.59</w:t>
            </w:r>
          </w:p>
        </w:tc>
        <w:tc>
          <w:tcPr>
            <w:tcW w:w="383" w:type="pct"/>
            <w:noWrap/>
            <w:vAlign w:val="center"/>
          </w:tcPr>
          <w:p w14:paraId="7C38ED2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B45B91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3739F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14.59</w:t>
            </w:r>
          </w:p>
        </w:tc>
        <w:tc>
          <w:tcPr>
            <w:tcW w:w="388" w:type="pct"/>
            <w:noWrap/>
            <w:vAlign w:val="center"/>
          </w:tcPr>
          <w:p w14:paraId="6831C90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A57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5711DC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168</w:t>
            </w:r>
          </w:p>
        </w:tc>
        <w:tc>
          <w:tcPr>
            <w:tcW w:w="212" w:type="pct"/>
            <w:vMerge w:val="continue"/>
            <w:noWrap/>
            <w:vAlign w:val="center"/>
          </w:tcPr>
          <w:p w14:paraId="50E5FAE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306342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9582F0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6F4B06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193D4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35.36</w:t>
            </w:r>
          </w:p>
        </w:tc>
        <w:tc>
          <w:tcPr>
            <w:tcW w:w="397" w:type="pct"/>
            <w:noWrap/>
            <w:vAlign w:val="center"/>
          </w:tcPr>
          <w:p w14:paraId="0CCCDF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19.11</w:t>
            </w:r>
          </w:p>
        </w:tc>
        <w:tc>
          <w:tcPr>
            <w:tcW w:w="235" w:type="pct"/>
            <w:noWrap/>
            <w:vAlign w:val="center"/>
          </w:tcPr>
          <w:p w14:paraId="0F0420E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5ED55D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22.25</w:t>
            </w:r>
          </w:p>
        </w:tc>
        <w:tc>
          <w:tcPr>
            <w:tcW w:w="460" w:type="pct"/>
            <w:noWrap/>
            <w:vAlign w:val="center"/>
          </w:tcPr>
          <w:p w14:paraId="1BA5CE0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40.89</w:t>
            </w:r>
          </w:p>
        </w:tc>
        <w:tc>
          <w:tcPr>
            <w:tcW w:w="383" w:type="pct"/>
            <w:noWrap/>
            <w:vAlign w:val="center"/>
          </w:tcPr>
          <w:p w14:paraId="787146A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10E323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83B17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14.89</w:t>
            </w:r>
          </w:p>
        </w:tc>
        <w:tc>
          <w:tcPr>
            <w:tcW w:w="388" w:type="pct"/>
            <w:noWrap/>
            <w:vAlign w:val="center"/>
          </w:tcPr>
          <w:p w14:paraId="1D6B2F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E9E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96B1AF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169</w:t>
            </w:r>
          </w:p>
        </w:tc>
        <w:tc>
          <w:tcPr>
            <w:tcW w:w="212" w:type="pct"/>
            <w:vMerge w:val="continue"/>
            <w:noWrap/>
            <w:vAlign w:val="center"/>
          </w:tcPr>
          <w:p w14:paraId="040A977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27D3B335">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eastAsia="zh-CN"/>
              </w:rPr>
            </w:pPr>
            <w:r>
              <w:rPr>
                <w:rFonts w:hint="default" w:ascii="Times New Roman" w:hAnsi="Times New Roman" w:eastAsia="宋体" w:cs="Times New Roman"/>
                <w:i w:val="0"/>
                <w:iCs w:val="0"/>
                <w:color w:val="auto"/>
                <w:sz w:val="21"/>
                <w:szCs w:val="21"/>
                <w:u w:val="none"/>
              </w:rPr>
              <w:t>尚发机械手</w:t>
            </w:r>
            <w:r>
              <w:rPr>
                <w:rFonts w:hint="eastAsia" w:ascii="Times New Roman" w:hAnsi="Times New Roman" w:eastAsia="宋体" w:cs="Times New Roman"/>
                <w:i w:val="0"/>
                <w:iCs w:val="0"/>
                <w:color w:val="auto"/>
                <w:sz w:val="21"/>
                <w:szCs w:val="21"/>
                <w:u w:val="none"/>
                <w:lang w:val="en-US" w:eastAsia="zh-CN"/>
              </w:rPr>
              <w:t>9</w:t>
            </w:r>
          </w:p>
        </w:tc>
        <w:tc>
          <w:tcPr>
            <w:tcW w:w="425" w:type="pct"/>
            <w:vMerge w:val="restart"/>
            <w:noWrap/>
            <w:vAlign w:val="center"/>
          </w:tcPr>
          <w:p w14:paraId="7F4D7A5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687BD66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4671C7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9.95</w:t>
            </w:r>
          </w:p>
        </w:tc>
        <w:tc>
          <w:tcPr>
            <w:tcW w:w="397" w:type="pct"/>
            <w:noWrap/>
            <w:vAlign w:val="center"/>
          </w:tcPr>
          <w:p w14:paraId="57FBA73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8.16</w:t>
            </w:r>
          </w:p>
        </w:tc>
        <w:tc>
          <w:tcPr>
            <w:tcW w:w="235" w:type="pct"/>
            <w:noWrap/>
            <w:vAlign w:val="center"/>
          </w:tcPr>
          <w:p w14:paraId="43FD755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BD5266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13.37</w:t>
            </w:r>
          </w:p>
        </w:tc>
        <w:tc>
          <w:tcPr>
            <w:tcW w:w="460" w:type="pct"/>
            <w:noWrap/>
            <w:vAlign w:val="center"/>
          </w:tcPr>
          <w:p w14:paraId="1CB527E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41.49</w:t>
            </w:r>
          </w:p>
        </w:tc>
        <w:tc>
          <w:tcPr>
            <w:tcW w:w="383" w:type="pct"/>
            <w:noWrap/>
            <w:vAlign w:val="center"/>
          </w:tcPr>
          <w:p w14:paraId="59A875B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3F5059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6297CC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15.49</w:t>
            </w:r>
          </w:p>
        </w:tc>
        <w:tc>
          <w:tcPr>
            <w:tcW w:w="388" w:type="pct"/>
            <w:noWrap/>
            <w:vAlign w:val="center"/>
          </w:tcPr>
          <w:p w14:paraId="0060CF5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903D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4F3797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170</w:t>
            </w:r>
          </w:p>
        </w:tc>
        <w:tc>
          <w:tcPr>
            <w:tcW w:w="212" w:type="pct"/>
            <w:vMerge w:val="continue"/>
            <w:noWrap/>
            <w:vAlign w:val="center"/>
          </w:tcPr>
          <w:p w14:paraId="2B9B9C8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2A130A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BCBAB3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E6B4D6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89B310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9.95</w:t>
            </w:r>
          </w:p>
        </w:tc>
        <w:tc>
          <w:tcPr>
            <w:tcW w:w="397" w:type="pct"/>
            <w:noWrap/>
            <w:vAlign w:val="center"/>
          </w:tcPr>
          <w:p w14:paraId="5C930B3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8.16</w:t>
            </w:r>
          </w:p>
        </w:tc>
        <w:tc>
          <w:tcPr>
            <w:tcW w:w="235" w:type="pct"/>
            <w:noWrap/>
            <w:vAlign w:val="center"/>
          </w:tcPr>
          <w:p w14:paraId="1EEA1D2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0680AE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8.10</w:t>
            </w:r>
          </w:p>
        </w:tc>
        <w:tc>
          <w:tcPr>
            <w:tcW w:w="460" w:type="pct"/>
            <w:noWrap/>
            <w:vAlign w:val="center"/>
          </w:tcPr>
          <w:p w14:paraId="1666B7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42.77</w:t>
            </w:r>
          </w:p>
        </w:tc>
        <w:tc>
          <w:tcPr>
            <w:tcW w:w="383" w:type="pct"/>
            <w:noWrap/>
            <w:vAlign w:val="center"/>
          </w:tcPr>
          <w:p w14:paraId="5637481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D2490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CFF4E7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16.77</w:t>
            </w:r>
          </w:p>
        </w:tc>
        <w:tc>
          <w:tcPr>
            <w:tcW w:w="388" w:type="pct"/>
            <w:noWrap/>
            <w:vAlign w:val="center"/>
          </w:tcPr>
          <w:p w14:paraId="2A48B0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6B86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DCB13F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171</w:t>
            </w:r>
          </w:p>
        </w:tc>
        <w:tc>
          <w:tcPr>
            <w:tcW w:w="212" w:type="pct"/>
            <w:vMerge w:val="continue"/>
            <w:noWrap/>
            <w:vAlign w:val="center"/>
          </w:tcPr>
          <w:p w14:paraId="648015E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D3C0A0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5D0D4A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4DC4D4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BEA65E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9.95</w:t>
            </w:r>
          </w:p>
        </w:tc>
        <w:tc>
          <w:tcPr>
            <w:tcW w:w="397" w:type="pct"/>
            <w:noWrap/>
            <w:vAlign w:val="center"/>
          </w:tcPr>
          <w:p w14:paraId="646F21E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8.16</w:t>
            </w:r>
          </w:p>
        </w:tc>
        <w:tc>
          <w:tcPr>
            <w:tcW w:w="235" w:type="pct"/>
            <w:noWrap/>
            <w:vAlign w:val="center"/>
          </w:tcPr>
          <w:p w14:paraId="4497A40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5BF51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9.94</w:t>
            </w:r>
          </w:p>
        </w:tc>
        <w:tc>
          <w:tcPr>
            <w:tcW w:w="460" w:type="pct"/>
            <w:noWrap/>
            <w:vAlign w:val="center"/>
          </w:tcPr>
          <w:p w14:paraId="14B6E37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42.14</w:t>
            </w:r>
          </w:p>
        </w:tc>
        <w:tc>
          <w:tcPr>
            <w:tcW w:w="383" w:type="pct"/>
            <w:noWrap/>
            <w:vAlign w:val="center"/>
          </w:tcPr>
          <w:p w14:paraId="5DC1739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531EEF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156087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16.14</w:t>
            </w:r>
          </w:p>
        </w:tc>
        <w:tc>
          <w:tcPr>
            <w:tcW w:w="388" w:type="pct"/>
            <w:noWrap/>
            <w:vAlign w:val="center"/>
          </w:tcPr>
          <w:p w14:paraId="369F024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AB68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3BCF2E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172</w:t>
            </w:r>
          </w:p>
        </w:tc>
        <w:tc>
          <w:tcPr>
            <w:tcW w:w="212" w:type="pct"/>
            <w:vMerge w:val="continue"/>
            <w:noWrap/>
            <w:vAlign w:val="center"/>
          </w:tcPr>
          <w:p w14:paraId="07785D1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5045E4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FB90D3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B28B27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D175F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9.95</w:t>
            </w:r>
          </w:p>
        </w:tc>
        <w:tc>
          <w:tcPr>
            <w:tcW w:w="397" w:type="pct"/>
            <w:noWrap/>
            <w:vAlign w:val="center"/>
          </w:tcPr>
          <w:p w14:paraId="5CEEB64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8.16</w:t>
            </w:r>
          </w:p>
        </w:tc>
        <w:tc>
          <w:tcPr>
            <w:tcW w:w="235" w:type="pct"/>
            <w:noWrap/>
            <w:vAlign w:val="center"/>
          </w:tcPr>
          <w:p w14:paraId="6A8F3B9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54C33F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36.50</w:t>
            </w:r>
          </w:p>
        </w:tc>
        <w:tc>
          <w:tcPr>
            <w:tcW w:w="460" w:type="pct"/>
            <w:noWrap/>
            <w:vAlign w:val="center"/>
          </w:tcPr>
          <w:p w14:paraId="28F2C6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40.66</w:t>
            </w:r>
          </w:p>
        </w:tc>
        <w:tc>
          <w:tcPr>
            <w:tcW w:w="383" w:type="pct"/>
            <w:noWrap/>
            <w:vAlign w:val="center"/>
          </w:tcPr>
          <w:p w14:paraId="7E3D01C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83927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985A4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14.66</w:t>
            </w:r>
          </w:p>
        </w:tc>
        <w:tc>
          <w:tcPr>
            <w:tcW w:w="388" w:type="pct"/>
            <w:noWrap/>
            <w:vAlign w:val="center"/>
          </w:tcPr>
          <w:p w14:paraId="57854B1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9307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DBE1DD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173</w:t>
            </w:r>
          </w:p>
        </w:tc>
        <w:tc>
          <w:tcPr>
            <w:tcW w:w="212" w:type="pct"/>
            <w:vMerge w:val="continue"/>
            <w:noWrap/>
            <w:vAlign w:val="center"/>
          </w:tcPr>
          <w:p w14:paraId="6220281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578FAF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56EBA8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061684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44221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9.95</w:t>
            </w:r>
          </w:p>
        </w:tc>
        <w:tc>
          <w:tcPr>
            <w:tcW w:w="397" w:type="pct"/>
            <w:noWrap/>
            <w:vAlign w:val="center"/>
          </w:tcPr>
          <w:p w14:paraId="65D35BD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8.16</w:t>
            </w:r>
          </w:p>
        </w:tc>
        <w:tc>
          <w:tcPr>
            <w:tcW w:w="235" w:type="pct"/>
            <w:noWrap/>
            <w:vAlign w:val="center"/>
          </w:tcPr>
          <w:p w14:paraId="377A09C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CAF200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52.09</w:t>
            </w:r>
          </w:p>
        </w:tc>
        <w:tc>
          <w:tcPr>
            <w:tcW w:w="460" w:type="pct"/>
            <w:noWrap/>
            <w:vAlign w:val="center"/>
          </w:tcPr>
          <w:p w14:paraId="5705E52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40.59</w:t>
            </w:r>
          </w:p>
        </w:tc>
        <w:tc>
          <w:tcPr>
            <w:tcW w:w="383" w:type="pct"/>
            <w:noWrap/>
            <w:vAlign w:val="center"/>
          </w:tcPr>
          <w:p w14:paraId="6C71F5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13AB72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3AE8A6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14.59</w:t>
            </w:r>
          </w:p>
        </w:tc>
        <w:tc>
          <w:tcPr>
            <w:tcW w:w="388" w:type="pct"/>
            <w:noWrap/>
            <w:vAlign w:val="center"/>
          </w:tcPr>
          <w:p w14:paraId="63B9CA1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FC32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7B450A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174</w:t>
            </w:r>
          </w:p>
        </w:tc>
        <w:tc>
          <w:tcPr>
            <w:tcW w:w="212" w:type="pct"/>
            <w:vMerge w:val="continue"/>
            <w:noWrap/>
            <w:vAlign w:val="center"/>
          </w:tcPr>
          <w:p w14:paraId="4CD548E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7A33D7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09BC25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835F97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1CEE56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9.95</w:t>
            </w:r>
          </w:p>
        </w:tc>
        <w:tc>
          <w:tcPr>
            <w:tcW w:w="397" w:type="pct"/>
            <w:noWrap/>
            <w:vAlign w:val="center"/>
          </w:tcPr>
          <w:p w14:paraId="2707484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8.16</w:t>
            </w:r>
          </w:p>
        </w:tc>
        <w:tc>
          <w:tcPr>
            <w:tcW w:w="235" w:type="pct"/>
            <w:noWrap/>
            <w:vAlign w:val="center"/>
          </w:tcPr>
          <w:p w14:paraId="196FB68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FE14EE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3.46</w:t>
            </w:r>
          </w:p>
        </w:tc>
        <w:tc>
          <w:tcPr>
            <w:tcW w:w="460" w:type="pct"/>
            <w:noWrap/>
            <w:vAlign w:val="center"/>
          </w:tcPr>
          <w:p w14:paraId="1A35693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47.26</w:t>
            </w:r>
          </w:p>
        </w:tc>
        <w:tc>
          <w:tcPr>
            <w:tcW w:w="383" w:type="pct"/>
            <w:noWrap/>
            <w:vAlign w:val="center"/>
          </w:tcPr>
          <w:p w14:paraId="15F892F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B2989E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4A3EAF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21.26</w:t>
            </w:r>
          </w:p>
        </w:tc>
        <w:tc>
          <w:tcPr>
            <w:tcW w:w="388" w:type="pct"/>
            <w:noWrap/>
            <w:vAlign w:val="center"/>
          </w:tcPr>
          <w:p w14:paraId="46E0503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D269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694A54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175</w:t>
            </w:r>
          </w:p>
        </w:tc>
        <w:tc>
          <w:tcPr>
            <w:tcW w:w="212" w:type="pct"/>
            <w:vMerge w:val="continue"/>
            <w:noWrap/>
            <w:vAlign w:val="center"/>
          </w:tcPr>
          <w:p w14:paraId="25F5AD8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2B4A5DE1">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rPr>
              <w:t>尚发机械手1</w:t>
            </w:r>
            <w:r>
              <w:rPr>
                <w:rFonts w:hint="eastAsia" w:ascii="Times New Roman" w:hAnsi="Times New Roman" w:eastAsia="宋体" w:cs="Times New Roman"/>
                <w:i w:val="0"/>
                <w:iCs w:val="0"/>
                <w:color w:val="auto"/>
                <w:sz w:val="21"/>
                <w:szCs w:val="21"/>
                <w:u w:val="none"/>
                <w:lang w:val="en-US" w:eastAsia="zh-CN"/>
              </w:rPr>
              <w:t>0</w:t>
            </w:r>
          </w:p>
        </w:tc>
        <w:tc>
          <w:tcPr>
            <w:tcW w:w="425" w:type="pct"/>
            <w:vMerge w:val="restart"/>
            <w:noWrap/>
            <w:vAlign w:val="center"/>
          </w:tcPr>
          <w:p w14:paraId="4B20964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7DFDE97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DBCF6B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7.93</w:t>
            </w:r>
          </w:p>
        </w:tc>
        <w:tc>
          <w:tcPr>
            <w:tcW w:w="397" w:type="pct"/>
            <w:noWrap/>
            <w:vAlign w:val="center"/>
          </w:tcPr>
          <w:p w14:paraId="72E952C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12.35</w:t>
            </w:r>
          </w:p>
        </w:tc>
        <w:tc>
          <w:tcPr>
            <w:tcW w:w="235" w:type="pct"/>
            <w:noWrap/>
            <w:vAlign w:val="center"/>
          </w:tcPr>
          <w:p w14:paraId="011FAA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B5F39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13.48</w:t>
            </w:r>
          </w:p>
        </w:tc>
        <w:tc>
          <w:tcPr>
            <w:tcW w:w="460" w:type="pct"/>
            <w:noWrap/>
            <w:vAlign w:val="center"/>
          </w:tcPr>
          <w:p w14:paraId="6844FD0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41.47</w:t>
            </w:r>
          </w:p>
        </w:tc>
        <w:tc>
          <w:tcPr>
            <w:tcW w:w="383" w:type="pct"/>
            <w:noWrap/>
            <w:vAlign w:val="center"/>
          </w:tcPr>
          <w:p w14:paraId="5D24F5A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32B192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AF132F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15.47</w:t>
            </w:r>
          </w:p>
        </w:tc>
        <w:tc>
          <w:tcPr>
            <w:tcW w:w="388" w:type="pct"/>
            <w:noWrap/>
            <w:vAlign w:val="center"/>
          </w:tcPr>
          <w:p w14:paraId="3B0D26B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BFF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43BD68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176</w:t>
            </w:r>
          </w:p>
        </w:tc>
        <w:tc>
          <w:tcPr>
            <w:tcW w:w="212" w:type="pct"/>
            <w:vMerge w:val="continue"/>
            <w:noWrap/>
            <w:vAlign w:val="center"/>
          </w:tcPr>
          <w:p w14:paraId="5661465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56284A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2163FA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7DCA63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43AFD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7.93</w:t>
            </w:r>
          </w:p>
        </w:tc>
        <w:tc>
          <w:tcPr>
            <w:tcW w:w="397" w:type="pct"/>
            <w:noWrap/>
            <w:vAlign w:val="center"/>
          </w:tcPr>
          <w:p w14:paraId="64BF20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12.35</w:t>
            </w:r>
          </w:p>
        </w:tc>
        <w:tc>
          <w:tcPr>
            <w:tcW w:w="235" w:type="pct"/>
            <w:noWrap/>
            <w:vAlign w:val="center"/>
          </w:tcPr>
          <w:p w14:paraId="2BF4175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76968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12.36</w:t>
            </w:r>
          </w:p>
        </w:tc>
        <w:tc>
          <w:tcPr>
            <w:tcW w:w="460" w:type="pct"/>
            <w:noWrap/>
            <w:vAlign w:val="center"/>
          </w:tcPr>
          <w:p w14:paraId="409D740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41.63</w:t>
            </w:r>
          </w:p>
        </w:tc>
        <w:tc>
          <w:tcPr>
            <w:tcW w:w="383" w:type="pct"/>
            <w:noWrap/>
            <w:vAlign w:val="center"/>
          </w:tcPr>
          <w:p w14:paraId="382152C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ED2B85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55134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15.63</w:t>
            </w:r>
          </w:p>
        </w:tc>
        <w:tc>
          <w:tcPr>
            <w:tcW w:w="388" w:type="pct"/>
            <w:noWrap/>
            <w:vAlign w:val="center"/>
          </w:tcPr>
          <w:p w14:paraId="6FFEAAC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1A00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1FECDC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177</w:t>
            </w:r>
          </w:p>
        </w:tc>
        <w:tc>
          <w:tcPr>
            <w:tcW w:w="212" w:type="pct"/>
            <w:vMerge w:val="continue"/>
            <w:noWrap/>
            <w:vAlign w:val="center"/>
          </w:tcPr>
          <w:p w14:paraId="55A3A6F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8572A5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196569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51AC04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818BEA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7.93</w:t>
            </w:r>
          </w:p>
        </w:tc>
        <w:tc>
          <w:tcPr>
            <w:tcW w:w="397" w:type="pct"/>
            <w:noWrap/>
            <w:vAlign w:val="center"/>
          </w:tcPr>
          <w:p w14:paraId="41ECCFC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12.35</w:t>
            </w:r>
          </w:p>
        </w:tc>
        <w:tc>
          <w:tcPr>
            <w:tcW w:w="235" w:type="pct"/>
            <w:noWrap/>
            <w:vAlign w:val="center"/>
          </w:tcPr>
          <w:p w14:paraId="65DCA39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F20B8B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14.55</w:t>
            </w:r>
          </w:p>
        </w:tc>
        <w:tc>
          <w:tcPr>
            <w:tcW w:w="460" w:type="pct"/>
            <w:noWrap/>
            <w:vAlign w:val="center"/>
          </w:tcPr>
          <w:p w14:paraId="4FF97E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41.35</w:t>
            </w:r>
          </w:p>
        </w:tc>
        <w:tc>
          <w:tcPr>
            <w:tcW w:w="383" w:type="pct"/>
            <w:noWrap/>
            <w:vAlign w:val="center"/>
          </w:tcPr>
          <w:p w14:paraId="3F102DC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F98EAC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D297F2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15.35</w:t>
            </w:r>
          </w:p>
        </w:tc>
        <w:tc>
          <w:tcPr>
            <w:tcW w:w="388" w:type="pct"/>
            <w:noWrap/>
            <w:vAlign w:val="center"/>
          </w:tcPr>
          <w:p w14:paraId="4B4553A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759B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363F10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178</w:t>
            </w:r>
          </w:p>
        </w:tc>
        <w:tc>
          <w:tcPr>
            <w:tcW w:w="212" w:type="pct"/>
            <w:vMerge w:val="continue"/>
            <w:noWrap/>
            <w:vAlign w:val="center"/>
          </w:tcPr>
          <w:p w14:paraId="7A8C792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0F6F53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19AA56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CFDD6F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0B20EE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7.93</w:t>
            </w:r>
          </w:p>
        </w:tc>
        <w:tc>
          <w:tcPr>
            <w:tcW w:w="397" w:type="pct"/>
            <w:noWrap/>
            <w:vAlign w:val="center"/>
          </w:tcPr>
          <w:p w14:paraId="4B29430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12.35</w:t>
            </w:r>
          </w:p>
        </w:tc>
        <w:tc>
          <w:tcPr>
            <w:tcW w:w="235" w:type="pct"/>
            <w:noWrap/>
            <w:vAlign w:val="center"/>
          </w:tcPr>
          <w:p w14:paraId="76F06B7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F8F0C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36.20</w:t>
            </w:r>
          </w:p>
        </w:tc>
        <w:tc>
          <w:tcPr>
            <w:tcW w:w="460" w:type="pct"/>
            <w:noWrap/>
            <w:vAlign w:val="center"/>
          </w:tcPr>
          <w:p w14:paraId="19133DE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40.66</w:t>
            </w:r>
          </w:p>
        </w:tc>
        <w:tc>
          <w:tcPr>
            <w:tcW w:w="383" w:type="pct"/>
            <w:noWrap/>
            <w:vAlign w:val="center"/>
          </w:tcPr>
          <w:p w14:paraId="651903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3CF0E5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3A376F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14.66</w:t>
            </w:r>
          </w:p>
        </w:tc>
        <w:tc>
          <w:tcPr>
            <w:tcW w:w="388" w:type="pct"/>
            <w:noWrap/>
            <w:vAlign w:val="center"/>
          </w:tcPr>
          <w:p w14:paraId="31055A6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7B1C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B99DB2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179</w:t>
            </w:r>
          </w:p>
        </w:tc>
        <w:tc>
          <w:tcPr>
            <w:tcW w:w="212" w:type="pct"/>
            <w:vMerge w:val="continue"/>
            <w:noWrap/>
            <w:vAlign w:val="center"/>
          </w:tcPr>
          <w:p w14:paraId="2380642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23A4C4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B8D6AA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3462CC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69235C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7.93</w:t>
            </w:r>
          </w:p>
        </w:tc>
        <w:tc>
          <w:tcPr>
            <w:tcW w:w="397" w:type="pct"/>
            <w:noWrap/>
            <w:vAlign w:val="center"/>
          </w:tcPr>
          <w:p w14:paraId="0035B8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12.35</w:t>
            </w:r>
          </w:p>
        </w:tc>
        <w:tc>
          <w:tcPr>
            <w:tcW w:w="235" w:type="pct"/>
            <w:noWrap/>
            <w:vAlign w:val="center"/>
          </w:tcPr>
          <w:p w14:paraId="026C42A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8087E7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47.44</w:t>
            </w:r>
          </w:p>
        </w:tc>
        <w:tc>
          <w:tcPr>
            <w:tcW w:w="460" w:type="pct"/>
            <w:noWrap/>
            <w:vAlign w:val="center"/>
          </w:tcPr>
          <w:p w14:paraId="671B45E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40.60</w:t>
            </w:r>
          </w:p>
        </w:tc>
        <w:tc>
          <w:tcPr>
            <w:tcW w:w="383" w:type="pct"/>
            <w:noWrap/>
            <w:vAlign w:val="center"/>
          </w:tcPr>
          <w:p w14:paraId="4D359E5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41E7B8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8F9CA8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14.60</w:t>
            </w:r>
          </w:p>
        </w:tc>
        <w:tc>
          <w:tcPr>
            <w:tcW w:w="388" w:type="pct"/>
            <w:noWrap/>
            <w:vAlign w:val="center"/>
          </w:tcPr>
          <w:p w14:paraId="7E89B2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5D41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A2F9BB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180</w:t>
            </w:r>
          </w:p>
        </w:tc>
        <w:tc>
          <w:tcPr>
            <w:tcW w:w="212" w:type="pct"/>
            <w:vMerge w:val="continue"/>
            <w:noWrap/>
            <w:vAlign w:val="center"/>
          </w:tcPr>
          <w:p w14:paraId="743AD16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76C4ED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C9EEB5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5CA601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FD0652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7.93</w:t>
            </w:r>
          </w:p>
        </w:tc>
        <w:tc>
          <w:tcPr>
            <w:tcW w:w="397" w:type="pct"/>
            <w:noWrap/>
            <w:vAlign w:val="center"/>
          </w:tcPr>
          <w:p w14:paraId="12F8107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12.35</w:t>
            </w:r>
          </w:p>
        </w:tc>
        <w:tc>
          <w:tcPr>
            <w:tcW w:w="235" w:type="pct"/>
            <w:noWrap/>
            <w:vAlign w:val="center"/>
          </w:tcPr>
          <w:p w14:paraId="1EECAC9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26ADBC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1.93</w:t>
            </w:r>
          </w:p>
        </w:tc>
        <w:tc>
          <w:tcPr>
            <w:tcW w:w="460" w:type="pct"/>
            <w:noWrap/>
            <w:vAlign w:val="center"/>
          </w:tcPr>
          <w:p w14:paraId="78E9D4B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51.65</w:t>
            </w:r>
          </w:p>
        </w:tc>
        <w:tc>
          <w:tcPr>
            <w:tcW w:w="383" w:type="pct"/>
            <w:noWrap/>
            <w:vAlign w:val="center"/>
          </w:tcPr>
          <w:p w14:paraId="33B403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52578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B09EA7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25.65</w:t>
            </w:r>
          </w:p>
        </w:tc>
        <w:tc>
          <w:tcPr>
            <w:tcW w:w="388" w:type="pct"/>
            <w:noWrap/>
            <w:vAlign w:val="center"/>
          </w:tcPr>
          <w:p w14:paraId="350C0E6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713D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393F09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181</w:t>
            </w:r>
          </w:p>
        </w:tc>
        <w:tc>
          <w:tcPr>
            <w:tcW w:w="212" w:type="pct"/>
            <w:vMerge w:val="continue"/>
            <w:noWrap/>
            <w:vAlign w:val="center"/>
          </w:tcPr>
          <w:p w14:paraId="35B2E96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3A8446A0">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rPr>
              <w:t>尚发机械手1</w:t>
            </w:r>
            <w:r>
              <w:rPr>
                <w:rFonts w:hint="eastAsia" w:ascii="Times New Roman" w:hAnsi="Times New Roman" w:eastAsia="宋体" w:cs="Times New Roman"/>
                <w:i w:val="0"/>
                <w:iCs w:val="0"/>
                <w:color w:val="auto"/>
                <w:sz w:val="21"/>
                <w:szCs w:val="21"/>
                <w:u w:val="none"/>
                <w:lang w:val="en-US" w:eastAsia="zh-CN"/>
              </w:rPr>
              <w:t>1</w:t>
            </w:r>
          </w:p>
        </w:tc>
        <w:tc>
          <w:tcPr>
            <w:tcW w:w="425" w:type="pct"/>
            <w:vMerge w:val="restart"/>
            <w:noWrap/>
            <w:vAlign w:val="center"/>
          </w:tcPr>
          <w:p w14:paraId="29A2592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4F783D3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6C0BA6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5.88</w:t>
            </w:r>
          </w:p>
        </w:tc>
        <w:tc>
          <w:tcPr>
            <w:tcW w:w="397" w:type="pct"/>
            <w:noWrap/>
            <w:vAlign w:val="center"/>
          </w:tcPr>
          <w:p w14:paraId="64C247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16.24</w:t>
            </w:r>
          </w:p>
        </w:tc>
        <w:tc>
          <w:tcPr>
            <w:tcW w:w="235" w:type="pct"/>
            <w:noWrap/>
            <w:vAlign w:val="center"/>
          </w:tcPr>
          <w:p w14:paraId="3817ABF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8961E0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13.43</w:t>
            </w:r>
          </w:p>
        </w:tc>
        <w:tc>
          <w:tcPr>
            <w:tcW w:w="460" w:type="pct"/>
            <w:noWrap/>
            <w:vAlign w:val="center"/>
          </w:tcPr>
          <w:p w14:paraId="6B8C762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41.48</w:t>
            </w:r>
          </w:p>
        </w:tc>
        <w:tc>
          <w:tcPr>
            <w:tcW w:w="383" w:type="pct"/>
            <w:noWrap/>
            <w:vAlign w:val="center"/>
          </w:tcPr>
          <w:p w14:paraId="78DB1E7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56F152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5A9B1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15.48</w:t>
            </w:r>
          </w:p>
        </w:tc>
        <w:tc>
          <w:tcPr>
            <w:tcW w:w="388" w:type="pct"/>
            <w:noWrap/>
            <w:vAlign w:val="center"/>
          </w:tcPr>
          <w:p w14:paraId="0647F1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F5A7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730539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182</w:t>
            </w:r>
          </w:p>
        </w:tc>
        <w:tc>
          <w:tcPr>
            <w:tcW w:w="212" w:type="pct"/>
            <w:vMerge w:val="continue"/>
            <w:noWrap/>
            <w:vAlign w:val="center"/>
          </w:tcPr>
          <w:p w14:paraId="63FD608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51F262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E47B75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8A4C9F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36DE8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5.88</w:t>
            </w:r>
          </w:p>
        </w:tc>
        <w:tc>
          <w:tcPr>
            <w:tcW w:w="397" w:type="pct"/>
            <w:noWrap/>
            <w:vAlign w:val="center"/>
          </w:tcPr>
          <w:p w14:paraId="6ADD3E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16.24</w:t>
            </w:r>
          </w:p>
        </w:tc>
        <w:tc>
          <w:tcPr>
            <w:tcW w:w="235" w:type="pct"/>
            <w:noWrap/>
            <w:vAlign w:val="center"/>
          </w:tcPr>
          <w:p w14:paraId="1B74FAC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691E54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16.32</w:t>
            </w:r>
          </w:p>
        </w:tc>
        <w:tc>
          <w:tcPr>
            <w:tcW w:w="460" w:type="pct"/>
            <w:noWrap/>
            <w:vAlign w:val="center"/>
          </w:tcPr>
          <w:p w14:paraId="2C2BFFA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41.19</w:t>
            </w:r>
          </w:p>
        </w:tc>
        <w:tc>
          <w:tcPr>
            <w:tcW w:w="383" w:type="pct"/>
            <w:noWrap/>
            <w:vAlign w:val="center"/>
          </w:tcPr>
          <w:p w14:paraId="6C69E01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5EEF11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F4B021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15.19</w:t>
            </w:r>
          </w:p>
        </w:tc>
        <w:tc>
          <w:tcPr>
            <w:tcW w:w="388" w:type="pct"/>
            <w:noWrap/>
            <w:vAlign w:val="center"/>
          </w:tcPr>
          <w:p w14:paraId="5E3942F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E6F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807F7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183</w:t>
            </w:r>
          </w:p>
        </w:tc>
        <w:tc>
          <w:tcPr>
            <w:tcW w:w="212" w:type="pct"/>
            <w:vMerge w:val="continue"/>
            <w:noWrap/>
            <w:vAlign w:val="center"/>
          </w:tcPr>
          <w:p w14:paraId="7C2A02F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8047A0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BAD77F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6A337B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25D204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5.88</w:t>
            </w:r>
          </w:p>
        </w:tc>
        <w:tc>
          <w:tcPr>
            <w:tcW w:w="397" w:type="pct"/>
            <w:noWrap/>
            <w:vAlign w:val="center"/>
          </w:tcPr>
          <w:p w14:paraId="7BB1919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16.24</w:t>
            </w:r>
          </w:p>
        </w:tc>
        <w:tc>
          <w:tcPr>
            <w:tcW w:w="235" w:type="pct"/>
            <w:noWrap/>
            <w:vAlign w:val="center"/>
          </w:tcPr>
          <w:p w14:paraId="29A71C9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C175BE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18.89</w:t>
            </w:r>
          </w:p>
        </w:tc>
        <w:tc>
          <w:tcPr>
            <w:tcW w:w="460" w:type="pct"/>
            <w:noWrap/>
            <w:vAlign w:val="center"/>
          </w:tcPr>
          <w:p w14:paraId="663E6ED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41.03</w:t>
            </w:r>
          </w:p>
        </w:tc>
        <w:tc>
          <w:tcPr>
            <w:tcW w:w="383" w:type="pct"/>
            <w:noWrap/>
            <w:vAlign w:val="center"/>
          </w:tcPr>
          <w:p w14:paraId="1F21A6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6F1125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6431DE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15.03</w:t>
            </w:r>
          </w:p>
        </w:tc>
        <w:tc>
          <w:tcPr>
            <w:tcW w:w="388" w:type="pct"/>
            <w:noWrap/>
            <w:vAlign w:val="center"/>
          </w:tcPr>
          <w:p w14:paraId="57E2899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D3FD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6EA5BE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184</w:t>
            </w:r>
          </w:p>
        </w:tc>
        <w:tc>
          <w:tcPr>
            <w:tcW w:w="212" w:type="pct"/>
            <w:vMerge w:val="continue"/>
            <w:noWrap/>
            <w:vAlign w:val="center"/>
          </w:tcPr>
          <w:p w14:paraId="012FDE0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5CF775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F08863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5747C2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79741C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5.88</w:t>
            </w:r>
          </w:p>
        </w:tc>
        <w:tc>
          <w:tcPr>
            <w:tcW w:w="397" w:type="pct"/>
            <w:noWrap/>
            <w:vAlign w:val="center"/>
          </w:tcPr>
          <w:p w14:paraId="23A61FA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16.24</w:t>
            </w:r>
          </w:p>
        </w:tc>
        <w:tc>
          <w:tcPr>
            <w:tcW w:w="235" w:type="pct"/>
            <w:noWrap/>
            <w:vAlign w:val="center"/>
          </w:tcPr>
          <w:p w14:paraId="247BCF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67CA54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36.06</w:t>
            </w:r>
          </w:p>
        </w:tc>
        <w:tc>
          <w:tcPr>
            <w:tcW w:w="460" w:type="pct"/>
            <w:noWrap/>
            <w:vAlign w:val="center"/>
          </w:tcPr>
          <w:p w14:paraId="0D403B0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40.67</w:t>
            </w:r>
          </w:p>
        </w:tc>
        <w:tc>
          <w:tcPr>
            <w:tcW w:w="383" w:type="pct"/>
            <w:noWrap/>
            <w:vAlign w:val="center"/>
          </w:tcPr>
          <w:p w14:paraId="0E94150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22AE31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400454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14.67</w:t>
            </w:r>
          </w:p>
        </w:tc>
        <w:tc>
          <w:tcPr>
            <w:tcW w:w="388" w:type="pct"/>
            <w:noWrap/>
            <w:vAlign w:val="center"/>
          </w:tcPr>
          <w:p w14:paraId="4BC32E4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9743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2A9496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185</w:t>
            </w:r>
          </w:p>
        </w:tc>
        <w:tc>
          <w:tcPr>
            <w:tcW w:w="212" w:type="pct"/>
            <w:vMerge w:val="continue"/>
            <w:noWrap/>
            <w:vAlign w:val="center"/>
          </w:tcPr>
          <w:p w14:paraId="59D5ACE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82F085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4181A1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A0C7EE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4445D6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5.88</w:t>
            </w:r>
          </w:p>
        </w:tc>
        <w:tc>
          <w:tcPr>
            <w:tcW w:w="397" w:type="pct"/>
            <w:noWrap/>
            <w:vAlign w:val="center"/>
          </w:tcPr>
          <w:p w14:paraId="2A94734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16.24</w:t>
            </w:r>
          </w:p>
        </w:tc>
        <w:tc>
          <w:tcPr>
            <w:tcW w:w="235" w:type="pct"/>
            <w:noWrap/>
            <w:vAlign w:val="center"/>
          </w:tcPr>
          <w:p w14:paraId="616A0C8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68EBBA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43.05</w:t>
            </w:r>
          </w:p>
        </w:tc>
        <w:tc>
          <w:tcPr>
            <w:tcW w:w="460" w:type="pct"/>
            <w:noWrap/>
            <w:vAlign w:val="center"/>
          </w:tcPr>
          <w:p w14:paraId="7B0A57A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40.62</w:t>
            </w:r>
          </w:p>
        </w:tc>
        <w:tc>
          <w:tcPr>
            <w:tcW w:w="383" w:type="pct"/>
            <w:noWrap/>
            <w:vAlign w:val="center"/>
          </w:tcPr>
          <w:p w14:paraId="136D134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24B16D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441790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14.62</w:t>
            </w:r>
          </w:p>
        </w:tc>
        <w:tc>
          <w:tcPr>
            <w:tcW w:w="388" w:type="pct"/>
            <w:noWrap/>
            <w:vAlign w:val="center"/>
          </w:tcPr>
          <w:p w14:paraId="00AD7BA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2AF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B43E8E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186</w:t>
            </w:r>
          </w:p>
        </w:tc>
        <w:tc>
          <w:tcPr>
            <w:tcW w:w="212" w:type="pct"/>
            <w:vMerge w:val="continue"/>
            <w:noWrap/>
            <w:vAlign w:val="center"/>
          </w:tcPr>
          <w:p w14:paraId="061FE0B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273647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B1B7A5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4E9EA4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842640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5.88</w:t>
            </w:r>
          </w:p>
        </w:tc>
        <w:tc>
          <w:tcPr>
            <w:tcW w:w="397" w:type="pct"/>
            <w:noWrap/>
            <w:vAlign w:val="center"/>
          </w:tcPr>
          <w:p w14:paraId="1038F4F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16.24</w:t>
            </w:r>
          </w:p>
        </w:tc>
        <w:tc>
          <w:tcPr>
            <w:tcW w:w="235" w:type="pct"/>
            <w:noWrap/>
            <w:vAlign w:val="center"/>
          </w:tcPr>
          <w:p w14:paraId="11C500F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AD981A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0.63</w:t>
            </w:r>
          </w:p>
        </w:tc>
        <w:tc>
          <w:tcPr>
            <w:tcW w:w="460" w:type="pct"/>
            <w:noWrap/>
            <w:vAlign w:val="center"/>
          </w:tcPr>
          <w:p w14:paraId="6552BEB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61.06</w:t>
            </w:r>
          </w:p>
        </w:tc>
        <w:tc>
          <w:tcPr>
            <w:tcW w:w="383" w:type="pct"/>
            <w:noWrap/>
            <w:vAlign w:val="center"/>
          </w:tcPr>
          <w:p w14:paraId="0D287E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E02494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DCE05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35.06</w:t>
            </w:r>
          </w:p>
        </w:tc>
        <w:tc>
          <w:tcPr>
            <w:tcW w:w="388" w:type="pct"/>
            <w:noWrap/>
            <w:vAlign w:val="center"/>
          </w:tcPr>
          <w:p w14:paraId="547EDD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83C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83ABFF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187</w:t>
            </w:r>
          </w:p>
        </w:tc>
        <w:tc>
          <w:tcPr>
            <w:tcW w:w="212" w:type="pct"/>
            <w:vMerge w:val="continue"/>
            <w:noWrap/>
            <w:vAlign w:val="center"/>
          </w:tcPr>
          <w:p w14:paraId="01C37D8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2618C7C8">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rPr>
              <w:t>尚发机械手1</w:t>
            </w:r>
            <w:r>
              <w:rPr>
                <w:rFonts w:hint="eastAsia" w:ascii="Times New Roman" w:hAnsi="Times New Roman" w:eastAsia="宋体" w:cs="Times New Roman"/>
                <w:i w:val="0"/>
                <w:iCs w:val="0"/>
                <w:color w:val="auto"/>
                <w:sz w:val="21"/>
                <w:szCs w:val="21"/>
                <w:u w:val="none"/>
                <w:lang w:val="en-US" w:eastAsia="zh-CN"/>
              </w:rPr>
              <w:t>2</w:t>
            </w:r>
          </w:p>
        </w:tc>
        <w:tc>
          <w:tcPr>
            <w:tcW w:w="425" w:type="pct"/>
            <w:vMerge w:val="restart"/>
            <w:noWrap/>
            <w:vAlign w:val="center"/>
          </w:tcPr>
          <w:p w14:paraId="13B3190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58792DA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9C948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4.03</w:t>
            </w:r>
          </w:p>
        </w:tc>
        <w:tc>
          <w:tcPr>
            <w:tcW w:w="397" w:type="pct"/>
            <w:noWrap/>
            <w:vAlign w:val="center"/>
          </w:tcPr>
          <w:p w14:paraId="71BA2C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19.79</w:t>
            </w:r>
          </w:p>
        </w:tc>
        <w:tc>
          <w:tcPr>
            <w:tcW w:w="235" w:type="pct"/>
            <w:noWrap/>
            <w:vAlign w:val="center"/>
          </w:tcPr>
          <w:p w14:paraId="6511CBA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2EB6D5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13.40</w:t>
            </w:r>
          </w:p>
        </w:tc>
        <w:tc>
          <w:tcPr>
            <w:tcW w:w="460" w:type="pct"/>
            <w:noWrap/>
            <w:vAlign w:val="center"/>
          </w:tcPr>
          <w:p w14:paraId="525649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41.48</w:t>
            </w:r>
          </w:p>
        </w:tc>
        <w:tc>
          <w:tcPr>
            <w:tcW w:w="383" w:type="pct"/>
            <w:noWrap/>
            <w:vAlign w:val="center"/>
          </w:tcPr>
          <w:p w14:paraId="4ADED5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43E528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CB042A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15.48</w:t>
            </w:r>
          </w:p>
        </w:tc>
        <w:tc>
          <w:tcPr>
            <w:tcW w:w="388" w:type="pct"/>
            <w:noWrap/>
            <w:vAlign w:val="center"/>
          </w:tcPr>
          <w:p w14:paraId="1555D24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7B7D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874451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188</w:t>
            </w:r>
          </w:p>
        </w:tc>
        <w:tc>
          <w:tcPr>
            <w:tcW w:w="212" w:type="pct"/>
            <w:vMerge w:val="continue"/>
            <w:noWrap/>
            <w:vAlign w:val="center"/>
          </w:tcPr>
          <w:p w14:paraId="28AC289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46DE40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BD68EE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DBBAA0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61BA78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4.03</w:t>
            </w:r>
          </w:p>
        </w:tc>
        <w:tc>
          <w:tcPr>
            <w:tcW w:w="397" w:type="pct"/>
            <w:noWrap/>
            <w:vAlign w:val="center"/>
          </w:tcPr>
          <w:p w14:paraId="20B993E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19.79</w:t>
            </w:r>
          </w:p>
        </w:tc>
        <w:tc>
          <w:tcPr>
            <w:tcW w:w="235" w:type="pct"/>
            <w:noWrap/>
            <w:vAlign w:val="center"/>
          </w:tcPr>
          <w:p w14:paraId="5C972B3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CE0851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19.93</w:t>
            </w:r>
          </w:p>
        </w:tc>
        <w:tc>
          <w:tcPr>
            <w:tcW w:w="460" w:type="pct"/>
            <w:noWrap/>
            <w:vAlign w:val="center"/>
          </w:tcPr>
          <w:p w14:paraId="4D0D371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40.98</w:t>
            </w:r>
          </w:p>
        </w:tc>
        <w:tc>
          <w:tcPr>
            <w:tcW w:w="383" w:type="pct"/>
            <w:noWrap/>
            <w:vAlign w:val="center"/>
          </w:tcPr>
          <w:p w14:paraId="40087C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D9CCD8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599DD5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14.98</w:t>
            </w:r>
          </w:p>
        </w:tc>
        <w:tc>
          <w:tcPr>
            <w:tcW w:w="388" w:type="pct"/>
            <w:noWrap/>
            <w:vAlign w:val="center"/>
          </w:tcPr>
          <w:p w14:paraId="216A8AB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2AF3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6943A3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189</w:t>
            </w:r>
          </w:p>
        </w:tc>
        <w:tc>
          <w:tcPr>
            <w:tcW w:w="212" w:type="pct"/>
            <w:vMerge w:val="continue"/>
            <w:noWrap/>
            <w:vAlign w:val="center"/>
          </w:tcPr>
          <w:p w14:paraId="5CD6083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A6E99F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85FADE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BBCC56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9460DB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4.03</w:t>
            </w:r>
          </w:p>
        </w:tc>
        <w:tc>
          <w:tcPr>
            <w:tcW w:w="397" w:type="pct"/>
            <w:noWrap/>
            <w:vAlign w:val="center"/>
          </w:tcPr>
          <w:p w14:paraId="655722F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19.79</w:t>
            </w:r>
          </w:p>
        </w:tc>
        <w:tc>
          <w:tcPr>
            <w:tcW w:w="235" w:type="pct"/>
            <w:noWrap/>
            <w:vAlign w:val="center"/>
          </w:tcPr>
          <w:p w14:paraId="6C212D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9D515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22.84</w:t>
            </w:r>
          </w:p>
        </w:tc>
        <w:tc>
          <w:tcPr>
            <w:tcW w:w="460" w:type="pct"/>
            <w:noWrap/>
            <w:vAlign w:val="center"/>
          </w:tcPr>
          <w:p w14:paraId="3C92820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40.88</w:t>
            </w:r>
          </w:p>
        </w:tc>
        <w:tc>
          <w:tcPr>
            <w:tcW w:w="383" w:type="pct"/>
            <w:noWrap/>
            <w:vAlign w:val="center"/>
          </w:tcPr>
          <w:p w14:paraId="5212849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FFB92F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6A1D7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14.88</w:t>
            </w:r>
          </w:p>
        </w:tc>
        <w:tc>
          <w:tcPr>
            <w:tcW w:w="388" w:type="pct"/>
            <w:noWrap/>
            <w:vAlign w:val="center"/>
          </w:tcPr>
          <w:p w14:paraId="0C46DE9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00DC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7EDBF5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190</w:t>
            </w:r>
          </w:p>
        </w:tc>
        <w:tc>
          <w:tcPr>
            <w:tcW w:w="212" w:type="pct"/>
            <w:vMerge w:val="continue"/>
            <w:noWrap/>
            <w:vAlign w:val="center"/>
          </w:tcPr>
          <w:p w14:paraId="568668B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5108F5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9D6387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CCDB19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80D72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4.03</w:t>
            </w:r>
          </w:p>
        </w:tc>
        <w:tc>
          <w:tcPr>
            <w:tcW w:w="397" w:type="pct"/>
            <w:noWrap/>
            <w:vAlign w:val="center"/>
          </w:tcPr>
          <w:p w14:paraId="706EBF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19.79</w:t>
            </w:r>
          </w:p>
        </w:tc>
        <w:tc>
          <w:tcPr>
            <w:tcW w:w="235" w:type="pct"/>
            <w:noWrap/>
            <w:vAlign w:val="center"/>
          </w:tcPr>
          <w:p w14:paraId="6ADF813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EB0D66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35.92</w:t>
            </w:r>
          </w:p>
        </w:tc>
        <w:tc>
          <w:tcPr>
            <w:tcW w:w="460" w:type="pct"/>
            <w:noWrap/>
            <w:vAlign w:val="center"/>
          </w:tcPr>
          <w:p w14:paraId="1AAD28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40.67</w:t>
            </w:r>
          </w:p>
        </w:tc>
        <w:tc>
          <w:tcPr>
            <w:tcW w:w="383" w:type="pct"/>
            <w:noWrap/>
            <w:vAlign w:val="center"/>
          </w:tcPr>
          <w:p w14:paraId="7CD0754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C8B82C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13AC83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14.67</w:t>
            </w:r>
          </w:p>
        </w:tc>
        <w:tc>
          <w:tcPr>
            <w:tcW w:w="388" w:type="pct"/>
            <w:noWrap/>
            <w:vAlign w:val="center"/>
          </w:tcPr>
          <w:p w14:paraId="4D09BC7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193E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6F0312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191</w:t>
            </w:r>
          </w:p>
        </w:tc>
        <w:tc>
          <w:tcPr>
            <w:tcW w:w="212" w:type="pct"/>
            <w:vMerge w:val="continue"/>
            <w:noWrap/>
            <w:vAlign w:val="center"/>
          </w:tcPr>
          <w:p w14:paraId="106DD51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87697B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E77FAB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7E77B5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92C52C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4.03</w:t>
            </w:r>
          </w:p>
        </w:tc>
        <w:tc>
          <w:tcPr>
            <w:tcW w:w="397" w:type="pct"/>
            <w:noWrap/>
            <w:vAlign w:val="center"/>
          </w:tcPr>
          <w:p w14:paraId="6943BFE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19.79</w:t>
            </w:r>
          </w:p>
        </w:tc>
        <w:tc>
          <w:tcPr>
            <w:tcW w:w="235" w:type="pct"/>
            <w:noWrap/>
            <w:vAlign w:val="center"/>
          </w:tcPr>
          <w:p w14:paraId="7133110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3EE8A1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39.06</w:t>
            </w:r>
          </w:p>
        </w:tc>
        <w:tc>
          <w:tcPr>
            <w:tcW w:w="460" w:type="pct"/>
            <w:noWrap/>
            <w:vAlign w:val="center"/>
          </w:tcPr>
          <w:p w14:paraId="5C091B1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40.64</w:t>
            </w:r>
          </w:p>
        </w:tc>
        <w:tc>
          <w:tcPr>
            <w:tcW w:w="383" w:type="pct"/>
            <w:noWrap/>
            <w:vAlign w:val="center"/>
          </w:tcPr>
          <w:p w14:paraId="1655BF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5F1D6D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DE8813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14.64</w:t>
            </w:r>
          </w:p>
        </w:tc>
        <w:tc>
          <w:tcPr>
            <w:tcW w:w="388" w:type="pct"/>
            <w:noWrap/>
            <w:vAlign w:val="center"/>
          </w:tcPr>
          <w:p w14:paraId="6F72372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C85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7CA095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192</w:t>
            </w:r>
          </w:p>
        </w:tc>
        <w:tc>
          <w:tcPr>
            <w:tcW w:w="212" w:type="pct"/>
            <w:vMerge w:val="continue"/>
            <w:noWrap/>
            <w:vAlign w:val="center"/>
          </w:tcPr>
          <w:p w14:paraId="3361CD1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975D08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D2DA93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C6828A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37FAED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4.03</w:t>
            </w:r>
          </w:p>
        </w:tc>
        <w:tc>
          <w:tcPr>
            <w:tcW w:w="397" w:type="pct"/>
            <w:noWrap/>
            <w:vAlign w:val="center"/>
          </w:tcPr>
          <w:p w14:paraId="61E05E2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19.79</w:t>
            </w:r>
          </w:p>
        </w:tc>
        <w:tc>
          <w:tcPr>
            <w:tcW w:w="235" w:type="pct"/>
            <w:noWrap/>
            <w:vAlign w:val="center"/>
          </w:tcPr>
          <w:p w14:paraId="754BAA0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AFCF3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0.57</w:t>
            </w:r>
          </w:p>
        </w:tc>
        <w:tc>
          <w:tcPr>
            <w:tcW w:w="460" w:type="pct"/>
            <w:noWrap/>
            <w:vAlign w:val="center"/>
          </w:tcPr>
          <w:p w14:paraId="7D3044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61.92</w:t>
            </w:r>
          </w:p>
        </w:tc>
        <w:tc>
          <w:tcPr>
            <w:tcW w:w="383" w:type="pct"/>
            <w:noWrap/>
            <w:vAlign w:val="center"/>
          </w:tcPr>
          <w:p w14:paraId="5323B78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B914D5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26E29C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35.92</w:t>
            </w:r>
          </w:p>
        </w:tc>
        <w:tc>
          <w:tcPr>
            <w:tcW w:w="388" w:type="pct"/>
            <w:noWrap/>
            <w:vAlign w:val="center"/>
          </w:tcPr>
          <w:p w14:paraId="1F998B6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A6FD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22DFCD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193</w:t>
            </w:r>
          </w:p>
        </w:tc>
        <w:tc>
          <w:tcPr>
            <w:tcW w:w="212" w:type="pct"/>
            <w:vMerge w:val="continue"/>
            <w:noWrap/>
            <w:vAlign w:val="center"/>
          </w:tcPr>
          <w:p w14:paraId="6CDEAE4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262B5D0C">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rPr>
              <w:t>尚发机械手1</w:t>
            </w:r>
            <w:r>
              <w:rPr>
                <w:rFonts w:hint="eastAsia" w:ascii="Times New Roman" w:hAnsi="Times New Roman" w:eastAsia="宋体" w:cs="Times New Roman"/>
                <w:i w:val="0"/>
                <w:iCs w:val="0"/>
                <w:color w:val="auto"/>
                <w:sz w:val="21"/>
                <w:szCs w:val="21"/>
                <w:u w:val="none"/>
                <w:lang w:val="en-US" w:eastAsia="zh-CN"/>
              </w:rPr>
              <w:t>3</w:t>
            </w:r>
          </w:p>
        </w:tc>
        <w:tc>
          <w:tcPr>
            <w:tcW w:w="425" w:type="pct"/>
            <w:vMerge w:val="restart"/>
            <w:noWrap/>
            <w:vAlign w:val="center"/>
          </w:tcPr>
          <w:p w14:paraId="556F425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220C477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3FB27D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2.39</w:t>
            </w:r>
          </w:p>
        </w:tc>
        <w:tc>
          <w:tcPr>
            <w:tcW w:w="397" w:type="pct"/>
            <w:noWrap/>
            <w:vAlign w:val="center"/>
          </w:tcPr>
          <w:p w14:paraId="3B1C4D8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22.94</w:t>
            </w:r>
          </w:p>
        </w:tc>
        <w:tc>
          <w:tcPr>
            <w:tcW w:w="235" w:type="pct"/>
            <w:noWrap/>
            <w:vAlign w:val="center"/>
          </w:tcPr>
          <w:p w14:paraId="1D705B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B660EA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13.38</w:t>
            </w:r>
          </w:p>
        </w:tc>
        <w:tc>
          <w:tcPr>
            <w:tcW w:w="460" w:type="pct"/>
            <w:noWrap/>
            <w:vAlign w:val="center"/>
          </w:tcPr>
          <w:p w14:paraId="4097A60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41.48</w:t>
            </w:r>
          </w:p>
        </w:tc>
        <w:tc>
          <w:tcPr>
            <w:tcW w:w="383" w:type="pct"/>
            <w:noWrap/>
            <w:vAlign w:val="center"/>
          </w:tcPr>
          <w:p w14:paraId="67C2394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24DBB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0FFCCF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15.48</w:t>
            </w:r>
          </w:p>
        </w:tc>
        <w:tc>
          <w:tcPr>
            <w:tcW w:w="388" w:type="pct"/>
            <w:noWrap/>
            <w:vAlign w:val="center"/>
          </w:tcPr>
          <w:p w14:paraId="2E936C2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7FA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A6C107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194</w:t>
            </w:r>
          </w:p>
        </w:tc>
        <w:tc>
          <w:tcPr>
            <w:tcW w:w="212" w:type="pct"/>
            <w:vMerge w:val="continue"/>
            <w:noWrap/>
            <w:vAlign w:val="center"/>
          </w:tcPr>
          <w:p w14:paraId="6F6EC6D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6CFCE3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B98919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A7E950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3A4414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2.39</w:t>
            </w:r>
          </w:p>
        </w:tc>
        <w:tc>
          <w:tcPr>
            <w:tcW w:w="397" w:type="pct"/>
            <w:noWrap/>
            <w:vAlign w:val="center"/>
          </w:tcPr>
          <w:p w14:paraId="2516477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22.94</w:t>
            </w:r>
          </w:p>
        </w:tc>
        <w:tc>
          <w:tcPr>
            <w:tcW w:w="235" w:type="pct"/>
            <w:noWrap/>
            <w:vAlign w:val="center"/>
          </w:tcPr>
          <w:p w14:paraId="3D8D99B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E7256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23.14</w:t>
            </w:r>
          </w:p>
        </w:tc>
        <w:tc>
          <w:tcPr>
            <w:tcW w:w="460" w:type="pct"/>
            <w:noWrap/>
            <w:vAlign w:val="center"/>
          </w:tcPr>
          <w:p w14:paraId="24FDE40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40.87</w:t>
            </w:r>
          </w:p>
        </w:tc>
        <w:tc>
          <w:tcPr>
            <w:tcW w:w="383" w:type="pct"/>
            <w:noWrap/>
            <w:vAlign w:val="center"/>
          </w:tcPr>
          <w:p w14:paraId="711754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91DC5E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BF51F9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14.87</w:t>
            </w:r>
          </w:p>
        </w:tc>
        <w:tc>
          <w:tcPr>
            <w:tcW w:w="388" w:type="pct"/>
            <w:noWrap/>
            <w:vAlign w:val="center"/>
          </w:tcPr>
          <w:p w14:paraId="12659B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51AD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D758EA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195</w:t>
            </w:r>
          </w:p>
        </w:tc>
        <w:tc>
          <w:tcPr>
            <w:tcW w:w="212" w:type="pct"/>
            <w:vMerge w:val="continue"/>
            <w:noWrap/>
            <w:vAlign w:val="center"/>
          </w:tcPr>
          <w:p w14:paraId="2081E24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9D81FC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A7AFB8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3A1279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0D8D0F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2.39</w:t>
            </w:r>
          </w:p>
        </w:tc>
        <w:tc>
          <w:tcPr>
            <w:tcW w:w="397" w:type="pct"/>
            <w:noWrap/>
            <w:vAlign w:val="center"/>
          </w:tcPr>
          <w:p w14:paraId="4CD829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22.94</w:t>
            </w:r>
          </w:p>
        </w:tc>
        <w:tc>
          <w:tcPr>
            <w:tcW w:w="235" w:type="pct"/>
            <w:noWrap/>
            <w:vAlign w:val="center"/>
          </w:tcPr>
          <w:p w14:paraId="1CC8C4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6BD278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26.35</w:t>
            </w:r>
          </w:p>
        </w:tc>
        <w:tc>
          <w:tcPr>
            <w:tcW w:w="460" w:type="pct"/>
            <w:noWrap/>
            <w:vAlign w:val="center"/>
          </w:tcPr>
          <w:p w14:paraId="32DA5DC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40.79</w:t>
            </w:r>
          </w:p>
        </w:tc>
        <w:tc>
          <w:tcPr>
            <w:tcW w:w="383" w:type="pct"/>
            <w:noWrap/>
            <w:vAlign w:val="center"/>
          </w:tcPr>
          <w:p w14:paraId="23D0C4B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E9D9FE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5F79E0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14.79</w:t>
            </w:r>
          </w:p>
        </w:tc>
        <w:tc>
          <w:tcPr>
            <w:tcW w:w="388" w:type="pct"/>
            <w:noWrap/>
            <w:vAlign w:val="center"/>
          </w:tcPr>
          <w:p w14:paraId="3CDD2F1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6B43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9B6C6F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196</w:t>
            </w:r>
          </w:p>
        </w:tc>
        <w:tc>
          <w:tcPr>
            <w:tcW w:w="212" w:type="pct"/>
            <w:vMerge w:val="continue"/>
            <w:noWrap/>
            <w:vAlign w:val="center"/>
          </w:tcPr>
          <w:p w14:paraId="19134C0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0D62C6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0B14AB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4ED454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6F1CE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2.39</w:t>
            </w:r>
          </w:p>
        </w:tc>
        <w:tc>
          <w:tcPr>
            <w:tcW w:w="397" w:type="pct"/>
            <w:noWrap/>
            <w:vAlign w:val="center"/>
          </w:tcPr>
          <w:p w14:paraId="73E40EB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22.94</w:t>
            </w:r>
          </w:p>
        </w:tc>
        <w:tc>
          <w:tcPr>
            <w:tcW w:w="235" w:type="pct"/>
            <w:noWrap/>
            <w:vAlign w:val="center"/>
          </w:tcPr>
          <w:p w14:paraId="206545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5D36F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35.80</w:t>
            </w:r>
          </w:p>
        </w:tc>
        <w:tc>
          <w:tcPr>
            <w:tcW w:w="460" w:type="pct"/>
            <w:noWrap/>
            <w:vAlign w:val="center"/>
          </w:tcPr>
          <w:p w14:paraId="253588C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40.67</w:t>
            </w:r>
          </w:p>
        </w:tc>
        <w:tc>
          <w:tcPr>
            <w:tcW w:w="383" w:type="pct"/>
            <w:noWrap/>
            <w:vAlign w:val="center"/>
          </w:tcPr>
          <w:p w14:paraId="68F760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C6C13C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1C9F90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14.67</w:t>
            </w:r>
          </w:p>
        </w:tc>
        <w:tc>
          <w:tcPr>
            <w:tcW w:w="388" w:type="pct"/>
            <w:noWrap/>
            <w:vAlign w:val="center"/>
          </w:tcPr>
          <w:p w14:paraId="5C1BE8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6B3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EFEE79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197</w:t>
            </w:r>
          </w:p>
        </w:tc>
        <w:tc>
          <w:tcPr>
            <w:tcW w:w="212" w:type="pct"/>
            <w:vMerge w:val="continue"/>
            <w:noWrap/>
            <w:vAlign w:val="center"/>
          </w:tcPr>
          <w:p w14:paraId="3522EFE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CD53B8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E9045F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932D50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A6E0BC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2.39</w:t>
            </w:r>
          </w:p>
        </w:tc>
        <w:tc>
          <w:tcPr>
            <w:tcW w:w="397" w:type="pct"/>
            <w:noWrap/>
            <w:vAlign w:val="center"/>
          </w:tcPr>
          <w:p w14:paraId="79387C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22.94</w:t>
            </w:r>
          </w:p>
        </w:tc>
        <w:tc>
          <w:tcPr>
            <w:tcW w:w="235" w:type="pct"/>
            <w:noWrap/>
            <w:vAlign w:val="center"/>
          </w:tcPr>
          <w:p w14:paraId="2606D38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EC0626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35.52</w:t>
            </w:r>
          </w:p>
        </w:tc>
        <w:tc>
          <w:tcPr>
            <w:tcW w:w="460" w:type="pct"/>
            <w:noWrap/>
            <w:vAlign w:val="center"/>
          </w:tcPr>
          <w:p w14:paraId="203C4CA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40.67</w:t>
            </w:r>
          </w:p>
        </w:tc>
        <w:tc>
          <w:tcPr>
            <w:tcW w:w="383" w:type="pct"/>
            <w:noWrap/>
            <w:vAlign w:val="center"/>
          </w:tcPr>
          <w:p w14:paraId="5DE740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85507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FEC83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14.67</w:t>
            </w:r>
          </w:p>
        </w:tc>
        <w:tc>
          <w:tcPr>
            <w:tcW w:w="388" w:type="pct"/>
            <w:noWrap/>
            <w:vAlign w:val="center"/>
          </w:tcPr>
          <w:p w14:paraId="11E89F5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8FCB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82CC9B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198</w:t>
            </w:r>
          </w:p>
        </w:tc>
        <w:tc>
          <w:tcPr>
            <w:tcW w:w="212" w:type="pct"/>
            <w:vMerge w:val="continue"/>
            <w:noWrap/>
            <w:vAlign w:val="center"/>
          </w:tcPr>
          <w:p w14:paraId="44BEC4D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04C752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13F295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A2DD0A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292B31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2.39</w:t>
            </w:r>
          </w:p>
        </w:tc>
        <w:tc>
          <w:tcPr>
            <w:tcW w:w="397" w:type="pct"/>
            <w:noWrap/>
            <w:vAlign w:val="center"/>
          </w:tcPr>
          <w:p w14:paraId="3EB9A24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22.94</w:t>
            </w:r>
          </w:p>
        </w:tc>
        <w:tc>
          <w:tcPr>
            <w:tcW w:w="235" w:type="pct"/>
            <w:noWrap/>
            <w:vAlign w:val="center"/>
          </w:tcPr>
          <w:p w14:paraId="2B4FDE6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64EC3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1.64</w:t>
            </w:r>
          </w:p>
        </w:tc>
        <w:tc>
          <w:tcPr>
            <w:tcW w:w="460" w:type="pct"/>
            <w:noWrap/>
            <w:vAlign w:val="center"/>
          </w:tcPr>
          <w:p w14:paraId="66676E4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52.97</w:t>
            </w:r>
          </w:p>
        </w:tc>
        <w:tc>
          <w:tcPr>
            <w:tcW w:w="383" w:type="pct"/>
            <w:noWrap/>
            <w:vAlign w:val="center"/>
          </w:tcPr>
          <w:p w14:paraId="2937CE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D6DD4C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D15E8D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26.97</w:t>
            </w:r>
          </w:p>
        </w:tc>
        <w:tc>
          <w:tcPr>
            <w:tcW w:w="388" w:type="pct"/>
            <w:noWrap/>
            <w:vAlign w:val="center"/>
          </w:tcPr>
          <w:p w14:paraId="4FD636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665E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F97316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199</w:t>
            </w:r>
          </w:p>
        </w:tc>
        <w:tc>
          <w:tcPr>
            <w:tcW w:w="212" w:type="pct"/>
            <w:vMerge w:val="continue"/>
            <w:noWrap/>
            <w:vAlign w:val="center"/>
          </w:tcPr>
          <w:p w14:paraId="388C270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1436DF4D">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rPr>
              <w:t>尚发机械手1</w:t>
            </w:r>
            <w:r>
              <w:rPr>
                <w:rFonts w:hint="eastAsia" w:ascii="Times New Roman" w:hAnsi="Times New Roman" w:eastAsia="宋体" w:cs="Times New Roman"/>
                <w:i w:val="0"/>
                <w:iCs w:val="0"/>
                <w:color w:val="auto"/>
                <w:sz w:val="21"/>
                <w:szCs w:val="21"/>
                <w:u w:val="none"/>
                <w:lang w:val="en-US" w:eastAsia="zh-CN"/>
              </w:rPr>
              <w:t>4</w:t>
            </w:r>
          </w:p>
        </w:tc>
        <w:tc>
          <w:tcPr>
            <w:tcW w:w="425" w:type="pct"/>
            <w:vMerge w:val="restart"/>
            <w:noWrap/>
            <w:vAlign w:val="center"/>
          </w:tcPr>
          <w:p w14:paraId="426CDB8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3BB4A28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597908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0.68</w:t>
            </w:r>
          </w:p>
        </w:tc>
        <w:tc>
          <w:tcPr>
            <w:tcW w:w="397" w:type="pct"/>
            <w:noWrap/>
            <w:vAlign w:val="center"/>
          </w:tcPr>
          <w:p w14:paraId="6C41075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26.42</w:t>
            </w:r>
          </w:p>
        </w:tc>
        <w:tc>
          <w:tcPr>
            <w:tcW w:w="235" w:type="pct"/>
            <w:noWrap/>
            <w:vAlign w:val="center"/>
          </w:tcPr>
          <w:p w14:paraId="270E2A3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B6A36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13.44</w:t>
            </w:r>
          </w:p>
        </w:tc>
        <w:tc>
          <w:tcPr>
            <w:tcW w:w="460" w:type="pct"/>
            <w:noWrap/>
            <w:vAlign w:val="center"/>
          </w:tcPr>
          <w:p w14:paraId="5FE393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41.48</w:t>
            </w:r>
          </w:p>
        </w:tc>
        <w:tc>
          <w:tcPr>
            <w:tcW w:w="383" w:type="pct"/>
            <w:noWrap/>
            <w:vAlign w:val="center"/>
          </w:tcPr>
          <w:p w14:paraId="72C362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2327EF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F2FE7C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15.48</w:t>
            </w:r>
          </w:p>
        </w:tc>
        <w:tc>
          <w:tcPr>
            <w:tcW w:w="388" w:type="pct"/>
            <w:noWrap/>
            <w:vAlign w:val="center"/>
          </w:tcPr>
          <w:p w14:paraId="5D4997C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A085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54E6DF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200</w:t>
            </w:r>
          </w:p>
        </w:tc>
        <w:tc>
          <w:tcPr>
            <w:tcW w:w="212" w:type="pct"/>
            <w:vMerge w:val="continue"/>
            <w:noWrap/>
            <w:vAlign w:val="center"/>
          </w:tcPr>
          <w:p w14:paraId="0EDE336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853370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D7899B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890D39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49DA89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0.68</w:t>
            </w:r>
          </w:p>
        </w:tc>
        <w:tc>
          <w:tcPr>
            <w:tcW w:w="397" w:type="pct"/>
            <w:noWrap/>
            <w:vAlign w:val="center"/>
          </w:tcPr>
          <w:p w14:paraId="70348A6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26.42</w:t>
            </w:r>
          </w:p>
        </w:tc>
        <w:tc>
          <w:tcPr>
            <w:tcW w:w="235" w:type="pct"/>
            <w:noWrap/>
            <w:vAlign w:val="center"/>
          </w:tcPr>
          <w:p w14:paraId="42F471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32C1E6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26.67</w:t>
            </w:r>
          </w:p>
        </w:tc>
        <w:tc>
          <w:tcPr>
            <w:tcW w:w="460" w:type="pct"/>
            <w:noWrap/>
            <w:vAlign w:val="center"/>
          </w:tcPr>
          <w:p w14:paraId="1DE779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40.78</w:t>
            </w:r>
          </w:p>
        </w:tc>
        <w:tc>
          <w:tcPr>
            <w:tcW w:w="383" w:type="pct"/>
            <w:noWrap/>
            <w:vAlign w:val="center"/>
          </w:tcPr>
          <w:p w14:paraId="6AA6930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000383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B9C412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14.78</w:t>
            </w:r>
          </w:p>
        </w:tc>
        <w:tc>
          <w:tcPr>
            <w:tcW w:w="388" w:type="pct"/>
            <w:noWrap/>
            <w:vAlign w:val="center"/>
          </w:tcPr>
          <w:p w14:paraId="6484ACC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916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F246BF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201</w:t>
            </w:r>
          </w:p>
        </w:tc>
        <w:tc>
          <w:tcPr>
            <w:tcW w:w="212" w:type="pct"/>
            <w:vMerge w:val="continue"/>
            <w:noWrap/>
            <w:vAlign w:val="center"/>
          </w:tcPr>
          <w:p w14:paraId="4AF5721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04DD18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4E39E9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347CB8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6A5120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0.68</w:t>
            </w:r>
          </w:p>
        </w:tc>
        <w:tc>
          <w:tcPr>
            <w:tcW w:w="397" w:type="pct"/>
            <w:noWrap/>
            <w:vAlign w:val="center"/>
          </w:tcPr>
          <w:p w14:paraId="5884679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26.42</w:t>
            </w:r>
          </w:p>
        </w:tc>
        <w:tc>
          <w:tcPr>
            <w:tcW w:w="235" w:type="pct"/>
            <w:noWrap/>
            <w:vAlign w:val="center"/>
          </w:tcPr>
          <w:p w14:paraId="7FA8385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B3A85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30.19</w:t>
            </w:r>
          </w:p>
        </w:tc>
        <w:tc>
          <w:tcPr>
            <w:tcW w:w="460" w:type="pct"/>
            <w:noWrap/>
            <w:vAlign w:val="center"/>
          </w:tcPr>
          <w:p w14:paraId="77CEB0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40.73</w:t>
            </w:r>
          </w:p>
        </w:tc>
        <w:tc>
          <w:tcPr>
            <w:tcW w:w="383" w:type="pct"/>
            <w:noWrap/>
            <w:vAlign w:val="center"/>
          </w:tcPr>
          <w:p w14:paraId="49A0EB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34F85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D76BAA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14.73</w:t>
            </w:r>
          </w:p>
        </w:tc>
        <w:tc>
          <w:tcPr>
            <w:tcW w:w="388" w:type="pct"/>
            <w:noWrap/>
            <w:vAlign w:val="center"/>
          </w:tcPr>
          <w:p w14:paraId="1C97780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ABC5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EEC809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202</w:t>
            </w:r>
          </w:p>
        </w:tc>
        <w:tc>
          <w:tcPr>
            <w:tcW w:w="212" w:type="pct"/>
            <w:vMerge w:val="continue"/>
            <w:noWrap/>
            <w:vAlign w:val="center"/>
          </w:tcPr>
          <w:p w14:paraId="11188B9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6E99C7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14C5FE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E8D504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894B03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0.68</w:t>
            </w:r>
          </w:p>
        </w:tc>
        <w:tc>
          <w:tcPr>
            <w:tcW w:w="397" w:type="pct"/>
            <w:noWrap/>
            <w:vAlign w:val="center"/>
          </w:tcPr>
          <w:p w14:paraId="7F092F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26.42</w:t>
            </w:r>
          </w:p>
        </w:tc>
        <w:tc>
          <w:tcPr>
            <w:tcW w:w="235" w:type="pct"/>
            <w:noWrap/>
            <w:vAlign w:val="center"/>
          </w:tcPr>
          <w:p w14:paraId="5CA2191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5C9D6F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35.57</w:t>
            </w:r>
          </w:p>
        </w:tc>
        <w:tc>
          <w:tcPr>
            <w:tcW w:w="460" w:type="pct"/>
            <w:noWrap/>
            <w:vAlign w:val="center"/>
          </w:tcPr>
          <w:p w14:paraId="24C2489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40.67</w:t>
            </w:r>
          </w:p>
        </w:tc>
        <w:tc>
          <w:tcPr>
            <w:tcW w:w="383" w:type="pct"/>
            <w:noWrap/>
            <w:vAlign w:val="center"/>
          </w:tcPr>
          <w:p w14:paraId="59AB1D3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60738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B7388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14.67</w:t>
            </w:r>
          </w:p>
        </w:tc>
        <w:tc>
          <w:tcPr>
            <w:tcW w:w="388" w:type="pct"/>
            <w:noWrap/>
            <w:vAlign w:val="center"/>
          </w:tcPr>
          <w:p w14:paraId="32CD5FF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EB5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7E26B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203</w:t>
            </w:r>
          </w:p>
        </w:tc>
        <w:tc>
          <w:tcPr>
            <w:tcW w:w="212" w:type="pct"/>
            <w:vMerge w:val="continue"/>
            <w:noWrap/>
            <w:vAlign w:val="center"/>
          </w:tcPr>
          <w:p w14:paraId="5A680AA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BE6248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AFF39C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90C1B0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329E55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0.68</w:t>
            </w:r>
          </w:p>
        </w:tc>
        <w:tc>
          <w:tcPr>
            <w:tcW w:w="397" w:type="pct"/>
            <w:noWrap/>
            <w:vAlign w:val="center"/>
          </w:tcPr>
          <w:p w14:paraId="2656C7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26.42</w:t>
            </w:r>
          </w:p>
        </w:tc>
        <w:tc>
          <w:tcPr>
            <w:tcW w:w="235" w:type="pct"/>
            <w:noWrap/>
            <w:vAlign w:val="center"/>
          </w:tcPr>
          <w:p w14:paraId="5266A5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CA56ED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31.64</w:t>
            </w:r>
          </w:p>
        </w:tc>
        <w:tc>
          <w:tcPr>
            <w:tcW w:w="460" w:type="pct"/>
            <w:noWrap/>
            <w:vAlign w:val="center"/>
          </w:tcPr>
          <w:p w14:paraId="572458B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40.71</w:t>
            </w:r>
          </w:p>
        </w:tc>
        <w:tc>
          <w:tcPr>
            <w:tcW w:w="383" w:type="pct"/>
            <w:noWrap/>
            <w:vAlign w:val="center"/>
          </w:tcPr>
          <w:p w14:paraId="05ADC5B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68C8EC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A87F32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14.71</w:t>
            </w:r>
          </w:p>
        </w:tc>
        <w:tc>
          <w:tcPr>
            <w:tcW w:w="388" w:type="pct"/>
            <w:noWrap/>
            <w:vAlign w:val="center"/>
          </w:tcPr>
          <w:p w14:paraId="30252E5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6140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2BA8E3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204</w:t>
            </w:r>
          </w:p>
        </w:tc>
        <w:tc>
          <w:tcPr>
            <w:tcW w:w="212" w:type="pct"/>
            <w:vMerge w:val="continue"/>
            <w:noWrap/>
            <w:vAlign w:val="center"/>
          </w:tcPr>
          <w:p w14:paraId="0195199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897154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29107A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B7CCD7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A44018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0.68</w:t>
            </w:r>
          </w:p>
        </w:tc>
        <w:tc>
          <w:tcPr>
            <w:tcW w:w="397" w:type="pct"/>
            <w:noWrap/>
            <w:vAlign w:val="center"/>
          </w:tcPr>
          <w:p w14:paraId="1739E76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26.42</w:t>
            </w:r>
          </w:p>
        </w:tc>
        <w:tc>
          <w:tcPr>
            <w:tcW w:w="235" w:type="pct"/>
            <w:noWrap/>
            <w:vAlign w:val="center"/>
          </w:tcPr>
          <w:p w14:paraId="6D8EC6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8ACE85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2.89</w:t>
            </w:r>
          </w:p>
        </w:tc>
        <w:tc>
          <w:tcPr>
            <w:tcW w:w="460" w:type="pct"/>
            <w:noWrap/>
            <w:vAlign w:val="center"/>
          </w:tcPr>
          <w:p w14:paraId="0CF4EC0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48.54</w:t>
            </w:r>
          </w:p>
        </w:tc>
        <w:tc>
          <w:tcPr>
            <w:tcW w:w="383" w:type="pct"/>
            <w:noWrap/>
            <w:vAlign w:val="center"/>
          </w:tcPr>
          <w:p w14:paraId="6C404D4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806EF3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1345BA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22.54</w:t>
            </w:r>
          </w:p>
        </w:tc>
        <w:tc>
          <w:tcPr>
            <w:tcW w:w="388" w:type="pct"/>
            <w:noWrap/>
            <w:vAlign w:val="center"/>
          </w:tcPr>
          <w:p w14:paraId="6D05A84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1E51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FF2D8E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205</w:t>
            </w:r>
          </w:p>
        </w:tc>
        <w:tc>
          <w:tcPr>
            <w:tcW w:w="212" w:type="pct"/>
            <w:vMerge w:val="continue"/>
            <w:noWrap/>
            <w:vAlign w:val="center"/>
          </w:tcPr>
          <w:p w14:paraId="772CFE5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53E4CA44">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rPr>
              <w:t>尚发机械手1</w:t>
            </w:r>
            <w:r>
              <w:rPr>
                <w:rFonts w:hint="eastAsia" w:ascii="Times New Roman" w:hAnsi="Times New Roman" w:eastAsia="宋体" w:cs="Times New Roman"/>
                <w:i w:val="0"/>
                <w:iCs w:val="0"/>
                <w:color w:val="auto"/>
                <w:sz w:val="21"/>
                <w:szCs w:val="21"/>
                <w:u w:val="none"/>
                <w:lang w:val="en-US" w:eastAsia="zh-CN"/>
              </w:rPr>
              <w:t>5</w:t>
            </w:r>
          </w:p>
        </w:tc>
        <w:tc>
          <w:tcPr>
            <w:tcW w:w="425" w:type="pct"/>
            <w:vMerge w:val="restart"/>
            <w:noWrap/>
            <w:vAlign w:val="center"/>
          </w:tcPr>
          <w:p w14:paraId="7CF3113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22190AC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C4B83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-1.14</w:t>
            </w:r>
          </w:p>
        </w:tc>
        <w:tc>
          <w:tcPr>
            <w:tcW w:w="397" w:type="pct"/>
            <w:noWrap/>
            <w:vAlign w:val="center"/>
          </w:tcPr>
          <w:p w14:paraId="2DFBB1A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30.24</w:t>
            </w:r>
          </w:p>
        </w:tc>
        <w:tc>
          <w:tcPr>
            <w:tcW w:w="235" w:type="pct"/>
            <w:noWrap/>
            <w:vAlign w:val="center"/>
          </w:tcPr>
          <w:p w14:paraId="2639730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EA52F8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13.57</w:t>
            </w:r>
          </w:p>
        </w:tc>
        <w:tc>
          <w:tcPr>
            <w:tcW w:w="460" w:type="pct"/>
            <w:noWrap/>
            <w:vAlign w:val="center"/>
          </w:tcPr>
          <w:p w14:paraId="72E61A1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41.46</w:t>
            </w:r>
          </w:p>
        </w:tc>
        <w:tc>
          <w:tcPr>
            <w:tcW w:w="383" w:type="pct"/>
            <w:noWrap/>
            <w:vAlign w:val="center"/>
          </w:tcPr>
          <w:p w14:paraId="14572C6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C62CD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E3F73A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15.46</w:t>
            </w:r>
          </w:p>
        </w:tc>
        <w:tc>
          <w:tcPr>
            <w:tcW w:w="388" w:type="pct"/>
            <w:noWrap/>
            <w:vAlign w:val="center"/>
          </w:tcPr>
          <w:p w14:paraId="738FDE6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DD0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C321AC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206</w:t>
            </w:r>
          </w:p>
        </w:tc>
        <w:tc>
          <w:tcPr>
            <w:tcW w:w="212" w:type="pct"/>
            <w:vMerge w:val="continue"/>
            <w:noWrap/>
            <w:vAlign w:val="center"/>
          </w:tcPr>
          <w:p w14:paraId="1318874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5BA997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284230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233EDA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FC9CC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-1.14</w:t>
            </w:r>
          </w:p>
        </w:tc>
        <w:tc>
          <w:tcPr>
            <w:tcW w:w="397" w:type="pct"/>
            <w:noWrap/>
            <w:vAlign w:val="center"/>
          </w:tcPr>
          <w:p w14:paraId="0197D97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30.24</w:t>
            </w:r>
          </w:p>
        </w:tc>
        <w:tc>
          <w:tcPr>
            <w:tcW w:w="235" w:type="pct"/>
            <w:noWrap/>
            <w:vAlign w:val="center"/>
          </w:tcPr>
          <w:p w14:paraId="51B992A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6071E4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30.56</w:t>
            </w:r>
          </w:p>
        </w:tc>
        <w:tc>
          <w:tcPr>
            <w:tcW w:w="460" w:type="pct"/>
            <w:noWrap/>
            <w:vAlign w:val="center"/>
          </w:tcPr>
          <w:p w14:paraId="293E5BE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40.72</w:t>
            </w:r>
          </w:p>
        </w:tc>
        <w:tc>
          <w:tcPr>
            <w:tcW w:w="383" w:type="pct"/>
            <w:noWrap/>
            <w:vAlign w:val="center"/>
          </w:tcPr>
          <w:p w14:paraId="16192F1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9CD0A5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7E6B0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14.72</w:t>
            </w:r>
          </w:p>
        </w:tc>
        <w:tc>
          <w:tcPr>
            <w:tcW w:w="388" w:type="pct"/>
            <w:noWrap/>
            <w:vAlign w:val="center"/>
          </w:tcPr>
          <w:p w14:paraId="0F545A1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38B3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FB6AD4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207</w:t>
            </w:r>
          </w:p>
        </w:tc>
        <w:tc>
          <w:tcPr>
            <w:tcW w:w="212" w:type="pct"/>
            <w:vMerge w:val="continue"/>
            <w:noWrap/>
            <w:vAlign w:val="center"/>
          </w:tcPr>
          <w:p w14:paraId="07A3597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7302B0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0A6401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D307CA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4B731C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-1.14</w:t>
            </w:r>
          </w:p>
        </w:tc>
        <w:tc>
          <w:tcPr>
            <w:tcW w:w="397" w:type="pct"/>
            <w:noWrap/>
            <w:vAlign w:val="center"/>
          </w:tcPr>
          <w:p w14:paraId="432FE9D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30.24</w:t>
            </w:r>
          </w:p>
        </w:tc>
        <w:tc>
          <w:tcPr>
            <w:tcW w:w="235" w:type="pct"/>
            <w:noWrap/>
            <w:vAlign w:val="center"/>
          </w:tcPr>
          <w:p w14:paraId="6D0ED4A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14C989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34.39</w:t>
            </w:r>
          </w:p>
        </w:tc>
        <w:tc>
          <w:tcPr>
            <w:tcW w:w="460" w:type="pct"/>
            <w:noWrap/>
            <w:vAlign w:val="center"/>
          </w:tcPr>
          <w:p w14:paraId="1109B26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40.68</w:t>
            </w:r>
          </w:p>
        </w:tc>
        <w:tc>
          <w:tcPr>
            <w:tcW w:w="383" w:type="pct"/>
            <w:noWrap/>
            <w:vAlign w:val="center"/>
          </w:tcPr>
          <w:p w14:paraId="0BDD72B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F7A500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0CD4A5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14.68</w:t>
            </w:r>
          </w:p>
        </w:tc>
        <w:tc>
          <w:tcPr>
            <w:tcW w:w="388" w:type="pct"/>
            <w:noWrap/>
            <w:vAlign w:val="center"/>
          </w:tcPr>
          <w:p w14:paraId="64DE8AB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E667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CAB803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208</w:t>
            </w:r>
          </w:p>
        </w:tc>
        <w:tc>
          <w:tcPr>
            <w:tcW w:w="212" w:type="pct"/>
            <w:vMerge w:val="continue"/>
            <w:noWrap/>
            <w:vAlign w:val="center"/>
          </w:tcPr>
          <w:p w14:paraId="679D692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3AD0B1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0720E2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D50042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F84580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-1.14</w:t>
            </w:r>
          </w:p>
        </w:tc>
        <w:tc>
          <w:tcPr>
            <w:tcW w:w="397" w:type="pct"/>
            <w:noWrap/>
            <w:vAlign w:val="center"/>
          </w:tcPr>
          <w:p w14:paraId="0CA2F5D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30.24</w:t>
            </w:r>
          </w:p>
        </w:tc>
        <w:tc>
          <w:tcPr>
            <w:tcW w:w="235" w:type="pct"/>
            <w:noWrap/>
            <w:vAlign w:val="center"/>
          </w:tcPr>
          <w:p w14:paraId="55E059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73EB6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35.27</w:t>
            </w:r>
          </w:p>
        </w:tc>
        <w:tc>
          <w:tcPr>
            <w:tcW w:w="460" w:type="pct"/>
            <w:noWrap/>
            <w:vAlign w:val="center"/>
          </w:tcPr>
          <w:p w14:paraId="605E220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40.67</w:t>
            </w:r>
          </w:p>
        </w:tc>
        <w:tc>
          <w:tcPr>
            <w:tcW w:w="383" w:type="pct"/>
            <w:noWrap/>
            <w:vAlign w:val="center"/>
          </w:tcPr>
          <w:p w14:paraId="1A4673B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E25AF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CF87D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14.67</w:t>
            </w:r>
          </w:p>
        </w:tc>
        <w:tc>
          <w:tcPr>
            <w:tcW w:w="388" w:type="pct"/>
            <w:noWrap/>
            <w:vAlign w:val="center"/>
          </w:tcPr>
          <w:p w14:paraId="5DA7A7F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7E4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816ACB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209</w:t>
            </w:r>
          </w:p>
        </w:tc>
        <w:tc>
          <w:tcPr>
            <w:tcW w:w="212" w:type="pct"/>
            <w:vMerge w:val="continue"/>
            <w:noWrap/>
            <w:vAlign w:val="center"/>
          </w:tcPr>
          <w:p w14:paraId="00439A3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6A6A2B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7FC602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A8D456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85033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-1.14</w:t>
            </w:r>
          </w:p>
        </w:tc>
        <w:tc>
          <w:tcPr>
            <w:tcW w:w="397" w:type="pct"/>
            <w:noWrap/>
            <w:vAlign w:val="center"/>
          </w:tcPr>
          <w:p w14:paraId="026BC7D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30.24</w:t>
            </w:r>
          </w:p>
        </w:tc>
        <w:tc>
          <w:tcPr>
            <w:tcW w:w="235" w:type="pct"/>
            <w:noWrap/>
            <w:vAlign w:val="center"/>
          </w:tcPr>
          <w:p w14:paraId="6B1E2AA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303DB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27.41</w:t>
            </w:r>
          </w:p>
        </w:tc>
        <w:tc>
          <w:tcPr>
            <w:tcW w:w="460" w:type="pct"/>
            <w:noWrap/>
            <w:vAlign w:val="center"/>
          </w:tcPr>
          <w:p w14:paraId="0FE0768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40.77</w:t>
            </w:r>
          </w:p>
        </w:tc>
        <w:tc>
          <w:tcPr>
            <w:tcW w:w="383" w:type="pct"/>
            <w:noWrap/>
            <w:vAlign w:val="center"/>
          </w:tcPr>
          <w:p w14:paraId="66A8B4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407C24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9D310E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14.77</w:t>
            </w:r>
          </w:p>
        </w:tc>
        <w:tc>
          <w:tcPr>
            <w:tcW w:w="388" w:type="pct"/>
            <w:noWrap/>
            <w:vAlign w:val="center"/>
          </w:tcPr>
          <w:p w14:paraId="1498BC0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3BB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228779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210</w:t>
            </w:r>
          </w:p>
        </w:tc>
        <w:tc>
          <w:tcPr>
            <w:tcW w:w="212" w:type="pct"/>
            <w:vMerge w:val="continue"/>
            <w:noWrap/>
            <w:vAlign w:val="center"/>
          </w:tcPr>
          <w:p w14:paraId="18B6899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AD7BB0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CA65CB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2955C0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1BC5AF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-1.14</w:t>
            </w:r>
          </w:p>
        </w:tc>
        <w:tc>
          <w:tcPr>
            <w:tcW w:w="397" w:type="pct"/>
            <w:noWrap/>
            <w:vAlign w:val="center"/>
          </w:tcPr>
          <w:p w14:paraId="46E747C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30.24</w:t>
            </w:r>
          </w:p>
        </w:tc>
        <w:tc>
          <w:tcPr>
            <w:tcW w:w="235" w:type="pct"/>
            <w:noWrap/>
            <w:vAlign w:val="center"/>
          </w:tcPr>
          <w:p w14:paraId="0877028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22A923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4.31</w:t>
            </w:r>
          </w:p>
        </w:tc>
        <w:tc>
          <w:tcPr>
            <w:tcW w:w="460" w:type="pct"/>
            <w:noWrap/>
            <w:vAlign w:val="center"/>
          </w:tcPr>
          <w:p w14:paraId="39F54A3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45.83</w:t>
            </w:r>
          </w:p>
        </w:tc>
        <w:tc>
          <w:tcPr>
            <w:tcW w:w="383" w:type="pct"/>
            <w:noWrap/>
            <w:vAlign w:val="center"/>
          </w:tcPr>
          <w:p w14:paraId="1B1621F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2E77C3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6983A9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19.83</w:t>
            </w:r>
          </w:p>
        </w:tc>
        <w:tc>
          <w:tcPr>
            <w:tcW w:w="388" w:type="pct"/>
            <w:noWrap/>
            <w:vAlign w:val="center"/>
          </w:tcPr>
          <w:p w14:paraId="659CACE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FC1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F77D7C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211</w:t>
            </w:r>
          </w:p>
        </w:tc>
        <w:tc>
          <w:tcPr>
            <w:tcW w:w="212" w:type="pct"/>
            <w:vMerge w:val="continue"/>
            <w:noWrap/>
            <w:vAlign w:val="center"/>
          </w:tcPr>
          <w:p w14:paraId="3ED1E8D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182F44F7">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rPr>
              <w:t>尚发机械手1</w:t>
            </w:r>
            <w:r>
              <w:rPr>
                <w:rFonts w:hint="eastAsia" w:ascii="Times New Roman" w:hAnsi="Times New Roman" w:eastAsia="宋体" w:cs="Times New Roman"/>
                <w:i w:val="0"/>
                <w:iCs w:val="0"/>
                <w:color w:val="auto"/>
                <w:sz w:val="21"/>
                <w:szCs w:val="21"/>
                <w:u w:val="none"/>
                <w:lang w:val="en-US" w:eastAsia="zh-CN"/>
              </w:rPr>
              <w:t>6</w:t>
            </w:r>
          </w:p>
        </w:tc>
        <w:tc>
          <w:tcPr>
            <w:tcW w:w="425" w:type="pct"/>
            <w:vMerge w:val="restart"/>
            <w:noWrap/>
            <w:vAlign w:val="center"/>
          </w:tcPr>
          <w:p w14:paraId="48C51B7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3660307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55354E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-2.74</w:t>
            </w:r>
          </w:p>
        </w:tc>
        <w:tc>
          <w:tcPr>
            <w:tcW w:w="397" w:type="pct"/>
            <w:noWrap/>
            <w:vAlign w:val="center"/>
          </w:tcPr>
          <w:p w14:paraId="11AD22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33.96</w:t>
            </w:r>
          </w:p>
        </w:tc>
        <w:tc>
          <w:tcPr>
            <w:tcW w:w="235" w:type="pct"/>
            <w:noWrap/>
            <w:vAlign w:val="center"/>
          </w:tcPr>
          <w:p w14:paraId="5E9CC00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8281F6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13.84</w:t>
            </w:r>
          </w:p>
        </w:tc>
        <w:tc>
          <w:tcPr>
            <w:tcW w:w="460" w:type="pct"/>
            <w:noWrap/>
            <w:vAlign w:val="center"/>
          </w:tcPr>
          <w:p w14:paraId="4FED70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41.43</w:t>
            </w:r>
          </w:p>
        </w:tc>
        <w:tc>
          <w:tcPr>
            <w:tcW w:w="383" w:type="pct"/>
            <w:noWrap/>
            <w:vAlign w:val="center"/>
          </w:tcPr>
          <w:p w14:paraId="59F8AB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F7835F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6BDEA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15.43</w:t>
            </w:r>
          </w:p>
        </w:tc>
        <w:tc>
          <w:tcPr>
            <w:tcW w:w="388" w:type="pct"/>
            <w:noWrap/>
            <w:vAlign w:val="center"/>
          </w:tcPr>
          <w:p w14:paraId="2B7D3BB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D773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C0C71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212</w:t>
            </w:r>
          </w:p>
        </w:tc>
        <w:tc>
          <w:tcPr>
            <w:tcW w:w="212" w:type="pct"/>
            <w:vMerge w:val="continue"/>
            <w:noWrap/>
            <w:vAlign w:val="center"/>
          </w:tcPr>
          <w:p w14:paraId="728BD83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30F70D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0D4AB4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8D3C00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B70E05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-2.74</w:t>
            </w:r>
          </w:p>
        </w:tc>
        <w:tc>
          <w:tcPr>
            <w:tcW w:w="397" w:type="pct"/>
            <w:noWrap/>
            <w:vAlign w:val="center"/>
          </w:tcPr>
          <w:p w14:paraId="77AC29A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33.96</w:t>
            </w:r>
          </w:p>
        </w:tc>
        <w:tc>
          <w:tcPr>
            <w:tcW w:w="235" w:type="pct"/>
            <w:noWrap/>
            <w:vAlign w:val="center"/>
          </w:tcPr>
          <w:p w14:paraId="4369A5E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7F0D86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34.33</w:t>
            </w:r>
          </w:p>
        </w:tc>
        <w:tc>
          <w:tcPr>
            <w:tcW w:w="460" w:type="pct"/>
            <w:noWrap/>
            <w:vAlign w:val="center"/>
          </w:tcPr>
          <w:p w14:paraId="452C8A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40.68</w:t>
            </w:r>
          </w:p>
        </w:tc>
        <w:tc>
          <w:tcPr>
            <w:tcW w:w="383" w:type="pct"/>
            <w:noWrap/>
            <w:vAlign w:val="center"/>
          </w:tcPr>
          <w:p w14:paraId="43754D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4969B6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0E7F1A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14.68</w:t>
            </w:r>
          </w:p>
        </w:tc>
        <w:tc>
          <w:tcPr>
            <w:tcW w:w="388" w:type="pct"/>
            <w:noWrap/>
            <w:vAlign w:val="center"/>
          </w:tcPr>
          <w:p w14:paraId="14344DD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88D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BFB87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213</w:t>
            </w:r>
          </w:p>
        </w:tc>
        <w:tc>
          <w:tcPr>
            <w:tcW w:w="212" w:type="pct"/>
            <w:vMerge w:val="continue"/>
            <w:noWrap/>
            <w:vAlign w:val="center"/>
          </w:tcPr>
          <w:p w14:paraId="2ACF2C0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2D22CD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252E7A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C5D56C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138B94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-2.74</w:t>
            </w:r>
          </w:p>
        </w:tc>
        <w:tc>
          <w:tcPr>
            <w:tcW w:w="397" w:type="pct"/>
            <w:noWrap/>
            <w:vAlign w:val="center"/>
          </w:tcPr>
          <w:p w14:paraId="1696DAA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33.96</w:t>
            </w:r>
          </w:p>
        </w:tc>
        <w:tc>
          <w:tcPr>
            <w:tcW w:w="235" w:type="pct"/>
            <w:noWrap/>
            <w:vAlign w:val="center"/>
          </w:tcPr>
          <w:p w14:paraId="5D2FFD3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2216D1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38.43</w:t>
            </w:r>
          </w:p>
        </w:tc>
        <w:tc>
          <w:tcPr>
            <w:tcW w:w="460" w:type="pct"/>
            <w:noWrap/>
            <w:vAlign w:val="center"/>
          </w:tcPr>
          <w:p w14:paraId="73911E5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40.65</w:t>
            </w:r>
          </w:p>
        </w:tc>
        <w:tc>
          <w:tcPr>
            <w:tcW w:w="383" w:type="pct"/>
            <w:noWrap/>
            <w:vAlign w:val="center"/>
          </w:tcPr>
          <w:p w14:paraId="1EB43EB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4FD094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A39419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14.65</w:t>
            </w:r>
          </w:p>
        </w:tc>
        <w:tc>
          <w:tcPr>
            <w:tcW w:w="388" w:type="pct"/>
            <w:noWrap/>
            <w:vAlign w:val="center"/>
          </w:tcPr>
          <w:p w14:paraId="50C9C94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AF7E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92D0B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214</w:t>
            </w:r>
          </w:p>
        </w:tc>
        <w:tc>
          <w:tcPr>
            <w:tcW w:w="212" w:type="pct"/>
            <w:vMerge w:val="continue"/>
            <w:noWrap/>
            <w:vAlign w:val="center"/>
          </w:tcPr>
          <w:p w14:paraId="54D4423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F4DBAB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E1F556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022584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78B42E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-2.74</w:t>
            </w:r>
          </w:p>
        </w:tc>
        <w:tc>
          <w:tcPr>
            <w:tcW w:w="397" w:type="pct"/>
            <w:noWrap/>
            <w:vAlign w:val="center"/>
          </w:tcPr>
          <w:p w14:paraId="12B9647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33.96</w:t>
            </w:r>
          </w:p>
        </w:tc>
        <w:tc>
          <w:tcPr>
            <w:tcW w:w="235" w:type="pct"/>
            <w:noWrap/>
            <w:vAlign w:val="center"/>
          </w:tcPr>
          <w:p w14:paraId="51487BC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C45AB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34.83</w:t>
            </w:r>
          </w:p>
        </w:tc>
        <w:tc>
          <w:tcPr>
            <w:tcW w:w="460" w:type="pct"/>
            <w:noWrap/>
            <w:vAlign w:val="center"/>
          </w:tcPr>
          <w:p w14:paraId="766DCE8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40.68</w:t>
            </w:r>
          </w:p>
        </w:tc>
        <w:tc>
          <w:tcPr>
            <w:tcW w:w="383" w:type="pct"/>
            <w:noWrap/>
            <w:vAlign w:val="center"/>
          </w:tcPr>
          <w:p w14:paraId="380108B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3AFF90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ED1414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14.68</w:t>
            </w:r>
          </w:p>
        </w:tc>
        <w:tc>
          <w:tcPr>
            <w:tcW w:w="388" w:type="pct"/>
            <w:noWrap/>
            <w:vAlign w:val="center"/>
          </w:tcPr>
          <w:p w14:paraId="504C93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641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0D06AE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215</w:t>
            </w:r>
          </w:p>
        </w:tc>
        <w:tc>
          <w:tcPr>
            <w:tcW w:w="212" w:type="pct"/>
            <w:vMerge w:val="continue"/>
            <w:noWrap/>
            <w:vAlign w:val="center"/>
          </w:tcPr>
          <w:p w14:paraId="6D1333F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F3DAAC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D45CD5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9FB91E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6907A9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-2.74</w:t>
            </w:r>
          </w:p>
        </w:tc>
        <w:tc>
          <w:tcPr>
            <w:tcW w:w="397" w:type="pct"/>
            <w:noWrap/>
            <w:vAlign w:val="center"/>
          </w:tcPr>
          <w:p w14:paraId="4D51BB0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33.96</w:t>
            </w:r>
          </w:p>
        </w:tc>
        <w:tc>
          <w:tcPr>
            <w:tcW w:w="235" w:type="pct"/>
            <w:noWrap/>
            <w:vAlign w:val="center"/>
          </w:tcPr>
          <w:p w14:paraId="3CFFCDD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DD6131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23.36</w:t>
            </w:r>
          </w:p>
        </w:tc>
        <w:tc>
          <w:tcPr>
            <w:tcW w:w="460" w:type="pct"/>
            <w:noWrap/>
            <w:vAlign w:val="center"/>
          </w:tcPr>
          <w:p w14:paraId="31B3381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40.86</w:t>
            </w:r>
          </w:p>
        </w:tc>
        <w:tc>
          <w:tcPr>
            <w:tcW w:w="383" w:type="pct"/>
            <w:noWrap/>
            <w:vAlign w:val="center"/>
          </w:tcPr>
          <w:p w14:paraId="6659866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CA335D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9B2C6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14.86</w:t>
            </w:r>
          </w:p>
        </w:tc>
        <w:tc>
          <w:tcPr>
            <w:tcW w:w="388" w:type="pct"/>
            <w:noWrap/>
            <w:vAlign w:val="center"/>
          </w:tcPr>
          <w:p w14:paraId="52B2ECF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5672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0DA01B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216</w:t>
            </w:r>
          </w:p>
        </w:tc>
        <w:tc>
          <w:tcPr>
            <w:tcW w:w="212" w:type="pct"/>
            <w:vMerge w:val="continue"/>
            <w:noWrap/>
            <w:vAlign w:val="center"/>
          </w:tcPr>
          <w:p w14:paraId="1AA01DE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F6DD8B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D2ECA2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ED18AE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354B65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-2.74</w:t>
            </w:r>
          </w:p>
        </w:tc>
        <w:tc>
          <w:tcPr>
            <w:tcW w:w="397" w:type="pct"/>
            <w:noWrap/>
            <w:vAlign w:val="center"/>
          </w:tcPr>
          <w:p w14:paraId="6B79A5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33.96</w:t>
            </w:r>
          </w:p>
        </w:tc>
        <w:tc>
          <w:tcPr>
            <w:tcW w:w="235" w:type="pct"/>
            <w:noWrap/>
            <w:vAlign w:val="center"/>
          </w:tcPr>
          <w:p w14:paraId="4988C1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614FB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5.81</w:t>
            </w:r>
          </w:p>
        </w:tc>
        <w:tc>
          <w:tcPr>
            <w:tcW w:w="460" w:type="pct"/>
            <w:noWrap/>
            <w:vAlign w:val="center"/>
          </w:tcPr>
          <w:p w14:paraId="182147A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44.17</w:t>
            </w:r>
          </w:p>
        </w:tc>
        <w:tc>
          <w:tcPr>
            <w:tcW w:w="383" w:type="pct"/>
            <w:noWrap/>
            <w:vAlign w:val="center"/>
          </w:tcPr>
          <w:p w14:paraId="54869A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43636E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5C458D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18.17</w:t>
            </w:r>
          </w:p>
        </w:tc>
        <w:tc>
          <w:tcPr>
            <w:tcW w:w="388" w:type="pct"/>
            <w:noWrap/>
            <w:vAlign w:val="center"/>
          </w:tcPr>
          <w:p w14:paraId="152D482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01A0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B35F73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217</w:t>
            </w:r>
          </w:p>
        </w:tc>
        <w:tc>
          <w:tcPr>
            <w:tcW w:w="212" w:type="pct"/>
            <w:vMerge w:val="continue"/>
            <w:noWrap/>
            <w:vAlign w:val="center"/>
          </w:tcPr>
          <w:p w14:paraId="4DF68C1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78BD45C1">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rPr>
              <w:t>尚发机械手1</w:t>
            </w:r>
            <w:r>
              <w:rPr>
                <w:rFonts w:hint="eastAsia" w:ascii="Times New Roman" w:hAnsi="Times New Roman" w:eastAsia="宋体" w:cs="Times New Roman"/>
                <w:i w:val="0"/>
                <w:iCs w:val="0"/>
                <w:color w:val="auto"/>
                <w:sz w:val="21"/>
                <w:szCs w:val="21"/>
                <w:u w:val="none"/>
                <w:lang w:val="en-US" w:eastAsia="zh-CN"/>
              </w:rPr>
              <w:t>7</w:t>
            </w:r>
          </w:p>
        </w:tc>
        <w:tc>
          <w:tcPr>
            <w:tcW w:w="425" w:type="pct"/>
            <w:vMerge w:val="restart"/>
            <w:noWrap/>
            <w:vAlign w:val="center"/>
          </w:tcPr>
          <w:p w14:paraId="616C7BC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52084F4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614229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-4.52</w:t>
            </w:r>
          </w:p>
        </w:tc>
        <w:tc>
          <w:tcPr>
            <w:tcW w:w="397" w:type="pct"/>
            <w:noWrap/>
            <w:vAlign w:val="center"/>
          </w:tcPr>
          <w:p w14:paraId="02C64D9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37.68</w:t>
            </w:r>
          </w:p>
        </w:tc>
        <w:tc>
          <w:tcPr>
            <w:tcW w:w="235" w:type="pct"/>
            <w:noWrap/>
            <w:vAlign w:val="center"/>
          </w:tcPr>
          <w:p w14:paraId="0DCB6A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0E2C9B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13.95</w:t>
            </w:r>
          </w:p>
        </w:tc>
        <w:tc>
          <w:tcPr>
            <w:tcW w:w="460" w:type="pct"/>
            <w:noWrap/>
            <w:vAlign w:val="center"/>
          </w:tcPr>
          <w:p w14:paraId="2183C11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41.41</w:t>
            </w:r>
          </w:p>
        </w:tc>
        <w:tc>
          <w:tcPr>
            <w:tcW w:w="383" w:type="pct"/>
            <w:noWrap/>
            <w:vAlign w:val="center"/>
          </w:tcPr>
          <w:p w14:paraId="3E1DDD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F875B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DAE5B1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15.41</w:t>
            </w:r>
          </w:p>
        </w:tc>
        <w:tc>
          <w:tcPr>
            <w:tcW w:w="388" w:type="pct"/>
            <w:noWrap/>
            <w:vAlign w:val="center"/>
          </w:tcPr>
          <w:p w14:paraId="0DC48AB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B6D6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B36132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218</w:t>
            </w:r>
          </w:p>
        </w:tc>
        <w:tc>
          <w:tcPr>
            <w:tcW w:w="212" w:type="pct"/>
            <w:vMerge w:val="continue"/>
            <w:noWrap/>
            <w:vAlign w:val="center"/>
          </w:tcPr>
          <w:p w14:paraId="4DB64A4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3E5134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435A5A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AA3C81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FB60EB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-4.52</w:t>
            </w:r>
          </w:p>
        </w:tc>
        <w:tc>
          <w:tcPr>
            <w:tcW w:w="397" w:type="pct"/>
            <w:noWrap/>
            <w:vAlign w:val="center"/>
          </w:tcPr>
          <w:p w14:paraId="1751509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37.68</w:t>
            </w:r>
          </w:p>
        </w:tc>
        <w:tc>
          <w:tcPr>
            <w:tcW w:w="235" w:type="pct"/>
            <w:noWrap/>
            <w:vAlign w:val="center"/>
          </w:tcPr>
          <w:p w14:paraId="50BE1E3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E95AC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38.11</w:t>
            </w:r>
          </w:p>
        </w:tc>
        <w:tc>
          <w:tcPr>
            <w:tcW w:w="460" w:type="pct"/>
            <w:noWrap/>
            <w:vAlign w:val="center"/>
          </w:tcPr>
          <w:p w14:paraId="404F7B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40.65</w:t>
            </w:r>
          </w:p>
        </w:tc>
        <w:tc>
          <w:tcPr>
            <w:tcW w:w="383" w:type="pct"/>
            <w:noWrap/>
            <w:vAlign w:val="center"/>
          </w:tcPr>
          <w:p w14:paraId="2133D18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F9248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D77669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14.65</w:t>
            </w:r>
          </w:p>
        </w:tc>
        <w:tc>
          <w:tcPr>
            <w:tcW w:w="388" w:type="pct"/>
            <w:noWrap/>
            <w:vAlign w:val="center"/>
          </w:tcPr>
          <w:p w14:paraId="6AA94FB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0EF4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EE9044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219</w:t>
            </w:r>
          </w:p>
        </w:tc>
        <w:tc>
          <w:tcPr>
            <w:tcW w:w="212" w:type="pct"/>
            <w:vMerge w:val="continue"/>
            <w:noWrap/>
            <w:vAlign w:val="center"/>
          </w:tcPr>
          <w:p w14:paraId="3F9FF19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15FDDD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5BBAAD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619E09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12200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-4.52</w:t>
            </w:r>
          </w:p>
        </w:tc>
        <w:tc>
          <w:tcPr>
            <w:tcW w:w="397" w:type="pct"/>
            <w:noWrap/>
            <w:vAlign w:val="center"/>
          </w:tcPr>
          <w:p w14:paraId="0E61061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37.68</w:t>
            </w:r>
          </w:p>
        </w:tc>
        <w:tc>
          <w:tcPr>
            <w:tcW w:w="235" w:type="pct"/>
            <w:noWrap/>
            <w:vAlign w:val="center"/>
          </w:tcPr>
          <w:p w14:paraId="4452F8D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0F78DB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42.52</w:t>
            </w:r>
          </w:p>
        </w:tc>
        <w:tc>
          <w:tcPr>
            <w:tcW w:w="460" w:type="pct"/>
            <w:noWrap/>
            <w:vAlign w:val="center"/>
          </w:tcPr>
          <w:p w14:paraId="2177D76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40.62</w:t>
            </w:r>
          </w:p>
        </w:tc>
        <w:tc>
          <w:tcPr>
            <w:tcW w:w="383" w:type="pct"/>
            <w:noWrap/>
            <w:vAlign w:val="center"/>
          </w:tcPr>
          <w:p w14:paraId="79D059F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67EDDC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0CF73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14.62</w:t>
            </w:r>
          </w:p>
        </w:tc>
        <w:tc>
          <w:tcPr>
            <w:tcW w:w="388" w:type="pct"/>
            <w:noWrap/>
            <w:vAlign w:val="center"/>
          </w:tcPr>
          <w:p w14:paraId="116F1CC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43F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56B045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220</w:t>
            </w:r>
          </w:p>
        </w:tc>
        <w:tc>
          <w:tcPr>
            <w:tcW w:w="212" w:type="pct"/>
            <w:vMerge w:val="continue"/>
            <w:noWrap/>
            <w:vAlign w:val="center"/>
          </w:tcPr>
          <w:p w14:paraId="1D9CC7A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C42A64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5CBB6A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4C9BAB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50C81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-4.52</w:t>
            </w:r>
          </w:p>
        </w:tc>
        <w:tc>
          <w:tcPr>
            <w:tcW w:w="397" w:type="pct"/>
            <w:noWrap/>
            <w:vAlign w:val="center"/>
          </w:tcPr>
          <w:p w14:paraId="55B2C0A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37.68</w:t>
            </w:r>
          </w:p>
        </w:tc>
        <w:tc>
          <w:tcPr>
            <w:tcW w:w="235" w:type="pct"/>
            <w:noWrap/>
            <w:vAlign w:val="center"/>
          </w:tcPr>
          <w:p w14:paraId="0AC58F9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932D1D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34.55</w:t>
            </w:r>
          </w:p>
        </w:tc>
        <w:tc>
          <w:tcPr>
            <w:tcW w:w="460" w:type="pct"/>
            <w:noWrap/>
            <w:vAlign w:val="center"/>
          </w:tcPr>
          <w:p w14:paraId="39DD9A0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40.68</w:t>
            </w:r>
          </w:p>
        </w:tc>
        <w:tc>
          <w:tcPr>
            <w:tcW w:w="383" w:type="pct"/>
            <w:noWrap/>
            <w:vAlign w:val="center"/>
          </w:tcPr>
          <w:p w14:paraId="45BBAE9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0F3C91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5C0050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14.68</w:t>
            </w:r>
          </w:p>
        </w:tc>
        <w:tc>
          <w:tcPr>
            <w:tcW w:w="388" w:type="pct"/>
            <w:noWrap/>
            <w:vAlign w:val="center"/>
          </w:tcPr>
          <w:p w14:paraId="3A81437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EBE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521983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221</w:t>
            </w:r>
          </w:p>
        </w:tc>
        <w:tc>
          <w:tcPr>
            <w:tcW w:w="212" w:type="pct"/>
            <w:vMerge w:val="continue"/>
            <w:noWrap/>
            <w:vAlign w:val="center"/>
          </w:tcPr>
          <w:p w14:paraId="268C240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F865E9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D4C023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C5D486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4E9DE8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-4.52</w:t>
            </w:r>
          </w:p>
        </w:tc>
        <w:tc>
          <w:tcPr>
            <w:tcW w:w="397" w:type="pct"/>
            <w:noWrap/>
            <w:vAlign w:val="center"/>
          </w:tcPr>
          <w:p w14:paraId="6C480C3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37.68</w:t>
            </w:r>
          </w:p>
        </w:tc>
        <w:tc>
          <w:tcPr>
            <w:tcW w:w="235" w:type="pct"/>
            <w:noWrap/>
            <w:vAlign w:val="center"/>
          </w:tcPr>
          <w:p w14:paraId="0E3B04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286FC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19.24</w:t>
            </w:r>
          </w:p>
        </w:tc>
        <w:tc>
          <w:tcPr>
            <w:tcW w:w="460" w:type="pct"/>
            <w:noWrap/>
            <w:vAlign w:val="center"/>
          </w:tcPr>
          <w:p w14:paraId="5C571F1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41.01</w:t>
            </w:r>
          </w:p>
        </w:tc>
        <w:tc>
          <w:tcPr>
            <w:tcW w:w="383" w:type="pct"/>
            <w:noWrap/>
            <w:vAlign w:val="center"/>
          </w:tcPr>
          <w:p w14:paraId="7C88275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F5BCD8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503C15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15.01</w:t>
            </w:r>
          </w:p>
        </w:tc>
        <w:tc>
          <w:tcPr>
            <w:tcW w:w="388" w:type="pct"/>
            <w:noWrap/>
            <w:vAlign w:val="center"/>
          </w:tcPr>
          <w:p w14:paraId="1254712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575E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B1317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222</w:t>
            </w:r>
          </w:p>
        </w:tc>
        <w:tc>
          <w:tcPr>
            <w:tcW w:w="212" w:type="pct"/>
            <w:vMerge w:val="continue"/>
            <w:noWrap/>
            <w:vAlign w:val="center"/>
          </w:tcPr>
          <w:p w14:paraId="0FBDF6D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81146B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D8A3FA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ED1381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FFD132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-4.52</w:t>
            </w:r>
          </w:p>
        </w:tc>
        <w:tc>
          <w:tcPr>
            <w:tcW w:w="397" w:type="pct"/>
            <w:noWrap/>
            <w:vAlign w:val="center"/>
          </w:tcPr>
          <w:p w14:paraId="39E667E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37.68</w:t>
            </w:r>
          </w:p>
        </w:tc>
        <w:tc>
          <w:tcPr>
            <w:tcW w:w="235" w:type="pct"/>
            <w:noWrap/>
            <w:vAlign w:val="center"/>
          </w:tcPr>
          <w:p w14:paraId="4160F01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EADE3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7.18</w:t>
            </w:r>
          </w:p>
        </w:tc>
        <w:tc>
          <w:tcPr>
            <w:tcW w:w="460" w:type="pct"/>
            <w:noWrap/>
            <w:vAlign w:val="center"/>
          </w:tcPr>
          <w:p w14:paraId="202F3E9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43.22</w:t>
            </w:r>
          </w:p>
        </w:tc>
        <w:tc>
          <w:tcPr>
            <w:tcW w:w="383" w:type="pct"/>
            <w:noWrap/>
            <w:vAlign w:val="center"/>
          </w:tcPr>
          <w:p w14:paraId="0520F0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9101E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54E305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17.22</w:t>
            </w:r>
          </w:p>
        </w:tc>
        <w:tc>
          <w:tcPr>
            <w:tcW w:w="388" w:type="pct"/>
            <w:noWrap/>
            <w:vAlign w:val="center"/>
          </w:tcPr>
          <w:p w14:paraId="523803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088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0F1A81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223</w:t>
            </w:r>
          </w:p>
        </w:tc>
        <w:tc>
          <w:tcPr>
            <w:tcW w:w="212" w:type="pct"/>
            <w:vMerge w:val="continue"/>
            <w:noWrap/>
            <w:vAlign w:val="center"/>
          </w:tcPr>
          <w:p w14:paraId="05E91D1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2F4369D5">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rPr>
              <w:t>尚发机械手1</w:t>
            </w:r>
            <w:r>
              <w:rPr>
                <w:rFonts w:hint="eastAsia" w:ascii="Times New Roman" w:hAnsi="Times New Roman" w:eastAsia="宋体" w:cs="Times New Roman"/>
                <w:i w:val="0"/>
                <w:iCs w:val="0"/>
                <w:color w:val="auto"/>
                <w:sz w:val="21"/>
                <w:szCs w:val="21"/>
                <w:u w:val="none"/>
                <w:lang w:val="en-US" w:eastAsia="zh-CN"/>
              </w:rPr>
              <w:t>8</w:t>
            </w:r>
          </w:p>
        </w:tc>
        <w:tc>
          <w:tcPr>
            <w:tcW w:w="425" w:type="pct"/>
            <w:vMerge w:val="restart"/>
            <w:noWrap/>
            <w:vAlign w:val="center"/>
          </w:tcPr>
          <w:p w14:paraId="307602D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2B6086A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AE449C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-6.04</w:t>
            </w:r>
          </w:p>
        </w:tc>
        <w:tc>
          <w:tcPr>
            <w:tcW w:w="397" w:type="pct"/>
            <w:noWrap/>
            <w:vAlign w:val="center"/>
          </w:tcPr>
          <w:p w14:paraId="21A26C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41.65</w:t>
            </w:r>
          </w:p>
        </w:tc>
        <w:tc>
          <w:tcPr>
            <w:tcW w:w="235" w:type="pct"/>
            <w:noWrap/>
            <w:vAlign w:val="center"/>
          </w:tcPr>
          <w:p w14:paraId="347A633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7BD65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14.41</w:t>
            </w:r>
          </w:p>
        </w:tc>
        <w:tc>
          <w:tcPr>
            <w:tcW w:w="460" w:type="pct"/>
            <w:noWrap/>
            <w:vAlign w:val="center"/>
          </w:tcPr>
          <w:p w14:paraId="297993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41.36</w:t>
            </w:r>
          </w:p>
        </w:tc>
        <w:tc>
          <w:tcPr>
            <w:tcW w:w="383" w:type="pct"/>
            <w:noWrap/>
            <w:vAlign w:val="center"/>
          </w:tcPr>
          <w:p w14:paraId="307A307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05CED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462DF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15.36</w:t>
            </w:r>
          </w:p>
        </w:tc>
        <w:tc>
          <w:tcPr>
            <w:tcW w:w="388" w:type="pct"/>
            <w:noWrap/>
            <w:vAlign w:val="center"/>
          </w:tcPr>
          <w:p w14:paraId="325305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81C5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BC08A6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224</w:t>
            </w:r>
          </w:p>
        </w:tc>
        <w:tc>
          <w:tcPr>
            <w:tcW w:w="212" w:type="pct"/>
            <w:vMerge w:val="continue"/>
            <w:noWrap/>
            <w:vAlign w:val="center"/>
          </w:tcPr>
          <w:p w14:paraId="4D4CB8E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7AAD4A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B77918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59A84B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48EA01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-6.04</w:t>
            </w:r>
          </w:p>
        </w:tc>
        <w:tc>
          <w:tcPr>
            <w:tcW w:w="397" w:type="pct"/>
            <w:noWrap/>
            <w:vAlign w:val="center"/>
          </w:tcPr>
          <w:p w14:paraId="7269A33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41.65</w:t>
            </w:r>
          </w:p>
        </w:tc>
        <w:tc>
          <w:tcPr>
            <w:tcW w:w="235" w:type="pct"/>
            <w:noWrap/>
            <w:vAlign w:val="center"/>
          </w:tcPr>
          <w:p w14:paraId="7CCD1A0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EB8949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42.13</w:t>
            </w:r>
          </w:p>
        </w:tc>
        <w:tc>
          <w:tcPr>
            <w:tcW w:w="460" w:type="pct"/>
            <w:noWrap/>
            <w:vAlign w:val="center"/>
          </w:tcPr>
          <w:p w14:paraId="7F1364A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40.63</w:t>
            </w:r>
          </w:p>
        </w:tc>
        <w:tc>
          <w:tcPr>
            <w:tcW w:w="383" w:type="pct"/>
            <w:noWrap/>
            <w:vAlign w:val="center"/>
          </w:tcPr>
          <w:p w14:paraId="70DA8B4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A8F2DA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269077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14.63</w:t>
            </w:r>
          </w:p>
        </w:tc>
        <w:tc>
          <w:tcPr>
            <w:tcW w:w="388" w:type="pct"/>
            <w:noWrap/>
            <w:vAlign w:val="center"/>
          </w:tcPr>
          <w:p w14:paraId="155ED74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DDC3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C0554A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225</w:t>
            </w:r>
          </w:p>
        </w:tc>
        <w:tc>
          <w:tcPr>
            <w:tcW w:w="212" w:type="pct"/>
            <w:vMerge w:val="continue"/>
            <w:noWrap/>
            <w:vAlign w:val="center"/>
          </w:tcPr>
          <w:p w14:paraId="4DE171D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1A0F39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69F351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8A43E7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368AE0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-6.04</w:t>
            </w:r>
          </w:p>
        </w:tc>
        <w:tc>
          <w:tcPr>
            <w:tcW w:w="397" w:type="pct"/>
            <w:noWrap/>
            <w:vAlign w:val="center"/>
          </w:tcPr>
          <w:p w14:paraId="13DAAD0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41.65</w:t>
            </w:r>
          </w:p>
        </w:tc>
        <w:tc>
          <w:tcPr>
            <w:tcW w:w="235" w:type="pct"/>
            <w:noWrap/>
            <w:vAlign w:val="center"/>
          </w:tcPr>
          <w:p w14:paraId="062DAE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E90C28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46.77</w:t>
            </w:r>
          </w:p>
        </w:tc>
        <w:tc>
          <w:tcPr>
            <w:tcW w:w="460" w:type="pct"/>
            <w:noWrap/>
            <w:vAlign w:val="center"/>
          </w:tcPr>
          <w:p w14:paraId="42A460E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40.61</w:t>
            </w:r>
          </w:p>
        </w:tc>
        <w:tc>
          <w:tcPr>
            <w:tcW w:w="383" w:type="pct"/>
            <w:noWrap/>
            <w:vAlign w:val="center"/>
          </w:tcPr>
          <w:p w14:paraId="5EA4CDB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184418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99F64D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14.61</w:t>
            </w:r>
          </w:p>
        </w:tc>
        <w:tc>
          <w:tcPr>
            <w:tcW w:w="388" w:type="pct"/>
            <w:noWrap/>
            <w:vAlign w:val="center"/>
          </w:tcPr>
          <w:p w14:paraId="58F3291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6F6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A7B737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226</w:t>
            </w:r>
          </w:p>
        </w:tc>
        <w:tc>
          <w:tcPr>
            <w:tcW w:w="212" w:type="pct"/>
            <w:vMerge w:val="continue"/>
            <w:noWrap/>
            <w:vAlign w:val="center"/>
          </w:tcPr>
          <w:p w14:paraId="55984A9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3DB563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18A58B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EC450E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95E0A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-6.04</w:t>
            </w:r>
          </w:p>
        </w:tc>
        <w:tc>
          <w:tcPr>
            <w:tcW w:w="397" w:type="pct"/>
            <w:noWrap/>
            <w:vAlign w:val="center"/>
          </w:tcPr>
          <w:p w14:paraId="6D8571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41.65</w:t>
            </w:r>
          </w:p>
        </w:tc>
        <w:tc>
          <w:tcPr>
            <w:tcW w:w="235" w:type="pct"/>
            <w:noWrap/>
            <w:vAlign w:val="center"/>
          </w:tcPr>
          <w:p w14:paraId="0564E8A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748DF6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33.91</w:t>
            </w:r>
          </w:p>
        </w:tc>
        <w:tc>
          <w:tcPr>
            <w:tcW w:w="460" w:type="pct"/>
            <w:noWrap/>
            <w:vAlign w:val="center"/>
          </w:tcPr>
          <w:p w14:paraId="0CAFA2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40.68</w:t>
            </w:r>
          </w:p>
        </w:tc>
        <w:tc>
          <w:tcPr>
            <w:tcW w:w="383" w:type="pct"/>
            <w:noWrap/>
            <w:vAlign w:val="center"/>
          </w:tcPr>
          <w:p w14:paraId="1F4A9B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922337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998F23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14.68</w:t>
            </w:r>
          </w:p>
        </w:tc>
        <w:tc>
          <w:tcPr>
            <w:tcW w:w="388" w:type="pct"/>
            <w:noWrap/>
            <w:vAlign w:val="center"/>
          </w:tcPr>
          <w:p w14:paraId="24DE902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D282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315E6C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227</w:t>
            </w:r>
          </w:p>
        </w:tc>
        <w:tc>
          <w:tcPr>
            <w:tcW w:w="212" w:type="pct"/>
            <w:vMerge w:val="continue"/>
            <w:noWrap/>
            <w:vAlign w:val="center"/>
          </w:tcPr>
          <w:p w14:paraId="6F62DCD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750571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CD7464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978972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1B31D7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-6.04</w:t>
            </w:r>
          </w:p>
        </w:tc>
        <w:tc>
          <w:tcPr>
            <w:tcW w:w="397" w:type="pct"/>
            <w:noWrap/>
            <w:vAlign w:val="center"/>
          </w:tcPr>
          <w:p w14:paraId="200E22F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41.65</w:t>
            </w:r>
          </w:p>
        </w:tc>
        <w:tc>
          <w:tcPr>
            <w:tcW w:w="235" w:type="pct"/>
            <w:noWrap/>
            <w:vAlign w:val="center"/>
          </w:tcPr>
          <w:p w14:paraId="3581399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E95705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15.00</w:t>
            </w:r>
          </w:p>
        </w:tc>
        <w:tc>
          <w:tcPr>
            <w:tcW w:w="460" w:type="pct"/>
            <w:noWrap/>
            <w:vAlign w:val="center"/>
          </w:tcPr>
          <w:p w14:paraId="3E1655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41.30</w:t>
            </w:r>
          </w:p>
        </w:tc>
        <w:tc>
          <w:tcPr>
            <w:tcW w:w="383" w:type="pct"/>
            <w:noWrap/>
            <w:vAlign w:val="center"/>
          </w:tcPr>
          <w:p w14:paraId="67A5371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0287EA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C94DDC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15.30</w:t>
            </w:r>
          </w:p>
        </w:tc>
        <w:tc>
          <w:tcPr>
            <w:tcW w:w="388" w:type="pct"/>
            <w:noWrap/>
            <w:vAlign w:val="center"/>
          </w:tcPr>
          <w:p w14:paraId="4E2698E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5DB0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AB346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228</w:t>
            </w:r>
          </w:p>
        </w:tc>
        <w:tc>
          <w:tcPr>
            <w:tcW w:w="212" w:type="pct"/>
            <w:vMerge w:val="continue"/>
            <w:noWrap/>
            <w:vAlign w:val="center"/>
          </w:tcPr>
          <w:p w14:paraId="65CA013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8D4379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839C80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E10CD3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747801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-6.04</w:t>
            </w:r>
          </w:p>
        </w:tc>
        <w:tc>
          <w:tcPr>
            <w:tcW w:w="397" w:type="pct"/>
            <w:noWrap/>
            <w:vAlign w:val="center"/>
          </w:tcPr>
          <w:p w14:paraId="5575E1E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41.65</w:t>
            </w:r>
          </w:p>
        </w:tc>
        <w:tc>
          <w:tcPr>
            <w:tcW w:w="235" w:type="pct"/>
            <w:noWrap/>
            <w:vAlign w:val="center"/>
          </w:tcPr>
          <w:p w14:paraId="6F6348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77EF0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8.91</w:t>
            </w:r>
          </w:p>
        </w:tc>
        <w:tc>
          <w:tcPr>
            <w:tcW w:w="460" w:type="pct"/>
            <w:noWrap/>
            <w:vAlign w:val="center"/>
          </w:tcPr>
          <w:p w14:paraId="18DA807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42.45</w:t>
            </w:r>
          </w:p>
        </w:tc>
        <w:tc>
          <w:tcPr>
            <w:tcW w:w="383" w:type="pct"/>
            <w:noWrap/>
            <w:vAlign w:val="center"/>
          </w:tcPr>
          <w:p w14:paraId="6599EAA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D5E3D7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20AB04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16.45</w:t>
            </w:r>
          </w:p>
        </w:tc>
        <w:tc>
          <w:tcPr>
            <w:tcW w:w="388" w:type="pct"/>
            <w:noWrap/>
            <w:vAlign w:val="center"/>
          </w:tcPr>
          <w:p w14:paraId="1CC9AB4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2D2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4DD2F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229</w:t>
            </w:r>
          </w:p>
        </w:tc>
        <w:tc>
          <w:tcPr>
            <w:tcW w:w="212" w:type="pct"/>
            <w:vMerge w:val="continue"/>
            <w:noWrap/>
            <w:vAlign w:val="center"/>
          </w:tcPr>
          <w:p w14:paraId="2F54B2B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550BCFEE">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rPr>
              <w:t>尚发机械手1</w:t>
            </w:r>
            <w:r>
              <w:rPr>
                <w:rFonts w:hint="eastAsia" w:ascii="Times New Roman" w:hAnsi="Times New Roman" w:eastAsia="宋体" w:cs="Times New Roman"/>
                <w:i w:val="0"/>
                <w:iCs w:val="0"/>
                <w:color w:val="auto"/>
                <w:sz w:val="21"/>
                <w:szCs w:val="21"/>
                <w:u w:val="none"/>
                <w:lang w:val="en-US" w:eastAsia="zh-CN"/>
              </w:rPr>
              <w:t>9</w:t>
            </w:r>
          </w:p>
        </w:tc>
        <w:tc>
          <w:tcPr>
            <w:tcW w:w="425" w:type="pct"/>
            <w:vMerge w:val="restart"/>
            <w:noWrap/>
            <w:vAlign w:val="center"/>
          </w:tcPr>
          <w:p w14:paraId="444793C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0B7E328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A01824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-7.73</w:t>
            </w:r>
          </w:p>
        </w:tc>
        <w:tc>
          <w:tcPr>
            <w:tcW w:w="397" w:type="pct"/>
            <w:noWrap/>
            <w:vAlign w:val="center"/>
          </w:tcPr>
          <w:p w14:paraId="6808992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45.36</w:t>
            </w:r>
          </w:p>
        </w:tc>
        <w:tc>
          <w:tcPr>
            <w:tcW w:w="235" w:type="pct"/>
            <w:noWrap/>
            <w:vAlign w:val="center"/>
          </w:tcPr>
          <w:p w14:paraId="61FF972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36F68B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14.59</w:t>
            </w:r>
          </w:p>
        </w:tc>
        <w:tc>
          <w:tcPr>
            <w:tcW w:w="460" w:type="pct"/>
            <w:noWrap/>
            <w:vAlign w:val="center"/>
          </w:tcPr>
          <w:p w14:paraId="4AB41D2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41.34</w:t>
            </w:r>
          </w:p>
        </w:tc>
        <w:tc>
          <w:tcPr>
            <w:tcW w:w="383" w:type="pct"/>
            <w:noWrap/>
            <w:vAlign w:val="center"/>
          </w:tcPr>
          <w:p w14:paraId="17BC5E9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4BD5E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BED854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15.34</w:t>
            </w:r>
          </w:p>
        </w:tc>
        <w:tc>
          <w:tcPr>
            <w:tcW w:w="388" w:type="pct"/>
            <w:noWrap/>
            <w:vAlign w:val="center"/>
          </w:tcPr>
          <w:p w14:paraId="23C1BE5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D7CD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ECC0A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230</w:t>
            </w:r>
          </w:p>
        </w:tc>
        <w:tc>
          <w:tcPr>
            <w:tcW w:w="212" w:type="pct"/>
            <w:vMerge w:val="continue"/>
            <w:noWrap/>
            <w:vAlign w:val="center"/>
          </w:tcPr>
          <w:p w14:paraId="145FC27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7B4F9D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429BA7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676BC6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F1D4B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-7.73</w:t>
            </w:r>
          </w:p>
        </w:tc>
        <w:tc>
          <w:tcPr>
            <w:tcW w:w="397" w:type="pct"/>
            <w:noWrap/>
            <w:vAlign w:val="center"/>
          </w:tcPr>
          <w:p w14:paraId="0D31021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45.36</w:t>
            </w:r>
          </w:p>
        </w:tc>
        <w:tc>
          <w:tcPr>
            <w:tcW w:w="235" w:type="pct"/>
            <w:noWrap/>
            <w:vAlign w:val="center"/>
          </w:tcPr>
          <w:p w14:paraId="396C1D2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CB4B5E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45.90</w:t>
            </w:r>
          </w:p>
        </w:tc>
        <w:tc>
          <w:tcPr>
            <w:tcW w:w="460" w:type="pct"/>
            <w:noWrap/>
            <w:vAlign w:val="center"/>
          </w:tcPr>
          <w:p w14:paraId="033216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40.61</w:t>
            </w:r>
          </w:p>
        </w:tc>
        <w:tc>
          <w:tcPr>
            <w:tcW w:w="383" w:type="pct"/>
            <w:noWrap/>
            <w:vAlign w:val="center"/>
          </w:tcPr>
          <w:p w14:paraId="447A41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953FC7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3AEAF7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14.61</w:t>
            </w:r>
          </w:p>
        </w:tc>
        <w:tc>
          <w:tcPr>
            <w:tcW w:w="388" w:type="pct"/>
            <w:noWrap/>
            <w:vAlign w:val="center"/>
          </w:tcPr>
          <w:p w14:paraId="2C796E5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CD2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90B65D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231</w:t>
            </w:r>
          </w:p>
        </w:tc>
        <w:tc>
          <w:tcPr>
            <w:tcW w:w="212" w:type="pct"/>
            <w:vMerge w:val="continue"/>
            <w:noWrap/>
            <w:vAlign w:val="center"/>
          </w:tcPr>
          <w:p w14:paraId="12C2DB3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D7250D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F41CD5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C05BAE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D2195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-7.73</w:t>
            </w:r>
          </w:p>
        </w:tc>
        <w:tc>
          <w:tcPr>
            <w:tcW w:w="397" w:type="pct"/>
            <w:noWrap/>
            <w:vAlign w:val="center"/>
          </w:tcPr>
          <w:p w14:paraId="7C44C31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45.36</w:t>
            </w:r>
          </w:p>
        </w:tc>
        <w:tc>
          <w:tcPr>
            <w:tcW w:w="235" w:type="pct"/>
            <w:noWrap/>
            <w:vAlign w:val="center"/>
          </w:tcPr>
          <w:p w14:paraId="51E1A70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286548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50.82</w:t>
            </w:r>
          </w:p>
        </w:tc>
        <w:tc>
          <w:tcPr>
            <w:tcW w:w="460" w:type="pct"/>
            <w:noWrap/>
            <w:vAlign w:val="center"/>
          </w:tcPr>
          <w:p w14:paraId="643400E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40.59</w:t>
            </w:r>
          </w:p>
        </w:tc>
        <w:tc>
          <w:tcPr>
            <w:tcW w:w="383" w:type="pct"/>
            <w:noWrap/>
            <w:vAlign w:val="center"/>
          </w:tcPr>
          <w:p w14:paraId="4138D72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EF5105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0178AB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14.59</w:t>
            </w:r>
          </w:p>
        </w:tc>
        <w:tc>
          <w:tcPr>
            <w:tcW w:w="388" w:type="pct"/>
            <w:noWrap/>
            <w:vAlign w:val="center"/>
          </w:tcPr>
          <w:p w14:paraId="22C366E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4057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25CEE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232</w:t>
            </w:r>
          </w:p>
        </w:tc>
        <w:tc>
          <w:tcPr>
            <w:tcW w:w="212" w:type="pct"/>
            <w:vMerge w:val="continue"/>
            <w:noWrap/>
            <w:vAlign w:val="center"/>
          </w:tcPr>
          <w:p w14:paraId="5592352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AC2331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A19306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FE7603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551E65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-7.73</w:t>
            </w:r>
          </w:p>
        </w:tc>
        <w:tc>
          <w:tcPr>
            <w:tcW w:w="397" w:type="pct"/>
            <w:noWrap/>
            <w:vAlign w:val="center"/>
          </w:tcPr>
          <w:p w14:paraId="5F0ACD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45.36</w:t>
            </w:r>
          </w:p>
        </w:tc>
        <w:tc>
          <w:tcPr>
            <w:tcW w:w="235" w:type="pct"/>
            <w:noWrap/>
            <w:vAlign w:val="center"/>
          </w:tcPr>
          <w:p w14:paraId="29C06CC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6C86D5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33.56</w:t>
            </w:r>
          </w:p>
        </w:tc>
        <w:tc>
          <w:tcPr>
            <w:tcW w:w="460" w:type="pct"/>
            <w:noWrap/>
            <w:vAlign w:val="center"/>
          </w:tcPr>
          <w:p w14:paraId="2AE4F8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40.69</w:t>
            </w:r>
          </w:p>
        </w:tc>
        <w:tc>
          <w:tcPr>
            <w:tcW w:w="383" w:type="pct"/>
            <w:noWrap/>
            <w:vAlign w:val="center"/>
          </w:tcPr>
          <w:p w14:paraId="4988FC5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9B9265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38FF6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14.69</w:t>
            </w:r>
          </w:p>
        </w:tc>
        <w:tc>
          <w:tcPr>
            <w:tcW w:w="388" w:type="pct"/>
            <w:noWrap/>
            <w:vAlign w:val="center"/>
          </w:tcPr>
          <w:p w14:paraId="1ED37BC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7F1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61B97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233</w:t>
            </w:r>
          </w:p>
        </w:tc>
        <w:tc>
          <w:tcPr>
            <w:tcW w:w="212" w:type="pct"/>
            <w:vMerge w:val="continue"/>
            <w:noWrap/>
            <w:vAlign w:val="center"/>
          </w:tcPr>
          <w:p w14:paraId="509325D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3DC7C5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65818F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6785B0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6291E3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-7.73</w:t>
            </w:r>
          </w:p>
        </w:tc>
        <w:tc>
          <w:tcPr>
            <w:tcW w:w="397" w:type="pct"/>
            <w:noWrap/>
            <w:vAlign w:val="center"/>
          </w:tcPr>
          <w:p w14:paraId="018BD0F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45.36</w:t>
            </w:r>
          </w:p>
        </w:tc>
        <w:tc>
          <w:tcPr>
            <w:tcW w:w="235" w:type="pct"/>
            <w:noWrap/>
            <w:vAlign w:val="center"/>
          </w:tcPr>
          <w:p w14:paraId="5C92E26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C4C09E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10.92</w:t>
            </w:r>
          </w:p>
        </w:tc>
        <w:tc>
          <w:tcPr>
            <w:tcW w:w="460" w:type="pct"/>
            <w:noWrap/>
            <w:vAlign w:val="center"/>
          </w:tcPr>
          <w:p w14:paraId="091B199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41.90</w:t>
            </w:r>
          </w:p>
        </w:tc>
        <w:tc>
          <w:tcPr>
            <w:tcW w:w="383" w:type="pct"/>
            <w:noWrap/>
            <w:vAlign w:val="center"/>
          </w:tcPr>
          <w:p w14:paraId="15DA159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6399CD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6E48E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15.90</w:t>
            </w:r>
          </w:p>
        </w:tc>
        <w:tc>
          <w:tcPr>
            <w:tcW w:w="388" w:type="pct"/>
            <w:noWrap/>
            <w:vAlign w:val="center"/>
          </w:tcPr>
          <w:p w14:paraId="1967868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40A7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3E213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234</w:t>
            </w:r>
          </w:p>
        </w:tc>
        <w:tc>
          <w:tcPr>
            <w:tcW w:w="212" w:type="pct"/>
            <w:vMerge w:val="continue"/>
            <w:noWrap/>
            <w:vAlign w:val="center"/>
          </w:tcPr>
          <w:p w14:paraId="777E631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B80BCB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6F0EAA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E25368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3B5ED3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-7.73</w:t>
            </w:r>
          </w:p>
        </w:tc>
        <w:tc>
          <w:tcPr>
            <w:tcW w:w="397" w:type="pct"/>
            <w:noWrap/>
            <w:vAlign w:val="center"/>
          </w:tcPr>
          <w:p w14:paraId="1D7E3DC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45.36</w:t>
            </w:r>
          </w:p>
        </w:tc>
        <w:tc>
          <w:tcPr>
            <w:tcW w:w="235" w:type="pct"/>
            <w:noWrap/>
            <w:vAlign w:val="center"/>
          </w:tcPr>
          <w:p w14:paraId="6B9BCB2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25CDA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10.34</w:t>
            </w:r>
          </w:p>
        </w:tc>
        <w:tc>
          <w:tcPr>
            <w:tcW w:w="460" w:type="pct"/>
            <w:noWrap/>
            <w:vAlign w:val="center"/>
          </w:tcPr>
          <w:p w14:paraId="567097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42.03</w:t>
            </w:r>
          </w:p>
        </w:tc>
        <w:tc>
          <w:tcPr>
            <w:tcW w:w="383" w:type="pct"/>
            <w:noWrap/>
            <w:vAlign w:val="center"/>
          </w:tcPr>
          <w:p w14:paraId="7C3D063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1C94B1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D3E13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16.03</w:t>
            </w:r>
          </w:p>
        </w:tc>
        <w:tc>
          <w:tcPr>
            <w:tcW w:w="388" w:type="pct"/>
            <w:noWrap/>
            <w:vAlign w:val="center"/>
          </w:tcPr>
          <w:p w14:paraId="024938D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8DD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282AD6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235</w:t>
            </w:r>
          </w:p>
        </w:tc>
        <w:tc>
          <w:tcPr>
            <w:tcW w:w="212" w:type="pct"/>
            <w:vMerge w:val="continue"/>
            <w:noWrap/>
            <w:vAlign w:val="center"/>
          </w:tcPr>
          <w:p w14:paraId="05AEEAC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7D2A7AA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rPr>
              <w:t>尚发机械手</w:t>
            </w:r>
            <w:r>
              <w:rPr>
                <w:rFonts w:hint="eastAsia" w:ascii="Times New Roman" w:hAnsi="Times New Roman" w:eastAsia="宋体" w:cs="Times New Roman"/>
                <w:i w:val="0"/>
                <w:iCs w:val="0"/>
                <w:color w:val="auto"/>
                <w:sz w:val="21"/>
                <w:szCs w:val="21"/>
                <w:u w:val="none"/>
                <w:lang w:val="en-US" w:eastAsia="zh-CN"/>
              </w:rPr>
              <w:t>20</w:t>
            </w:r>
          </w:p>
        </w:tc>
        <w:tc>
          <w:tcPr>
            <w:tcW w:w="425" w:type="pct"/>
            <w:vMerge w:val="restart"/>
            <w:noWrap/>
            <w:vAlign w:val="center"/>
          </w:tcPr>
          <w:p w14:paraId="6F45D81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6D51BB2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FD774B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-10.01</w:t>
            </w:r>
          </w:p>
        </w:tc>
        <w:tc>
          <w:tcPr>
            <w:tcW w:w="397" w:type="pct"/>
            <w:noWrap/>
            <w:vAlign w:val="center"/>
          </w:tcPr>
          <w:p w14:paraId="3FC6C6E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49.84</w:t>
            </w:r>
          </w:p>
        </w:tc>
        <w:tc>
          <w:tcPr>
            <w:tcW w:w="235" w:type="pct"/>
            <w:noWrap/>
            <w:vAlign w:val="center"/>
          </w:tcPr>
          <w:p w14:paraId="35E18B1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46A9AA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14.61</w:t>
            </w:r>
          </w:p>
        </w:tc>
        <w:tc>
          <w:tcPr>
            <w:tcW w:w="460" w:type="pct"/>
            <w:noWrap/>
            <w:vAlign w:val="center"/>
          </w:tcPr>
          <w:p w14:paraId="314E1A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41.34</w:t>
            </w:r>
          </w:p>
        </w:tc>
        <w:tc>
          <w:tcPr>
            <w:tcW w:w="383" w:type="pct"/>
            <w:noWrap/>
            <w:vAlign w:val="center"/>
          </w:tcPr>
          <w:p w14:paraId="25EA7FB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5581D9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D519BE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15.34</w:t>
            </w:r>
          </w:p>
        </w:tc>
        <w:tc>
          <w:tcPr>
            <w:tcW w:w="388" w:type="pct"/>
            <w:noWrap/>
            <w:vAlign w:val="center"/>
          </w:tcPr>
          <w:p w14:paraId="077A310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58D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10CBCC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236</w:t>
            </w:r>
          </w:p>
        </w:tc>
        <w:tc>
          <w:tcPr>
            <w:tcW w:w="212" w:type="pct"/>
            <w:vMerge w:val="continue"/>
            <w:noWrap/>
            <w:vAlign w:val="center"/>
          </w:tcPr>
          <w:p w14:paraId="103DFF6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67A557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2A400C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7903CA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0AA5AC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-10.01</w:t>
            </w:r>
          </w:p>
        </w:tc>
        <w:tc>
          <w:tcPr>
            <w:tcW w:w="397" w:type="pct"/>
            <w:noWrap/>
            <w:vAlign w:val="center"/>
          </w:tcPr>
          <w:p w14:paraId="77E6063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49.84</w:t>
            </w:r>
          </w:p>
        </w:tc>
        <w:tc>
          <w:tcPr>
            <w:tcW w:w="235" w:type="pct"/>
            <w:noWrap/>
            <w:vAlign w:val="center"/>
          </w:tcPr>
          <w:p w14:paraId="419701F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C76DBF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50.45</w:t>
            </w:r>
          </w:p>
        </w:tc>
        <w:tc>
          <w:tcPr>
            <w:tcW w:w="460" w:type="pct"/>
            <w:noWrap/>
            <w:vAlign w:val="center"/>
          </w:tcPr>
          <w:p w14:paraId="6ADCC3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40.59</w:t>
            </w:r>
          </w:p>
        </w:tc>
        <w:tc>
          <w:tcPr>
            <w:tcW w:w="383" w:type="pct"/>
            <w:noWrap/>
            <w:vAlign w:val="center"/>
          </w:tcPr>
          <w:p w14:paraId="6421604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4DD1E5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C8142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14.59</w:t>
            </w:r>
          </w:p>
        </w:tc>
        <w:tc>
          <w:tcPr>
            <w:tcW w:w="388" w:type="pct"/>
            <w:noWrap/>
            <w:vAlign w:val="center"/>
          </w:tcPr>
          <w:p w14:paraId="046D07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4392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06D248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237</w:t>
            </w:r>
          </w:p>
        </w:tc>
        <w:tc>
          <w:tcPr>
            <w:tcW w:w="212" w:type="pct"/>
            <w:vMerge w:val="continue"/>
            <w:noWrap/>
            <w:vAlign w:val="center"/>
          </w:tcPr>
          <w:p w14:paraId="417C93A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AB44AB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FEB149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337CAF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7EA375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-10.01</w:t>
            </w:r>
          </w:p>
        </w:tc>
        <w:tc>
          <w:tcPr>
            <w:tcW w:w="397" w:type="pct"/>
            <w:noWrap/>
            <w:vAlign w:val="center"/>
          </w:tcPr>
          <w:p w14:paraId="145488B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49.84</w:t>
            </w:r>
          </w:p>
        </w:tc>
        <w:tc>
          <w:tcPr>
            <w:tcW w:w="235" w:type="pct"/>
            <w:noWrap/>
            <w:vAlign w:val="center"/>
          </w:tcPr>
          <w:p w14:paraId="3FE49B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99CAF0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55.79</w:t>
            </w:r>
          </w:p>
        </w:tc>
        <w:tc>
          <w:tcPr>
            <w:tcW w:w="460" w:type="pct"/>
            <w:noWrap/>
            <w:vAlign w:val="center"/>
          </w:tcPr>
          <w:p w14:paraId="5CE4704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40.58</w:t>
            </w:r>
          </w:p>
        </w:tc>
        <w:tc>
          <w:tcPr>
            <w:tcW w:w="383" w:type="pct"/>
            <w:noWrap/>
            <w:vAlign w:val="center"/>
          </w:tcPr>
          <w:p w14:paraId="121285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1ACAB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A47F4A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14.58</w:t>
            </w:r>
          </w:p>
        </w:tc>
        <w:tc>
          <w:tcPr>
            <w:tcW w:w="388" w:type="pct"/>
            <w:noWrap/>
            <w:vAlign w:val="center"/>
          </w:tcPr>
          <w:p w14:paraId="50C4113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298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84A419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238</w:t>
            </w:r>
          </w:p>
        </w:tc>
        <w:tc>
          <w:tcPr>
            <w:tcW w:w="212" w:type="pct"/>
            <w:vMerge w:val="continue"/>
            <w:noWrap/>
            <w:vAlign w:val="center"/>
          </w:tcPr>
          <w:p w14:paraId="21B194B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AB0488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28D6DA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D4F85C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8C5242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-10.01</w:t>
            </w:r>
          </w:p>
        </w:tc>
        <w:tc>
          <w:tcPr>
            <w:tcW w:w="397" w:type="pct"/>
            <w:noWrap/>
            <w:vAlign w:val="center"/>
          </w:tcPr>
          <w:p w14:paraId="18BC49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49.84</w:t>
            </w:r>
          </w:p>
        </w:tc>
        <w:tc>
          <w:tcPr>
            <w:tcW w:w="235" w:type="pct"/>
            <w:noWrap/>
            <w:vAlign w:val="center"/>
          </w:tcPr>
          <w:p w14:paraId="638F024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D88103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33.33</w:t>
            </w:r>
          </w:p>
        </w:tc>
        <w:tc>
          <w:tcPr>
            <w:tcW w:w="460" w:type="pct"/>
            <w:noWrap/>
            <w:vAlign w:val="center"/>
          </w:tcPr>
          <w:p w14:paraId="74F3481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40.69</w:t>
            </w:r>
          </w:p>
        </w:tc>
        <w:tc>
          <w:tcPr>
            <w:tcW w:w="383" w:type="pct"/>
            <w:noWrap/>
            <w:vAlign w:val="center"/>
          </w:tcPr>
          <w:p w14:paraId="18BA6F6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8E4704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167DB8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14.69</w:t>
            </w:r>
          </w:p>
        </w:tc>
        <w:tc>
          <w:tcPr>
            <w:tcW w:w="388" w:type="pct"/>
            <w:noWrap/>
            <w:vAlign w:val="center"/>
          </w:tcPr>
          <w:p w14:paraId="26CF09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ED6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8F705B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239</w:t>
            </w:r>
          </w:p>
        </w:tc>
        <w:tc>
          <w:tcPr>
            <w:tcW w:w="212" w:type="pct"/>
            <w:vMerge w:val="continue"/>
            <w:noWrap/>
            <w:vAlign w:val="center"/>
          </w:tcPr>
          <w:p w14:paraId="496D357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1E3A74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DE0D84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282B15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F15366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-10.01</w:t>
            </w:r>
          </w:p>
        </w:tc>
        <w:tc>
          <w:tcPr>
            <w:tcW w:w="397" w:type="pct"/>
            <w:noWrap/>
            <w:vAlign w:val="center"/>
          </w:tcPr>
          <w:p w14:paraId="5E12B14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49.84</w:t>
            </w:r>
          </w:p>
        </w:tc>
        <w:tc>
          <w:tcPr>
            <w:tcW w:w="235" w:type="pct"/>
            <w:noWrap/>
            <w:vAlign w:val="center"/>
          </w:tcPr>
          <w:p w14:paraId="79F4AA1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732DFD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5.90</w:t>
            </w:r>
          </w:p>
        </w:tc>
        <w:tc>
          <w:tcPr>
            <w:tcW w:w="460" w:type="pct"/>
            <w:noWrap/>
            <w:vAlign w:val="center"/>
          </w:tcPr>
          <w:p w14:paraId="271D47A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44.10</w:t>
            </w:r>
          </w:p>
        </w:tc>
        <w:tc>
          <w:tcPr>
            <w:tcW w:w="383" w:type="pct"/>
            <w:noWrap/>
            <w:vAlign w:val="center"/>
          </w:tcPr>
          <w:p w14:paraId="7D0026A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616213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9C08E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18.10</w:t>
            </w:r>
          </w:p>
        </w:tc>
        <w:tc>
          <w:tcPr>
            <w:tcW w:w="388" w:type="pct"/>
            <w:noWrap/>
            <w:vAlign w:val="center"/>
          </w:tcPr>
          <w:p w14:paraId="1C2F08C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B72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4658B0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240</w:t>
            </w:r>
          </w:p>
        </w:tc>
        <w:tc>
          <w:tcPr>
            <w:tcW w:w="212" w:type="pct"/>
            <w:vMerge w:val="continue"/>
            <w:noWrap/>
            <w:vAlign w:val="center"/>
          </w:tcPr>
          <w:p w14:paraId="7CB11C5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2C8344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699136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236F80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C472F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-10.01</w:t>
            </w:r>
          </w:p>
        </w:tc>
        <w:tc>
          <w:tcPr>
            <w:tcW w:w="397" w:type="pct"/>
            <w:noWrap/>
            <w:vAlign w:val="center"/>
          </w:tcPr>
          <w:p w14:paraId="386441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49.84</w:t>
            </w:r>
          </w:p>
        </w:tc>
        <w:tc>
          <w:tcPr>
            <w:tcW w:w="235" w:type="pct"/>
            <w:noWrap/>
            <w:vAlign w:val="center"/>
          </w:tcPr>
          <w:p w14:paraId="21ABF25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7C6218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11.89</w:t>
            </w:r>
          </w:p>
        </w:tc>
        <w:tc>
          <w:tcPr>
            <w:tcW w:w="460" w:type="pct"/>
            <w:noWrap/>
            <w:vAlign w:val="center"/>
          </w:tcPr>
          <w:p w14:paraId="4FF57C8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41.71</w:t>
            </w:r>
          </w:p>
        </w:tc>
        <w:tc>
          <w:tcPr>
            <w:tcW w:w="383" w:type="pct"/>
            <w:noWrap/>
            <w:vAlign w:val="center"/>
          </w:tcPr>
          <w:p w14:paraId="40440C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820F47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DF021D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15.71</w:t>
            </w:r>
          </w:p>
        </w:tc>
        <w:tc>
          <w:tcPr>
            <w:tcW w:w="388" w:type="pct"/>
            <w:noWrap/>
            <w:vAlign w:val="center"/>
          </w:tcPr>
          <w:p w14:paraId="62BC73E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D492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7AD256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241</w:t>
            </w:r>
          </w:p>
        </w:tc>
        <w:tc>
          <w:tcPr>
            <w:tcW w:w="212" w:type="pct"/>
            <w:vMerge w:val="continue"/>
            <w:noWrap/>
            <w:vAlign w:val="center"/>
          </w:tcPr>
          <w:p w14:paraId="3B09FCF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02D1FF4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rPr>
              <w:t>强力破碎机1</w:t>
            </w:r>
          </w:p>
        </w:tc>
        <w:tc>
          <w:tcPr>
            <w:tcW w:w="425" w:type="pct"/>
            <w:vMerge w:val="restart"/>
            <w:noWrap/>
            <w:vAlign w:val="center"/>
          </w:tcPr>
          <w:p w14:paraId="3BA8EDF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80/1</w:t>
            </w:r>
          </w:p>
        </w:tc>
        <w:tc>
          <w:tcPr>
            <w:tcW w:w="373" w:type="pct"/>
            <w:vMerge w:val="continue"/>
            <w:noWrap w:val="0"/>
            <w:vAlign w:val="center"/>
          </w:tcPr>
          <w:p w14:paraId="6FB8A3C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2CC4D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18.66</w:t>
            </w:r>
          </w:p>
        </w:tc>
        <w:tc>
          <w:tcPr>
            <w:tcW w:w="397" w:type="pct"/>
            <w:noWrap/>
            <w:vAlign w:val="center"/>
          </w:tcPr>
          <w:p w14:paraId="0A2451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59.74</w:t>
            </w:r>
          </w:p>
        </w:tc>
        <w:tc>
          <w:tcPr>
            <w:tcW w:w="235" w:type="pct"/>
            <w:noWrap/>
            <w:vAlign w:val="center"/>
          </w:tcPr>
          <w:p w14:paraId="1FC7C93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2A39B1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44.64</w:t>
            </w:r>
          </w:p>
        </w:tc>
        <w:tc>
          <w:tcPr>
            <w:tcW w:w="460" w:type="pct"/>
            <w:noWrap/>
            <w:vAlign w:val="center"/>
          </w:tcPr>
          <w:p w14:paraId="665CCE4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48.62</w:t>
            </w:r>
          </w:p>
        </w:tc>
        <w:tc>
          <w:tcPr>
            <w:tcW w:w="383" w:type="pct"/>
            <w:noWrap/>
            <w:vAlign w:val="center"/>
          </w:tcPr>
          <w:p w14:paraId="097D1BE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F95F34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87E075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22.62</w:t>
            </w:r>
          </w:p>
        </w:tc>
        <w:tc>
          <w:tcPr>
            <w:tcW w:w="388" w:type="pct"/>
            <w:noWrap/>
            <w:vAlign w:val="center"/>
          </w:tcPr>
          <w:p w14:paraId="0E45A6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F16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817CC3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242</w:t>
            </w:r>
          </w:p>
        </w:tc>
        <w:tc>
          <w:tcPr>
            <w:tcW w:w="212" w:type="pct"/>
            <w:vMerge w:val="continue"/>
            <w:noWrap/>
            <w:vAlign w:val="center"/>
          </w:tcPr>
          <w:p w14:paraId="2F9BA26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CB67F6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EFFF40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C09B9A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AC4FE0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18.66</w:t>
            </w:r>
          </w:p>
        </w:tc>
        <w:tc>
          <w:tcPr>
            <w:tcW w:w="397" w:type="pct"/>
            <w:noWrap/>
            <w:vAlign w:val="center"/>
          </w:tcPr>
          <w:p w14:paraId="4530C3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59.74</w:t>
            </w:r>
          </w:p>
        </w:tc>
        <w:tc>
          <w:tcPr>
            <w:tcW w:w="235" w:type="pct"/>
            <w:noWrap/>
            <w:vAlign w:val="center"/>
          </w:tcPr>
          <w:p w14:paraId="14EABE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0FDB0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59.35</w:t>
            </w:r>
          </w:p>
        </w:tc>
        <w:tc>
          <w:tcPr>
            <w:tcW w:w="460" w:type="pct"/>
            <w:noWrap/>
            <w:vAlign w:val="center"/>
          </w:tcPr>
          <w:p w14:paraId="69549FD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48.57</w:t>
            </w:r>
          </w:p>
        </w:tc>
        <w:tc>
          <w:tcPr>
            <w:tcW w:w="383" w:type="pct"/>
            <w:noWrap/>
            <w:vAlign w:val="center"/>
          </w:tcPr>
          <w:p w14:paraId="58A2476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E931FD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E6B2B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22.57</w:t>
            </w:r>
          </w:p>
        </w:tc>
        <w:tc>
          <w:tcPr>
            <w:tcW w:w="388" w:type="pct"/>
            <w:noWrap/>
            <w:vAlign w:val="center"/>
          </w:tcPr>
          <w:p w14:paraId="6AA67AF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EEB7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AD1CB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243</w:t>
            </w:r>
          </w:p>
        </w:tc>
        <w:tc>
          <w:tcPr>
            <w:tcW w:w="212" w:type="pct"/>
            <w:vMerge w:val="continue"/>
            <w:noWrap/>
            <w:vAlign w:val="center"/>
          </w:tcPr>
          <w:p w14:paraId="2F888B8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224B81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84FD72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29622A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322799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18.66</w:t>
            </w:r>
          </w:p>
        </w:tc>
        <w:tc>
          <w:tcPr>
            <w:tcW w:w="397" w:type="pct"/>
            <w:noWrap/>
            <w:vAlign w:val="center"/>
          </w:tcPr>
          <w:p w14:paraId="4FEAC62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59.74</w:t>
            </w:r>
          </w:p>
        </w:tc>
        <w:tc>
          <w:tcPr>
            <w:tcW w:w="235" w:type="pct"/>
            <w:noWrap/>
            <w:vAlign w:val="center"/>
          </w:tcPr>
          <w:p w14:paraId="35CB04C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F5069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56.12</w:t>
            </w:r>
          </w:p>
        </w:tc>
        <w:tc>
          <w:tcPr>
            <w:tcW w:w="460" w:type="pct"/>
            <w:noWrap/>
            <w:vAlign w:val="center"/>
          </w:tcPr>
          <w:p w14:paraId="20A8A82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48.58</w:t>
            </w:r>
          </w:p>
        </w:tc>
        <w:tc>
          <w:tcPr>
            <w:tcW w:w="383" w:type="pct"/>
            <w:noWrap/>
            <w:vAlign w:val="center"/>
          </w:tcPr>
          <w:p w14:paraId="3D4BDC8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E937ED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8EFDB3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22.58</w:t>
            </w:r>
          </w:p>
        </w:tc>
        <w:tc>
          <w:tcPr>
            <w:tcW w:w="388" w:type="pct"/>
            <w:noWrap/>
            <w:vAlign w:val="center"/>
          </w:tcPr>
          <w:p w14:paraId="36FE05F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1AE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22F18A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244</w:t>
            </w:r>
          </w:p>
        </w:tc>
        <w:tc>
          <w:tcPr>
            <w:tcW w:w="212" w:type="pct"/>
            <w:vMerge w:val="continue"/>
            <w:noWrap/>
            <w:vAlign w:val="center"/>
          </w:tcPr>
          <w:p w14:paraId="4106AAB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E9C6BB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3A8C9B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6F2301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C5F9F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18.66</w:t>
            </w:r>
          </w:p>
        </w:tc>
        <w:tc>
          <w:tcPr>
            <w:tcW w:w="397" w:type="pct"/>
            <w:noWrap/>
            <w:vAlign w:val="center"/>
          </w:tcPr>
          <w:p w14:paraId="37EF90B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59.74</w:t>
            </w:r>
          </w:p>
        </w:tc>
        <w:tc>
          <w:tcPr>
            <w:tcW w:w="235" w:type="pct"/>
            <w:noWrap/>
            <w:vAlign w:val="center"/>
          </w:tcPr>
          <w:p w14:paraId="7F0E157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3F39EB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3.51</w:t>
            </w:r>
          </w:p>
        </w:tc>
        <w:tc>
          <w:tcPr>
            <w:tcW w:w="460" w:type="pct"/>
            <w:noWrap/>
            <w:vAlign w:val="center"/>
          </w:tcPr>
          <w:p w14:paraId="7508028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55.16</w:t>
            </w:r>
          </w:p>
        </w:tc>
        <w:tc>
          <w:tcPr>
            <w:tcW w:w="383" w:type="pct"/>
            <w:noWrap/>
            <w:vAlign w:val="center"/>
          </w:tcPr>
          <w:p w14:paraId="54A9D76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8D87BA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B1F850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29.16</w:t>
            </w:r>
          </w:p>
        </w:tc>
        <w:tc>
          <w:tcPr>
            <w:tcW w:w="388" w:type="pct"/>
            <w:noWrap/>
            <w:vAlign w:val="center"/>
          </w:tcPr>
          <w:p w14:paraId="6F52CE6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014B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619C42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245</w:t>
            </w:r>
          </w:p>
        </w:tc>
        <w:tc>
          <w:tcPr>
            <w:tcW w:w="212" w:type="pct"/>
            <w:vMerge w:val="continue"/>
            <w:noWrap/>
            <w:vAlign w:val="center"/>
          </w:tcPr>
          <w:p w14:paraId="2CD89B1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AAB1B0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6476F2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E4CE38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87B136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18.66</w:t>
            </w:r>
          </w:p>
        </w:tc>
        <w:tc>
          <w:tcPr>
            <w:tcW w:w="397" w:type="pct"/>
            <w:noWrap/>
            <w:vAlign w:val="center"/>
          </w:tcPr>
          <w:p w14:paraId="46FB1A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59.74</w:t>
            </w:r>
          </w:p>
        </w:tc>
        <w:tc>
          <w:tcPr>
            <w:tcW w:w="235" w:type="pct"/>
            <w:noWrap/>
            <w:vAlign w:val="center"/>
          </w:tcPr>
          <w:p w14:paraId="3710E47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BE615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8.28</w:t>
            </w:r>
          </w:p>
        </w:tc>
        <w:tc>
          <w:tcPr>
            <w:tcW w:w="460" w:type="pct"/>
            <w:noWrap/>
            <w:vAlign w:val="center"/>
          </w:tcPr>
          <w:p w14:paraId="4CD7BD2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50.69</w:t>
            </w:r>
          </w:p>
        </w:tc>
        <w:tc>
          <w:tcPr>
            <w:tcW w:w="383" w:type="pct"/>
            <w:noWrap/>
            <w:vAlign w:val="center"/>
          </w:tcPr>
          <w:p w14:paraId="139E77F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347AE7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14D705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24.69</w:t>
            </w:r>
          </w:p>
        </w:tc>
        <w:tc>
          <w:tcPr>
            <w:tcW w:w="388" w:type="pct"/>
            <w:noWrap/>
            <w:vAlign w:val="center"/>
          </w:tcPr>
          <w:p w14:paraId="5037B52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B86B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788460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246</w:t>
            </w:r>
          </w:p>
        </w:tc>
        <w:tc>
          <w:tcPr>
            <w:tcW w:w="212" w:type="pct"/>
            <w:vMerge w:val="continue"/>
            <w:noWrap/>
            <w:vAlign w:val="center"/>
          </w:tcPr>
          <w:p w14:paraId="032B301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FCA1B0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F4416E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FCDE3C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AF9958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18.66</w:t>
            </w:r>
          </w:p>
        </w:tc>
        <w:tc>
          <w:tcPr>
            <w:tcW w:w="397" w:type="pct"/>
            <w:noWrap/>
            <w:vAlign w:val="center"/>
          </w:tcPr>
          <w:p w14:paraId="6662E13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59.74</w:t>
            </w:r>
          </w:p>
        </w:tc>
        <w:tc>
          <w:tcPr>
            <w:tcW w:w="235" w:type="pct"/>
            <w:noWrap/>
            <w:vAlign w:val="center"/>
          </w:tcPr>
          <w:p w14:paraId="28010D1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AA967C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39.17</w:t>
            </w:r>
          </w:p>
        </w:tc>
        <w:tc>
          <w:tcPr>
            <w:tcW w:w="460" w:type="pct"/>
            <w:noWrap/>
            <w:vAlign w:val="center"/>
          </w:tcPr>
          <w:p w14:paraId="7627654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48.64</w:t>
            </w:r>
          </w:p>
        </w:tc>
        <w:tc>
          <w:tcPr>
            <w:tcW w:w="383" w:type="pct"/>
            <w:noWrap/>
            <w:vAlign w:val="center"/>
          </w:tcPr>
          <w:p w14:paraId="67BD714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20956F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7CB38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22.64</w:t>
            </w:r>
          </w:p>
        </w:tc>
        <w:tc>
          <w:tcPr>
            <w:tcW w:w="388" w:type="pct"/>
            <w:noWrap/>
            <w:vAlign w:val="center"/>
          </w:tcPr>
          <w:p w14:paraId="2D05CD9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13C7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7F41E8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247</w:t>
            </w:r>
          </w:p>
        </w:tc>
        <w:tc>
          <w:tcPr>
            <w:tcW w:w="212" w:type="pct"/>
            <w:vMerge w:val="continue"/>
            <w:noWrap/>
            <w:vAlign w:val="center"/>
          </w:tcPr>
          <w:p w14:paraId="3DBA116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6D26FEDF">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eastAsia="zh-CN"/>
              </w:rPr>
            </w:pPr>
            <w:r>
              <w:rPr>
                <w:rFonts w:hint="default" w:ascii="Times New Roman" w:hAnsi="Times New Roman" w:eastAsia="宋体" w:cs="Times New Roman"/>
                <w:i w:val="0"/>
                <w:iCs w:val="0"/>
                <w:color w:val="auto"/>
                <w:sz w:val="21"/>
                <w:szCs w:val="21"/>
                <w:u w:val="none"/>
              </w:rPr>
              <w:t>强力破碎机</w:t>
            </w:r>
            <w:r>
              <w:rPr>
                <w:rFonts w:hint="eastAsia" w:ascii="Times New Roman" w:hAnsi="Times New Roman" w:eastAsia="宋体" w:cs="Times New Roman"/>
                <w:i w:val="0"/>
                <w:iCs w:val="0"/>
                <w:color w:val="auto"/>
                <w:sz w:val="21"/>
                <w:szCs w:val="21"/>
                <w:u w:val="none"/>
                <w:lang w:val="en-US" w:eastAsia="zh-CN"/>
              </w:rPr>
              <w:t>2</w:t>
            </w:r>
          </w:p>
        </w:tc>
        <w:tc>
          <w:tcPr>
            <w:tcW w:w="425" w:type="pct"/>
            <w:vMerge w:val="restart"/>
            <w:noWrap/>
            <w:vAlign w:val="center"/>
          </w:tcPr>
          <w:p w14:paraId="5E754EF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80/1</w:t>
            </w:r>
          </w:p>
        </w:tc>
        <w:tc>
          <w:tcPr>
            <w:tcW w:w="373" w:type="pct"/>
            <w:vMerge w:val="continue"/>
            <w:noWrap w:val="0"/>
            <w:vAlign w:val="center"/>
          </w:tcPr>
          <w:p w14:paraId="0DB60E0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5698B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19.93</w:t>
            </w:r>
          </w:p>
        </w:tc>
        <w:tc>
          <w:tcPr>
            <w:tcW w:w="397" w:type="pct"/>
            <w:noWrap/>
            <w:vAlign w:val="center"/>
          </w:tcPr>
          <w:p w14:paraId="1A06363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57.5</w:t>
            </w:r>
          </w:p>
        </w:tc>
        <w:tc>
          <w:tcPr>
            <w:tcW w:w="235" w:type="pct"/>
            <w:noWrap/>
            <w:vAlign w:val="center"/>
          </w:tcPr>
          <w:p w14:paraId="0FCBC54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1EE331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44.75</w:t>
            </w:r>
          </w:p>
        </w:tc>
        <w:tc>
          <w:tcPr>
            <w:tcW w:w="460" w:type="pct"/>
            <w:noWrap/>
            <w:vAlign w:val="center"/>
          </w:tcPr>
          <w:p w14:paraId="647B13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48.61</w:t>
            </w:r>
          </w:p>
        </w:tc>
        <w:tc>
          <w:tcPr>
            <w:tcW w:w="383" w:type="pct"/>
            <w:noWrap/>
            <w:vAlign w:val="center"/>
          </w:tcPr>
          <w:p w14:paraId="29A8F9C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62E179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DD8A2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22.61</w:t>
            </w:r>
          </w:p>
        </w:tc>
        <w:tc>
          <w:tcPr>
            <w:tcW w:w="388" w:type="pct"/>
            <w:noWrap/>
            <w:vAlign w:val="center"/>
          </w:tcPr>
          <w:p w14:paraId="73C0C07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47F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5F69CA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248</w:t>
            </w:r>
          </w:p>
        </w:tc>
        <w:tc>
          <w:tcPr>
            <w:tcW w:w="212" w:type="pct"/>
            <w:vMerge w:val="continue"/>
            <w:noWrap/>
            <w:vAlign w:val="center"/>
          </w:tcPr>
          <w:p w14:paraId="725E5D7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7197C0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32169F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27A9AE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649330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19.93</w:t>
            </w:r>
          </w:p>
        </w:tc>
        <w:tc>
          <w:tcPr>
            <w:tcW w:w="397" w:type="pct"/>
            <w:noWrap/>
            <w:vAlign w:val="center"/>
          </w:tcPr>
          <w:p w14:paraId="279BE77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57.5</w:t>
            </w:r>
          </w:p>
        </w:tc>
        <w:tc>
          <w:tcPr>
            <w:tcW w:w="235" w:type="pct"/>
            <w:noWrap/>
            <w:vAlign w:val="center"/>
          </w:tcPr>
          <w:p w14:paraId="6A961B4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166D10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57.06</w:t>
            </w:r>
          </w:p>
        </w:tc>
        <w:tc>
          <w:tcPr>
            <w:tcW w:w="460" w:type="pct"/>
            <w:noWrap/>
            <w:vAlign w:val="center"/>
          </w:tcPr>
          <w:p w14:paraId="438DE60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48.58</w:t>
            </w:r>
          </w:p>
        </w:tc>
        <w:tc>
          <w:tcPr>
            <w:tcW w:w="383" w:type="pct"/>
            <w:noWrap/>
            <w:vAlign w:val="center"/>
          </w:tcPr>
          <w:p w14:paraId="6184F01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EC9A7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68672C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22.58</w:t>
            </w:r>
          </w:p>
        </w:tc>
        <w:tc>
          <w:tcPr>
            <w:tcW w:w="388" w:type="pct"/>
            <w:noWrap/>
            <w:vAlign w:val="center"/>
          </w:tcPr>
          <w:p w14:paraId="0A5A7EA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9DFB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1A724A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249</w:t>
            </w:r>
          </w:p>
        </w:tc>
        <w:tc>
          <w:tcPr>
            <w:tcW w:w="212" w:type="pct"/>
            <w:vMerge w:val="continue"/>
            <w:noWrap/>
            <w:vAlign w:val="center"/>
          </w:tcPr>
          <w:p w14:paraId="4D4D999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07295F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EFB9EB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0B4A3D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AEE06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19.93</w:t>
            </w:r>
          </w:p>
        </w:tc>
        <w:tc>
          <w:tcPr>
            <w:tcW w:w="397" w:type="pct"/>
            <w:noWrap/>
            <w:vAlign w:val="center"/>
          </w:tcPr>
          <w:p w14:paraId="176869E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57.5</w:t>
            </w:r>
          </w:p>
        </w:tc>
        <w:tc>
          <w:tcPr>
            <w:tcW w:w="235" w:type="pct"/>
            <w:noWrap/>
            <w:vAlign w:val="center"/>
          </w:tcPr>
          <w:p w14:paraId="35D9784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CFEF4D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53.59</w:t>
            </w:r>
          </w:p>
        </w:tc>
        <w:tc>
          <w:tcPr>
            <w:tcW w:w="460" w:type="pct"/>
            <w:noWrap/>
            <w:vAlign w:val="center"/>
          </w:tcPr>
          <w:p w14:paraId="1BE8A09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48.59</w:t>
            </w:r>
          </w:p>
        </w:tc>
        <w:tc>
          <w:tcPr>
            <w:tcW w:w="383" w:type="pct"/>
            <w:noWrap/>
            <w:vAlign w:val="center"/>
          </w:tcPr>
          <w:p w14:paraId="3A972BE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7637FC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135D25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22.59</w:t>
            </w:r>
          </w:p>
        </w:tc>
        <w:tc>
          <w:tcPr>
            <w:tcW w:w="388" w:type="pct"/>
            <w:noWrap/>
            <w:vAlign w:val="center"/>
          </w:tcPr>
          <w:p w14:paraId="283283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A150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CDD607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250</w:t>
            </w:r>
          </w:p>
        </w:tc>
        <w:tc>
          <w:tcPr>
            <w:tcW w:w="212" w:type="pct"/>
            <w:vMerge w:val="continue"/>
            <w:noWrap/>
            <w:vAlign w:val="center"/>
          </w:tcPr>
          <w:p w14:paraId="656E5F8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448EB7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B0A16D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0DD4ED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715D3F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19.93</w:t>
            </w:r>
          </w:p>
        </w:tc>
        <w:tc>
          <w:tcPr>
            <w:tcW w:w="397" w:type="pct"/>
            <w:noWrap/>
            <w:vAlign w:val="center"/>
          </w:tcPr>
          <w:p w14:paraId="0A6BB19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57.5</w:t>
            </w:r>
          </w:p>
        </w:tc>
        <w:tc>
          <w:tcPr>
            <w:tcW w:w="235" w:type="pct"/>
            <w:noWrap/>
            <w:vAlign w:val="center"/>
          </w:tcPr>
          <w:p w14:paraId="7F101B1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22026E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3.50</w:t>
            </w:r>
          </w:p>
        </w:tc>
        <w:tc>
          <w:tcPr>
            <w:tcW w:w="460" w:type="pct"/>
            <w:noWrap/>
            <w:vAlign w:val="center"/>
          </w:tcPr>
          <w:p w14:paraId="701E73D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55.18</w:t>
            </w:r>
          </w:p>
        </w:tc>
        <w:tc>
          <w:tcPr>
            <w:tcW w:w="383" w:type="pct"/>
            <w:noWrap/>
            <w:vAlign w:val="center"/>
          </w:tcPr>
          <w:p w14:paraId="314A54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32E7C7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71749D2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29.18</w:t>
            </w:r>
          </w:p>
        </w:tc>
        <w:tc>
          <w:tcPr>
            <w:tcW w:w="388" w:type="pct"/>
            <w:noWrap/>
            <w:vAlign w:val="center"/>
          </w:tcPr>
          <w:p w14:paraId="0CE63B3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EBA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BF3C20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251</w:t>
            </w:r>
          </w:p>
        </w:tc>
        <w:tc>
          <w:tcPr>
            <w:tcW w:w="212" w:type="pct"/>
            <w:vMerge w:val="continue"/>
            <w:noWrap/>
            <w:vAlign w:val="center"/>
          </w:tcPr>
          <w:p w14:paraId="5F0F106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FC6ABF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5F0047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92340E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55CF4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19.93</w:t>
            </w:r>
          </w:p>
        </w:tc>
        <w:tc>
          <w:tcPr>
            <w:tcW w:w="397" w:type="pct"/>
            <w:noWrap/>
            <w:vAlign w:val="center"/>
          </w:tcPr>
          <w:p w14:paraId="1687DB8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57.5</w:t>
            </w:r>
          </w:p>
        </w:tc>
        <w:tc>
          <w:tcPr>
            <w:tcW w:w="235" w:type="pct"/>
            <w:noWrap/>
            <w:vAlign w:val="center"/>
          </w:tcPr>
          <w:p w14:paraId="610872D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2876EC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10.84</w:t>
            </w:r>
          </w:p>
        </w:tc>
        <w:tc>
          <w:tcPr>
            <w:tcW w:w="460" w:type="pct"/>
            <w:noWrap/>
            <w:vAlign w:val="center"/>
          </w:tcPr>
          <w:p w14:paraId="743AB28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49.92</w:t>
            </w:r>
          </w:p>
        </w:tc>
        <w:tc>
          <w:tcPr>
            <w:tcW w:w="383" w:type="pct"/>
            <w:noWrap/>
            <w:vAlign w:val="center"/>
          </w:tcPr>
          <w:p w14:paraId="535E3DF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72DFC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96CBBC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23.92</w:t>
            </w:r>
          </w:p>
        </w:tc>
        <w:tc>
          <w:tcPr>
            <w:tcW w:w="388" w:type="pct"/>
            <w:noWrap/>
            <w:vAlign w:val="center"/>
          </w:tcPr>
          <w:p w14:paraId="5DEF243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323B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F68FF4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252</w:t>
            </w:r>
          </w:p>
        </w:tc>
        <w:tc>
          <w:tcPr>
            <w:tcW w:w="212" w:type="pct"/>
            <w:vMerge w:val="continue"/>
            <w:noWrap/>
            <w:vAlign w:val="center"/>
          </w:tcPr>
          <w:p w14:paraId="4212C24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F6585C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3CF43C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A823FB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C213C3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19.93</w:t>
            </w:r>
          </w:p>
        </w:tc>
        <w:tc>
          <w:tcPr>
            <w:tcW w:w="397" w:type="pct"/>
            <w:noWrap/>
            <w:vAlign w:val="center"/>
          </w:tcPr>
          <w:p w14:paraId="112469C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57.5</w:t>
            </w:r>
          </w:p>
        </w:tc>
        <w:tc>
          <w:tcPr>
            <w:tcW w:w="235" w:type="pct"/>
            <w:noWrap/>
            <w:vAlign w:val="center"/>
          </w:tcPr>
          <w:p w14:paraId="6CA7E14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16FDAB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38.48</w:t>
            </w:r>
          </w:p>
        </w:tc>
        <w:tc>
          <w:tcPr>
            <w:tcW w:w="460" w:type="pct"/>
            <w:noWrap/>
            <w:vAlign w:val="center"/>
          </w:tcPr>
          <w:p w14:paraId="012BED3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48.65</w:t>
            </w:r>
          </w:p>
        </w:tc>
        <w:tc>
          <w:tcPr>
            <w:tcW w:w="383" w:type="pct"/>
            <w:noWrap/>
            <w:vAlign w:val="center"/>
          </w:tcPr>
          <w:p w14:paraId="7AB1F25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E6E637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427374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22.65</w:t>
            </w:r>
          </w:p>
        </w:tc>
        <w:tc>
          <w:tcPr>
            <w:tcW w:w="388" w:type="pct"/>
            <w:noWrap/>
            <w:vAlign w:val="center"/>
          </w:tcPr>
          <w:p w14:paraId="4595B4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B46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5BD280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253</w:t>
            </w:r>
          </w:p>
        </w:tc>
        <w:tc>
          <w:tcPr>
            <w:tcW w:w="212" w:type="pct"/>
            <w:vMerge w:val="continue"/>
            <w:noWrap/>
            <w:vAlign w:val="center"/>
          </w:tcPr>
          <w:p w14:paraId="4E9F64D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3315F6A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rPr>
              <w:t>空压机</w:t>
            </w:r>
          </w:p>
        </w:tc>
        <w:tc>
          <w:tcPr>
            <w:tcW w:w="425" w:type="pct"/>
            <w:vMerge w:val="restart"/>
            <w:noWrap/>
            <w:vAlign w:val="center"/>
          </w:tcPr>
          <w:p w14:paraId="40DCFB1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80/1</w:t>
            </w:r>
          </w:p>
        </w:tc>
        <w:tc>
          <w:tcPr>
            <w:tcW w:w="373" w:type="pct"/>
            <w:vMerge w:val="continue"/>
            <w:noWrap w:val="0"/>
            <w:vAlign w:val="center"/>
          </w:tcPr>
          <w:p w14:paraId="51FFF4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7031C1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12.3</w:t>
            </w:r>
          </w:p>
        </w:tc>
        <w:tc>
          <w:tcPr>
            <w:tcW w:w="397" w:type="pct"/>
            <w:noWrap/>
            <w:vAlign w:val="center"/>
          </w:tcPr>
          <w:p w14:paraId="5F8E70F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w:t>
            </w:r>
          </w:p>
        </w:tc>
        <w:tc>
          <w:tcPr>
            <w:tcW w:w="235" w:type="pct"/>
            <w:noWrap/>
            <w:vAlign w:val="center"/>
          </w:tcPr>
          <w:p w14:paraId="47FA595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76C26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13.63</w:t>
            </w:r>
          </w:p>
        </w:tc>
        <w:tc>
          <w:tcPr>
            <w:tcW w:w="460" w:type="pct"/>
            <w:noWrap/>
            <w:vAlign w:val="center"/>
          </w:tcPr>
          <w:p w14:paraId="4A5DA88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61.45</w:t>
            </w:r>
          </w:p>
        </w:tc>
        <w:tc>
          <w:tcPr>
            <w:tcW w:w="383" w:type="pct"/>
            <w:noWrap/>
            <w:vAlign w:val="center"/>
          </w:tcPr>
          <w:p w14:paraId="4C9DE46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50DC97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252D01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35.45</w:t>
            </w:r>
          </w:p>
        </w:tc>
        <w:tc>
          <w:tcPr>
            <w:tcW w:w="388" w:type="pct"/>
            <w:noWrap/>
            <w:vAlign w:val="center"/>
          </w:tcPr>
          <w:p w14:paraId="70DBF03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8F3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84A54A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254</w:t>
            </w:r>
          </w:p>
        </w:tc>
        <w:tc>
          <w:tcPr>
            <w:tcW w:w="212" w:type="pct"/>
            <w:vMerge w:val="continue"/>
            <w:noWrap/>
            <w:vAlign w:val="center"/>
          </w:tcPr>
          <w:p w14:paraId="4707CC0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E70544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6D6F6B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37E609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90A05E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12.3</w:t>
            </w:r>
          </w:p>
        </w:tc>
        <w:tc>
          <w:tcPr>
            <w:tcW w:w="397" w:type="pct"/>
            <w:noWrap/>
            <w:vAlign w:val="center"/>
          </w:tcPr>
          <w:p w14:paraId="6E4FCD4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w:t>
            </w:r>
          </w:p>
        </w:tc>
        <w:tc>
          <w:tcPr>
            <w:tcW w:w="235" w:type="pct"/>
            <w:noWrap/>
            <w:vAlign w:val="center"/>
          </w:tcPr>
          <w:p w14:paraId="3DD1C8A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04B378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3.99</w:t>
            </w:r>
          </w:p>
        </w:tc>
        <w:tc>
          <w:tcPr>
            <w:tcW w:w="460" w:type="pct"/>
            <w:noWrap/>
            <w:vAlign w:val="center"/>
          </w:tcPr>
          <w:p w14:paraId="0070475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66.32</w:t>
            </w:r>
          </w:p>
        </w:tc>
        <w:tc>
          <w:tcPr>
            <w:tcW w:w="383" w:type="pct"/>
            <w:noWrap/>
            <w:vAlign w:val="center"/>
          </w:tcPr>
          <w:p w14:paraId="4919110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216341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C5675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40.32</w:t>
            </w:r>
          </w:p>
        </w:tc>
        <w:tc>
          <w:tcPr>
            <w:tcW w:w="388" w:type="pct"/>
            <w:noWrap/>
            <w:vAlign w:val="center"/>
          </w:tcPr>
          <w:p w14:paraId="3784D7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D5D8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29FB85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255</w:t>
            </w:r>
          </w:p>
        </w:tc>
        <w:tc>
          <w:tcPr>
            <w:tcW w:w="212" w:type="pct"/>
            <w:vMerge w:val="continue"/>
            <w:noWrap/>
            <w:vAlign w:val="center"/>
          </w:tcPr>
          <w:p w14:paraId="6ED259E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1E3E4B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F6E573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41C4E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78BABE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12.3</w:t>
            </w:r>
          </w:p>
        </w:tc>
        <w:tc>
          <w:tcPr>
            <w:tcW w:w="397" w:type="pct"/>
            <w:noWrap/>
            <w:vAlign w:val="center"/>
          </w:tcPr>
          <w:p w14:paraId="4E06216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w:t>
            </w:r>
          </w:p>
        </w:tc>
        <w:tc>
          <w:tcPr>
            <w:tcW w:w="235" w:type="pct"/>
            <w:noWrap/>
            <w:vAlign w:val="center"/>
          </w:tcPr>
          <w:p w14:paraId="5E69B0C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5C6C8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5.37</w:t>
            </w:r>
          </w:p>
        </w:tc>
        <w:tc>
          <w:tcPr>
            <w:tcW w:w="460" w:type="pct"/>
            <w:noWrap/>
            <w:vAlign w:val="center"/>
          </w:tcPr>
          <w:p w14:paraId="7C60265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64.58</w:t>
            </w:r>
          </w:p>
        </w:tc>
        <w:tc>
          <w:tcPr>
            <w:tcW w:w="383" w:type="pct"/>
            <w:noWrap/>
            <w:vAlign w:val="center"/>
          </w:tcPr>
          <w:p w14:paraId="1B15530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4EE44C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6F221B6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38.58</w:t>
            </w:r>
          </w:p>
        </w:tc>
        <w:tc>
          <w:tcPr>
            <w:tcW w:w="388" w:type="pct"/>
            <w:noWrap/>
            <w:vAlign w:val="center"/>
          </w:tcPr>
          <w:p w14:paraId="4B1BF86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7FE0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788676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256</w:t>
            </w:r>
          </w:p>
        </w:tc>
        <w:tc>
          <w:tcPr>
            <w:tcW w:w="212" w:type="pct"/>
            <w:vMerge w:val="continue"/>
            <w:noWrap/>
            <w:vAlign w:val="center"/>
          </w:tcPr>
          <w:p w14:paraId="287B2DC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B32E44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CF37C0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B14FAA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47472D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12.3</w:t>
            </w:r>
          </w:p>
        </w:tc>
        <w:tc>
          <w:tcPr>
            <w:tcW w:w="397" w:type="pct"/>
            <w:noWrap/>
            <w:vAlign w:val="center"/>
          </w:tcPr>
          <w:p w14:paraId="471719F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w:t>
            </w:r>
          </w:p>
        </w:tc>
        <w:tc>
          <w:tcPr>
            <w:tcW w:w="235" w:type="pct"/>
            <w:noWrap/>
            <w:vAlign w:val="center"/>
          </w:tcPr>
          <w:p w14:paraId="37D939F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C6BDE0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36.44</w:t>
            </w:r>
          </w:p>
        </w:tc>
        <w:tc>
          <w:tcPr>
            <w:tcW w:w="460" w:type="pct"/>
            <w:noWrap/>
            <w:vAlign w:val="center"/>
          </w:tcPr>
          <w:p w14:paraId="5964C41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60.66</w:t>
            </w:r>
          </w:p>
        </w:tc>
        <w:tc>
          <w:tcPr>
            <w:tcW w:w="383" w:type="pct"/>
            <w:noWrap/>
            <w:vAlign w:val="center"/>
          </w:tcPr>
          <w:p w14:paraId="0423D85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09C5B6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AD6CD3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34.66</w:t>
            </w:r>
          </w:p>
        </w:tc>
        <w:tc>
          <w:tcPr>
            <w:tcW w:w="388" w:type="pct"/>
            <w:noWrap/>
            <w:vAlign w:val="center"/>
          </w:tcPr>
          <w:p w14:paraId="7A0611F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A2DC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1C9970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257</w:t>
            </w:r>
          </w:p>
        </w:tc>
        <w:tc>
          <w:tcPr>
            <w:tcW w:w="212" w:type="pct"/>
            <w:vMerge w:val="continue"/>
            <w:noWrap/>
            <w:vAlign w:val="center"/>
          </w:tcPr>
          <w:p w14:paraId="6395683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118EF99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F0F55C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0D400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1B21CE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12.3</w:t>
            </w:r>
          </w:p>
        </w:tc>
        <w:tc>
          <w:tcPr>
            <w:tcW w:w="397" w:type="pct"/>
            <w:noWrap/>
            <w:vAlign w:val="center"/>
          </w:tcPr>
          <w:p w14:paraId="36F2DA5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w:t>
            </w:r>
          </w:p>
        </w:tc>
        <w:tc>
          <w:tcPr>
            <w:tcW w:w="235" w:type="pct"/>
            <w:noWrap/>
            <w:vAlign w:val="center"/>
          </w:tcPr>
          <w:p w14:paraId="4147AA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76999E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56.72</w:t>
            </w:r>
          </w:p>
        </w:tc>
        <w:tc>
          <w:tcPr>
            <w:tcW w:w="460" w:type="pct"/>
            <w:noWrap/>
            <w:vAlign w:val="center"/>
          </w:tcPr>
          <w:p w14:paraId="6C1D7A6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60.58</w:t>
            </w:r>
          </w:p>
        </w:tc>
        <w:tc>
          <w:tcPr>
            <w:tcW w:w="383" w:type="pct"/>
            <w:noWrap/>
            <w:vAlign w:val="center"/>
          </w:tcPr>
          <w:p w14:paraId="00206ED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2B35F6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0ED9D3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34.58</w:t>
            </w:r>
          </w:p>
        </w:tc>
        <w:tc>
          <w:tcPr>
            <w:tcW w:w="388" w:type="pct"/>
            <w:noWrap/>
            <w:vAlign w:val="center"/>
          </w:tcPr>
          <w:p w14:paraId="311555D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671A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890ACE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258</w:t>
            </w:r>
          </w:p>
        </w:tc>
        <w:tc>
          <w:tcPr>
            <w:tcW w:w="212" w:type="pct"/>
            <w:vMerge w:val="continue"/>
            <w:noWrap/>
            <w:vAlign w:val="center"/>
          </w:tcPr>
          <w:p w14:paraId="6C1A0CC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B34F1E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515F19D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7C46299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627C1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12.3</w:t>
            </w:r>
          </w:p>
        </w:tc>
        <w:tc>
          <w:tcPr>
            <w:tcW w:w="397" w:type="pct"/>
            <w:noWrap/>
            <w:vAlign w:val="center"/>
          </w:tcPr>
          <w:p w14:paraId="0BCD5C8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w:t>
            </w:r>
          </w:p>
        </w:tc>
        <w:tc>
          <w:tcPr>
            <w:tcW w:w="235" w:type="pct"/>
            <w:noWrap/>
            <w:vAlign w:val="center"/>
          </w:tcPr>
          <w:p w14:paraId="78CEFB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656A2C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4.65</w:t>
            </w:r>
          </w:p>
        </w:tc>
        <w:tc>
          <w:tcPr>
            <w:tcW w:w="460" w:type="pct"/>
            <w:noWrap/>
            <w:vAlign w:val="center"/>
          </w:tcPr>
          <w:p w14:paraId="5ABEC39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65.38</w:t>
            </w:r>
          </w:p>
        </w:tc>
        <w:tc>
          <w:tcPr>
            <w:tcW w:w="383" w:type="pct"/>
            <w:noWrap/>
            <w:vAlign w:val="center"/>
          </w:tcPr>
          <w:p w14:paraId="40990E5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57F5A61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A0F0AE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39.38</w:t>
            </w:r>
          </w:p>
        </w:tc>
        <w:tc>
          <w:tcPr>
            <w:tcW w:w="388" w:type="pct"/>
            <w:noWrap/>
            <w:vAlign w:val="center"/>
          </w:tcPr>
          <w:p w14:paraId="028C628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BB2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07A29C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259</w:t>
            </w:r>
          </w:p>
        </w:tc>
        <w:tc>
          <w:tcPr>
            <w:tcW w:w="212" w:type="pct"/>
            <w:vMerge w:val="continue"/>
            <w:noWrap/>
            <w:vAlign w:val="center"/>
          </w:tcPr>
          <w:p w14:paraId="0DCD6F0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4C0D9A6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rPr>
              <w:t>除湿机</w:t>
            </w:r>
          </w:p>
        </w:tc>
        <w:tc>
          <w:tcPr>
            <w:tcW w:w="425" w:type="pct"/>
            <w:vMerge w:val="restart"/>
            <w:noWrap/>
            <w:vAlign w:val="center"/>
          </w:tcPr>
          <w:p w14:paraId="346C9B2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60/1</w:t>
            </w:r>
          </w:p>
        </w:tc>
        <w:tc>
          <w:tcPr>
            <w:tcW w:w="373" w:type="pct"/>
            <w:vMerge w:val="continue"/>
            <w:noWrap w:val="0"/>
            <w:vAlign w:val="center"/>
          </w:tcPr>
          <w:p w14:paraId="6D7733A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689B64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13.4</w:t>
            </w:r>
          </w:p>
        </w:tc>
        <w:tc>
          <w:tcPr>
            <w:tcW w:w="397" w:type="pct"/>
            <w:noWrap/>
            <w:vAlign w:val="center"/>
          </w:tcPr>
          <w:p w14:paraId="6BD4C79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2.44</w:t>
            </w:r>
          </w:p>
        </w:tc>
        <w:tc>
          <w:tcPr>
            <w:tcW w:w="235" w:type="pct"/>
            <w:noWrap/>
            <w:vAlign w:val="center"/>
          </w:tcPr>
          <w:p w14:paraId="6D00862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D95E6C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13.83</w:t>
            </w:r>
          </w:p>
        </w:tc>
        <w:tc>
          <w:tcPr>
            <w:tcW w:w="460" w:type="pct"/>
            <w:noWrap/>
            <w:vAlign w:val="center"/>
          </w:tcPr>
          <w:p w14:paraId="423109E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41.43</w:t>
            </w:r>
          </w:p>
        </w:tc>
        <w:tc>
          <w:tcPr>
            <w:tcW w:w="383" w:type="pct"/>
            <w:noWrap/>
            <w:vAlign w:val="center"/>
          </w:tcPr>
          <w:p w14:paraId="4C63919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BEBD50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DFE79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15.43</w:t>
            </w:r>
          </w:p>
        </w:tc>
        <w:tc>
          <w:tcPr>
            <w:tcW w:w="388" w:type="pct"/>
            <w:noWrap/>
            <w:vAlign w:val="center"/>
          </w:tcPr>
          <w:p w14:paraId="602201E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8D86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A9C905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260</w:t>
            </w:r>
          </w:p>
        </w:tc>
        <w:tc>
          <w:tcPr>
            <w:tcW w:w="212" w:type="pct"/>
            <w:vMerge w:val="continue"/>
            <w:noWrap/>
            <w:vAlign w:val="center"/>
          </w:tcPr>
          <w:p w14:paraId="28EE04F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3FCE85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941B3A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222F0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EA577F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13.4</w:t>
            </w:r>
          </w:p>
        </w:tc>
        <w:tc>
          <w:tcPr>
            <w:tcW w:w="397" w:type="pct"/>
            <w:noWrap/>
            <w:vAlign w:val="center"/>
          </w:tcPr>
          <w:p w14:paraId="762206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2.44</w:t>
            </w:r>
          </w:p>
        </w:tc>
        <w:tc>
          <w:tcPr>
            <w:tcW w:w="235" w:type="pct"/>
            <w:noWrap/>
            <w:vAlign w:val="center"/>
          </w:tcPr>
          <w:p w14:paraId="6AA1D2C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22460E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2.27</w:t>
            </w:r>
          </w:p>
        </w:tc>
        <w:tc>
          <w:tcPr>
            <w:tcW w:w="460" w:type="pct"/>
            <w:noWrap/>
            <w:vAlign w:val="center"/>
          </w:tcPr>
          <w:p w14:paraId="0F507DC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50.36</w:t>
            </w:r>
          </w:p>
        </w:tc>
        <w:tc>
          <w:tcPr>
            <w:tcW w:w="383" w:type="pct"/>
            <w:noWrap/>
            <w:vAlign w:val="center"/>
          </w:tcPr>
          <w:p w14:paraId="578F140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2A7505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F1BB69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24.36</w:t>
            </w:r>
          </w:p>
        </w:tc>
        <w:tc>
          <w:tcPr>
            <w:tcW w:w="388" w:type="pct"/>
            <w:noWrap/>
            <w:vAlign w:val="center"/>
          </w:tcPr>
          <w:p w14:paraId="3B89EF2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24A4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48E32F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261</w:t>
            </w:r>
          </w:p>
        </w:tc>
        <w:tc>
          <w:tcPr>
            <w:tcW w:w="212" w:type="pct"/>
            <w:vMerge w:val="continue"/>
            <w:noWrap/>
            <w:vAlign w:val="center"/>
          </w:tcPr>
          <w:p w14:paraId="6528AC8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F56608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2E6D873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FC4BE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0335D5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13.4</w:t>
            </w:r>
          </w:p>
        </w:tc>
        <w:tc>
          <w:tcPr>
            <w:tcW w:w="397" w:type="pct"/>
            <w:noWrap/>
            <w:vAlign w:val="center"/>
          </w:tcPr>
          <w:p w14:paraId="0E9F07C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2.44</w:t>
            </w:r>
          </w:p>
        </w:tc>
        <w:tc>
          <w:tcPr>
            <w:tcW w:w="235" w:type="pct"/>
            <w:noWrap/>
            <w:vAlign w:val="center"/>
          </w:tcPr>
          <w:p w14:paraId="6377BD0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9C455E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3.42</w:t>
            </w:r>
          </w:p>
        </w:tc>
        <w:tc>
          <w:tcPr>
            <w:tcW w:w="460" w:type="pct"/>
            <w:noWrap/>
            <w:vAlign w:val="center"/>
          </w:tcPr>
          <w:p w14:paraId="0CAAB6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47.34</w:t>
            </w:r>
          </w:p>
        </w:tc>
        <w:tc>
          <w:tcPr>
            <w:tcW w:w="383" w:type="pct"/>
            <w:noWrap/>
            <w:vAlign w:val="center"/>
          </w:tcPr>
          <w:p w14:paraId="2B568B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7DCABA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0B3E09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21.34</w:t>
            </w:r>
          </w:p>
        </w:tc>
        <w:tc>
          <w:tcPr>
            <w:tcW w:w="388" w:type="pct"/>
            <w:noWrap/>
            <w:vAlign w:val="center"/>
          </w:tcPr>
          <w:p w14:paraId="3A15D82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0CFB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D4BE6D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262</w:t>
            </w:r>
          </w:p>
        </w:tc>
        <w:tc>
          <w:tcPr>
            <w:tcW w:w="212" w:type="pct"/>
            <w:vMerge w:val="continue"/>
            <w:noWrap/>
            <w:vAlign w:val="center"/>
          </w:tcPr>
          <w:p w14:paraId="3F82419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01E68F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4F8264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5F08A3D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7C872A3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13.4</w:t>
            </w:r>
          </w:p>
        </w:tc>
        <w:tc>
          <w:tcPr>
            <w:tcW w:w="397" w:type="pct"/>
            <w:noWrap/>
            <w:vAlign w:val="center"/>
          </w:tcPr>
          <w:p w14:paraId="27B9099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2.44</w:t>
            </w:r>
          </w:p>
        </w:tc>
        <w:tc>
          <w:tcPr>
            <w:tcW w:w="235" w:type="pct"/>
            <w:noWrap/>
            <w:vAlign w:val="center"/>
          </w:tcPr>
          <w:p w14:paraId="1CFAD5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9DB6D3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36.32</w:t>
            </w:r>
          </w:p>
        </w:tc>
        <w:tc>
          <w:tcPr>
            <w:tcW w:w="460" w:type="pct"/>
            <w:noWrap/>
            <w:vAlign w:val="center"/>
          </w:tcPr>
          <w:p w14:paraId="558558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40.66</w:t>
            </w:r>
          </w:p>
        </w:tc>
        <w:tc>
          <w:tcPr>
            <w:tcW w:w="383" w:type="pct"/>
            <w:noWrap/>
            <w:vAlign w:val="center"/>
          </w:tcPr>
          <w:p w14:paraId="297023D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D8F7DB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F7633B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14.66</w:t>
            </w:r>
          </w:p>
        </w:tc>
        <w:tc>
          <w:tcPr>
            <w:tcW w:w="388" w:type="pct"/>
            <w:noWrap/>
            <w:vAlign w:val="center"/>
          </w:tcPr>
          <w:p w14:paraId="62FEEA9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204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BA6ADD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263</w:t>
            </w:r>
          </w:p>
        </w:tc>
        <w:tc>
          <w:tcPr>
            <w:tcW w:w="212" w:type="pct"/>
            <w:vMerge w:val="continue"/>
            <w:noWrap/>
            <w:vAlign w:val="center"/>
          </w:tcPr>
          <w:p w14:paraId="70A0CF5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38854CC">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1DEE70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125907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A4B9F0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13.4</w:t>
            </w:r>
          </w:p>
        </w:tc>
        <w:tc>
          <w:tcPr>
            <w:tcW w:w="397" w:type="pct"/>
            <w:noWrap/>
            <w:vAlign w:val="center"/>
          </w:tcPr>
          <w:p w14:paraId="507BD26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2.44</w:t>
            </w:r>
          </w:p>
        </w:tc>
        <w:tc>
          <w:tcPr>
            <w:tcW w:w="235" w:type="pct"/>
            <w:noWrap/>
            <w:vAlign w:val="center"/>
          </w:tcPr>
          <w:p w14:paraId="2B14588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BC82E9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58.71</w:t>
            </w:r>
          </w:p>
        </w:tc>
        <w:tc>
          <w:tcPr>
            <w:tcW w:w="460" w:type="pct"/>
            <w:noWrap/>
            <w:vAlign w:val="center"/>
          </w:tcPr>
          <w:p w14:paraId="13FB8F5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40.57</w:t>
            </w:r>
          </w:p>
        </w:tc>
        <w:tc>
          <w:tcPr>
            <w:tcW w:w="383" w:type="pct"/>
            <w:noWrap/>
            <w:vAlign w:val="center"/>
          </w:tcPr>
          <w:p w14:paraId="66DB9D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671C808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E9F53F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14.57</w:t>
            </w:r>
          </w:p>
        </w:tc>
        <w:tc>
          <w:tcPr>
            <w:tcW w:w="388" w:type="pct"/>
            <w:noWrap/>
            <w:vAlign w:val="center"/>
          </w:tcPr>
          <w:p w14:paraId="079E5D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DD1C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8636F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264</w:t>
            </w:r>
          </w:p>
        </w:tc>
        <w:tc>
          <w:tcPr>
            <w:tcW w:w="212" w:type="pct"/>
            <w:vMerge w:val="continue"/>
            <w:noWrap/>
            <w:vAlign w:val="center"/>
          </w:tcPr>
          <w:p w14:paraId="2A943C09">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C90F83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7D4AFB50">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918D2E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D5429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13.4</w:t>
            </w:r>
          </w:p>
        </w:tc>
        <w:tc>
          <w:tcPr>
            <w:tcW w:w="397" w:type="pct"/>
            <w:noWrap/>
            <w:vAlign w:val="center"/>
          </w:tcPr>
          <w:p w14:paraId="5664E85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2.44</w:t>
            </w:r>
          </w:p>
        </w:tc>
        <w:tc>
          <w:tcPr>
            <w:tcW w:w="235" w:type="pct"/>
            <w:noWrap/>
            <w:vAlign w:val="center"/>
          </w:tcPr>
          <w:p w14:paraId="4AE1440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E15425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5.07</w:t>
            </w:r>
          </w:p>
        </w:tc>
        <w:tc>
          <w:tcPr>
            <w:tcW w:w="460" w:type="pct"/>
            <w:noWrap/>
            <w:vAlign w:val="center"/>
          </w:tcPr>
          <w:p w14:paraId="5336764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44.89</w:t>
            </w:r>
          </w:p>
        </w:tc>
        <w:tc>
          <w:tcPr>
            <w:tcW w:w="383" w:type="pct"/>
            <w:noWrap/>
            <w:vAlign w:val="center"/>
          </w:tcPr>
          <w:p w14:paraId="22E5415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A01A98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DB12F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18.89</w:t>
            </w:r>
          </w:p>
        </w:tc>
        <w:tc>
          <w:tcPr>
            <w:tcW w:w="388" w:type="pct"/>
            <w:noWrap/>
            <w:vAlign w:val="center"/>
          </w:tcPr>
          <w:p w14:paraId="775035A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990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434511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265</w:t>
            </w:r>
          </w:p>
        </w:tc>
        <w:tc>
          <w:tcPr>
            <w:tcW w:w="212" w:type="pct"/>
            <w:vMerge w:val="continue"/>
            <w:noWrap/>
            <w:vAlign w:val="center"/>
          </w:tcPr>
          <w:p w14:paraId="7A7ECFF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44AC7E2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rPr>
              <w:t>风机1</w:t>
            </w:r>
          </w:p>
        </w:tc>
        <w:tc>
          <w:tcPr>
            <w:tcW w:w="425" w:type="pct"/>
            <w:vMerge w:val="restart"/>
            <w:noWrap/>
            <w:vAlign w:val="center"/>
          </w:tcPr>
          <w:p w14:paraId="2B12EA7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85/1</w:t>
            </w:r>
          </w:p>
        </w:tc>
        <w:tc>
          <w:tcPr>
            <w:tcW w:w="373" w:type="pct"/>
            <w:vMerge w:val="continue"/>
            <w:noWrap w:val="0"/>
            <w:vAlign w:val="center"/>
          </w:tcPr>
          <w:p w14:paraId="1C13AA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BBAE72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23.66</w:t>
            </w:r>
          </w:p>
        </w:tc>
        <w:tc>
          <w:tcPr>
            <w:tcW w:w="397" w:type="pct"/>
            <w:noWrap/>
            <w:vAlign w:val="center"/>
          </w:tcPr>
          <w:p w14:paraId="1D40098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56.66</w:t>
            </w:r>
          </w:p>
        </w:tc>
        <w:tc>
          <w:tcPr>
            <w:tcW w:w="235" w:type="pct"/>
            <w:noWrap/>
            <w:vAlign w:val="center"/>
          </w:tcPr>
          <w:p w14:paraId="22BACBF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5BA541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47.68</w:t>
            </w:r>
          </w:p>
        </w:tc>
        <w:tc>
          <w:tcPr>
            <w:tcW w:w="460" w:type="pct"/>
            <w:noWrap/>
            <w:vAlign w:val="center"/>
          </w:tcPr>
          <w:p w14:paraId="6C7A9C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65.60</w:t>
            </w:r>
          </w:p>
        </w:tc>
        <w:tc>
          <w:tcPr>
            <w:tcW w:w="383" w:type="pct"/>
            <w:noWrap/>
            <w:vAlign w:val="center"/>
          </w:tcPr>
          <w:p w14:paraId="2F66D0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FC86FA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E4AFEE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39.60</w:t>
            </w:r>
          </w:p>
        </w:tc>
        <w:tc>
          <w:tcPr>
            <w:tcW w:w="388" w:type="pct"/>
            <w:noWrap/>
            <w:vAlign w:val="center"/>
          </w:tcPr>
          <w:p w14:paraId="4AC3A32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3BD1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72F1DD6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266</w:t>
            </w:r>
          </w:p>
        </w:tc>
        <w:tc>
          <w:tcPr>
            <w:tcW w:w="212" w:type="pct"/>
            <w:vMerge w:val="continue"/>
            <w:noWrap/>
            <w:vAlign w:val="center"/>
          </w:tcPr>
          <w:p w14:paraId="15E44E5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38E614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FAC54B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48A1545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65E7D2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23.66</w:t>
            </w:r>
          </w:p>
        </w:tc>
        <w:tc>
          <w:tcPr>
            <w:tcW w:w="397" w:type="pct"/>
            <w:noWrap/>
            <w:vAlign w:val="center"/>
          </w:tcPr>
          <w:p w14:paraId="6288A6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56.66</w:t>
            </w:r>
          </w:p>
        </w:tc>
        <w:tc>
          <w:tcPr>
            <w:tcW w:w="235" w:type="pct"/>
            <w:noWrap/>
            <w:vAlign w:val="center"/>
          </w:tcPr>
          <w:p w14:paraId="3D2B122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20C650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56.09</w:t>
            </w:r>
          </w:p>
        </w:tc>
        <w:tc>
          <w:tcPr>
            <w:tcW w:w="460" w:type="pct"/>
            <w:noWrap/>
            <w:vAlign w:val="center"/>
          </w:tcPr>
          <w:p w14:paraId="44594C7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65.58</w:t>
            </w:r>
          </w:p>
        </w:tc>
        <w:tc>
          <w:tcPr>
            <w:tcW w:w="383" w:type="pct"/>
            <w:noWrap/>
            <w:vAlign w:val="center"/>
          </w:tcPr>
          <w:p w14:paraId="3E1AF8E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1D743E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01709A3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39.58</w:t>
            </w:r>
          </w:p>
        </w:tc>
        <w:tc>
          <w:tcPr>
            <w:tcW w:w="388" w:type="pct"/>
            <w:noWrap/>
            <w:vAlign w:val="center"/>
          </w:tcPr>
          <w:p w14:paraId="2EAB02C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F46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F8891E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267</w:t>
            </w:r>
          </w:p>
        </w:tc>
        <w:tc>
          <w:tcPr>
            <w:tcW w:w="212" w:type="pct"/>
            <w:vMerge w:val="continue"/>
            <w:noWrap/>
            <w:vAlign w:val="center"/>
          </w:tcPr>
          <w:p w14:paraId="471EE7DB">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5D1C974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D8BCEA7">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F99EE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C48717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23.66</w:t>
            </w:r>
          </w:p>
        </w:tc>
        <w:tc>
          <w:tcPr>
            <w:tcW w:w="397" w:type="pct"/>
            <w:noWrap/>
            <w:vAlign w:val="center"/>
          </w:tcPr>
          <w:p w14:paraId="6DC5CFC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56.66</w:t>
            </w:r>
          </w:p>
        </w:tc>
        <w:tc>
          <w:tcPr>
            <w:tcW w:w="235" w:type="pct"/>
            <w:noWrap/>
            <w:vAlign w:val="center"/>
          </w:tcPr>
          <w:p w14:paraId="39A44F7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5BD6FD4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51.61</w:t>
            </w:r>
          </w:p>
        </w:tc>
        <w:tc>
          <w:tcPr>
            <w:tcW w:w="460" w:type="pct"/>
            <w:noWrap/>
            <w:vAlign w:val="center"/>
          </w:tcPr>
          <w:p w14:paraId="541C37A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65.59</w:t>
            </w:r>
          </w:p>
        </w:tc>
        <w:tc>
          <w:tcPr>
            <w:tcW w:w="383" w:type="pct"/>
            <w:noWrap/>
            <w:vAlign w:val="center"/>
          </w:tcPr>
          <w:p w14:paraId="40C6809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412D8D6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27CC62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39.59</w:t>
            </w:r>
          </w:p>
        </w:tc>
        <w:tc>
          <w:tcPr>
            <w:tcW w:w="388" w:type="pct"/>
            <w:noWrap/>
            <w:vAlign w:val="center"/>
          </w:tcPr>
          <w:p w14:paraId="5EC0EE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F5A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3A84F1A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268</w:t>
            </w:r>
          </w:p>
        </w:tc>
        <w:tc>
          <w:tcPr>
            <w:tcW w:w="212" w:type="pct"/>
            <w:vMerge w:val="continue"/>
            <w:noWrap/>
            <w:vAlign w:val="center"/>
          </w:tcPr>
          <w:p w14:paraId="4D068AC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1F8704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14F0D9C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B4C2F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ECE903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23.66</w:t>
            </w:r>
          </w:p>
        </w:tc>
        <w:tc>
          <w:tcPr>
            <w:tcW w:w="397" w:type="pct"/>
            <w:noWrap/>
            <w:vAlign w:val="center"/>
          </w:tcPr>
          <w:p w14:paraId="003A978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56.66</w:t>
            </w:r>
          </w:p>
        </w:tc>
        <w:tc>
          <w:tcPr>
            <w:tcW w:w="235" w:type="pct"/>
            <w:noWrap/>
            <w:vAlign w:val="center"/>
          </w:tcPr>
          <w:p w14:paraId="19E4584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7D96C93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0.67</w:t>
            </w:r>
          </w:p>
        </w:tc>
        <w:tc>
          <w:tcPr>
            <w:tcW w:w="460" w:type="pct"/>
            <w:noWrap/>
            <w:vAlign w:val="center"/>
          </w:tcPr>
          <w:p w14:paraId="6C7D339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85.53</w:t>
            </w:r>
          </w:p>
        </w:tc>
        <w:tc>
          <w:tcPr>
            <w:tcW w:w="383" w:type="pct"/>
            <w:noWrap/>
            <w:vAlign w:val="center"/>
          </w:tcPr>
          <w:p w14:paraId="1DBD942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2AEB41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C9AE09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59.53</w:t>
            </w:r>
          </w:p>
        </w:tc>
        <w:tc>
          <w:tcPr>
            <w:tcW w:w="388" w:type="pct"/>
            <w:noWrap/>
            <w:vAlign w:val="center"/>
          </w:tcPr>
          <w:p w14:paraId="4308E7A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FE2B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F540F7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269</w:t>
            </w:r>
          </w:p>
        </w:tc>
        <w:tc>
          <w:tcPr>
            <w:tcW w:w="212" w:type="pct"/>
            <w:vMerge w:val="continue"/>
            <w:noWrap/>
            <w:vAlign w:val="center"/>
          </w:tcPr>
          <w:p w14:paraId="6F4E380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204C8E3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60706F6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1C97C9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6556308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23.66</w:t>
            </w:r>
          </w:p>
        </w:tc>
        <w:tc>
          <w:tcPr>
            <w:tcW w:w="397" w:type="pct"/>
            <w:noWrap/>
            <w:vAlign w:val="center"/>
          </w:tcPr>
          <w:p w14:paraId="10077CB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56.66</w:t>
            </w:r>
          </w:p>
        </w:tc>
        <w:tc>
          <w:tcPr>
            <w:tcW w:w="235" w:type="pct"/>
            <w:noWrap/>
            <w:vAlign w:val="center"/>
          </w:tcPr>
          <w:p w14:paraId="5911C0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60F11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13.10</w:t>
            </w:r>
          </w:p>
        </w:tc>
        <w:tc>
          <w:tcPr>
            <w:tcW w:w="460" w:type="pct"/>
            <w:noWrap/>
            <w:vAlign w:val="center"/>
          </w:tcPr>
          <w:p w14:paraId="0382AF1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66.52</w:t>
            </w:r>
          </w:p>
        </w:tc>
        <w:tc>
          <w:tcPr>
            <w:tcW w:w="383" w:type="pct"/>
            <w:noWrap/>
            <w:vAlign w:val="center"/>
          </w:tcPr>
          <w:p w14:paraId="6AF351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09CFCEB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3D2A9C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40.52</w:t>
            </w:r>
          </w:p>
        </w:tc>
        <w:tc>
          <w:tcPr>
            <w:tcW w:w="388" w:type="pct"/>
            <w:noWrap/>
            <w:vAlign w:val="center"/>
          </w:tcPr>
          <w:p w14:paraId="39C2514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FC5B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4547D43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270</w:t>
            </w:r>
          </w:p>
        </w:tc>
        <w:tc>
          <w:tcPr>
            <w:tcW w:w="212" w:type="pct"/>
            <w:vMerge w:val="continue"/>
            <w:noWrap/>
            <w:vAlign w:val="center"/>
          </w:tcPr>
          <w:p w14:paraId="1D535C6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66B79E0A">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055E474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CC673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53E00E1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23.66</w:t>
            </w:r>
          </w:p>
        </w:tc>
        <w:tc>
          <w:tcPr>
            <w:tcW w:w="397" w:type="pct"/>
            <w:noWrap/>
            <w:vAlign w:val="center"/>
          </w:tcPr>
          <w:p w14:paraId="0FB55C6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56.66</w:t>
            </w:r>
          </w:p>
        </w:tc>
        <w:tc>
          <w:tcPr>
            <w:tcW w:w="235" w:type="pct"/>
            <w:noWrap/>
            <w:vAlign w:val="center"/>
          </w:tcPr>
          <w:p w14:paraId="4282CB5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186A5C8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40.52</w:t>
            </w:r>
          </w:p>
        </w:tc>
        <w:tc>
          <w:tcPr>
            <w:tcW w:w="460" w:type="pct"/>
            <w:noWrap/>
            <w:vAlign w:val="center"/>
          </w:tcPr>
          <w:p w14:paraId="7D7E133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65.64</w:t>
            </w:r>
          </w:p>
        </w:tc>
        <w:tc>
          <w:tcPr>
            <w:tcW w:w="383" w:type="pct"/>
            <w:noWrap/>
            <w:vAlign w:val="center"/>
          </w:tcPr>
          <w:p w14:paraId="2201190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2934097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4CA1BF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39.64</w:t>
            </w:r>
          </w:p>
        </w:tc>
        <w:tc>
          <w:tcPr>
            <w:tcW w:w="388" w:type="pct"/>
            <w:noWrap/>
            <w:vAlign w:val="center"/>
          </w:tcPr>
          <w:p w14:paraId="127B0FA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0BE25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4366AA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271</w:t>
            </w:r>
          </w:p>
        </w:tc>
        <w:tc>
          <w:tcPr>
            <w:tcW w:w="212" w:type="pct"/>
            <w:vMerge w:val="continue"/>
            <w:noWrap/>
            <w:vAlign w:val="center"/>
          </w:tcPr>
          <w:p w14:paraId="5054EFD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restart"/>
            <w:noWrap/>
            <w:vAlign w:val="center"/>
          </w:tcPr>
          <w:p w14:paraId="73664498">
            <w:pPr>
              <w:keepNext w:val="0"/>
              <w:keepLines w:val="0"/>
              <w:pageBreakBefore w:val="0"/>
              <w:widowControl/>
              <w:kinsoku/>
              <w:wordWrap/>
              <w:overflowPunct/>
              <w:topLinePunct w:val="0"/>
              <w:autoSpaceDE/>
              <w:autoSpaceDN/>
              <w:bidi w:val="0"/>
              <w:adjustRightInd/>
              <w:snapToGrid w:val="0"/>
              <w:jc w:val="center"/>
              <w:rPr>
                <w:rFonts w:hint="eastAsia"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rPr>
              <w:t>风机</w:t>
            </w:r>
            <w:r>
              <w:rPr>
                <w:rFonts w:hint="eastAsia" w:ascii="Times New Roman" w:hAnsi="Times New Roman" w:eastAsia="宋体" w:cs="Times New Roman"/>
                <w:i w:val="0"/>
                <w:iCs w:val="0"/>
                <w:color w:val="auto"/>
                <w:sz w:val="21"/>
                <w:szCs w:val="21"/>
                <w:u w:val="none"/>
                <w:lang w:val="en-US" w:eastAsia="zh-CN"/>
              </w:rPr>
              <w:t>2</w:t>
            </w:r>
          </w:p>
        </w:tc>
        <w:tc>
          <w:tcPr>
            <w:tcW w:w="425" w:type="pct"/>
            <w:vMerge w:val="restart"/>
            <w:noWrap/>
            <w:vAlign w:val="center"/>
          </w:tcPr>
          <w:p w14:paraId="7CE1E83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85/1</w:t>
            </w:r>
          </w:p>
        </w:tc>
        <w:tc>
          <w:tcPr>
            <w:tcW w:w="373" w:type="pct"/>
            <w:vMerge w:val="continue"/>
            <w:noWrap w:val="0"/>
            <w:vAlign w:val="center"/>
          </w:tcPr>
          <w:p w14:paraId="01A20B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AA379A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-2.73</w:t>
            </w:r>
          </w:p>
        </w:tc>
        <w:tc>
          <w:tcPr>
            <w:tcW w:w="397" w:type="pct"/>
            <w:noWrap/>
            <w:vAlign w:val="center"/>
          </w:tcPr>
          <w:p w14:paraId="1B394DA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58.29</w:t>
            </w:r>
          </w:p>
        </w:tc>
        <w:tc>
          <w:tcPr>
            <w:tcW w:w="235" w:type="pct"/>
            <w:noWrap/>
            <w:vAlign w:val="center"/>
          </w:tcPr>
          <w:p w14:paraId="1236446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4D8954C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24.94</w:t>
            </w:r>
          </w:p>
        </w:tc>
        <w:tc>
          <w:tcPr>
            <w:tcW w:w="460" w:type="pct"/>
            <w:noWrap/>
            <w:vAlign w:val="center"/>
          </w:tcPr>
          <w:p w14:paraId="3A693CA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65.82</w:t>
            </w:r>
          </w:p>
        </w:tc>
        <w:tc>
          <w:tcPr>
            <w:tcW w:w="383" w:type="pct"/>
            <w:noWrap/>
            <w:vAlign w:val="center"/>
          </w:tcPr>
          <w:p w14:paraId="6CD8440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FBAD24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318137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39.82</w:t>
            </w:r>
          </w:p>
        </w:tc>
        <w:tc>
          <w:tcPr>
            <w:tcW w:w="388" w:type="pct"/>
            <w:noWrap/>
            <w:vAlign w:val="center"/>
          </w:tcPr>
          <w:p w14:paraId="31B951A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22E63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3FB16E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272</w:t>
            </w:r>
          </w:p>
        </w:tc>
        <w:tc>
          <w:tcPr>
            <w:tcW w:w="212" w:type="pct"/>
            <w:vMerge w:val="continue"/>
            <w:noWrap/>
            <w:vAlign w:val="center"/>
          </w:tcPr>
          <w:p w14:paraId="70745033">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7D68C82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9D97CED">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367EA7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795730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-2.73</w:t>
            </w:r>
          </w:p>
        </w:tc>
        <w:tc>
          <w:tcPr>
            <w:tcW w:w="397" w:type="pct"/>
            <w:noWrap/>
            <w:vAlign w:val="center"/>
          </w:tcPr>
          <w:p w14:paraId="1B12E6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58.29</w:t>
            </w:r>
          </w:p>
        </w:tc>
        <w:tc>
          <w:tcPr>
            <w:tcW w:w="235" w:type="pct"/>
            <w:noWrap/>
            <w:vAlign w:val="center"/>
          </w:tcPr>
          <w:p w14:paraId="6578768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F8FBA1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58.64</w:t>
            </w:r>
          </w:p>
        </w:tc>
        <w:tc>
          <w:tcPr>
            <w:tcW w:w="460" w:type="pct"/>
            <w:noWrap/>
            <w:vAlign w:val="center"/>
          </w:tcPr>
          <w:p w14:paraId="35E4B9D1">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65.57</w:t>
            </w:r>
          </w:p>
        </w:tc>
        <w:tc>
          <w:tcPr>
            <w:tcW w:w="383" w:type="pct"/>
            <w:noWrap/>
            <w:vAlign w:val="center"/>
          </w:tcPr>
          <w:p w14:paraId="27750455">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ABD74D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BE8E92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39.57</w:t>
            </w:r>
          </w:p>
        </w:tc>
        <w:tc>
          <w:tcPr>
            <w:tcW w:w="388" w:type="pct"/>
            <w:noWrap/>
            <w:vAlign w:val="center"/>
          </w:tcPr>
          <w:p w14:paraId="1C8A898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5D1BA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01DFE0C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273</w:t>
            </w:r>
          </w:p>
        </w:tc>
        <w:tc>
          <w:tcPr>
            <w:tcW w:w="212" w:type="pct"/>
            <w:vMerge w:val="continue"/>
            <w:noWrap/>
            <w:vAlign w:val="center"/>
          </w:tcPr>
          <w:p w14:paraId="3DBAB92F">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45E25DD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06B8DAE">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43E3F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397AC17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-2.73</w:t>
            </w:r>
          </w:p>
        </w:tc>
        <w:tc>
          <w:tcPr>
            <w:tcW w:w="397" w:type="pct"/>
            <w:noWrap/>
            <w:vAlign w:val="center"/>
          </w:tcPr>
          <w:p w14:paraId="5372544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58.29</w:t>
            </w:r>
          </w:p>
        </w:tc>
        <w:tc>
          <w:tcPr>
            <w:tcW w:w="235" w:type="pct"/>
            <w:noWrap/>
            <w:vAlign w:val="center"/>
          </w:tcPr>
          <w:p w14:paraId="2336911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64A2F97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61.51</w:t>
            </w:r>
          </w:p>
        </w:tc>
        <w:tc>
          <w:tcPr>
            <w:tcW w:w="460" w:type="pct"/>
            <w:noWrap/>
            <w:vAlign w:val="center"/>
          </w:tcPr>
          <w:p w14:paraId="6D6A81B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65.57</w:t>
            </w:r>
          </w:p>
        </w:tc>
        <w:tc>
          <w:tcPr>
            <w:tcW w:w="383" w:type="pct"/>
            <w:noWrap/>
            <w:vAlign w:val="center"/>
          </w:tcPr>
          <w:p w14:paraId="2BB920F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1142FA7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4B15317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39.57</w:t>
            </w:r>
          </w:p>
        </w:tc>
        <w:tc>
          <w:tcPr>
            <w:tcW w:w="388" w:type="pct"/>
            <w:noWrap/>
            <w:vAlign w:val="center"/>
          </w:tcPr>
          <w:p w14:paraId="07E27817">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6928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22D7DE3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274</w:t>
            </w:r>
          </w:p>
        </w:tc>
        <w:tc>
          <w:tcPr>
            <w:tcW w:w="212" w:type="pct"/>
            <w:vMerge w:val="continue"/>
            <w:noWrap/>
            <w:vAlign w:val="center"/>
          </w:tcPr>
          <w:p w14:paraId="144E9C2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FB73751">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6393B06">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2393F2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208CE7A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-2.73</w:t>
            </w:r>
          </w:p>
        </w:tc>
        <w:tc>
          <w:tcPr>
            <w:tcW w:w="397" w:type="pct"/>
            <w:noWrap/>
            <w:vAlign w:val="center"/>
          </w:tcPr>
          <w:p w14:paraId="698CA1F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58.29</w:t>
            </w:r>
          </w:p>
        </w:tc>
        <w:tc>
          <w:tcPr>
            <w:tcW w:w="235" w:type="pct"/>
            <w:noWrap/>
            <w:vAlign w:val="center"/>
          </w:tcPr>
          <w:p w14:paraId="42AE20F0">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032A113E">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22.83</w:t>
            </w:r>
          </w:p>
        </w:tc>
        <w:tc>
          <w:tcPr>
            <w:tcW w:w="460" w:type="pct"/>
            <w:noWrap/>
            <w:vAlign w:val="center"/>
          </w:tcPr>
          <w:p w14:paraId="264401A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65.88</w:t>
            </w:r>
          </w:p>
        </w:tc>
        <w:tc>
          <w:tcPr>
            <w:tcW w:w="383" w:type="pct"/>
            <w:noWrap/>
            <w:vAlign w:val="center"/>
          </w:tcPr>
          <w:p w14:paraId="67563E8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B096A5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106F054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39.88</w:t>
            </w:r>
          </w:p>
        </w:tc>
        <w:tc>
          <w:tcPr>
            <w:tcW w:w="388" w:type="pct"/>
            <w:noWrap/>
            <w:vAlign w:val="center"/>
          </w:tcPr>
          <w:p w14:paraId="293321E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CDE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5BB753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275</w:t>
            </w:r>
          </w:p>
        </w:tc>
        <w:tc>
          <w:tcPr>
            <w:tcW w:w="212" w:type="pct"/>
            <w:vMerge w:val="continue"/>
            <w:noWrap/>
            <w:vAlign w:val="center"/>
          </w:tcPr>
          <w:p w14:paraId="38995E3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3B9606B2">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48CE2C6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6163CD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1867165A">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-2.73</w:t>
            </w:r>
          </w:p>
        </w:tc>
        <w:tc>
          <w:tcPr>
            <w:tcW w:w="397" w:type="pct"/>
            <w:noWrap/>
            <w:vAlign w:val="center"/>
          </w:tcPr>
          <w:p w14:paraId="218DFC6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58.29</w:t>
            </w:r>
          </w:p>
        </w:tc>
        <w:tc>
          <w:tcPr>
            <w:tcW w:w="235" w:type="pct"/>
            <w:noWrap/>
            <w:vAlign w:val="center"/>
          </w:tcPr>
          <w:p w14:paraId="5D5A2B7D">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237A025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1.06</w:t>
            </w:r>
          </w:p>
        </w:tc>
        <w:tc>
          <w:tcPr>
            <w:tcW w:w="460" w:type="pct"/>
            <w:noWrap/>
            <w:vAlign w:val="center"/>
          </w:tcPr>
          <w:p w14:paraId="277E858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81.61</w:t>
            </w:r>
          </w:p>
        </w:tc>
        <w:tc>
          <w:tcPr>
            <w:tcW w:w="383" w:type="pct"/>
            <w:noWrap/>
            <w:vAlign w:val="center"/>
          </w:tcPr>
          <w:p w14:paraId="2825F06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7C9AAFEF">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269136E9">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55.61</w:t>
            </w:r>
          </w:p>
        </w:tc>
        <w:tc>
          <w:tcPr>
            <w:tcW w:w="388" w:type="pct"/>
            <w:noWrap/>
            <w:vAlign w:val="center"/>
          </w:tcPr>
          <w:p w14:paraId="23AE213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11A6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03" w:type="pct"/>
            <w:noWrap/>
            <w:vAlign w:val="center"/>
          </w:tcPr>
          <w:p w14:paraId="659D046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276</w:t>
            </w:r>
          </w:p>
        </w:tc>
        <w:tc>
          <w:tcPr>
            <w:tcW w:w="212" w:type="pct"/>
            <w:vMerge w:val="continue"/>
            <w:noWrap/>
            <w:vAlign w:val="center"/>
          </w:tcPr>
          <w:p w14:paraId="3508F358">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278" w:type="pct"/>
            <w:vMerge w:val="continue"/>
            <w:noWrap/>
            <w:vAlign w:val="center"/>
          </w:tcPr>
          <w:p w14:paraId="04A706B4">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425" w:type="pct"/>
            <w:vMerge w:val="continue"/>
            <w:noWrap/>
            <w:vAlign w:val="center"/>
          </w:tcPr>
          <w:p w14:paraId="3369CA65">
            <w:pPr>
              <w:keepNext w:val="0"/>
              <w:keepLines w:val="0"/>
              <w:pageBreakBefore w:val="0"/>
              <w:widowControl/>
              <w:kinsoku/>
              <w:wordWrap/>
              <w:overflowPunct/>
              <w:topLinePunct w:val="0"/>
              <w:autoSpaceDE/>
              <w:autoSpaceDN/>
              <w:bidi w:val="0"/>
              <w:adjustRightInd/>
              <w:snapToGrid w:val="0"/>
              <w:jc w:val="center"/>
              <w:rPr>
                <w:rFonts w:hint="default" w:ascii="Times New Roman" w:hAnsi="Times New Roman" w:eastAsia="宋体" w:cs="Times New Roman"/>
                <w:i w:val="0"/>
                <w:iCs w:val="0"/>
                <w:color w:val="auto"/>
                <w:sz w:val="21"/>
                <w:szCs w:val="21"/>
                <w:u w:val="none"/>
              </w:rPr>
            </w:pPr>
          </w:p>
        </w:tc>
        <w:tc>
          <w:tcPr>
            <w:tcW w:w="373" w:type="pct"/>
            <w:vMerge w:val="continue"/>
            <w:noWrap w:val="0"/>
            <w:vAlign w:val="center"/>
          </w:tcPr>
          <w:p w14:paraId="0706EE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307" w:type="pct"/>
            <w:noWrap/>
            <w:vAlign w:val="center"/>
          </w:tcPr>
          <w:p w14:paraId="4F4FCE3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-2.73</w:t>
            </w:r>
          </w:p>
        </w:tc>
        <w:tc>
          <w:tcPr>
            <w:tcW w:w="397" w:type="pct"/>
            <w:noWrap/>
            <w:vAlign w:val="center"/>
          </w:tcPr>
          <w:p w14:paraId="47A72CB6">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58.29</w:t>
            </w:r>
          </w:p>
        </w:tc>
        <w:tc>
          <w:tcPr>
            <w:tcW w:w="235" w:type="pct"/>
            <w:noWrap/>
            <w:vAlign w:val="center"/>
          </w:tcPr>
          <w:p w14:paraId="0C7DF58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424" w:type="pct"/>
            <w:noWrap/>
            <w:vAlign w:val="center"/>
          </w:tcPr>
          <w:p w14:paraId="36CB16E8">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23.02</w:t>
            </w:r>
          </w:p>
        </w:tc>
        <w:tc>
          <w:tcPr>
            <w:tcW w:w="460" w:type="pct"/>
            <w:noWrap/>
            <w:vAlign w:val="center"/>
          </w:tcPr>
          <w:p w14:paraId="267E1434">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65.87</w:t>
            </w:r>
          </w:p>
        </w:tc>
        <w:tc>
          <w:tcPr>
            <w:tcW w:w="383" w:type="pct"/>
            <w:noWrap/>
            <w:vAlign w:val="center"/>
          </w:tcPr>
          <w:p w14:paraId="1409B4CB">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昼间</w:t>
            </w:r>
          </w:p>
        </w:tc>
        <w:tc>
          <w:tcPr>
            <w:tcW w:w="510" w:type="pct"/>
            <w:noWrap/>
            <w:vAlign w:val="center"/>
          </w:tcPr>
          <w:p w14:paraId="3B4D5EF3">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397" w:type="pct"/>
            <w:noWrap/>
            <w:vAlign w:val="center"/>
          </w:tcPr>
          <w:p w14:paraId="58CDEE6C">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39.87</w:t>
            </w:r>
          </w:p>
        </w:tc>
        <w:tc>
          <w:tcPr>
            <w:tcW w:w="388" w:type="pct"/>
            <w:noWrap/>
            <w:vAlign w:val="center"/>
          </w:tcPr>
          <w:p w14:paraId="1B748772">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r>
      <w:tr w14:paraId="405F9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000" w:type="pct"/>
            <w:gridSpan w:val="14"/>
            <w:noWrap/>
            <w:vAlign w:val="center"/>
          </w:tcPr>
          <w:p w14:paraId="0437B10B">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olor w:val="auto"/>
                <w:szCs w:val="21"/>
                <w:lang w:val="en-US" w:eastAsia="zh-CN"/>
              </w:rPr>
              <w:t>项目夜间不生产，破</w:t>
            </w:r>
            <w:r>
              <w:rPr>
                <w:rFonts w:hint="eastAsia" w:ascii="Times New Roman" w:hAnsi="Times New Roman" w:cs="Times New Roman"/>
                <w:color w:val="auto"/>
                <w:szCs w:val="21"/>
                <w:lang w:val="en-US" w:eastAsia="zh-CN"/>
              </w:rPr>
              <w:t>碎机半个月工作一次，每次1h（年破碎24h）</w:t>
            </w:r>
          </w:p>
        </w:tc>
      </w:tr>
    </w:tbl>
    <w:p w14:paraId="614CE13C">
      <w:pPr>
        <w:tabs>
          <w:tab w:val="left" w:pos="1274"/>
        </w:tabs>
        <w:bidi w:val="0"/>
        <w:jc w:val="center"/>
        <w:rPr>
          <w:rFonts w:hint="default" w:ascii="Times New Roman" w:hAnsi="Times New Roman" w:eastAsia="宋体" w:cs="Times New Roman"/>
          <w:b/>
          <w:bCs/>
          <w:color w:val="auto"/>
          <w:sz w:val="21"/>
          <w:szCs w:val="21"/>
          <w:lang w:val="en-US" w:eastAsia="zh-CN"/>
        </w:rPr>
      </w:pPr>
      <w:r>
        <w:rPr>
          <w:b/>
          <w:bCs/>
          <w:color w:val="auto"/>
          <w:sz w:val="21"/>
          <w:szCs w:val="21"/>
          <w:highlight w:val="none"/>
        </w:rPr>
        <w:t>表4-</w:t>
      </w:r>
      <w:r>
        <w:rPr>
          <w:rFonts w:hint="eastAsia"/>
          <w:b/>
          <w:bCs/>
          <w:color w:val="auto"/>
          <w:sz w:val="21"/>
          <w:szCs w:val="21"/>
          <w:highlight w:val="none"/>
          <w:lang w:val="en-US" w:eastAsia="zh-CN"/>
        </w:rPr>
        <w:t>18</w:t>
      </w:r>
      <w:r>
        <w:rPr>
          <w:b/>
          <w:bCs/>
          <w:color w:val="auto"/>
          <w:sz w:val="21"/>
          <w:szCs w:val="21"/>
          <w:highlight w:val="none"/>
        </w:rPr>
        <w:t xml:space="preserve">   厂界昼间达标情况一览</w:t>
      </w:r>
      <w:r>
        <w:rPr>
          <w:rFonts w:hint="default" w:ascii="Times New Roman" w:hAnsi="Times New Roman" w:eastAsia="宋体" w:cs="Times New Roman"/>
          <w:b/>
          <w:bCs/>
          <w:color w:val="auto"/>
          <w:sz w:val="21"/>
          <w:szCs w:val="21"/>
          <w:lang w:val="en-US" w:eastAsia="zh-CN"/>
        </w:rPr>
        <w:t>表</w:t>
      </w:r>
    </w:p>
    <w:tbl>
      <w:tblPr>
        <w:tblStyle w:val="30"/>
        <w:tblW w:w="1309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5"/>
        <w:gridCol w:w="1761"/>
        <w:gridCol w:w="794"/>
        <w:gridCol w:w="794"/>
        <w:gridCol w:w="1174"/>
        <w:gridCol w:w="1088"/>
        <w:gridCol w:w="1083"/>
        <w:gridCol w:w="906"/>
        <w:gridCol w:w="1089"/>
        <w:gridCol w:w="1083"/>
        <w:gridCol w:w="729"/>
        <w:gridCol w:w="906"/>
        <w:gridCol w:w="1089"/>
      </w:tblGrid>
      <w:tr w14:paraId="3EAF8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vMerge w:val="restart"/>
            <w:tcBorders>
              <w:top w:val="single" w:color="000000" w:sz="4" w:space="0"/>
              <w:left w:val="single" w:color="000000" w:sz="4" w:space="0"/>
              <w:bottom w:val="single" w:color="000000" w:sz="4" w:space="0"/>
              <w:right w:val="single" w:color="000000" w:sz="4" w:space="0"/>
            </w:tcBorders>
            <w:noWrap w:val="0"/>
            <w:vAlign w:val="center"/>
          </w:tcPr>
          <w:p w14:paraId="60DE85D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序号</w:t>
            </w:r>
          </w:p>
        </w:tc>
        <w:tc>
          <w:tcPr>
            <w:tcW w:w="1761" w:type="dxa"/>
            <w:vMerge w:val="restart"/>
            <w:tcBorders>
              <w:top w:val="single" w:color="000000" w:sz="4" w:space="0"/>
              <w:left w:val="single" w:color="000000" w:sz="4" w:space="0"/>
              <w:bottom w:val="single" w:color="000000" w:sz="4" w:space="0"/>
              <w:right w:val="single" w:color="000000" w:sz="4" w:space="0"/>
            </w:tcBorders>
            <w:noWrap w:val="0"/>
            <w:vAlign w:val="center"/>
          </w:tcPr>
          <w:p w14:paraId="0A6EEC5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名称</w:t>
            </w:r>
          </w:p>
        </w:tc>
        <w:tc>
          <w:tcPr>
            <w:tcW w:w="794" w:type="dxa"/>
            <w:vMerge w:val="restart"/>
            <w:tcBorders>
              <w:top w:val="single" w:color="000000" w:sz="4" w:space="0"/>
              <w:left w:val="single" w:color="000000" w:sz="4" w:space="0"/>
              <w:bottom w:val="single" w:color="000000" w:sz="4" w:space="0"/>
              <w:right w:val="single" w:color="000000" w:sz="4" w:space="0"/>
            </w:tcBorders>
            <w:noWrap w:val="0"/>
            <w:vAlign w:val="center"/>
          </w:tcPr>
          <w:p w14:paraId="7CBE869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X(m)</w:t>
            </w:r>
          </w:p>
        </w:tc>
        <w:tc>
          <w:tcPr>
            <w:tcW w:w="794" w:type="dxa"/>
            <w:vMerge w:val="restart"/>
            <w:tcBorders>
              <w:top w:val="single" w:color="000000" w:sz="4" w:space="0"/>
              <w:left w:val="single" w:color="000000" w:sz="4" w:space="0"/>
              <w:bottom w:val="single" w:color="000000" w:sz="4" w:space="0"/>
              <w:right w:val="single" w:color="000000" w:sz="4" w:space="0"/>
            </w:tcBorders>
            <w:noWrap w:val="0"/>
            <w:vAlign w:val="center"/>
          </w:tcPr>
          <w:p w14:paraId="20F06B8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Y(m)</w:t>
            </w:r>
          </w:p>
        </w:tc>
        <w:tc>
          <w:tcPr>
            <w:tcW w:w="1174" w:type="dxa"/>
            <w:vMerge w:val="restart"/>
            <w:tcBorders>
              <w:top w:val="single" w:color="000000" w:sz="4" w:space="0"/>
              <w:left w:val="single" w:color="000000" w:sz="4" w:space="0"/>
              <w:bottom w:val="single" w:color="000000" w:sz="4" w:space="0"/>
              <w:right w:val="single" w:color="000000" w:sz="4" w:space="0"/>
            </w:tcBorders>
            <w:noWrap w:val="0"/>
            <w:vAlign w:val="center"/>
          </w:tcPr>
          <w:p w14:paraId="019F852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离地高度</w:t>
            </w: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m</w:t>
            </w:r>
            <w:r>
              <w:rPr>
                <w:rFonts w:hint="eastAsia" w:ascii="Times New Roman" w:hAnsi="Times New Roman" w:eastAsia="宋体" w:cs="Times New Roman"/>
                <w:i w:val="0"/>
                <w:iCs w:val="0"/>
                <w:color w:val="auto"/>
                <w:kern w:val="0"/>
                <w:sz w:val="21"/>
                <w:szCs w:val="21"/>
                <w:u w:val="none"/>
                <w:lang w:val="en-US" w:eastAsia="zh-CN" w:bidi="ar"/>
              </w:rPr>
              <w:t>）</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6FC25B4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夜间</w:t>
            </w:r>
          </w:p>
        </w:tc>
        <w:tc>
          <w:tcPr>
            <w:tcW w:w="3078" w:type="dxa"/>
            <w:gridSpan w:val="3"/>
            <w:tcBorders>
              <w:top w:val="single" w:color="000000" w:sz="4" w:space="0"/>
              <w:left w:val="single" w:color="000000" w:sz="4" w:space="0"/>
              <w:bottom w:val="single" w:color="000000" w:sz="4" w:space="0"/>
              <w:right w:val="single" w:color="000000" w:sz="4" w:space="0"/>
            </w:tcBorders>
            <w:noWrap w:val="0"/>
            <w:vAlign w:val="center"/>
          </w:tcPr>
          <w:p w14:paraId="1B8E8FB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场界标准</w:t>
            </w:r>
          </w:p>
        </w:tc>
        <w:tc>
          <w:tcPr>
            <w:tcW w:w="1083" w:type="dxa"/>
            <w:vMerge w:val="restart"/>
            <w:tcBorders>
              <w:top w:val="single" w:color="000000" w:sz="4" w:space="0"/>
              <w:left w:val="single" w:color="000000" w:sz="4" w:space="0"/>
              <w:bottom w:val="single" w:color="000000" w:sz="4" w:space="0"/>
              <w:right w:val="single" w:color="000000" w:sz="4" w:space="0"/>
            </w:tcBorders>
            <w:noWrap w:val="0"/>
            <w:vAlign w:val="center"/>
          </w:tcPr>
          <w:p w14:paraId="5DDB82A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功能区类型</w:t>
            </w:r>
          </w:p>
        </w:tc>
        <w:tc>
          <w:tcPr>
            <w:tcW w:w="729" w:type="dxa"/>
            <w:vMerge w:val="restart"/>
            <w:tcBorders>
              <w:top w:val="single" w:color="000000" w:sz="4" w:space="0"/>
              <w:left w:val="single" w:color="000000" w:sz="4" w:space="0"/>
              <w:bottom w:val="single" w:color="000000" w:sz="4" w:space="0"/>
              <w:right w:val="single" w:color="000000" w:sz="4" w:space="0"/>
            </w:tcBorders>
            <w:noWrap w:val="0"/>
            <w:vAlign w:val="center"/>
          </w:tcPr>
          <w:p w14:paraId="7ACA0B2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标准值</w:t>
            </w:r>
          </w:p>
        </w:tc>
        <w:tc>
          <w:tcPr>
            <w:tcW w:w="906" w:type="dxa"/>
            <w:vMerge w:val="restart"/>
            <w:tcBorders>
              <w:top w:val="single" w:color="000000" w:sz="4" w:space="0"/>
              <w:left w:val="single" w:color="000000" w:sz="4" w:space="0"/>
              <w:bottom w:val="single" w:color="000000" w:sz="4" w:space="0"/>
              <w:right w:val="single" w:color="000000" w:sz="4" w:space="0"/>
            </w:tcBorders>
            <w:noWrap w:val="0"/>
            <w:vAlign w:val="center"/>
          </w:tcPr>
          <w:p w14:paraId="42CD0E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是否达标</w:t>
            </w:r>
          </w:p>
        </w:tc>
        <w:tc>
          <w:tcPr>
            <w:tcW w:w="1089" w:type="dxa"/>
            <w:vMerge w:val="restart"/>
            <w:tcBorders>
              <w:top w:val="single" w:color="000000" w:sz="4" w:space="0"/>
              <w:left w:val="single" w:color="000000" w:sz="4" w:space="0"/>
              <w:bottom w:val="single" w:color="000000" w:sz="4" w:space="0"/>
              <w:right w:val="single" w:color="000000" w:sz="4" w:space="0"/>
            </w:tcBorders>
            <w:noWrap w:val="0"/>
            <w:vAlign w:val="center"/>
          </w:tcPr>
          <w:p w14:paraId="33C0968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与标准差值</w:t>
            </w:r>
          </w:p>
        </w:tc>
      </w:tr>
      <w:tr w14:paraId="736F0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AA9F8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76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D8990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06403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D7354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1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26A31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1EE975C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贡献值</w:t>
            </w: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dB</w:t>
            </w:r>
            <w:r>
              <w:rPr>
                <w:rFonts w:hint="eastAsia" w:ascii="Times New Roman" w:hAnsi="Times New Roman" w:eastAsia="宋体" w:cs="Times New Roman"/>
                <w:i w:val="0"/>
                <w:iCs w:val="0"/>
                <w:color w:val="auto"/>
                <w:kern w:val="0"/>
                <w:sz w:val="21"/>
                <w:szCs w:val="21"/>
                <w:u w:val="none"/>
                <w:lang w:val="en-US" w:eastAsia="zh-CN" w:bidi="ar"/>
              </w:rPr>
              <w:t>）</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25541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场界标准值</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6D2EB64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是否达标</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0B4B4E2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与标准差值</w:t>
            </w:r>
          </w:p>
        </w:tc>
        <w:tc>
          <w:tcPr>
            <w:tcW w:w="108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4B8E5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72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A387D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90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68C7C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08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10E81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1757A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549E5EF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43C45A37">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3ECD895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-36.43</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33C47B1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49.34</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1DA637C7">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0E3948F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41.34</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51FE587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23E4CF7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30BD86F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-23.66</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20A26CED">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4F8FCB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1C03742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2267F9C0">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-23.66</w:t>
            </w:r>
          </w:p>
        </w:tc>
      </w:tr>
      <w:tr w14:paraId="5D0D6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3898481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584F8A6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7EEE03C7">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-27.37</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333CB1C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31.51</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718DE8B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454629B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42.73</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63FA4F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0D598DE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72DC8C0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-22.27</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3CC791D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6AA2F2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08330F17">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7ADE501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-22.27</w:t>
            </w:r>
          </w:p>
        </w:tc>
      </w:tr>
      <w:tr w14:paraId="2E054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7A3ADE3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40ACC65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6E3F2A3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-18.31</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2F94A845">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13.68</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2CD69E3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378A357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42.90</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33C8DDF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25ADAF3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134F6B0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-22.10</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11A860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278321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0443F275">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48C12FD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-22.10</w:t>
            </w:r>
          </w:p>
        </w:tc>
      </w:tr>
      <w:tr w14:paraId="42EA8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350AD9D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06588EF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50988C1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-9.25</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20FEE2F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-4.15</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54B9087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4164263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42.44</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5B49C7F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00DF99B5">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31524A5D">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-22.56</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69765BB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68172B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47AF3775">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021BEFA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-22.56</w:t>
            </w:r>
          </w:p>
        </w:tc>
      </w:tr>
      <w:tr w14:paraId="41BD5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3735ACD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5B2108A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6D9B6A2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-8.07</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2106606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-6.48</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0CD20840">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01CF8B8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42.01</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3E8B04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07C55F9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10CE7C20">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-22.99</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1BB3C75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50B13B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624A35CD">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109C88C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-22.99</w:t>
            </w:r>
          </w:p>
        </w:tc>
      </w:tr>
      <w:tr w14:paraId="74C7A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1E65EA6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749513BF">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407939C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11.92</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2CF30530">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-5.79</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4561826F">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35EF932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44.47</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5AA418A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5D8868D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34D0FE9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-20.53</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737DCB60">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1DB0E2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6AAB10F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1E5B101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-20.53</w:t>
            </w:r>
          </w:p>
        </w:tc>
      </w:tr>
      <w:tr w14:paraId="7FE2F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1254753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5E0ACDF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6B0F642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17.61</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6EA91D2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-5.59</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74BD51E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0F4C825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44.11</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D6F210F">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33D3322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356EF1F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-20.89</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607CD4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8F3A57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4509729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000E571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-20.89</w:t>
            </w:r>
          </w:p>
        </w:tc>
      </w:tr>
      <w:tr w14:paraId="61F9A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1437C23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37FFE94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720706F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36.76</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4C0BCAE0">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0.19</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556FDC0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2485304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44.12</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559760E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7E054A7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54E7FAD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-20.88</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3796F66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313512D">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05B18DE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74B54AE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-20.88</w:t>
            </w:r>
          </w:p>
        </w:tc>
      </w:tr>
      <w:tr w14:paraId="5AA66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27E06FD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1CFF9B7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6242D31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55.90</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38835A3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5.97</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6373D96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0A4D6D60">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40.63</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79CBE817">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7167CCB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210EC91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-24.37</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2CBF31D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8DBC49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6032198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589AFD9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-24.37</w:t>
            </w:r>
          </w:p>
        </w:tc>
      </w:tr>
      <w:tr w14:paraId="7F9B4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077A37E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1D2E2A8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D0E70F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67.18</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0EB72A1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9.37</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59546F9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39316F6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37.10</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16E1758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6CB648B5">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2B2E783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-27.90</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70BA2A8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0BE8FC9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42087B0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6703DB2F">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-27.90</w:t>
            </w:r>
          </w:p>
        </w:tc>
      </w:tr>
      <w:tr w14:paraId="38984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5A25554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11</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32E2A80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021CA2B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57.53</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060EE16D">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26.89</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1288D25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5A33622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37.52</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5F6594D">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077DCAE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4D8E0B3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-27.48</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3457DFA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053A3CF">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5820044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54BA244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-27.48</w:t>
            </w:r>
          </w:p>
        </w:tc>
      </w:tr>
      <w:tr w14:paraId="50B73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13EFAC7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5729F6B5">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E0B491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47.89</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69010B95">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44.41</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3C47F31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38DE116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55.61</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14A04DB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1D54F23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0051B47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-9.39</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1B3DB9D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987683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1CE9709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61507AA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-9.39</w:t>
            </w:r>
          </w:p>
        </w:tc>
      </w:tr>
      <w:tr w14:paraId="0E561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56AFDA5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6C51A78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666EDA95">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42.84</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561A715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53.58</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6210F5F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06F9ABE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57.95</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1148EE3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2EA5FDB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183E98E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-7.05</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43C2A7E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492F10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7772E09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69D33E4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-7.05</w:t>
            </w:r>
          </w:p>
        </w:tc>
      </w:tr>
      <w:tr w14:paraId="02EDD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40BBD74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14</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66CBDBB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641DBFA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38.38</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7685D11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51.57</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252B79A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22D10C7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61.99</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2DCEFA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6F89529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078B638D">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-3.01</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6C2779C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C460B85">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29AA8E5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6819E595">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-3.01</w:t>
            </w:r>
          </w:p>
        </w:tc>
      </w:tr>
      <w:tr w14:paraId="6CFA0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6830D0E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15</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7686829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E0B776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28.49</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68EB811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68.95</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191C15E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7DE48E8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55.17</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92FCEB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2C67874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31D1E3B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-9.83</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4074DE0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17124C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7C0206B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365D11A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-9.83</w:t>
            </w:r>
          </w:p>
        </w:tc>
      </w:tr>
      <w:tr w14:paraId="3486E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4BD3A2D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5A5A164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071CE9F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23.64</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359B07C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77.47</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1EDEA7F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1C993E2F">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51.53</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5D4AB33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71E13D4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104B84B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-13.47</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1D97863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027EBAD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682F1EF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18A861E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-13.47</w:t>
            </w:r>
          </w:p>
        </w:tc>
      </w:tr>
      <w:tr w14:paraId="0D693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42C7830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17</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55BCDC4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4F656B2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5.07</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638599A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70.03</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690022C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30067405">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44.53</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4491025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2BEC016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7307708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-20.47</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7DB62F60">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031FF40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6597634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4F492C07">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-20.47</w:t>
            </w:r>
          </w:p>
        </w:tc>
      </w:tr>
      <w:tr w14:paraId="7B6AB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233C836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733AFBE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4B8C872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-13.49</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5F0C21EF">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62.59</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6470582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7AF5AAC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44.48</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26FD38F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4E810EC7">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015A6F1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-20.52</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5525509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BBFB55D">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51AEAFA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78B6596D">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-20.52</w:t>
            </w:r>
          </w:p>
        </w:tc>
      </w:tr>
      <w:tr w14:paraId="7ECE1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4BB3DDF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1E2CEEEF">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4E6ACB5">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-32.06</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71B62CC0">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55.16</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1652E4B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342FB32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42.41</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65324DE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20DF65E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79AFE0E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-22.59</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61479D4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7F37A535">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21BF3AB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29AD0EA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-22.59</w:t>
            </w:r>
          </w:p>
        </w:tc>
      </w:tr>
      <w:tr w14:paraId="7658A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5D65578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6C78AD2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8DD24D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-38.21</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6DB7C03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52.69</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2009C5A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7276A39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40.34</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37DB202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56A1CCCD">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7B4D6E0F">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-24.66</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1262CF4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B13B7A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4313623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72D36C3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-24.66</w:t>
            </w:r>
          </w:p>
        </w:tc>
      </w:tr>
      <w:tr w14:paraId="2AEB3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4E47AD9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21</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234BBC8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31A48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-36.43</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21114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49.56</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656D8B9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16C3B6B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41.32</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3FF4166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358E71E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2988BCB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-23.68</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31EECC5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0357F83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2EC403C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07967EA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-23.68</w:t>
            </w:r>
          </w:p>
        </w:tc>
      </w:tr>
      <w:tr w14:paraId="11154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16CFB4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6742ED6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厂界</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519D93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-36.43</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3A607D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49.34</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636CE6E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65D65AB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41.34</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8198B9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66D6BBD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019108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-23.66</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2E895E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05BF00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355A432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4B066F0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-23.66</w:t>
            </w:r>
          </w:p>
        </w:tc>
      </w:tr>
      <w:tr w14:paraId="65C90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28A9577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40C8F8A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第1边的贡献最大值</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74E2B6B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-18.31</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0487386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13.68</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230187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13F5900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42.90</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23EE48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202878D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3CE99AB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-22.10</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749D63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5356D6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5772FE3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4FDA274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-22.10</w:t>
            </w:r>
          </w:p>
        </w:tc>
      </w:tr>
      <w:tr w14:paraId="5DD51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309F7F7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24</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674A0A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第2边的贡献最大值</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07E423F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11.92</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571AC76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-5.79</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072B8D0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0303DD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44.47</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795C15C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4037CC8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31770FA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-20.53</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82DDE2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1D757A4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04437D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1C79C84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-20.53</w:t>
            </w:r>
          </w:p>
        </w:tc>
      </w:tr>
      <w:tr w14:paraId="27B0C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296EA0B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25</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7DE8724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第3边的贡献最大值</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60DBAD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36.76</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A8A745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0.19</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79BF27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437FCCF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44.12</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5C35130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56C6982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7857FF9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-20.88</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7842BDE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0572ABA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61E4D7C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6FC65B3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-20.88</w:t>
            </w:r>
          </w:p>
        </w:tc>
      </w:tr>
      <w:tr w14:paraId="1094E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2BF3EE1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26</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2A289AD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第4边的贡献最大值</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26D878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42.84</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2CED06E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53.58</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71C0621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7852D8E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57.95</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D44824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761FCE4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5278B9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-7.05</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4C872DB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80D08B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7B2F586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33BE566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-7.05</w:t>
            </w:r>
          </w:p>
        </w:tc>
      </w:tr>
      <w:tr w14:paraId="49F26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5C29D44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7DE5D2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第5边的贡献最大值</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A46CD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38.38</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69074B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51.57</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35E1CE0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612DC73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61.99</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18060D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5A5C11C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7E0F7AD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-3.01</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7C91116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347CFF2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76BF74B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48E5786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-3.01</w:t>
            </w:r>
          </w:p>
        </w:tc>
      </w:tr>
      <w:tr w14:paraId="37AA8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0B3700D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28</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3BF2860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第6边的贡献最大值</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37F42B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38.38</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672412E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51.57</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54B014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6DCA6C1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61.99</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56F7DE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405E2B0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0E02C8F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-3.01</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7B41C1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09E414D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327FC28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2155C31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-3.01</w:t>
            </w:r>
          </w:p>
        </w:tc>
      </w:tr>
      <w:tr w14:paraId="37831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6D47EDA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29</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27700E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第7边的贡献最大值</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311FE81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23.64</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0CE190F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77.47</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39EFF38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370AA69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51.53</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4EBC2F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261F87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311763F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-13.47</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3AEB72C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21967C2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40A6DEE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4A13010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-13.47</w:t>
            </w:r>
          </w:p>
        </w:tc>
      </w:tr>
      <w:tr w14:paraId="1D52C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07852CB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244706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第8边的贡献最大值</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2F543F0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-36.43</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09133D7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49.56</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6BEF68E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2F8F5DB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41.32</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5477CF9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677C6C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1751C6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-23.68</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7FA9385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0E10204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10EF0F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6F0F1C9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-23.68</w:t>
            </w:r>
          </w:p>
        </w:tc>
      </w:tr>
      <w:tr w14:paraId="4C670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1CDBA47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31</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779F519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第9边的贡献最大值</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0AB90C3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-36.43</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70C21F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49.34</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71E1715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412412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41.34</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6BF170A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097BF72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330A0E2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-23.66</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6425FF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D57A4A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6B2132A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33258EB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-23.66</w:t>
            </w:r>
          </w:p>
        </w:tc>
      </w:tr>
      <w:tr w14:paraId="48792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639FD76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32</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280636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贡献最大值</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0DA5623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38.38</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6EC6891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51.57</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489DF49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2E41192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61.99</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38544B5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00143F5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3528392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-3.01</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3A0CB6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435D3F0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5443F61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0CE3C92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-3.01</w:t>
            </w:r>
          </w:p>
        </w:tc>
      </w:tr>
      <w:tr w14:paraId="2F953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595" w:type="dxa"/>
            <w:tcBorders>
              <w:top w:val="single" w:color="000000" w:sz="4" w:space="0"/>
              <w:left w:val="single" w:color="000000" w:sz="4" w:space="0"/>
              <w:bottom w:val="single" w:color="000000" w:sz="4" w:space="0"/>
              <w:right w:val="single" w:color="000000" w:sz="4" w:space="0"/>
            </w:tcBorders>
            <w:noWrap w:val="0"/>
            <w:vAlign w:val="center"/>
          </w:tcPr>
          <w:p w14:paraId="069C8E1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w:t>
            </w:r>
          </w:p>
        </w:tc>
        <w:tc>
          <w:tcPr>
            <w:tcW w:w="1761" w:type="dxa"/>
            <w:tcBorders>
              <w:top w:val="single" w:color="000000" w:sz="4" w:space="0"/>
              <w:left w:val="single" w:color="000000" w:sz="4" w:space="0"/>
              <w:bottom w:val="single" w:color="000000" w:sz="4" w:space="0"/>
              <w:right w:val="single" w:color="000000" w:sz="4" w:space="0"/>
            </w:tcBorders>
            <w:noWrap w:val="0"/>
            <w:vAlign w:val="center"/>
          </w:tcPr>
          <w:p w14:paraId="31D19593">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贡献最小值</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4CEC1EF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67.18</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3911100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9.37</w:t>
            </w:r>
          </w:p>
        </w:tc>
        <w:tc>
          <w:tcPr>
            <w:tcW w:w="1174" w:type="dxa"/>
            <w:tcBorders>
              <w:top w:val="single" w:color="000000" w:sz="4" w:space="0"/>
              <w:left w:val="single" w:color="000000" w:sz="4" w:space="0"/>
              <w:bottom w:val="single" w:color="000000" w:sz="4" w:space="0"/>
              <w:right w:val="single" w:color="000000" w:sz="4" w:space="0"/>
            </w:tcBorders>
            <w:noWrap w:val="0"/>
            <w:vAlign w:val="center"/>
          </w:tcPr>
          <w:p w14:paraId="247D817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1BA5681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37.10</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6CE35835">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4D6F85C0">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0DF75CC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-27.90</w:t>
            </w:r>
          </w:p>
        </w:tc>
        <w:tc>
          <w:tcPr>
            <w:tcW w:w="1083" w:type="dxa"/>
            <w:tcBorders>
              <w:top w:val="single" w:color="000000" w:sz="4" w:space="0"/>
              <w:left w:val="single" w:color="000000" w:sz="4" w:space="0"/>
              <w:bottom w:val="single" w:color="000000" w:sz="4" w:space="0"/>
              <w:right w:val="single" w:color="000000" w:sz="4" w:space="0"/>
            </w:tcBorders>
            <w:noWrap w:val="0"/>
            <w:vAlign w:val="center"/>
          </w:tcPr>
          <w:p w14:paraId="04999F4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3类</w:t>
            </w:r>
          </w:p>
        </w:tc>
        <w:tc>
          <w:tcPr>
            <w:tcW w:w="729" w:type="dxa"/>
            <w:tcBorders>
              <w:top w:val="single" w:color="000000" w:sz="4" w:space="0"/>
              <w:left w:val="single" w:color="000000" w:sz="4" w:space="0"/>
              <w:bottom w:val="single" w:color="000000" w:sz="4" w:space="0"/>
              <w:right w:val="single" w:color="000000" w:sz="4" w:space="0"/>
            </w:tcBorders>
            <w:noWrap w:val="0"/>
            <w:vAlign w:val="center"/>
          </w:tcPr>
          <w:p w14:paraId="67190FF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65</w:t>
            </w:r>
          </w:p>
        </w:tc>
        <w:tc>
          <w:tcPr>
            <w:tcW w:w="906" w:type="dxa"/>
            <w:tcBorders>
              <w:top w:val="single" w:color="000000" w:sz="4" w:space="0"/>
              <w:left w:val="single" w:color="000000" w:sz="4" w:space="0"/>
              <w:bottom w:val="single" w:color="000000" w:sz="4" w:space="0"/>
              <w:right w:val="single" w:color="000000" w:sz="4" w:space="0"/>
            </w:tcBorders>
            <w:noWrap w:val="0"/>
            <w:vAlign w:val="center"/>
          </w:tcPr>
          <w:p w14:paraId="0AF185F0">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是</w:t>
            </w:r>
          </w:p>
        </w:tc>
        <w:tc>
          <w:tcPr>
            <w:tcW w:w="1089" w:type="dxa"/>
            <w:tcBorders>
              <w:top w:val="single" w:color="000000" w:sz="4" w:space="0"/>
              <w:left w:val="single" w:color="000000" w:sz="4" w:space="0"/>
              <w:bottom w:val="single" w:color="000000" w:sz="4" w:space="0"/>
              <w:right w:val="single" w:color="000000" w:sz="4" w:space="0"/>
            </w:tcBorders>
            <w:noWrap w:val="0"/>
            <w:vAlign w:val="center"/>
          </w:tcPr>
          <w:p w14:paraId="278E5F37">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-27.90</w:t>
            </w:r>
          </w:p>
        </w:tc>
      </w:tr>
    </w:tbl>
    <w:p w14:paraId="1AB34909">
      <w:pPr>
        <w:tabs>
          <w:tab w:val="left" w:pos="1274"/>
        </w:tabs>
        <w:jc w:val="center"/>
        <w:rPr>
          <w:b/>
          <w:bCs/>
          <w:color w:val="auto"/>
          <w:sz w:val="22"/>
          <w:szCs w:val="28"/>
        </w:rPr>
      </w:pPr>
    </w:p>
    <w:p w14:paraId="4CD9ED3E">
      <w:pPr>
        <w:pStyle w:val="44"/>
        <w:ind w:firstLine="0"/>
        <w:rPr>
          <w:color w:val="auto"/>
        </w:rPr>
        <w:sectPr>
          <w:pgSz w:w="16840" w:h="11907" w:orient="landscape"/>
          <w:pgMar w:top="1531" w:right="1701" w:bottom="1531" w:left="2127" w:header="851" w:footer="851" w:gutter="0"/>
          <w:pgNumType w:fmt="decimal"/>
          <w:cols w:space="720" w:num="1"/>
          <w:docGrid w:linePitch="312" w:charSpace="0"/>
        </w:sectPr>
      </w:pPr>
    </w:p>
    <w:tbl>
      <w:tblPr>
        <w:tblStyle w:val="30"/>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58"/>
        <w:gridCol w:w="8623"/>
      </w:tblGrid>
      <w:tr w14:paraId="2A7F9A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84" w:hRule="atLeast"/>
          <w:jc w:val="center"/>
        </w:trPr>
        <w:tc>
          <w:tcPr>
            <w:tcW w:w="358" w:type="dxa"/>
            <w:tcMar>
              <w:left w:w="28" w:type="dxa"/>
              <w:right w:w="28" w:type="dxa"/>
            </w:tcMar>
            <w:vAlign w:val="center"/>
          </w:tcPr>
          <w:p w14:paraId="14017D18">
            <w:pPr>
              <w:adjustRightInd w:val="0"/>
              <w:snapToGrid w:val="0"/>
              <w:jc w:val="center"/>
              <w:rPr>
                <w:bCs/>
                <w:color w:val="auto"/>
                <w:sz w:val="24"/>
              </w:rPr>
            </w:pPr>
            <w:bookmarkStart w:id="25" w:name="_Toc4859"/>
            <w:r>
              <w:rPr>
                <w:bCs/>
                <w:color w:val="auto"/>
                <w:sz w:val="24"/>
              </w:rPr>
              <w:t>运营</w:t>
            </w:r>
          </w:p>
          <w:p w14:paraId="094ECD41">
            <w:pPr>
              <w:adjustRightInd w:val="0"/>
              <w:snapToGrid w:val="0"/>
              <w:jc w:val="center"/>
              <w:rPr>
                <w:bCs/>
                <w:color w:val="auto"/>
                <w:sz w:val="24"/>
              </w:rPr>
            </w:pPr>
            <w:r>
              <w:rPr>
                <w:bCs/>
                <w:color w:val="auto"/>
                <w:sz w:val="24"/>
              </w:rPr>
              <w:t>期环</w:t>
            </w:r>
          </w:p>
          <w:p w14:paraId="5CD8522B">
            <w:pPr>
              <w:adjustRightInd w:val="0"/>
              <w:snapToGrid w:val="0"/>
              <w:jc w:val="center"/>
              <w:rPr>
                <w:bCs/>
                <w:color w:val="auto"/>
                <w:sz w:val="24"/>
              </w:rPr>
            </w:pPr>
            <w:r>
              <w:rPr>
                <w:bCs/>
                <w:color w:val="auto"/>
                <w:sz w:val="24"/>
              </w:rPr>
              <w:t>境影</w:t>
            </w:r>
          </w:p>
          <w:p w14:paraId="7901E6FD">
            <w:pPr>
              <w:adjustRightInd w:val="0"/>
              <w:snapToGrid w:val="0"/>
              <w:jc w:val="center"/>
              <w:rPr>
                <w:bCs/>
                <w:color w:val="auto"/>
                <w:sz w:val="24"/>
              </w:rPr>
            </w:pPr>
            <w:r>
              <w:rPr>
                <w:bCs/>
                <w:color w:val="auto"/>
                <w:sz w:val="24"/>
              </w:rPr>
              <w:t>响和</w:t>
            </w:r>
          </w:p>
          <w:p w14:paraId="0C4CAE85">
            <w:pPr>
              <w:adjustRightInd w:val="0"/>
              <w:snapToGrid w:val="0"/>
              <w:jc w:val="center"/>
              <w:rPr>
                <w:bCs/>
                <w:color w:val="auto"/>
                <w:sz w:val="24"/>
              </w:rPr>
            </w:pPr>
            <w:r>
              <w:rPr>
                <w:bCs/>
                <w:color w:val="auto"/>
                <w:sz w:val="24"/>
              </w:rPr>
              <w:t>保护</w:t>
            </w:r>
          </w:p>
          <w:p w14:paraId="0EC9BB80">
            <w:pPr>
              <w:adjustRightInd w:val="0"/>
              <w:snapToGrid w:val="0"/>
              <w:jc w:val="center"/>
              <w:rPr>
                <w:bCs/>
                <w:color w:val="auto"/>
                <w:sz w:val="24"/>
              </w:rPr>
            </w:pPr>
            <w:r>
              <w:rPr>
                <w:bCs/>
                <w:color w:val="auto"/>
                <w:sz w:val="24"/>
              </w:rPr>
              <w:t>措施</w:t>
            </w:r>
          </w:p>
        </w:tc>
        <w:tc>
          <w:tcPr>
            <w:tcW w:w="8623" w:type="dxa"/>
          </w:tcPr>
          <w:p w14:paraId="1F3E3FDE">
            <w:pPr>
              <w:shd w:val="clea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1</w:t>
            </w:r>
            <w:r>
              <w:rPr>
                <w:rFonts w:hint="default" w:ascii="Times New Roman" w:hAnsi="Times New Roman" w:eastAsia="宋体" w:cs="Times New Roman"/>
                <w:color w:val="auto"/>
                <w:sz w:val="24"/>
                <w:highlight w:val="none"/>
                <w:lang w:val="en-US" w:eastAsia="zh-CN"/>
              </w:rPr>
              <w:t>）预测范围、点位与评价因子</w:t>
            </w:r>
          </w:p>
          <w:p w14:paraId="2AE87ACA">
            <w:pPr>
              <w:shd w:val="clear"/>
              <w:spacing w:line="360" w:lineRule="auto"/>
              <w:ind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①噪声预测范围为：厂界外1m。</w:t>
            </w:r>
          </w:p>
          <w:p w14:paraId="43BF6FF1">
            <w:pPr>
              <w:shd w:val="clear"/>
              <w:spacing w:line="360" w:lineRule="auto"/>
              <w:ind w:firstLine="480" w:firstLineChars="20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t>②预测点位：厂界噪声，在东、南、西、北厂界各设置一个。</w:t>
            </w:r>
          </w:p>
          <w:p w14:paraId="08ECC7A4">
            <w:pPr>
              <w:shd w:val="clea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eastAsia="zh-CN"/>
              </w:rPr>
              <w:t>③</w:t>
            </w:r>
            <w:r>
              <w:rPr>
                <w:rFonts w:hint="default" w:ascii="Times New Roman" w:hAnsi="Times New Roman" w:eastAsia="宋体" w:cs="Times New Roman"/>
                <w:color w:val="auto"/>
                <w:sz w:val="24"/>
                <w:highlight w:val="none"/>
              </w:rPr>
              <w:t>厂界噪声预测因子：昼夜等效连续A声级。</w:t>
            </w:r>
          </w:p>
          <w:p w14:paraId="4078EE21">
            <w:pPr>
              <w:shd w:val="clea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eastAsia="zh-CN"/>
              </w:rPr>
              <w:t>④</w:t>
            </w:r>
            <w:r>
              <w:rPr>
                <w:rFonts w:hint="default" w:ascii="Times New Roman" w:hAnsi="Times New Roman" w:eastAsia="宋体" w:cs="Times New Roman"/>
                <w:color w:val="auto"/>
                <w:sz w:val="24"/>
                <w:highlight w:val="none"/>
              </w:rPr>
              <w:t>基础数据</w:t>
            </w:r>
          </w:p>
          <w:p w14:paraId="52F3029C">
            <w:pPr>
              <w:shd w:val="clea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项目噪声环境影响预测基础数据见表4-</w:t>
            </w:r>
            <w:r>
              <w:rPr>
                <w:rFonts w:hint="eastAsia" w:cs="Times New Roman"/>
                <w:color w:val="auto"/>
                <w:sz w:val="24"/>
                <w:highlight w:val="none"/>
                <w:lang w:val="en-US" w:eastAsia="zh-CN"/>
              </w:rPr>
              <w:t>19</w:t>
            </w:r>
            <w:r>
              <w:rPr>
                <w:rFonts w:hint="default" w:ascii="Times New Roman" w:hAnsi="Times New Roman" w:eastAsia="宋体" w:cs="Times New Roman"/>
                <w:color w:val="auto"/>
                <w:sz w:val="24"/>
                <w:highlight w:val="none"/>
              </w:rPr>
              <w:t>。</w:t>
            </w:r>
          </w:p>
          <w:p w14:paraId="4EC087D2">
            <w:pPr>
              <w:keepNext w:val="0"/>
              <w:keepLines w:val="0"/>
              <w:pageBreakBefore w:val="0"/>
              <w:widowControl/>
              <w:shd w:val="clea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表4-</w:t>
            </w:r>
            <w:r>
              <w:rPr>
                <w:rFonts w:hint="eastAsia" w:cs="Times New Roman"/>
                <w:b/>
                <w:bCs/>
                <w:color w:val="auto"/>
                <w:sz w:val="21"/>
                <w:szCs w:val="21"/>
                <w:highlight w:val="none"/>
                <w:lang w:val="en-US" w:eastAsia="zh-CN"/>
              </w:rPr>
              <w:t>19</w:t>
            </w:r>
            <w:r>
              <w:rPr>
                <w:rFonts w:hint="default"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rPr>
              <w:t xml:space="preserve"> 项目噪声环境影响预测基础数据表</w:t>
            </w:r>
          </w:p>
          <w:tbl>
            <w:tblPr>
              <w:tblStyle w:val="30"/>
              <w:tblW w:w="4999"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442"/>
              <w:gridCol w:w="2754"/>
              <w:gridCol w:w="2102"/>
              <w:gridCol w:w="2102"/>
            </w:tblGrid>
            <w:tr w14:paraId="49AC23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858" w:type="pct"/>
                  <w:noWrap w:val="0"/>
                  <w:vAlign w:val="center"/>
                </w:tcPr>
                <w:p w14:paraId="08C2423C">
                  <w:pPr>
                    <w:shd w:val="clear"/>
                    <w:jc w:val="center"/>
                    <w:rPr>
                      <w:rFonts w:hint="default" w:ascii="Times New Roman" w:hAnsi="Times New Roman" w:eastAsia="宋体" w:cs="Times New Roman"/>
                      <w:b/>
                      <w:bCs w:val="0"/>
                      <w:color w:val="auto"/>
                      <w:szCs w:val="21"/>
                      <w:highlight w:val="none"/>
                    </w:rPr>
                  </w:pPr>
                  <w:r>
                    <w:rPr>
                      <w:rFonts w:hint="default" w:ascii="Times New Roman" w:hAnsi="Times New Roman" w:eastAsia="宋体" w:cs="Times New Roman"/>
                      <w:b/>
                      <w:bCs w:val="0"/>
                      <w:color w:val="auto"/>
                      <w:szCs w:val="21"/>
                      <w:highlight w:val="none"/>
                    </w:rPr>
                    <w:t>序号</w:t>
                  </w:r>
                </w:p>
              </w:tc>
              <w:tc>
                <w:tcPr>
                  <w:tcW w:w="1639" w:type="pct"/>
                  <w:noWrap w:val="0"/>
                  <w:vAlign w:val="center"/>
                </w:tcPr>
                <w:p w14:paraId="0E83DE75">
                  <w:pPr>
                    <w:shd w:val="clear"/>
                    <w:jc w:val="center"/>
                    <w:rPr>
                      <w:rFonts w:hint="default" w:ascii="Times New Roman" w:hAnsi="Times New Roman" w:eastAsia="宋体" w:cs="Times New Roman"/>
                      <w:b/>
                      <w:bCs w:val="0"/>
                      <w:color w:val="auto"/>
                      <w:szCs w:val="21"/>
                      <w:highlight w:val="none"/>
                    </w:rPr>
                  </w:pPr>
                  <w:r>
                    <w:rPr>
                      <w:rFonts w:hint="default" w:ascii="Times New Roman" w:hAnsi="Times New Roman" w:eastAsia="宋体" w:cs="Times New Roman"/>
                      <w:b/>
                      <w:bCs w:val="0"/>
                      <w:color w:val="auto"/>
                      <w:szCs w:val="21"/>
                      <w:highlight w:val="none"/>
                    </w:rPr>
                    <w:t>名称</w:t>
                  </w:r>
                </w:p>
              </w:tc>
              <w:tc>
                <w:tcPr>
                  <w:tcW w:w="1251" w:type="pct"/>
                  <w:noWrap w:val="0"/>
                  <w:vAlign w:val="center"/>
                </w:tcPr>
                <w:p w14:paraId="6CB50D4A">
                  <w:pPr>
                    <w:shd w:val="clear"/>
                    <w:jc w:val="center"/>
                    <w:rPr>
                      <w:rFonts w:hint="default" w:ascii="Times New Roman" w:hAnsi="Times New Roman" w:eastAsia="宋体" w:cs="Times New Roman"/>
                      <w:b/>
                      <w:bCs w:val="0"/>
                      <w:color w:val="auto"/>
                      <w:szCs w:val="21"/>
                      <w:highlight w:val="none"/>
                    </w:rPr>
                  </w:pPr>
                  <w:r>
                    <w:rPr>
                      <w:rFonts w:hint="default" w:ascii="Times New Roman" w:hAnsi="Times New Roman" w:eastAsia="宋体" w:cs="Times New Roman"/>
                      <w:b/>
                      <w:bCs w:val="0"/>
                      <w:color w:val="auto"/>
                      <w:szCs w:val="21"/>
                      <w:highlight w:val="none"/>
                    </w:rPr>
                    <w:t>单位</w:t>
                  </w:r>
                </w:p>
              </w:tc>
              <w:tc>
                <w:tcPr>
                  <w:tcW w:w="1251" w:type="pct"/>
                  <w:noWrap w:val="0"/>
                  <w:vAlign w:val="center"/>
                </w:tcPr>
                <w:p w14:paraId="779AE53A">
                  <w:pPr>
                    <w:shd w:val="clear"/>
                    <w:jc w:val="center"/>
                    <w:rPr>
                      <w:rFonts w:hint="default" w:ascii="Times New Roman" w:hAnsi="Times New Roman" w:eastAsia="宋体" w:cs="Times New Roman"/>
                      <w:b/>
                      <w:bCs w:val="0"/>
                      <w:color w:val="auto"/>
                      <w:szCs w:val="21"/>
                      <w:highlight w:val="none"/>
                    </w:rPr>
                  </w:pPr>
                  <w:r>
                    <w:rPr>
                      <w:rFonts w:hint="default" w:ascii="Times New Roman" w:hAnsi="Times New Roman" w:eastAsia="宋体" w:cs="Times New Roman"/>
                      <w:b/>
                      <w:bCs w:val="0"/>
                      <w:color w:val="auto"/>
                      <w:szCs w:val="21"/>
                      <w:highlight w:val="none"/>
                    </w:rPr>
                    <w:t>数据</w:t>
                  </w:r>
                </w:p>
              </w:tc>
            </w:tr>
            <w:tr w14:paraId="30EA14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858" w:type="pct"/>
                  <w:noWrap w:val="0"/>
                  <w:vAlign w:val="center"/>
                </w:tcPr>
                <w:p w14:paraId="3BBD5026">
                  <w:pPr>
                    <w:shd w:val="clear"/>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1</w:t>
                  </w:r>
                </w:p>
              </w:tc>
              <w:tc>
                <w:tcPr>
                  <w:tcW w:w="1639" w:type="pct"/>
                  <w:noWrap w:val="0"/>
                  <w:vAlign w:val="center"/>
                </w:tcPr>
                <w:p w14:paraId="29649178">
                  <w:pPr>
                    <w:shd w:val="clear"/>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年平均风速</w:t>
                  </w:r>
                </w:p>
              </w:tc>
              <w:tc>
                <w:tcPr>
                  <w:tcW w:w="1251" w:type="pct"/>
                  <w:noWrap w:val="0"/>
                  <w:vAlign w:val="center"/>
                </w:tcPr>
                <w:p w14:paraId="1EC8989E">
                  <w:pPr>
                    <w:shd w:val="clear"/>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m/s</w:t>
                  </w:r>
                </w:p>
              </w:tc>
              <w:tc>
                <w:tcPr>
                  <w:tcW w:w="2102" w:type="dxa"/>
                  <w:noWrap w:val="0"/>
                  <w:vAlign w:val="center"/>
                </w:tcPr>
                <w:p w14:paraId="5A24D9EF">
                  <w:pPr>
                    <w:jc w:val="center"/>
                    <w:rPr>
                      <w:rFonts w:hint="default" w:ascii="Times New Roman" w:hAnsi="Times New Roman" w:eastAsia="宋体" w:cs="Times New Roman"/>
                      <w:bCs/>
                      <w:color w:val="auto"/>
                      <w:szCs w:val="21"/>
                      <w:highlight w:val="none"/>
                      <w:lang w:val="en-US" w:eastAsia="zh-CN"/>
                    </w:rPr>
                  </w:pPr>
                  <w:r>
                    <w:rPr>
                      <w:rFonts w:hint="eastAsia"/>
                      <w:bCs/>
                      <w:color w:val="auto"/>
                      <w:szCs w:val="21"/>
                      <w:lang w:val="en-US" w:eastAsia="zh-CN"/>
                    </w:rPr>
                    <w:t>2.3</w:t>
                  </w:r>
                </w:p>
              </w:tc>
            </w:tr>
            <w:tr w14:paraId="6DA486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858" w:type="pct"/>
                  <w:noWrap w:val="0"/>
                  <w:vAlign w:val="center"/>
                </w:tcPr>
                <w:p w14:paraId="4BB68EE2">
                  <w:pPr>
                    <w:shd w:val="clear"/>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2</w:t>
                  </w:r>
                </w:p>
              </w:tc>
              <w:tc>
                <w:tcPr>
                  <w:tcW w:w="1639" w:type="pct"/>
                  <w:noWrap w:val="0"/>
                  <w:vAlign w:val="center"/>
                </w:tcPr>
                <w:p w14:paraId="692BFD0B">
                  <w:pPr>
                    <w:shd w:val="clear"/>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主导风向</w:t>
                  </w:r>
                </w:p>
              </w:tc>
              <w:tc>
                <w:tcPr>
                  <w:tcW w:w="1251" w:type="pct"/>
                  <w:noWrap w:val="0"/>
                  <w:vAlign w:val="center"/>
                </w:tcPr>
                <w:p w14:paraId="2321D5C6">
                  <w:pPr>
                    <w:shd w:val="clear"/>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w:t>
                  </w:r>
                </w:p>
              </w:tc>
              <w:tc>
                <w:tcPr>
                  <w:tcW w:w="2102" w:type="dxa"/>
                  <w:noWrap w:val="0"/>
                  <w:vAlign w:val="center"/>
                </w:tcPr>
                <w:p w14:paraId="359CA0AA">
                  <w:pPr>
                    <w:jc w:val="center"/>
                    <w:rPr>
                      <w:rFonts w:hint="default" w:ascii="Times New Roman" w:hAnsi="Times New Roman" w:eastAsia="宋体" w:cs="Times New Roman"/>
                      <w:bCs/>
                      <w:color w:val="auto"/>
                      <w:szCs w:val="21"/>
                      <w:highlight w:val="none"/>
                    </w:rPr>
                  </w:pPr>
                  <w:r>
                    <w:rPr>
                      <w:bCs/>
                      <w:color w:val="auto"/>
                      <w:szCs w:val="21"/>
                    </w:rPr>
                    <w:t>西南风</w:t>
                  </w:r>
                </w:p>
              </w:tc>
            </w:tr>
            <w:tr w14:paraId="3CA4E3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858" w:type="pct"/>
                  <w:noWrap w:val="0"/>
                  <w:vAlign w:val="center"/>
                </w:tcPr>
                <w:p w14:paraId="5FBA9768">
                  <w:pPr>
                    <w:shd w:val="clear"/>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3</w:t>
                  </w:r>
                </w:p>
              </w:tc>
              <w:tc>
                <w:tcPr>
                  <w:tcW w:w="1639" w:type="pct"/>
                  <w:noWrap w:val="0"/>
                  <w:vAlign w:val="center"/>
                </w:tcPr>
                <w:p w14:paraId="6E3D1FD9">
                  <w:pPr>
                    <w:shd w:val="clear"/>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年平均气温</w:t>
                  </w:r>
                </w:p>
              </w:tc>
              <w:tc>
                <w:tcPr>
                  <w:tcW w:w="1251" w:type="pct"/>
                  <w:noWrap w:val="0"/>
                  <w:vAlign w:val="center"/>
                </w:tcPr>
                <w:p w14:paraId="6F5E0A3B">
                  <w:pPr>
                    <w:shd w:val="clear"/>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w:t>
                  </w:r>
                </w:p>
              </w:tc>
              <w:tc>
                <w:tcPr>
                  <w:tcW w:w="2102" w:type="dxa"/>
                  <w:noWrap w:val="0"/>
                  <w:vAlign w:val="center"/>
                </w:tcPr>
                <w:p w14:paraId="27A30F18">
                  <w:pPr>
                    <w:jc w:val="center"/>
                    <w:rPr>
                      <w:rFonts w:hint="default" w:ascii="Times New Roman" w:hAnsi="Times New Roman" w:eastAsia="宋体" w:cs="Times New Roman"/>
                      <w:bCs/>
                      <w:color w:val="auto"/>
                      <w:szCs w:val="21"/>
                      <w:highlight w:val="none"/>
                      <w:lang w:val="en-US" w:eastAsia="zh-CN"/>
                    </w:rPr>
                  </w:pPr>
                  <w:r>
                    <w:rPr>
                      <w:bCs/>
                      <w:color w:val="auto"/>
                      <w:szCs w:val="21"/>
                    </w:rPr>
                    <w:t>1</w:t>
                  </w:r>
                  <w:r>
                    <w:rPr>
                      <w:rFonts w:hint="eastAsia"/>
                      <w:bCs/>
                      <w:color w:val="auto"/>
                      <w:szCs w:val="21"/>
                      <w:lang w:val="en-US" w:eastAsia="zh-CN"/>
                    </w:rPr>
                    <w:t>5.0</w:t>
                  </w:r>
                </w:p>
              </w:tc>
            </w:tr>
            <w:tr w14:paraId="7807EC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858" w:type="pct"/>
                  <w:noWrap w:val="0"/>
                  <w:vAlign w:val="center"/>
                </w:tcPr>
                <w:p w14:paraId="7F0FC1EF">
                  <w:pPr>
                    <w:shd w:val="clear"/>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4</w:t>
                  </w:r>
                </w:p>
              </w:tc>
              <w:tc>
                <w:tcPr>
                  <w:tcW w:w="1639" w:type="pct"/>
                  <w:noWrap w:val="0"/>
                  <w:vAlign w:val="center"/>
                </w:tcPr>
                <w:p w14:paraId="3D9C00EE">
                  <w:pPr>
                    <w:shd w:val="clear"/>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年平均相对湿度</w:t>
                  </w:r>
                </w:p>
              </w:tc>
              <w:tc>
                <w:tcPr>
                  <w:tcW w:w="1251" w:type="pct"/>
                  <w:noWrap w:val="0"/>
                  <w:vAlign w:val="center"/>
                </w:tcPr>
                <w:p w14:paraId="3E4F6AA6">
                  <w:pPr>
                    <w:shd w:val="clear"/>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w:t>
                  </w:r>
                </w:p>
              </w:tc>
              <w:tc>
                <w:tcPr>
                  <w:tcW w:w="2102" w:type="dxa"/>
                  <w:noWrap w:val="0"/>
                  <w:vAlign w:val="center"/>
                </w:tcPr>
                <w:p w14:paraId="541E8CC4">
                  <w:pPr>
                    <w:jc w:val="center"/>
                    <w:rPr>
                      <w:rFonts w:hint="default" w:ascii="Times New Roman" w:hAnsi="Times New Roman" w:eastAsia="宋体" w:cs="Times New Roman"/>
                      <w:bCs/>
                      <w:color w:val="auto"/>
                      <w:szCs w:val="21"/>
                      <w:highlight w:val="none"/>
                      <w:lang w:val="en-US" w:eastAsia="zh-CN"/>
                    </w:rPr>
                  </w:pPr>
                  <w:r>
                    <w:rPr>
                      <w:bCs/>
                      <w:color w:val="auto"/>
                      <w:szCs w:val="21"/>
                    </w:rPr>
                    <w:t>50</w:t>
                  </w:r>
                </w:p>
              </w:tc>
            </w:tr>
            <w:tr w14:paraId="5C539A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858" w:type="pct"/>
                  <w:noWrap w:val="0"/>
                  <w:vAlign w:val="center"/>
                </w:tcPr>
                <w:p w14:paraId="36C7CEC4">
                  <w:pPr>
                    <w:shd w:val="clear"/>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5</w:t>
                  </w:r>
                </w:p>
              </w:tc>
              <w:tc>
                <w:tcPr>
                  <w:tcW w:w="1639" w:type="pct"/>
                  <w:noWrap w:val="0"/>
                  <w:vAlign w:val="center"/>
                </w:tcPr>
                <w:p w14:paraId="293830E5">
                  <w:pPr>
                    <w:shd w:val="clear"/>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大气压强</w:t>
                  </w:r>
                </w:p>
              </w:tc>
              <w:tc>
                <w:tcPr>
                  <w:tcW w:w="1251" w:type="pct"/>
                  <w:noWrap w:val="0"/>
                  <w:vAlign w:val="center"/>
                </w:tcPr>
                <w:p w14:paraId="2902ED44">
                  <w:pPr>
                    <w:shd w:val="clear"/>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atm</w:t>
                  </w:r>
                </w:p>
              </w:tc>
              <w:tc>
                <w:tcPr>
                  <w:tcW w:w="2102" w:type="dxa"/>
                  <w:noWrap w:val="0"/>
                  <w:vAlign w:val="center"/>
                </w:tcPr>
                <w:p w14:paraId="11AC71BB">
                  <w:pPr>
                    <w:jc w:val="center"/>
                    <w:rPr>
                      <w:rFonts w:hint="default" w:ascii="Times New Roman" w:hAnsi="Times New Roman" w:eastAsia="宋体" w:cs="Times New Roman"/>
                      <w:bCs/>
                      <w:color w:val="auto"/>
                      <w:szCs w:val="21"/>
                      <w:highlight w:val="none"/>
                    </w:rPr>
                  </w:pPr>
                  <w:r>
                    <w:rPr>
                      <w:bCs/>
                      <w:color w:val="auto"/>
                      <w:szCs w:val="21"/>
                    </w:rPr>
                    <w:t>1</w:t>
                  </w:r>
                </w:p>
              </w:tc>
            </w:tr>
          </w:tbl>
          <w:p w14:paraId="6739BBF5">
            <w:pPr>
              <w:shd w:val="clea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声源和预测点间的地形、高差、障碍物、树林、灌木等的分布情况以及地面覆盖情况（如草地、水面、水泥地面、土质地面等）根据现场踏勘、项目总平图等，并结合卫星图片地理信息数据确定，数据精度为10m。</w:t>
            </w:r>
          </w:p>
          <w:p w14:paraId="310F004A">
            <w:pPr>
              <w:shd w:val="clea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）声环境影响预测</w:t>
            </w:r>
          </w:p>
          <w:p w14:paraId="12192484">
            <w:pPr>
              <w:shd w:val="clea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①</w:t>
            </w:r>
            <w:r>
              <w:rPr>
                <w:rFonts w:hint="default" w:ascii="Times New Roman" w:hAnsi="Times New Roman" w:eastAsia="宋体" w:cs="Times New Roman"/>
                <w:color w:val="auto"/>
                <w:sz w:val="24"/>
                <w:highlight w:val="none"/>
              </w:rPr>
              <w:t>建筑物插入损失</w:t>
            </w:r>
            <w:r>
              <w:rPr>
                <w:rFonts w:hint="default" w:ascii="Times New Roman" w:hAnsi="Times New Roman" w:eastAsia="宋体" w:cs="Times New Roman"/>
                <w:color w:val="auto"/>
                <w:sz w:val="24"/>
                <w:highlight w:val="none"/>
                <w:lang w:val="en-US" w:eastAsia="zh-CN"/>
              </w:rPr>
              <w:t>计算</w:t>
            </w:r>
          </w:p>
          <w:p w14:paraId="4CA3ED8A">
            <w:pPr>
              <w:shd w:val="clea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eastAsia="zh-CN"/>
              </w:rPr>
              <w:t>根据</w:t>
            </w:r>
            <w:r>
              <w:rPr>
                <w:rFonts w:hint="default" w:ascii="Times New Roman" w:hAnsi="Times New Roman" w:eastAsia="宋体" w:cs="Times New Roman"/>
                <w:color w:val="auto"/>
                <w:sz w:val="24"/>
                <w:highlight w:val="none"/>
              </w:rPr>
              <w:t>《环境影响评</w:t>
            </w:r>
            <w:r>
              <w:rPr>
                <w:rFonts w:hint="default" w:ascii="Times New Roman" w:hAnsi="Times New Roman" w:eastAsia="宋体" w:cs="Times New Roman"/>
                <w:color w:val="auto"/>
                <w:kern w:val="0"/>
                <w:sz w:val="24"/>
                <w:highlight w:val="none"/>
                <w:lang w:bidi="ar"/>
              </w:rPr>
              <w:t>价技术导则 声环境》</w:t>
            </w:r>
            <w:r>
              <w:rPr>
                <w:rFonts w:hint="default" w:ascii="Times New Roman" w:hAnsi="Times New Roman" w:eastAsia="宋体" w:cs="Times New Roman"/>
                <w:color w:val="auto"/>
                <w:kern w:val="0"/>
                <w:sz w:val="24"/>
                <w:highlight w:val="none"/>
                <w:lang w:eastAsia="zh-CN" w:bidi="ar"/>
              </w:rPr>
              <w:t>（</w:t>
            </w:r>
            <w:r>
              <w:rPr>
                <w:rFonts w:hint="default" w:ascii="Times New Roman" w:hAnsi="Times New Roman" w:eastAsia="宋体" w:cs="Times New Roman"/>
                <w:color w:val="auto"/>
                <w:kern w:val="0"/>
                <w:sz w:val="24"/>
                <w:highlight w:val="none"/>
                <w:lang w:bidi="ar"/>
              </w:rPr>
              <w:t>HJ2.4-2021</w:t>
            </w:r>
            <w:r>
              <w:rPr>
                <w:rFonts w:hint="default" w:ascii="Times New Roman" w:hAnsi="Times New Roman" w:eastAsia="宋体" w:cs="Times New Roman"/>
                <w:color w:val="auto"/>
                <w:kern w:val="0"/>
                <w:sz w:val="24"/>
                <w:highlight w:val="none"/>
                <w:lang w:eastAsia="zh-CN" w:bidi="ar"/>
              </w:rPr>
              <w:t>）</w:t>
            </w:r>
            <w:r>
              <w:rPr>
                <w:rFonts w:hint="default" w:ascii="Times New Roman" w:hAnsi="Times New Roman" w:eastAsia="宋体" w:cs="Times New Roman"/>
                <w:color w:val="auto"/>
                <w:sz w:val="24"/>
                <w:highlight w:val="none"/>
                <w:lang w:eastAsia="zh-CN"/>
              </w:rPr>
              <w:t>附录</w:t>
            </w:r>
            <w:r>
              <w:rPr>
                <w:rFonts w:hint="default" w:ascii="Times New Roman" w:hAnsi="Times New Roman" w:eastAsia="宋体" w:cs="Times New Roman"/>
                <w:color w:val="auto"/>
                <w:sz w:val="24"/>
                <w:highlight w:val="none"/>
                <w:lang w:val="en-US" w:eastAsia="zh-CN"/>
              </w:rPr>
              <w:t>B可知，</w:t>
            </w:r>
            <w:r>
              <w:rPr>
                <w:rFonts w:hint="default" w:ascii="Times New Roman" w:hAnsi="Times New Roman" w:eastAsia="宋体" w:cs="Times New Roman"/>
                <w:color w:val="auto"/>
                <w:sz w:val="24"/>
                <w:highlight w:val="none"/>
              </w:rPr>
              <w:t>室内声源可采用等效室外声源声功率级法进行计算。设靠近开口处（或窗户）室内、室外某倍频带的声压级分别为L</w:t>
            </w:r>
            <w:r>
              <w:rPr>
                <w:rFonts w:hint="default" w:ascii="Times New Roman" w:hAnsi="Times New Roman" w:eastAsia="宋体" w:cs="Times New Roman"/>
                <w:color w:val="auto"/>
                <w:sz w:val="24"/>
                <w:highlight w:val="none"/>
                <w:vertAlign w:val="subscript"/>
              </w:rPr>
              <w:t>P1</w:t>
            </w:r>
            <w:r>
              <w:rPr>
                <w:rFonts w:hint="default" w:ascii="Times New Roman" w:hAnsi="Times New Roman" w:eastAsia="宋体" w:cs="Times New Roman"/>
                <w:color w:val="auto"/>
                <w:sz w:val="24"/>
                <w:highlight w:val="none"/>
              </w:rPr>
              <w:t>和L</w:t>
            </w:r>
            <w:r>
              <w:rPr>
                <w:rFonts w:hint="default" w:ascii="Times New Roman" w:hAnsi="Times New Roman" w:eastAsia="宋体" w:cs="Times New Roman"/>
                <w:color w:val="auto"/>
                <w:sz w:val="24"/>
                <w:highlight w:val="none"/>
                <w:vertAlign w:val="subscript"/>
              </w:rPr>
              <w:t>P2</w:t>
            </w:r>
            <w:r>
              <w:rPr>
                <w:rFonts w:hint="default" w:ascii="Times New Roman" w:hAnsi="Times New Roman" w:eastAsia="宋体" w:cs="Times New Roman"/>
                <w:color w:val="auto"/>
                <w:sz w:val="24"/>
                <w:highlight w:val="none"/>
              </w:rPr>
              <w:t>。若声源所在室内声场为近似扩散声场，则室外的倍频带声压级可按以下公式近似求出：</w:t>
            </w:r>
          </w:p>
          <w:p w14:paraId="09301F0D">
            <w:pPr>
              <w:shd w:val="clear"/>
              <w:snapToGrid w:val="0"/>
              <w:spacing w:line="360" w:lineRule="auto"/>
              <w:ind w:firstLine="480" w:firstLineChars="20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L</w:t>
            </w:r>
            <w:r>
              <w:rPr>
                <w:rFonts w:hint="default" w:ascii="Times New Roman" w:hAnsi="Times New Roman" w:eastAsia="宋体" w:cs="Times New Roman"/>
                <w:color w:val="auto"/>
                <w:sz w:val="24"/>
                <w:highlight w:val="none"/>
                <w:vertAlign w:val="subscript"/>
              </w:rPr>
              <w:t>P2</w:t>
            </w:r>
            <w:r>
              <w:rPr>
                <w:rFonts w:hint="default" w:ascii="Times New Roman" w:hAnsi="Times New Roman" w:eastAsia="宋体" w:cs="Times New Roman"/>
                <w:color w:val="auto"/>
                <w:sz w:val="24"/>
                <w:highlight w:val="none"/>
              </w:rPr>
              <w:t>＝L</w:t>
            </w:r>
            <w:r>
              <w:rPr>
                <w:rFonts w:hint="default" w:ascii="Times New Roman" w:hAnsi="Times New Roman" w:eastAsia="宋体" w:cs="Times New Roman"/>
                <w:color w:val="auto"/>
                <w:sz w:val="24"/>
                <w:highlight w:val="none"/>
                <w:vertAlign w:val="subscript"/>
              </w:rPr>
              <w:t>P1</w:t>
            </w:r>
            <w:r>
              <w:rPr>
                <w:rFonts w:hint="default" w:ascii="Times New Roman" w:hAnsi="Times New Roman" w:eastAsia="宋体" w:cs="Times New Roman"/>
                <w:color w:val="auto"/>
                <w:sz w:val="24"/>
                <w:highlight w:val="none"/>
              </w:rPr>
              <w:t>-（TL+6）</w:t>
            </w:r>
          </w:p>
          <w:p w14:paraId="5ABBC858">
            <w:pPr>
              <w:shd w:val="clea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highlight w:val="none"/>
              </w:rPr>
              <w:t>式中：TL—隔墙（或窗户）倍频带的隔声量，dB。</w:t>
            </w:r>
          </w:p>
          <w:p w14:paraId="0F30EE19">
            <w:pPr>
              <w:keepNext w:val="0"/>
              <w:keepLines w:val="0"/>
              <w:pageBreakBefore w:val="0"/>
              <w:suppressLineNumbers w:val="0"/>
              <w:kinsoku/>
              <w:wordWrap/>
              <w:topLinePunct w:val="0"/>
              <w:bidi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szCs w:val="24"/>
                <w:highlight w:val="none"/>
                <w:lang w:eastAsia="zh-CN"/>
              </w:rPr>
              <w:t>综上可知，建筑物插入损失等于建筑物隔音量</w:t>
            </w:r>
            <w:r>
              <w:rPr>
                <w:rFonts w:hint="default" w:ascii="Times New Roman" w:hAnsi="Times New Roman" w:eastAsia="宋体" w:cs="Times New Roman"/>
                <w:color w:val="auto"/>
                <w:sz w:val="24"/>
                <w:szCs w:val="24"/>
                <w:highlight w:val="none"/>
                <w:lang w:val="en-US" w:eastAsia="zh-CN"/>
              </w:rPr>
              <w:t>+6。本项目高噪声设备安装消声减振装置，根据</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不同厚度墙壁和常用板材的隔声量汇表</w:t>
            </w:r>
            <w:r>
              <w:rPr>
                <w:rFonts w:hint="default" w:ascii="Times New Roman" w:hAnsi="Times New Roman" w:eastAsia="宋体" w:cs="Times New Roman"/>
                <w:color w:val="auto"/>
                <w:kern w:val="0"/>
                <w:sz w:val="24"/>
                <w:highlight w:val="none"/>
                <w:lang w:bidi="ar"/>
              </w:rPr>
              <w:t>》</w:t>
            </w:r>
            <w:r>
              <w:rPr>
                <w:rFonts w:hint="default" w:ascii="Times New Roman" w:hAnsi="Times New Roman" w:eastAsia="宋体" w:cs="Times New Roman"/>
                <w:color w:val="auto"/>
                <w:kern w:val="0"/>
                <w:sz w:val="24"/>
                <w:highlight w:val="none"/>
                <w:lang w:val="en-US" w:eastAsia="zh-CN" w:bidi="ar"/>
              </w:rPr>
              <w:t>可知，</w:t>
            </w:r>
            <w:r>
              <w:rPr>
                <w:rFonts w:hint="default" w:ascii="Times New Roman" w:hAnsi="Times New Roman" w:eastAsia="宋体" w:cs="Times New Roman"/>
                <w:color w:val="auto"/>
                <w:sz w:val="24"/>
                <w:szCs w:val="24"/>
                <w:highlight w:val="none"/>
                <w:lang w:eastAsia="zh-CN"/>
              </w:rPr>
              <w:t>单层板平均隔声量为20dB（A），本项目生产厂房为单层铁皮活动板房，因此本项目建筑物隔音量选取20dB（A），则建筑物插入损失即为26dB（A）</w:t>
            </w:r>
            <w:r>
              <w:rPr>
                <w:rFonts w:hint="default" w:ascii="Times New Roman" w:hAnsi="Times New Roman" w:eastAsia="宋体" w:cs="Times New Roman"/>
                <w:color w:val="auto"/>
                <w:sz w:val="24"/>
                <w:highlight w:val="none"/>
                <w:lang w:eastAsia="zh-CN"/>
              </w:rPr>
              <w:t>。</w:t>
            </w:r>
          </w:p>
          <w:p w14:paraId="7D2F85B2">
            <w:pPr>
              <w:shd w:val="clea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②</w:t>
            </w:r>
            <w:r>
              <w:rPr>
                <w:rFonts w:hint="default" w:ascii="Times New Roman" w:hAnsi="Times New Roman" w:eastAsia="宋体" w:cs="Times New Roman"/>
                <w:color w:val="auto"/>
                <w:sz w:val="24"/>
                <w:highlight w:val="none"/>
              </w:rPr>
              <w:t>预测方法</w:t>
            </w:r>
          </w:p>
          <w:p w14:paraId="682F0E55">
            <w:pPr>
              <w:widowControl/>
              <w:shd w:val="clea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kern w:val="0"/>
                <w:sz w:val="24"/>
                <w:highlight w:val="none"/>
                <w:lang w:bidi="ar"/>
              </w:rPr>
              <w:t>噪声传播过程中有三个要素：即声源、传播途径和接受者。根据项目采取的治理措施及降噪效果，采用《环境影响评价技术导则 声环境》</w:t>
            </w:r>
            <w:r>
              <w:rPr>
                <w:rFonts w:hint="default" w:ascii="Times New Roman" w:hAnsi="Times New Roman" w:eastAsia="宋体" w:cs="Times New Roman"/>
                <w:color w:val="auto"/>
                <w:kern w:val="0"/>
                <w:sz w:val="24"/>
                <w:highlight w:val="none"/>
                <w:lang w:eastAsia="zh-CN" w:bidi="ar"/>
              </w:rPr>
              <w:t>（</w:t>
            </w:r>
            <w:r>
              <w:rPr>
                <w:rFonts w:hint="default" w:ascii="Times New Roman" w:hAnsi="Times New Roman" w:eastAsia="宋体" w:cs="Times New Roman"/>
                <w:color w:val="auto"/>
                <w:kern w:val="0"/>
                <w:sz w:val="24"/>
                <w:highlight w:val="none"/>
                <w:lang w:bidi="ar"/>
              </w:rPr>
              <w:t>HJ2.4-2021</w:t>
            </w:r>
            <w:r>
              <w:rPr>
                <w:rFonts w:hint="default" w:ascii="Times New Roman" w:hAnsi="Times New Roman" w:eastAsia="宋体" w:cs="Times New Roman"/>
                <w:color w:val="auto"/>
                <w:kern w:val="0"/>
                <w:sz w:val="24"/>
                <w:highlight w:val="none"/>
                <w:lang w:eastAsia="zh-CN" w:bidi="ar"/>
              </w:rPr>
              <w:t>）</w:t>
            </w:r>
            <w:r>
              <w:rPr>
                <w:rFonts w:hint="default" w:ascii="Times New Roman" w:hAnsi="Times New Roman" w:eastAsia="宋体" w:cs="Times New Roman"/>
                <w:color w:val="auto"/>
                <w:kern w:val="0"/>
                <w:sz w:val="24"/>
                <w:highlight w:val="none"/>
                <w:lang w:bidi="ar"/>
              </w:rPr>
              <w:t>推荐的工业噪声预测模式，本评价只考虑几何发散引起的衰减量来预测项目对厂界的贡献点的影响。</w:t>
            </w:r>
          </w:p>
          <w:p w14:paraId="0ADD10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kern w:val="0"/>
                <w:sz w:val="24"/>
                <w:highlight w:val="none"/>
                <w:lang w:bidi="ar"/>
              </w:rPr>
              <w:t>预测方法为：依据各噪声源与各预测点的距离计算出各噪声设备产生的噪声对各预测点的影响值，并根据能量合成法叠加各噪声设备对各预测点的噪声贡献值，来预测分析本项目</w:t>
            </w:r>
            <w:r>
              <w:rPr>
                <w:rFonts w:hint="default" w:ascii="Times New Roman" w:hAnsi="Times New Roman" w:eastAsia="宋体" w:cs="Times New Roman"/>
                <w:color w:val="auto"/>
                <w:kern w:val="0"/>
                <w:sz w:val="24"/>
                <w:highlight w:val="none"/>
                <w:lang w:eastAsia="zh-CN" w:bidi="ar"/>
              </w:rPr>
              <w:t>运营期</w:t>
            </w:r>
            <w:r>
              <w:rPr>
                <w:rFonts w:hint="default" w:ascii="Times New Roman" w:hAnsi="Times New Roman" w:eastAsia="宋体" w:cs="Times New Roman"/>
                <w:color w:val="auto"/>
                <w:kern w:val="0"/>
                <w:sz w:val="24"/>
                <w:highlight w:val="none"/>
                <w:lang w:bidi="ar"/>
              </w:rPr>
              <w:t>对厂界及周围声环境的影响。</w:t>
            </w:r>
            <w:r>
              <w:rPr>
                <w:rFonts w:hint="eastAsia" w:ascii="Times New Roman" w:hAnsi="Times New Roman" w:eastAsia="宋体" w:cs="Times New Roman"/>
                <w:color w:val="auto"/>
                <w:kern w:val="0"/>
                <w:sz w:val="24"/>
                <w:lang w:val="en-US" w:eastAsia="zh-CN" w:bidi="ar"/>
              </w:rPr>
              <w:t>预测原点坐标为</w:t>
            </w:r>
            <w:r>
              <w:rPr>
                <w:rFonts w:hint="default" w:ascii="Times New Roman" w:hAnsi="Times New Roman" w:eastAsia="宋体" w:cs="Times New Roman"/>
                <w:color w:val="auto"/>
                <w:kern w:val="0"/>
                <w:sz w:val="24"/>
                <w:lang w:val="en-US" w:eastAsia="zh-CN" w:bidi="ar"/>
              </w:rPr>
              <w:t>（</w:t>
            </w:r>
            <w:r>
              <w:rPr>
                <w:rFonts w:hint="eastAsia" w:ascii="Times New Roman" w:hAnsi="Times New Roman" w:eastAsia="宋体" w:cs="Times New Roman"/>
                <w:color w:val="auto"/>
                <w:sz w:val="24"/>
                <w:lang w:val="en-US" w:eastAsia="zh-CN"/>
              </w:rPr>
              <w:t>东经</w:t>
            </w:r>
            <w:r>
              <w:rPr>
                <w:rFonts w:hint="eastAsia" w:cs="Times New Roman"/>
                <w:color w:val="auto"/>
                <w:sz w:val="24"/>
                <w:lang w:val="en-US" w:eastAsia="zh-CN"/>
              </w:rPr>
              <w:t>102</w:t>
            </w:r>
            <w:r>
              <w:rPr>
                <w:rFonts w:hint="eastAsia" w:ascii="Times New Roman" w:hAnsi="Times New Roman" w:eastAsia="宋体" w:cs="Times New Roman"/>
                <w:color w:val="auto"/>
                <w:sz w:val="24"/>
                <w:lang w:val="en-US" w:eastAsia="zh-CN"/>
              </w:rPr>
              <w:t>°</w:t>
            </w:r>
            <w:r>
              <w:rPr>
                <w:rFonts w:hint="eastAsia" w:cs="Times New Roman"/>
                <w:color w:val="auto"/>
                <w:sz w:val="24"/>
                <w:lang w:val="en-US" w:eastAsia="zh-CN"/>
              </w:rPr>
              <w:t>51</w:t>
            </w:r>
            <w:r>
              <w:rPr>
                <w:rFonts w:hint="eastAsia" w:ascii="Times New Roman" w:hAnsi="Times New Roman" w:eastAsia="宋体" w:cs="Times New Roman"/>
                <w:color w:val="auto"/>
                <w:sz w:val="24"/>
                <w:lang w:val="en-US" w:eastAsia="zh-CN"/>
              </w:rPr>
              <w:t>′</w:t>
            </w:r>
            <w:r>
              <w:rPr>
                <w:rFonts w:hint="eastAsia" w:cs="Times New Roman"/>
                <w:color w:val="auto"/>
                <w:sz w:val="24"/>
                <w:lang w:val="en-US" w:eastAsia="zh-CN"/>
              </w:rPr>
              <w:t>13.609</w:t>
            </w:r>
            <w:r>
              <w:rPr>
                <w:rFonts w:hint="eastAsia" w:ascii="Times New Roman" w:hAnsi="Times New Roman" w:eastAsia="宋体" w:cs="Times New Roman"/>
                <w:color w:val="auto"/>
                <w:sz w:val="24"/>
                <w:lang w:val="en-US" w:eastAsia="zh-CN"/>
              </w:rPr>
              <w:t>″，北纬2</w:t>
            </w:r>
            <w:r>
              <w:rPr>
                <w:rFonts w:hint="eastAsia" w:cs="Times New Roman"/>
                <w:color w:val="auto"/>
                <w:sz w:val="24"/>
                <w:lang w:val="en-US" w:eastAsia="zh-CN"/>
              </w:rPr>
              <w:t>4</w:t>
            </w:r>
            <w:r>
              <w:rPr>
                <w:rFonts w:hint="eastAsia" w:ascii="Times New Roman" w:hAnsi="Times New Roman" w:eastAsia="宋体" w:cs="Times New Roman"/>
                <w:color w:val="auto"/>
                <w:sz w:val="24"/>
                <w:lang w:val="en-US" w:eastAsia="zh-CN"/>
              </w:rPr>
              <w:t>°</w:t>
            </w:r>
            <w:r>
              <w:rPr>
                <w:rFonts w:hint="eastAsia" w:cs="Times New Roman"/>
                <w:color w:val="auto"/>
                <w:sz w:val="24"/>
                <w:lang w:val="en-US" w:eastAsia="zh-CN"/>
              </w:rPr>
              <w:t>44</w:t>
            </w:r>
            <w:r>
              <w:rPr>
                <w:rFonts w:hint="eastAsia" w:ascii="Times New Roman" w:hAnsi="Times New Roman" w:eastAsia="宋体" w:cs="Times New Roman"/>
                <w:color w:val="auto"/>
                <w:sz w:val="24"/>
                <w:lang w:val="en-US" w:eastAsia="zh-CN"/>
              </w:rPr>
              <w:t>′</w:t>
            </w:r>
            <w:r>
              <w:rPr>
                <w:rFonts w:hint="eastAsia" w:cs="Times New Roman"/>
                <w:color w:val="auto"/>
                <w:sz w:val="24"/>
                <w:lang w:val="en-US" w:eastAsia="zh-CN"/>
              </w:rPr>
              <w:t>26.423</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kern w:val="0"/>
                <w:sz w:val="24"/>
                <w:lang w:val="en-US" w:eastAsia="zh-CN" w:bidi="ar"/>
              </w:rPr>
              <w:t>）</w:t>
            </w:r>
            <w:r>
              <w:rPr>
                <w:rFonts w:hint="eastAsia" w:ascii="Times New Roman" w:hAnsi="Times New Roman" w:eastAsia="宋体" w:cs="Times New Roman"/>
                <w:color w:val="auto"/>
                <w:kern w:val="0"/>
                <w:sz w:val="24"/>
                <w:lang w:val="en-US" w:eastAsia="zh-CN" w:bidi="ar"/>
              </w:rPr>
              <w:t>。</w:t>
            </w:r>
          </w:p>
          <w:p w14:paraId="2F5761F5">
            <w:pPr>
              <w:shd w:val="clea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③</w:t>
            </w:r>
            <w:r>
              <w:rPr>
                <w:rFonts w:hint="default" w:ascii="Times New Roman" w:hAnsi="Times New Roman" w:eastAsia="宋体" w:cs="Times New Roman"/>
                <w:color w:val="auto"/>
                <w:sz w:val="24"/>
                <w:highlight w:val="none"/>
              </w:rPr>
              <w:t>预测模式</w:t>
            </w:r>
          </w:p>
          <w:p w14:paraId="3D24962E">
            <w:pPr>
              <w:widowControl/>
              <w:shd w:val="clear"/>
              <w:spacing w:line="360" w:lineRule="auto"/>
              <w:ind w:firstLine="480" w:firstLineChars="200"/>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bidi="ar"/>
              </w:rPr>
              <w:t>采用《环境影响评价技术 声环境》</w:t>
            </w:r>
            <w:r>
              <w:rPr>
                <w:rFonts w:hint="default" w:ascii="Times New Roman" w:hAnsi="Times New Roman" w:eastAsia="宋体" w:cs="Times New Roman"/>
                <w:color w:val="auto"/>
                <w:kern w:val="0"/>
                <w:sz w:val="24"/>
                <w:highlight w:val="none"/>
                <w:lang w:eastAsia="zh-CN" w:bidi="ar"/>
              </w:rPr>
              <w:t>（</w:t>
            </w:r>
            <w:r>
              <w:rPr>
                <w:rFonts w:hint="default" w:ascii="Times New Roman" w:hAnsi="Times New Roman" w:eastAsia="宋体" w:cs="Times New Roman"/>
                <w:color w:val="auto"/>
                <w:kern w:val="0"/>
                <w:sz w:val="24"/>
                <w:highlight w:val="none"/>
                <w:lang w:bidi="ar"/>
              </w:rPr>
              <w:t>HJ2.4-2021</w:t>
            </w:r>
            <w:r>
              <w:rPr>
                <w:rFonts w:hint="default" w:ascii="Times New Roman" w:hAnsi="Times New Roman" w:eastAsia="宋体" w:cs="Times New Roman"/>
                <w:color w:val="auto"/>
                <w:kern w:val="0"/>
                <w:sz w:val="24"/>
                <w:highlight w:val="none"/>
                <w:lang w:eastAsia="zh-CN" w:bidi="ar"/>
              </w:rPr>
              <w:t>）</w:t>
            </w:r>
            <w:r>
              <w:rPr>
                <w:rFonts w:hint="default" w:ascii="Times New Roman" w:hAnsi="Times New Roman" w:eastAsia="宋体" w:cs="Times New Roman"/>
                <w:color w:val="auto"/>
                <w:kern w:val="0"/>
                <w:sz w:val="24"/>
                <w:highlight w:val="none"/>
                <w:lang w:bidi="ar"/>
              </w:rPr>
              <w:t>中的噪声预测模式预测本项目的主要噪声设备对周围声环境的影响。预测模式如下：</w:t>
            </w:r>
          </w:p>
          <w:p w14:paraId="0139A4B4">
            <w:pPr>
              <w:pStyle w:val="57"/>
              <w:keepNext w:val="0"/>
              <w:keepLines w:val="0"/>
              <w:pageBreakBefore w:val="0"/>
              <w:shd w:val="clear"/>
              <w:tabs>
                <w:tab w:val="bar" w:pos="9540"/>
              </w:tabs>
              <w:kinsoku/>
              <w:wordWrap/>
              <w:overflowPunct/>
              <w:topLinePunct w:val="0"/>
              <w:bidi w:val="0"/>
              <w:snapToGrid w:val="0"/>
              <w:spacing w:after="0" w:line="360" w:lineRule="auto"/>
              <w:ind w:right="0" w:rightChars="0"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highlight w:val="none"/>
                <w:lang w:val="en-US" w:eastAsia="zh-CN" w:bidi="ar"/>
              </w:rPr>
              <w:t>A、</w:t>
            </w:r>
            <w:r>
              <w:rPr>
                <w:rFonts w:hint="default" w:ascii="Times New Roman" w:hAnsi="Times New Roman" w:eastAsia="宋体" w:cs="Times New Roman"/>
                <w:color w:val="auto"/>
                <w:highlight w:val="none"/>
              </w:rPr>
              <w:t>本项目只考虑几何发散衰减，公式按照：</w:t>
            </w:r>
          </w:p>
          <w:p w14:paraId="2E34B750">
            <w:pPr>
              <w:pStyle w:val="57"/>
              <w:keepNext w:val="0"/>
              <w:keepLines w:val="0"/>
              <w:pageBreakBefore w:val="0"/>
              <w:shd w:val="clear"/>
              <w:tabs>
                <w:tab w:val="bar" w:pos="9540"/>
              </w:tabs>
              <w:kinsoku/>
              <w:wordWrap/>
              <w:overflowPunct/>
              <w:topLinePunct w:val="0"/>
              <w:bidi w:val="0"/>
              <w:snapToGrid w:val="0"/>
              <w:spacing w:after="0" w:line="360" w:lineRule="auto"/>
              <w:ind w:right="0" w:righ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L</w:t>
            </w:r>
            <w:r>
              <w:rPr>
                <w:rFonts w:hint="default" w:ascii="Times New Roman" w:hAnsi="Times New Roman" w:eastAsia="宋体" w:cs="Times New Roman"/>
                <w:color w:val="auto"/>
                <w:highlight w:val="none"/>
                <w:vertAlign w:val="subscript"/>
              </w:rPr>
              <w:t>A</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r</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=L</w:t>
            </w:r>
            <w:r>
              <w:rPr>
                <w:rFonts w:hint="default" w:ascii="Times New Roman" w:hAnsi="Times New Roman" w:eastAsia="宋体" w:cs="Times New Roman"/>
                <w:color w:val="auto"/>
                <w:highlight w:val="none"/>
                <w:vertAlign w:val="subscript"/>
              </w:rPr>
              <w:t>A</w:t>
            </w:r>
            <w:r>
              <w:rPr>
                <w:rFonts w:hint="default" w:ascii="Times New Roman" w:hAnsi="Times New Roman" w:eastAsia="宋体" w:cs="Times New Roman"/>
                <w:color w:val="auto"/>
                <w:highlight w:val="none"/>
              </w:rPr>
              <w:t>（r</w:t>
            </w:r>
            <w:r>
              <w:rPr>
                <w:rFonts w:hint="default" w:ascii="Times New Roman" w:hAnsi="Times New Roman" w:eastAsia="宋体" w:cs="Times New Roman"/>
                <w:color w:val="auto"/>
                <w:highlight w:val="none"/>
                <w:vertAlign w:val="subscript"/>
              </w:rPr>
              <w:t>0</w:t>
            </w:r>
            <w:r>
              <w:rPr>
                <w:rFonts w:hint="default" w:ascii="Times New Roman" w:hAnsi="Times New Roman" w:eastAsia="宋体" w:cs="Times New Roman"/>
                <w:color w:val="auto"/>
                <w:highlight w:val="none"/>
              </w:rPr>
              <w:t>）－A</w:t>
            </w:r>
            <w:r>
              <w:rPr>
                <w:rFonts w:hint="default" w:ascii="Times New Roman" w:hAnsi="Times New Roman" w:eastAsia="宋体" w:cs="Times New Roman"/>
                <w:color w:val="auto"/>
                <w:highlight w:val="none"/>
                <w:vertAlign w:val="subscript"/>
              </w:rPr>
              <w:t>div</w:t>
            </w:r>
          </w:p>
          <w:p w14:paraId="687FBEA4">
            <w:pPr>
              <w:pStyle w:val="16"/>
              <w:keepNext w:val="0"/>
              <w:keepLines w:val="0"/>
              <w:pageBreakBefore w:val="0"/>
              <w:shd w:val="clear"/>
              <w:kinsoku/>
              <w:wordWrap/>
              <w:overflowPunct/>
              <w:topLinePunct w:val="0"/>
              <w:bidi w:val="0"/>
              <w:adjustRightInd w:val="0"/>
              <w:snapToGrid w:val="0"/>
              <w:spacing w:after="0" w:line="360" w:lineRule="auto"/>
              <w:ind w:left="0" w:leftChars="0" w:right="0" w:rightChars="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式中：L</w:t>
            </w:r>
            <w:r>
              <w:rPr>
                <w:rFonts w:hint="default" w:ascii="Times New Roman" w:hAnsi="Times New Roman" w:eastAsia="宋体" w:cs="Times New Roman"/>
                <w:color w:val="auto"/>
                <w:sz w:val="24"/>
                <w:highlight w:val="none"/>
                <w:vertAlign w:val="subscript"/>
              </w:rPr>
              <w:t>A</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r</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——距声源r处的A声级，dB（A）；</w:t>
            </w:r>
          </w:p>
          <w:p w14:paraId="3612C035">
            <w:pPr>
              <w:pStyle w:val="16"/>
              <w:keepNext w:val="0"/>
              <w:keepLines w:val="0"/>
              <w:pageBreakBefore w:val="0"/>
              <w:shd w:val="clear"/>
              <w:kinsoku/>
              <w:wordWrap/>
              <w:overflowPunct/>
              <w:topLinePunct w:val="0"/>
              <w:bidi w:val="0"/>
              <w:adjustRightInd w:val="0"/>
              <w:snapToGrid w:val="0"/>
              <w:spacing w:after="0" w:line="360" w:lineRule="auto"/>
              <w:ind w:left="0" w:leftChars="0" w:right="0" w:rightChars="0"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L</w:t>
            </w:r>
            <w:r>
              <w:rPr>
                <w:rFonts w:hint="default" w:ascii="Times New Roman" w:hAnsi="Times New Roman" w:eastAsia="宋体" w:cs="Times New Roman"/>
                <w:color w:val="auto"/>
                <w:sz w:val="24"/>
                <w:highlight w:val="none"/>
                <w:vertAlign w:val="subscript"/>
              </w:rPr>
              <w:t>A</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r</w:t>
            </w:r>
            <w:r>
              <w:rPr>
                <w:rFonts w:hint="default" w:ascii="Times New Roman" w:hAnsi="Times New Roman" w:eastAsia="宋体" w:cs="Times New Roman"/>
                <w:color w:val="auto"/>
                <w:sz w:val="24"/>
                <w:highlight w:val="none"/>
                <w:vertAlign w:val="subscript"/>
              </w:rPr>
              <w:t>0</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——参考位置r</w:t>
            </w:r>
            <w:r>
              <w:rPr>
                <w:rFonts w:hint="default" w:ascii="Times New Roman" w:hAnsi="Times New Roman" w:eastAsia="宋体" w:cs="Times New Roman"/>
                <w:color w:val="auto"/>
                <w:sz w:val="24"/>
                <w:highlight w:val="none"/>
                <w:vertAlign w:val="subscript"/>
              </w:rPr>
              <w:t>0</w:t>
            </w:r>
            <w:r>
              <w:rPr>
                <w:rFonts w:hint="default" w:ascii="Times New Roman" w:hAnsi="Times New Roman" w:eastAsia="宋体" w:cs="Times New Roman"/>
                <w:color w:val="auto"/>
                <w:sz w:val="24"/>
                <w:highlight w:val="none"/>
              </w:rPr>
              <w:t>处的A声级，dB（A）；</w:t>
            </w:r>
          </w:p>
          <w:p w14:paraId="7AF5470C">
            <w:pPr>
              <w:pStyle w:val="57"/>
              <w:keepNext w:val="0"/>
              <w:keepLines w:val="0"/>
              <w:pageBreakBefore w:val="0"/>
              <w:shd w:val="clear"/>
              <w:tabs>
                <w:tab w:val="bar" w:pos="9540"/>
              </w:tabs>
              <w:kinsoku/>
              <w:wordWrap/>
              <w:overflowPunct/>
              <w:topLinePunct w:val="0"/>
              <w:bidi w:val="0"/>
              <w:snapToGrid w:val="0"/>
              <w:spacing w:after="0" w:line="360" w:lineRule="auto"/>
              <w:ind w:right="0" w:rightChars="0"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w:t>
            </w:r>
            <w:r>
              <w:rPr>
                <w:rFonts w:hint="default" w:ascii="Times New Roman" w:hAnsi="Times New Roman" w:eastAsia="宋体" w:cs="Times New Roman"/>
                <w:color w:val="auto"/>
                <w:highlight w:val="none"/>
                <w:vertAlign w:val="subscript"/>
              </w:rPr>
              <w:t>div</w:t>
            </w:r>
            <w:r>
              <w:rPr>
                <w:rFonts w:hint="default" w:ascii="Times New Roman" w:hAnsi="Times New Roman" w:eastAsia="宋体" w:cs="Times New Roman"/>
                <w:color w:val="auto"/>
                <w:highlight w:val="none"/>
              </w:rPr>
              <w:t>——几何发散引起的衰减，dB；</w:t>
            </w:r>
          </w:p>
          <w:p w14:paraId="36A424C7">
            <w:pPr>
              <w:pStyle w:val="57"/>
              <w:keepNext w:val="0"/>
              <w:keepLines w:val="0"/>
              <w:pageBreakBefore w:val="0"/>
              <w:shd w:val="clear"/>
              <w:tabs>
                <w:tab w:val="bar" w:pos="9540"/>
              </w:tabs>
              <w:kinsoku/>
              <w:wordWrap/>
              <w:overflowPunct/>
              <w:topLinePunct w:val="0"/>
              <w:bidi w:val="0"/>
              <w:snapToGrid w:val="0"/>
              <w:spacing w:after="0" w:line="360" w:lineRule="auto"/>
              <w:ind w:right="0" w:rightChars="0"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highlight w:val="none"/>
                <w:lang w:val="en-US" w:eastAsia="zh-CN" w:bidi="ar"/>
              </w:rPr>
              <w:t>B、</w:t>
            </w:r>
            <w:r>
              <w:rPr>
                <w:rFonts w:hint="default" w:ascii="Times New Roman" w:hAnsi="Times New Roman" w:eastAsia="宋体" w:cs="Times New Roman"/>
                <w:color w:val="auto"/>
                <w:highlight w:val="none"/>
              </w:rPr>
              <w:t>声源的几何发散衰减公式：</w:t>
            </w:r>
          </w:p>
          <w:p w14:paraId="302855AB">
            <w:pPr>
              <w:pStyle w:val="16"/>
              <w:keepNext w:val="0"/>
              <w:keepLines w:val="0"/>
              <w:pageBreakBefore w:val="0"/>
              <w:shd w:val="clear"/>
              <w:kinsoku/>
              <w:wordWrap/>
              <w:overflowPunct/>
              <w:topLinePunct w:val="0"/>
              <w:bidi w:val="0"/>
              <w:spacing w:after="0" w:line="360" w:lineRule="auto"/>
              <w:ind w:left="0" w:leftChars="0" w:right="0" w:rightChars="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A</w:t>
            </w:r>
            <w:r>
              <w:rPr>
                <w:rFonts w:hint="default" w:ascii="Times New Roman" w:hAnsi="Times New Roman" w:eastAsia="宋体" w:cs="Times New Roman"/>
                <w:color w:val="auto"/>
                <w:sz w:val="24"/>
                <w:highlight w:val="none"/>
                <w:vertAlign w:val="subscript"/>
              </w:rPr>
              <w:t>div</w:t>
            </w:r>
            <w:r>
              <w:rPr>
                <w:rFonts w:hint="default" w:ascii="Times New Roman" w:hAnsi="Times New Roman" w:eastAsia="宋体" w:cs="Times New Roman"/>
                <w:color w:val="auto"/>
                <w:sz w:val="24"/>
                <w:highlight w:val="none"/>
              </w:rPr>
              <w:t>=20lg（r/r</w:t>
            </w:r>
            <w:r>
              <w:rPr>
                <w:rFonts w:hint="default" w:ascii="Times New Roman" w:hAnsi="Times New Roman" w:eastAsia="宋体" w:cs="Times New Roman"/>
                <w:color w:val="auto"/>
                <w:sz w:val="24"/>
                <w:highlight w:val="none"/>
                <w:vertAlign w:val="subscript"/>
              </w:rPr>
              <w:t>0</w:t>
            </w:r>
            <w:r>
              <w:rPr>
                <w:rFonts w:hint="default" w:ascii="Times New Roman" w:hAnsi="Times New Roman" w:eastAsia="宋体" w:cs="Times New Roman"/>
                <w:color w:val="auto"/>
                <w:sz w:val="24"/>
                <w:highlight w:val="none"/>
              </w:rPr>
              <w:t>）</w:t>
            </w:r>
          </w:p>
          <w:p w14:paraId="54029309">
            <w:pPr>
              <w:pStyle w:val="16"/>
              <w:keepNext w:val="0"/>
              <w:keepLines w:val="0"/>
              <w:pageBreakBefore w:val="0"/>
              <w:shd w:val="clear"/>
              <w:kinsoku/>
              <w:wordWrap/>
              <w:overflowPunct/>
              <w:topLinePunct w:val="0"/>
              <w:bidi w:val="0"/>
              <w:adjustRightInd w:val="0"/>
              <w:snapToGrid w:val="0"/>
              <w:spacing w:after="0" w:line="360" w:lineRule="auto"/>
              <w:ind w:left="0" w:leftChars="0" w:right="0" w:rightChars="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式中：A</w:t>
            </w:r>
            <w:r>
              <w:rPr>
                <w:rFonts w:hint="default" w:ascii="Times New Roman" w:hAnsi="Times New Roman" w:eastAsia="宋体" w:cs="Times New Roman"/>
                <w:color w:val="auto"/>
                <w:sz w:val="24"/>
                <w:highlight w:val="none"/>
                <w:vertAlign w:val="subscript"/>
              </w:rPr>
              <w:t>div</w:t>
            </w:r>
            <w:r>
              <w:rPr>
                <w:rFonts w:hint="default" w:ascii="Times New Roman" w:hAnsi="Times New Roman" w:eastAsia="宋体" w:cs="Times New Roman"/>
                <w:color w:val="auto"/>
                <w:sz w:val="24"/>
                <w:highlight w:val="none"/>
              </w:rPr>
              <w:t>——几何发散引起的衰减，dB；</w:t>
            </w:r>
          </w:p>
          <w:p w14:paraId="589EAB3D">
            <w:pPr>
              <w:pStyle w:val="57"/>
              <w:keepNext w:val="0"/>
              <w:keepLines w:val="0"/>
              <w:pageBreakBefore w:val="0"/>
              <w:shd w:val="clear"/>
              <w:tabs>
                <w:tab w:val="bar" w:pos="9540"/>
              </w:tabs>
              <w:kinsoku/>
              <w:wordWrap/>
              <w:overflowPunct/>
              <w:topLinePunct w:val="0"/>
              <w:bidi w:val="0"/>
              <w:snapToGrid w:val="0"/>
              <w:spacing w:after="0" w:line="360" w:lineRule="auto"/>
              <w:ind w:right="0" w:rightChars="0"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r——预测点距声源的距离；</w:t>
            </w:r>
          </w:p>
          <w:p w14:paraId="220E392A">
            <w:pPr>
              <w:pStyle w:val="16"/>
              <w:keepNext w:val="0"/>
              <w:keepLines w:val="0"/>
              <w:pageBreakBefore w:val="0"/>
              <w:shd w:val="clear"/>
              <w:kinsoku/>
              <w:wordWrap/>
              <w:overflowPunct/>
              <w:topLinePunct w:val="0"/>
              <w:bidi w:val="0"/>
              <w:adjustRightInd w:val="0"/>
              <w:snapToGrid w:val="0"/>
              <w:spacing w:after="0" w:line="360" w:lineRule="auto"/>
              <w:ind w:left="0" w:leftChars="0" w:right="0" w:rightChars="0"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r</w:t>
            </w:r>
            <w:r>
              <w:rPr>
                <w:rFonts w:hint="default" w:ascii="Times New Roman" w:hAnsi="Times New Roman" w:eastAsia="宋体" w:cs="Times New Roman"/>
                <w:color w:val="auto"/>
                <w:sz w:val="24"/>
                <w:highlight w:val="none"/>
                <w:vertAlign w:val="subscript"/>
              </w:rPr>
              <w:t>0</w:t>
            </w:r>
            <w:r>
              <w:rPr>
                <w:rFonts w:hint="default" w:ascii="Times New Roman" w:hAnsi="Times New Roman" w:eastAsia="宋体" w:cs="Times New Roman"/>
                <w:color w:val="auto"/>
                <w:sz w:val="24"/>
                <w:highlight w:val="none"/>
              </w:rPr>
              <w:t>——参考位置距声源的距离；</w:t>
            </w:r>
          </w:p>
          <w:p w14:paraId="372CC558">
            <w:pPr>
              <w:pStyle w:val="57"/>
              <w:keepNext w:val="0"/>
              <w:keepLines w:val="0"/>
              <w:pageBreakBefore w:val="0"/>
              <w:shd w:val="clear"/>
              <w:tabs>
                <w:tab w:val="bar" w:pos="9540"/>
              </w:tabs>
              <w:kinsoku/>
              <w:wordWrap/>
              <w:overflowPunct/>
              <w:topLinePunct w:val="0"/>
              <w:bidi w:val="0"/>
              <w:snapToGrid w:val="0"/>
              <w:spacing w:after="0" w:line="360" w:lineRule="auto"/>
              <w:ind w:right="0" w:rightChars="0"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highlight w:val="none"/>
                <w:lang w:val="en-US" w:eastAsia="zh-CN" w:bidi="ar"/>
              </w:rPr>
              <w:t>C、</w:t>
            </w:r>
            <w:r>
              <w:rPr>
                <w:rFonts w:hint="default" w:ascii="Times New Roman" w:hAnsi="Times New Roman" w:eastAsia="宋体" w:cs="Times New Roman"/>
                <w:color w:val="auto"/>
                <w:highlight w:val="none"/>
              </w:rPr>
              <w:t>工业企业噪声计算公式：</w:t>
            </w:r>
          </w:p>
          <w:p w14:paraId="797DE4FB">
            <w:pPr>
              <w:pStyle w:val="16"/>
              <w:keepNext w:val="0"/>
              <w:keepLines w:val="0"/>
              <w:pageBreakBefore w:val="0"/>
              <w:shd w:val="clear"/>
              <w:kinsoku/>
              <w:wordWrap/>
              <w:overflowPunct/>
              <w:topLinePunct w:val="0"/>
              <w:bidi w:val="0"/>
              <w:adjustRightInd w:val="0"/>
              <w:snapToGrid w:val="0"/>
              <w:spacing w:after="0" w:line="360" w:lineRule="auto"/>
              <w:ind w:left="0" w:leftChars="0" w:right="0" w:rightChars="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position w:val="-34"/>
                <w:sz w:val="24"/>
                <w:highlight w:val="none"/>
              </w:rPr>
              <w:object>
                <v:shape id="_x0000_i1027" o:spt="75" type="#_x0000_t75" style="height:40pt;width:203pt;" o:ole="t" filled="f" o:preferrelative="t" stroked="f" coordsize="21600,21600">
                  <v:path/>
                  <v:fill on="f" focussize="0,0"/>
                  <v:stroke on="f"/>
                  <v:imagedata r:id="rId22" o:title=""/>
                  <o:lock v:ext="edit" aspectratio="t"/>
                  <w10:wrap type="none"/>
                  <w10:anchorlock/>
                </v:shape>
                <o:OLEObject Type="Embed" ProgID="Equation.3" ShapeID="_x0000_i1027" DrawAspect="Content" ObjectID="_1468075730" r:id="rId21">
                  <o:LockedField>false</o:LockedField>
                </o:OLEObject>
              </w:object>
            </w:r>
          </w:p>
          <w:p w14:paraId="7A84FD60">
            <w:pPr>
              <w:pStyle w:val="16"/>
              <w:keepNext w:val="0"/>
              <w:keepLines w:val="0"/>
              <w:pageBreakBefore w:val="0"/>
              <w:shd w:val="clear"/>
              <w:kinsoku/>
              <w:wordWrap/>
              <w:overflowPunct/>
              <w:topLinePunct w:val="0"/>
              <w:bidi w:val="0"/>
              <w:adjustRightInd w:val="0"/>
              <w:snapToGrid w:val="0"/>
              <w:spacing w:after="0" w:line="360" w:lineRule="auto"/>
              <w:ind w:left="0" w:leftChars="0" w:right="0" w:rightChars="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式中：L</w:t>
            </w:r>
            <w:r>
              <w:rPr>
                <w:rFonts w:hint="default" w:ascii="Times New Roman" w:hAnsi="Times New Roman" w:eastAsia="宋体" w:cs="Times New Roman"/>
                <w:color w:val="auto"/>
                <w:sz w:val="24"/>
                <w:highlight w:val="none"/>
                <w:vertAlign w:val="subscript"/>
              </w:rPr>
              <w:t>eqg</w:t>
            </w:r>
            <w:r>
              <w:rPr>
                <w:rFonts w:hint="default" w:ascii="Times New Roman" w:hAnsi="Times New Roman" w:eastAsia="宋体" w:cs="Times New Roman"/>
                <w:color w:val="auto"/>
                <w:sz w:val="24"/>
                <w:highlight w:val="none"/>
              </w:rPr>
              <w:t>——建设项目声源在预测点产生的噪声贡献值，dB；</w:t>
            </w:r>
          </w:p>
          <w:p w14:paraId="57D79FA9">
            <w:pPr>
              <w:pStyle w:val="16"/>
              <w:keepNext w:val="0"/>
              <w:keepLines w:val="0"/>
              <w:pageBreakBefore w:val="0"/>
              <w:shd w:val="clear"/>
              <w:kinsoku/>
              <w:wordWrap/>
              <w:overflowPunct/>
              <w:topLinePunct w:val="0"/>
              <w:bidi w:val="0"/>
              <w:adjustRightInd w:val="0"/>
              <w:snapToGrid w:val="0"/>
              <w:spacing w:after="0" w:line="360" w:lineRule="auto"/>
              <w:ind w:left="0" w:leftChars="0" w:right="0" w:rightChars="0"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T——用于计算等效声级的时间，s；</w:t>
            </w:r>
          </w:p>
          <w:p w14:paraId="03D2F7D1">
            <w:pPr>
              <w:pStyle w:val="57"/>
              <w:keepNext w:val="0"/>
              <w:keepLines w:val="0"/>
              <w:pageBreakBefore w:val="0"/>
              <w:shd w:val="clear"/>
              <w:tabs>
                <w:tab w:val="bar" w:pos="9540"/>
              </w:tabs>
              <w:kinsoku/>
              <w:wordWrap/>
              <w:overflowPunct/>
              <w:topLinePunct w:val="0"/>
              <w:bidi w:val="0"/>
              <w:snapToGrid w:val="0"/>
              <w:spacing w:after="0" w:line="360" w:lineRule="auto"/>
              <w:ind w:right="0" w:rightChars="0"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N——室外声源个数；</w:t>
            </w:r>
          </w:p>
          <w:p w14:paraId="2DF4FDF1">
            <w:pPr>
              <w:pStyle w:val="57"/>
              <w:keepNext w:val="0"/>
              <w:keepLines w:val="0"/>
              <w:pageBreakBefore w:val="0"/>
              <w:shd w:val="clear"/>
              <w:tabs>
                <w:tab w:val="bar" w:pos="9540"/>
              </w:tabs>
              <w:kinsoku/>
              <w:wordWrap/>
              <w:overflowPunct/>
              <w:topLinePunct w:val="0"/>
              <w:bidi w:val="0"/>
              <w:snapToGrid w:val="0"/>
              <w:spacing w:after="0" w:line="360" w:lineRule="auto"/>
              <w:ind w:right="0" w:rightChars="0"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t</w:t>
            </w:r>
            <w:r>
              <w:rPr>
                <w:rFonts w:hint="default" w:ascii="Times New Roman" w:hAnsi="Times New Roman" w:eastAsia="宋体" w:cs="Times New Roman"/>
                <w:color w:val="auto"/>
                <w:highlight w:val="none"/>
                <w:vertAlign w:val="subscript"/>
              </w:rPr>
              <w:t>i</w:t>
            </w:r>
            <w:r>
              <w:rPr>
                <w:rFonts w:hint="default" w:ascii="Times New Roman" w:hAnsi="Times New Roman" w:eastAsia="宋体" w:cs="Times New Roman"/>
                <w:color w:val="auto"/>
                <w:highlight w:val="none"/>
              </w:rPr>
              <w:t>——在T时间内i声源工作时间，s；</w:t>
            </w:r>
          </w:p>
          <w:p w14:paraId="3DCF8CA5">
            <w:pPr>
              <w:pStyle w:val="57"/>
              <w:keepNext w:val="0"/>
              <w:keepLines w:val="0"/>
              <w:pageBreakBefore w:val="0"/>
              <w:shd w:val="clear"/>
              <w:tabs>
                <w:tab w:val="bar" w:pos="9540"/>
              </w:tabs>
              <w:kinsoku/>
              <w:wordWrap/>
              <w:overflowPunct/>
              <w:topLinePunct w:val="0"/>
              <w:bidi w:val="0"/>
              <w:snapToGrid w:val="0"/>
              <w:spacing w:after="0" w:line="360" w:lineRule="auto"/>
              <w:ind w:right="0" w:rightChars="0" w:firstLine="1200" w:firstLineChars="5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M——等效室外声源个数；</w:t>
            </w:r>
          </w:p>
          <w:p w14:paraId="172AC513">
            <w:pPr>
              <w:pStyle w:val="57"/>
              <w:keepNext w:val="0"/>
              <w:keepLines w:val="0"/>
              <w:pageBreakBefore w:val="0"/>
              <w:shd w:val="clear"/>
              <w:tabs>
                <w:tab w:val="bar" w:pos="9540"/>
              </w:tabs>
              <w:kinsoku/>
              <w:wordWrap/>
              <w:overflowPunct/>
              <w:topLinePunct w:val="0"/>
              <w:bidi w:val="0"/>
              <w:snapToGrid w:val="0"/>
              <w:spacing w:after="0" w:line="360" w:lineRule="auto"/>
              <w:ind w:right="0" w:rightChars="0" w:firstLine="1200" w:firstLineChars="500"/>
              <w:rPr>
                <w:rFonts w:hint="default"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highlight w:val="none"/>
              </w:rPr>
              <w:t>tj——在T时间内j声</w:t>
            </w:r>
            <w:r>
              <w:rPr>
                <w:rFonts w:hint="default" w:ascii="Times New Roman" w:hAnsi="Times New Roman" w:eastAsia="宋体" w:cs="Times New Roman"/>
                <w:color w:val="auto"/>
                <w:sz w:val="24"/>
                <w:highlight w:val="none"/>
              </w:rPr>
              <w:t>源工作时间，s。</w:t>
            </w:r>
          </w:p>
          <w:p w14:paraId="2819A2AF">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lang w:val="en-US" w:eastAsia="zh-CN"/>
              </w:rPr>
              <w:t>预测结果</w:t>
            </w:r>
          </w:p>
          <w:p w14:paraId="667E71C9">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通过预测模型计算，项目厂界噪声预测结果与达标分析见表4-</w:t>
            </w:r>
            <w:r>
              <w:rPr>
                <w:rFonts w:hint="eastAsia" w:cs="Times New Roman"/>
                <w:color w:val="auto"/>
                <w:sz w:val="24"/>
                <w:lang w:val="en-US" w:eastAsia="zh-CN"/>
              </w:rPr>
              <w:t>18</w:t>
            </w:r>
            <w:r>
              <w:rPr>
                <w:rFonts w:hint="default" w:ascii="Times New Roman" w:hAnsi="Times New Roman" w:eastAsia="宋体" w:cs="Times New Roman"/>
                <w:color w:val="auto"/>
                <w:sz w:val="24"/>
                <w:lang w:val="en-US" w:eastAsia="zh-CN"/>
              </w:rPr>
              <w:t>。</w:t>
            </w:r>
          </w:p>
          <w:p w14:paraId="2B3AD791">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0" w:firstLineChars="200"/>
              <w:textAlignment w:val="auto"/>
              <w:rPr>
                <w:rFonts w:hint="eastAsia" w:eastAsia="宋体"/>
                <w:color w:val="auto"/>
                <w:sz w:val="24"/>
                <w:lang w:eastAsia="zh-CN"/>
              </w:rPr>
            </w:pPr>
            <w:r>
              <w:rPr>
                <w:color w:val="auto"/>
                <w:sz w:val="24"/>
              </w:rPr>
              <w:t>由</w:t>
            </w:r>
            <w:r>
              <w:rPr>
                <w:color w:val="auto"/>
                <w:kern w:val="0"/>
                <w:sz w:val="24"/>
                <w:lang w:bidi="ar"/>
              </w:rPr>
              <w:t>表4-</w:t>
            </w:r>
            <w:r>
              <w:rPr>
                <w:rFonts w:hint="eastAsia"/>
                <w:color w:val="auto"/>
                <w:kern w:val="0"/>
                <w:sz w:val="24"/>
                <w:lang w:bidi="ar"/>
              </w:rPr>
              <w:t>1</w:t>
            </w:r>
            <w:r>
              <w:rPr>
                <w:rFonts w:hint="eastAsia"/>
                <w:color w:val="auto"/>
                <w:kern w:val="0"/>
                <w:sz w:val="24"/>
                <w:lang w:val="en-US" w:eastAsia="zh-CN" w:bidi="ar"/>
              </w:rPr>
              <w:t>8</w:t>
            </w:r>
            <w:r>
              <w:rPr>
                <w:color w:val="auto"/>
                <w:sz w:val="24"/>
              </w:rPr>
              <w:t>预测结果可以得知，</w:t>
            </w:r>
            <w:r>
              <w:rPr>
                <w:rFonts w:hint="eastAsia"/>
                <w:color w:val="auto"/>
                <w:sz w:val="24"/>
              </w:rPr>
              <w:t>在采取环评提出的隔声降噪措施后，</w:t>
            </w:r>
            <w:r>
              <w:rPr>
                <w:color w:val="auto"/>
                <w:sz w:val="24"/>
              </w:rPr>
              <w:t>项目</w:t>
            </w:r>
            <w:r>
              <w:rPr>
                <w:rFonts w:hint="eastAsia"/>
                <w:color w:val="auto"/>
                <w:sz w:val="24"/>
              </w:rPr>
              <w:t>东、南、西</w:t>
            </w:r>
            <w:r>
              <w:rPr>
                <w:rFonts w:hint="eastAsia"/>
                <w:color w:val="auto"/>
                <w:sz w:val="24"/>
                <w:lang w:eastAsia="zh-CN"/>
              </w:rPr>
              <w:t>、</w:t>
            </w:r>
            <w:r>
              <w:rPr>
                <w:rFonts w:hint="eastAsia"/>
                <w:color w:val="auto"/>
                <w:sz w:val="24"/>
                <w:lang w:val="en-US" w:eastAsia="zh-CN"/>
              </w:rPr>
              <w:t>北</w:t>
            </w:r>
            <w:r>
              <w:rPr>
                <w:color w:val="auto"/>
                <w:sz w:val="24"/>
              </w:rPr>
              <w:t>厂界噪声</w:t>
            </w:r>
            <w:r>
              <w:rPr>
                <w:rFonts w:hint="eastAsia"/>
                <w:color w:val="auto"/>
                <w:sz w:val="24"/>
              </w:rPr>
              <w:t>均</w:t>
            </w:r>
            <w:r>
              <w:rPr>
                <w:color w:val="auto"/>
                <w:sz w:val="24"/>
              </w:rPr>
              <w:t>能达到《工业企业厂界环境噪声排放标准》（GB12348-2008）中</w:t>
            </w:r>
            <w:r>
              <w:rPr>
                <w:rFonts w:hint="eastAsia"/>
                <w:color w:val="auto"/>
                <w:sz w:val="24"/>
                <w:lang w:val="en-US" w:eastAsia="zh-CN"/>
              </w:rPr>
              <w:t>3</w:t>
            </w:r>
            <w:r>
              <w:rPr>
                <w:color w:val="auto"/>
                <w:sz w:val="24"/>
              </w:rPr>
              <w:t>类标准</w:t>
            </w:r>
            <w:r>
              <w:rPr>
                <w:rFonts w:hint="eastAsia"/>
                <w:color w:val="auto"/>
                <w:sz w:val="24"/>
                <w:lang w:eastAsia="zh-CN"/>
              </w:rPr>
              <w:t>。</w:t>
            </w:r>
          </w:p>
          <w:p w14:paraId="779718A6">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lang w:val="en-US" w:eastAsia="zh-CN"/>
              </w:rPr>
              <w:t>对声环境敏感目标影响分析</w:t>
            </w:r>
          </w:p>
          <w:p w14:paraId="33C3D8AF">
            <w:pPr>
              <w:snapToGrid w:val="0"/>
              <w:spacing w:line="360" w:lineRule="auto"/>
              <w:ind w:firstLine="480" w:firstLineChars="200"/>
              <w:rPr>
                <w:rFonts w:hint="default" w:ascii="Times New Roman" w:hAnsi="Times New Roman" w:eastAsia="宋体" w:cs="Times New Roman"/>
                <w:color w:val="auto"/>
                <w:sz w:val="24"/>
                <w:lang w:val="en-US" w:eastAsia="zh-CN"/>
              </w:rPr>
            </w:pPr>
            <w:r>
              <w:rPr>
                <w:color w:val="auto"/>
                <w:sz w:val="24"/>
              </w:rPr>
              <w:t>根据调查，</w:t>
            </w:r>
            <w:r>
              <w:rPr>
                <w:bCs/>
                <w:color w:val="auto"/>
                <w:sz w:val="24"/>
                <w:lang w:val="zh-CN"/>
              </w:rPr>
              <w:t>项目厂界外</w:t>
            </w:r>
            <w:r>
              <w:rPr>
                <w:bCs/>
                <w:color w:val="auto"/>
                <w:sz w:val="24"/>
              </w:rPr>
              <w:t>50</w:t>
            </w:r>
            <w:r>
              <w:rPr>
                <w:bCs/>
                <w:color w:val="auto"/>
                <w:sz w:val="24"/>
                <w:lang w:val="zh-CN"/>
              </w:rPr>
              <w:t>m范围内</w:t>
            </w:r>
            <w:r>
              <w:rPr>
                <w:rFonts w:hint="eastAsia"/>
                <w:bCs/>
                <w:color w:val="auto"/>
                <w:sz w:val="24"/>
                <w:lang w:val="zh-CN"/>
              </w:rPr>
              <w:t>不</w:t>
            </w:r>
            <w:r>
              <w:rPr>
                <w:rFonts w:hint="eastAsia" w:ascii="Times New Roman" w:hAnsi="Times New Roman" w:eastAsia="宋体" w:cs="Times New Roman"/>
                <w:bCs/>
                <w:color w:val="auto"/>
                <w:sz w:val="24"/>
                <w:lang w:val="en-US" w:eastAsia="zh-CN"/>
              </w:rPr>
              <w:t>存在噪声敏感目标，</w:t>
            </w:r>
            <w:r>
              <w:rPr>
                <w:rFonts w:ascii="Times New Roman" w:hAnsi="Times New Roman"/>
                <w:color w:val="auto"/>
                <w:sz w:val="24"/>
                <w:lang w:val="zh-CN"/>
              </w:rPr>
              <w:t>项目运营期产生的噪声经过距离衰减后对</w:t>
            </w:r>
            <w:r>
              <w:rPr>
                <w:rFonts w:ascii="Times New Roman" w:hAnsi="Times New Roman"/>
                <w:color w:val="auto"/>
                <w:sz w:val="24"/>
              </w:rPr>
              <w:t>周围环境</w:t>
            </w:r>
            <w:r>
              <w:rPr>
                <w:rFonts w:ascii="Times New Roman" w:hAnsi="Times New Roman"/>
                <w:color w:val="auto"/>
                <w:sz w:val="24"/>
                <w:lang w:val="zh-CN"/>
              </w:rPr>
              <w:t>影响很小，不会改变</w:t>
            </w:r>
            <w:r>
              <w:rPr>
                <w:rFonts w:hint="eastAsia" w:ascii="Times New Roman" w:hAnsi="Times New Roman"/>
                <w:color w:val="auto"/>
                <w:sz w:val="24"/>
                <w:lang w:val="zh-CN"/>
              </w:rPr>
              <w:t>周边</w:t>
            </w:r>
            <w:r>
              <w:rPr>
                <w:rFonts w:ascii="Times New Roman" w:hAnsi="Times New Roman"/>
                <w:color w:val="auto"/>
                <w:sz w:val="24"/>
                <w:lang w:val="zh-CN"/>
              </w:rPr>
              <w:t>声环境质量现状</w:t>
            </w:r>
            <w:r>
              <w:rPr>
                <w:rFonts w:ascii="Times New Roman" w:hAnsi="Times New Roman"/>
                <w:color w:val="auto"/>
                <w:sz w:val="24"/>
              </w:rPr>
              <w:t>。</w:t>
            </w:r>
          </w:p>
          <w:p w14:paraId="441A5C79">
            <w:pPr>
              <w:pStyle w:val="17"/>
              <w:shd w:val="clear"/>
              <w:adjustRightInd w:val="0"/>
              <w:snapToGrid w:val="0"/>
              <w:spacing w:line="360" w:lineRule="auto"/>
              <w:ind w:firstLine="482" w:firstLineChars="200"/>
              <w:rPr>
                <w:rFonts w:hint="default" w:ascii="Times New Roman" w:hAnsi="Times New Roman" w:eastAsia="宋体" w:cs="Times New Roman"/>
                <w:b/>
                <w:color w:val="auto"/>
                <w:sz w:val="24"/>
                <w:szCs w:val="28"/>
                <w:highlight w:val="none"/>
                <w:lang w:val="en-US"/>
              </w:rPr>
            </w:pPr>
            <w:r>
              <w:rPr>
                <w:rFonts w:hint="default" w:ascii="Times New Roman" w:hAnsi="Times New Roman" w:eastAsia="宋体" w:cs="Times New Roman"/>
                <w:b/>
                <w:bCs/>
                <w:color w:val="auto"/>
                <w:sz w:val="24"/>
                <w:szCs w:val="24"/>
                <w:highlight w:val="none"/>
                <w:lang w:val="en-US" w:eastAsia="zh-CN"/>
              </w:rPr>
              <w:t>3、控制措施</w:t>
            </w:r>
          </w:p>
          <w:p w14:paraId="450B5156">
            <w:pPr>
              <w:shd w:val="clear"/>
              <w:adjustRightInd w:val="0"/>
              <w:snapToGrid w:val="0"/>
              <w:spacing w:line="360" w:lineRule="auto"/>
              <w:ind w:firstLine="480" w:firstLineChars="200"/>
              <w:textAlignment w:val="baseline"/>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sz w:val="24"/>
                <w:highlight w:val="none"/>
                <w:lang w:val="zh-CN"/>
              </w:rPr>
              <w:t>为减小运营期噪声对周边环境的影响，本环评提出如下措施：</w:t>
            </w:r>
          </w:p>
          <w:p w14:paraId="7D27DB74">
            <w:pPr>
              <w:shd w:val="clear"/>
              <w:adjustRightInd w:val="0"/>
              <w:snapToGrid w:val="0"/>
              <w:spacing w:line="360" w:lineRule="auto"/>
              <w:ind w:firstLine="480" w:firstLineChars="200"/>
              <w:textAlignment w:val="baseline"/>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lang w:val="en-US" w:eastAsia="zh-CN"/>
              </w:rPr>
              <w:t>①选用低噪声生产设备；</w:t>
            </w:r>
          </w:p>
          <w:p w14:paraId="55D6EA59">
            <w:pPr>
              <w:shd w:val="clear"/>
              <w:adjustRightInd w:val="0"/>
              <w:snapToGrid w:val="0"/>
              <w:spacing w:line="360" w:lineRule="auto"/>
              <w:ind w:firstLine="480" w:firstLineChars="200"/>
              <w:textAlignment w:val="baseline"/>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②运营过程中应加强主要产噪设备的保养、检修，保证设备处于良好的运转状态，减少机械振动和摩擦产生的噪声，防止共振。</w:t>
            </w:r>
          </w:p>
          <w:p w14:paraId="7C1997F3">
            <w:pPr>
              <w:shd w:val="clear"/>
              <w:adjustRightInd w:val="0"/>
              <w:snapToGrid w:val="0"/>
              <w:spacing w:line="360" w:lineRule="auto"/>
              <w:ind w:firstLine="480" w:firstLineChars="200"/>
              <w:textAlignment w:val="baseline"/>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③高噪声设备安装减震垫进行基础减振，风管设软连接，对设备进行有效地减震、隔声处理。</w:t>
            </w:r>
          </w:p>
          <w:p w14:paraId="77F5A2E1">
            <w:pPr>
              <w:shd w:val="clear"/>
              <w:adjustRightInd w:val="0"/>
              <w:snapToGrid w:val="0"/>
              <w:spacing w:line="360" w:lineRule="auto"/>
              <w:ind w:firstLine="480" w:firstLineChars="200"/>
              <w:textAlignment w:val="baseline"/>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④对操作员工影响加强个人防护意识，工作人员应佩戴防噪用品，如防声耳塞或耳罩等。</w:t>
            </w:r>
          </w:p>
          <w:p w14:paraId="4D1D91DA">
            <w:pPr>
              <w:adjustRightInd w:val="0"/>
              <w:snapToGrid w:val="0"/>
              <w:spacing w:line="360" w:lineRule="auto"/>
              <w:ind w:firstLine="480" w:firstLineChars="200"/>
              <w:textAlignment w:val="baseline"/>
              <w:rPr>
                <w:b/>
                <w:bCs/>
                <w:color w:val="auto"/>
                <w:sz w:val="24"/>
              </w:rPr>
            </w:pPr>
            <w:r>
              <w:rPr>
                <w:rFonts w:hint="default" w:ascii="Times New Roman" w:hAnsi="Times New Roman" w:eastAsia="宋体" w:cs="Times New Roman"/>
                <w:color w:val="auto"/>
                <w:kern w:val="0"/>
                <w:sz w:val="24"/>
                <w:highlight w:val="none"/>
                <w:lang w:val="en-US" w:eastAsia="zh-CN"/>
              </w:rPr>
              <w:t>⑤加强管理培训，确保工人文明操作，装卸货物时轻拿轻放，避免因野蛮操作产生的突发性</w:t>
            </w:r>
            <w:r>
              <w:rPr>
                <w:rFonts w:hint="default" w:ascii="Times New Roman" w:hAnsi="Times New Roman" w:eastAsia="宋体" w:cs="Times New Roman"/>
                <w:color w:val="auto"/>
                <w:sz w:val="24"/>
                <w:highlight w:val="none"/>
              </w:rPr>
              <w:t>噪声；</w:t>
            </w:r>
            <w:r>
              <w:rPr>
                <w:rFonts w:hint="default" w:ascii="Times New Roman" w:hAnsi="Times New Roman" w:eastAsia="宋体" w:cs="Times New Roman"/>
                <w:color w:val="auto"/>
                <w:sz w:val="24"/>
                <w:highlight w:val="none"/>
                <w:lang w:val="zh-CN"/>
              </w:rPr>
              <w:t>以上处理措施在各行业噪声防治中广泛应用，处理效果好</w:t>
            </w:r>
            <w:r>
              <w:rPr>
                <w:color w:val="auto"/>
                <w:sz w:val="24"/>
                <w:lang w:val="zh-CN"/>
              </w:rPr>
              <w:t>。</w:t>
            </w:r>
          </w:p>
          <w:p w14:paraId="6F6E043F">
            <w:pPr>
              <w:pStyle w:val="55"/>
              <w:adjustRightInd w:val="0"/>
              <w:snapToGrid w:val="0"/>
              <w:spacing w:line="360" w:lineRule="auto"/>
              <w:ind w:firstLine="482" w:firstLineChars="200"/>
              <w:jc w:val="both"/>
              <w:rPr>
                <w:b/>
                <w:bCs/>
                <w:color w:val="auto"/>
                <w:sz w:val="24"/>
              </w:rPr>
            </w:pPr>
            <w:r>
              <w:rPr>
                <w:b/>
                <w:bCs/>
                <w:color w:val="auto"/>
                <w:sz w:val="24"/>
              </w:rPr>
              <w:t>4、监测要求</w:t>
            </w:r>
          </w:p>
          <w:p w14:paraId="4FF5246B">
            <w:pPr>
              <w:pStyle w:val="55"/>
              <w:adjustRightInd w:val="0"/>
              <w:snapToGrid w:val="0"/>
              <w:spacing w:line="360" w:lineRule="auto"/>
              <w:ind w:firstLine="480" w:firstLineChars="200"/>
              <w:jc w:val="both"/>
              <w:rPr>
                <w:b/>
                <w:bCs/>
                <w:color w:val="auto"/>
                <w:szCs w:val="21"/>
              </w:rPr>
            </w:pPr>
            <w:r>
              <w:rPr>
                <w:color w:val="auto"/>
                <w:sz w:val="24"/>
                <w:szCs w:val="24"/>
              </w:rPr>
              <w:t>根据</w:t>
            </w:r>
            <w:r>
              <w:rPr>
                <w:rFonts w:hint="default" w:ascii="Times New Roman" w:hAnsi="Times New Roman" w:eastAsia="宋体" w:cs="Times New Roman"/>
                <w:color w:val="auto"/>
                <w:sz w:val="24"/>
                <w:highlight w:val="none"/>
                <w:lang w:eastAsia="zh-CN"/>
              </w:rPr>
              <w:t>《排污许可证申请与核发技</w:t>
            </w:r>
            <w:r>
              <w:rPr>
                <w:rFonts w:hint="default" w:ascii="Times New Roman" w:hAnsi="Times New Roman" w:eastAsia="宋体" w:cs="Times New Roman"/>
                <w:color w:val="auto"/>
                <w:sz w:val="24"/>
                <w:szCs w:val="24"/>
                <w:highlight w:val="none"/>
                <w:lang w:eastAsia="zh-CN"/>
              </w:rPr>
              <w:t>术规范 橡胶和塑料制品工业》（HJ1122-2020）</w:t>
            </w:r>
            <w:r>
              <w:rPr>
                <w:rFonts w:hint="eastAsia"/>
                <w:color w:val="auto"/>
                <w:sz w:val="24"/>
                <w:lang w:bidi="ar"/>
              </w:rPr>
              <w:t>及</w:t>
            </w:r>
            <w:r>
              <w:rPr>
                <w:color w:val="auto"/>
                <w:sz w:val="24"/>
                <w:lang w:bidi="ar"/>
              </w:rPr>
              <w:t>《排污单位自行监测技术指南 橡胶和塑料制品》（HJ1207-2021）</w:t>
            </w:r>
            <w:r>
              <w:rPr>
                <w:color w:val="auto"/>
                <w:sz w:val="24"/>
                <w:szCs w:val="24"/>
              </w:rPr>
              <w:t>可知，本项目监测要求详见下表</w:t>
            </w:r>
            <w:r>
              <w:rPr>
                <w:color w:val="auto"/>
                <w:sz w:val="24"/>
              </w:rPr>
              <w:t>。</w:t>
            </w:r>
          </w:p>
          <w:p w14:paraId="4B64CD61">
            <w:pPr>
              <w:pStyle w:val="55"/>
              <w:adjustRightInd w:val="0"/>
              <w:snapToGrid w:val="0"/>
              <w:rPr>
                <w:color w:val="auto"/>
                <w:sz w:val="24"/>
              </w:rPr>
            </w:pPr>
            <w:r>
              <w:rPr>
                <w:b/>
                <w:bCs/>
                <w:color w:val="auto"/>
                <w:szCs w:val="21"/>
              </w:rPr>
              <w:t>表4-</w:t>
            </w:r>
            <w:r>
              <w:rPr>
                <w:rFonts w:hint="eastAsia"/>
                <w:b/>
                <w:bCs/>
                <w:color w:val="auto"/>
                <w:szCs w:val="21"/>
                <w:lang w:val="en-US" w:eastAsia="zh-CN"/>
              </w:rPr>
              <w:t>20</w:t>
            </w:r>
            <w:r>
              <w:rPr>
                <w:b/>
                <w:bCs/>
                <w:color w:val="auto"/>
                <w:szCs w:val="21"/>
              </w:rPr>
              <w:t xml:space="preserve">  噪声监测计划一览表</w:t>
            </w:r>
          </w:p>
          <w:tbl>
            <w:tblPr>
              <w:tblStyle w:val="3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8"/>
              <w:gridCol w:w="2798"/>
              <w:gridCol w:w="2799"/>
            </w:tblGrid>
            <w:tr w14:paraId="5210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vAlign w:val="center"/>
                </w:tcPr>
                <w:p w14:paraId="17264885">
                  <w:pPr>
                    <w:pStyle w:val="55"/>
                    <w:adjustRightInd w:val="0"/>
                    <w:snapToGrid w:val="0"/>
                    <w:rPr>
                      <w:b/>
                      <w:bCs/>
                      <w:color w:val="auto"/>
                      <w:szCs w:val="21"/>
                    </w:rPr>
                  </w:pPr>
                  <w:r>
                    <w:rPr>
                      <w:b/>
                      <w:bCs/>
                      <w:color w:val="auto"/>
                      <w:szCs w:val="21"/>
                    </w:rPr>
                    <w:t>监测点位</w:t>
                  </w:r>
                </w:p>
              </w:tc>
              <w:tc>
                <w:tcPr>
                  <w:tcW w:w="1666" w:type="pct"/>
                  <w:vAlign w:val="center"/>
                </w:tcPr>
                <w:p w14:paraId="7DAC7E68">
                  <w:pPr>
                    <w:pStyle w:val="55"/>
                    <w:adjustRightInd w:val="0"/>
                    <w:snapToGrid w:val="0"/>
                    <w:rPr>
                      <w:b/>
                      <w:bCs/>
                      <w:color w:val="auto"/>
                      <w:szCs w:val="21"/>
                    </w:rPr>
                  </w:pPr>
                  <w:r>
                    <w:rPr>
                      <w:b/>
                      <w:bCs/>
                      <w:color w:val="auto"/>
                      <w:szCs w:val="21"/>
                    </w:rPr>
                    <w:t>监测项目</w:t>
                  </w:r>
                </w:p>
              </w:tc>
              <w:tc>
                <w:tcPr>
                  <w:tcW w:w="1666" w:type="pct"/>
                  <w:vAlign w:val="center"/>
                </w:tcPr>
                <w:p w14:paraId="0535D3C0">
                  <w:pPr>
                    <w:pStyle w:val="55"/>
                    <w:adjustRightInd w:val="0"/>
                    <w:snapToGrid w:val="0"/>
                    <w:rPr>
                      <w:b/>
                      <w:bCs/>
                      <w:color w:val="auto"/>
                      <w:szCs w:val="21"/>
                    </w:rPr>
                  </w:pPr>
                  <w:r>
                    <w:rPr>
                      <w:b/>
                      <w:bCs/>
                      <w:color w:val="auto"/>
                      <w:szCs w:val="21"/>
                    </w:rPr>
                    <w:t>时间、频次</w:t>
                  </w:r>
                </w:p>
              </w:tc>
            </w:tr>
            <w:tr w14:paraId="4723A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6" w:type="pct"/>
                  <w:vAlign w:val="center"/>
                </w:tcPr>
                <w:p w14:paraId="28C4432D">
                  <w:pPr>
                    <w:snapToGrid w:val="0"/>
                    <w:jc w:val="center"/>
                    <w:rPr>
                      <w:color w:val="auto"/>
                      <w:szCs w:val="21"/>
                    </w:rPr>
                  </w:pPr>
                  <w:r>
                    <w:rPr>
                      <w:color w:val="auto"/>
                      <w:szCs w:val="21"/>
                    </w:rPr>
                    <w:t>沿项目区厂界东、南、西、</w:t>
                  </w:r>
                </w:p>
                <w:p w14:paraId="446E436D">
                  <w:pPr>
                    <w:pStyle w:val="55"/>
                    <w:adjustRightInd w:val="0"/>
                    <w:snapToGrid w:val="0"/>
                    <w:rPr>
                      <w:color w:val="auto"/>
                      <w:szCs w:val="21"/>
                    </w:rPr>
                  </w:pPr>
                  <w:r>
                    <w:rPr>
                      <w:color w:val="auto"/>
                      <w:szCs w:val="21"/>
                    </w:rPr>
                    <w:t>北界外1m 处布点监测</w:t>
                  </w:r>
                </w:p>
              </w:tc>
              <w:tc>
                <w:tcPr>
                  <w:tcW w:w="1666" w:type="pct"/>
                  <w:vAlign w:val="center"/>
                </w:tcPr>
                <w:p w14:paraId="35040359">
                  <w:pPr>
                    <w:pStyle w:val="55"/>
                    <w:adjustRightInd w:val="0"/>
                    <w:snapToGrid w:val="0"/>
                    <w:rPr>
                      <w:color w:val="auto"/>
                      <w:szCs w:val="21"/>
                    </w:rPr>
                  </w:pPr>
                  <w:r>
                    <w:rPr>
                      <w:color w:val="auto"/>
                      <w:szCs w:val="21"/>
                    </w:rPr>
                    <w:t>等效声级Leq（dB （A））</w:t>
                  </w:r>
                </w:p>
              </w:tc>
              <w:tc>
                <w:tcPr>
                  <w:tcW w:w="1666" w:type="pct"/>
                  <w:vAlign w:val="center"/>
                </w:tcPr>
                <w:p w14:paraId="5C797002">
                  <w:pPr>
                    <w:pStyle w:val="55"/>
                    <w:adjustRightInd w:val="0"/>
                    <w:snapToGrid w:val="0"/>
                    <w:rPr>
                      <w:color w:val="auto"/>
                      <w:szCs w:val="21"/>
                    </w:rPr>
                  </w:pPr>
                  <w:r>
                    <w:rPr>
                      <w:color w:val="auto"/>
                      <w:szCs w:val="21"/>
                    </w:rPr>
                    <w:t>1次/季度</w:t>
                  </w:r>
                </w:p>
              </w:tc>
            </w:tr>
          </w:tbl>
          <w:p w14:paraId="7EFEA52F">
            <w:pPr>
              <w:adjustRightInd w:val="0"/>
              <w:snapToGrid w:val="0"/>
              <w:spacing w:line="360" w:lineRule="auto"/>
              <w:ind w:firstLine="482" w:firstLineChars="200"/>
              <w:rPr>
                <w:b/>
                <w:color w:val="auto"/>
                <w:sz w:val="24"/>
              </w:rPr>
            </w:pPr>
            <w:r>
              <w:rPr>
                <w:b/>
                <w:color w:val="auto"/>
                <w:sz w:val="24"/>
              </w:rPr>
              <w:t>四、固体废弃物</w:t>
            </w:r>
          </w:p>
          <w:p w14:paraId="16DDF121">
            <w:pPr>
              <w:pStyle w:val="17"/>
              <w:adjustRightInd w:val="0"/>
              <w:snapToGrid w:val="0"/>
              <w:spacing w:line="360" w:lineRule="auto"/>
              <w:ind w:firstLine="480" w:firstLineChars="200"/>
              <w:rPr>
                <w:rFonts w:ascii="Times New Roman" w:hAnsi="Times New Roman"/>
                <w:b/>
                <w:bCs/>
                <w:color w:val="auto"/>
                <w:sz w:val="24"/>
              </w:rPr>
            </w:pPr>
            <w:r>
              <w:rPr>
                <w:rFonts w:ascii="Times New Roman" w:hAnsi="Times New Roman"/>
                <w:color w:val="auto"/>
                <w:sz w:val="24"/>
              </w:rPr>
              <w:t>项目运营期产生的固体废物主要为一般工业固废、生活固废和危险废物。</w:t>
            </w:r>
          </w:p>
          <w:p w14:paraId="10712E99">
            <w:pPr>
              <w:adjustRightInd w:val="0"/>
              <w:snapToGrid w:val="0"/>
              <w:spacing w:line="360" w:lineRule="auto"/>
              <w:ind w:firstLine="482" w:firstLineChars="200"/>
              <w:rPr>
                <w:b/>
                <w:bCs/>
                <w:color w:val="auto"/>
                <w:sz w:val="24"/>
              </w:rPr>
            </w:pPr>
            <w:r>
              <w:rPr>
                <w:b/>
                <w:bCs/>
                <w:color w:val="auto"/>
                <w:sz w:val="24"/>
              </w:rPr>
              <w:t>1、一般工业固体废物</w:t>
            </w:r>
          </w:p>
          <w:p w14:paraId="11B638BF">
            <w:pPr>
              <w:keepNext w:val="0"/>
              <w:keepLines w:val="0"/>
              <w:pageBreakBefore w:val="0"/>
              <w:widowControl w:val="0"/>
              <w:kinsoku/>
              <w:wordWrap/>
              <w:overflowPunct/>
              <w:topLinePunct w:val="0"/>
              <w:autoSpaceDE/>
              <w:autoSpaceDN/>
              <w:bidi w:val="0"/>
              <w:adjustRightInd/>
              <w:spacing w:line="360" w:lineRule="auto"/>
              <w:ind w:leftChars="0" w:firstLine="480" w:firstLineChars="200"/>
              <w:textAlignment w:val="auto"/>
              <w:outlineLvl w:val="9"/>
              <w:rPr>
                <w:rFonts w:hint="default" w:ascii="Times New Roman" w:hAnsi="Times New Roman" w:eastAsia="宋体" w:cs="Times New Roman"/>
                <w:b w:val="0"/>
                <w:bCs w:val="0"/>
                <w:color w:val="auto"/>
                <w:sz w:val="24"/>
                <w:szCs w:val="24"/>
                <w:highlight w:val="none"/>
                <w:lang w:eastAsia="zh-CN"/>
              </w:rPr>
            </w:pPr>
            <w:r>
              <w:rPr>
                <w:color w:val="auto"/>
                <w:sz w:val="24"/>
                <w:szCs w:val="24"/>
              </w:rPr>
              <w:t>（1）</w:t>
            </w:r>
            <w:r>
              <w:rPr>
                <w:rFonts w:hint="default" w:ascii="Times New Roman" w:hAnsi="Times New Roman" w:eastAsia="宋体" w:cs="Times New Roman"/>
                <w:b w:val="0"/>
                <w:bCs w:val="0"/>
                <w:color w:val="auto"/>
                <w:sz w:val="24"/>
                <w:szCs w:val="24"/>
                <w:highlight w:val="none"/>
              </w:rPr>
              <w:t>废包装材料</w:t>
            </w:r>
          </w:p>
          <w:p w14:paraId="7E6872EA">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jc w:val="left"/>
              <w:textAlignment w:val="auto"/>
              <w:rPr>
                <w:color w:val="auto"/>
              </w:rPr>
            </w:pPr>
            <w:r>
              <w:rPr>
                <w:rFonts w:hint="default" w:ascii="Times New Roman" w:hAnsi="Times New Roman" w:eastAsia="宋体" w:cs="Times New Roman"/>
                <w:b w:val="0"/>
                <w:bCs w:val="0"/>
                <w:color w:val="auto"/>
                <w:kern w:val="2"/>
                <w:sz w:val="24"/>
                <w:szCs w:val="24"/>
                <w:lang w:val="en-US" w:eastAsia="zh-CN" w:bidi="ar"/>
              </w:rPr>
              <w:t>原料总用量为</w:t>
            </w:r>
            <w:r>
              <w:rPr>
                <w:rFonts w:hint="eastAsia" w:cs="Times New Roman"/>
                <w:i w:val="0"/>
                <w:color w:val="auto"/>
                <w:kern w:val="0"/>
                <w:sz w:val="24"/>
                <w:szCs w:val="24"/>
                <w:highlight w:val="none"/>
                <w:u w:val="none"/>
                <w:lang w:val="en-US" w:eastAsia="zh-CN" w:bidi="ar"/>
              </w:rPr>
              <w:t>8736.1932</w:t>
            </w:r>
            <w:r>
              <w:rPr>
                <w:rFonts w:hint="default" w:ascii="Times New Roman" w:hAnsi="Times New Roman" w:eastAsia="宋体" w:cs="Times New Roman"/>
                <w:b w:val="0"/>
                <w:bCs w:val="0"/>
                <w:color w:val="auto"/>
                <w:kern w:val="2"/>
                <w:sz w:val="24"/>
                <w:szCs w:val="24"/>
                <w:highlight w:val="none"/>
                <w:lang w:val="en-US" w:eastAsia="zh-CN" w:bidi="ar"/>
              </w:rPr>
              <w:t>t/a，规格为25kg/袋，则原料废包装袋约</w:t>
            </w:r>
            <w:r>
              <w:rPr>
                <w:rFonts w:hint="eastAsia" w:cs="Times New Roman"/>
                <w:b w:val="0"/>
                <w:bCs w:val="0"/>
                <w:color w:val="auto"/>
                <w:kern w:val="2"/>
                <w:sz w:val="24"/>
                <w:szCs w:val="24"/>
                <w:highlight w:val="none"/>
                <w:lang w:val="en-US" w:eastAsia="zh-CN" w:bidi="ar"/>
              </w:rPr>
              <w:t>349448</w:t>
            </w:r>
            <w:r>
              <w:rPr>
                <w:rFonts w:hint="default" w:ascii="Times New Roman" w:hAnsi="Times New Roman" w:eastAsia="宋体" w:cs="Times New Roman"/>
                <w:b w:val="0"/>
                <w:bCs w:val="0"/>
                <w:color w:val="auto"/>
                <w:kern w:val="2"/>
                <w:sz w:val="24"/>
                <w:szCs w:val="24"/>
                <w:highlight w:val="none"/>
                <w:lang w:val="en-US" w:eastAsia="zh-CN" w:bidi="ar"/>
              </w:rPr>
              <w:t>个，其重量约150g/个，则废包装材料产生量为</w:t>
            </w:r>
            <w:r>
              <w:rPr>
                <w:rFonts w:hint="eastAsia" w:cs="Times New Roman"/>
                <w:b w:val="0"/>
                <w:bCs w:val="0"/>
                <w:color w:val="auto"/>
                <w:sz w:val="24"/>
                <w:szCs w:val="24"/>
                <w:highlight w:val="none"/>
                <w:lang w:val="en-US" w:eastAsia="zh-CN"/>
              </w:rPr>
              <w:t>52.4172</w:t>
            </w:r>
            <w:r>
              <w:rPr>
                <w:rFonts w:hint="default" w:ascii="Times New Roman" w:hAnsi="Times New Roman" w:eastAsia="宋体" w:cs="Times New Roman"/>
                <w:b w:val="0"/>
                <w:bCs w:val="0"/>
                <w:color w:val="auto"/>
                <w:kern w:val="2"/>
                <w:sz w:val="24"/>
                <w:szCs w:val="24"/>
                <w:highlight w:val="none"/>
                <w:lang w:val="en-US" w:eastAsia="zh-CN" w:bidi="ar"/>
              </w:rPr>
              <w:t>t/a。</w:t>
            </w:r>
            <w:r>
              <w:rPr>
                <w:rFonts w:hint="eastAsia"/>
                <w:color w:val="auto"/>
                <w:sz w:val="24"/>
                <w:szCs w:val="24"/>
              </w:rPr>
              <w:t>根据《</w:t>
            </w:r>
            <w:r>
              <w:rPr>
                <w:rFonts w:hint="eastAsia"/>
                <w:color w:val="auto"/>
                <w:sz w:val="24"/>
                <w:szCs w:val="24"/>
                <w:lang w:val="en-US" w:eastAsia="zh-CN"/>
              </w:rPr>
              <w:t>固体废物分类与代码目录</w:t>
            </w:r>
            <w:r>
              <w:rPr>
                <w:rFonts w:hint="eastAsia"/>
                <w:color w:val="auto"/>
                <w:sz w:val="24"/>
                <w:szCs w:val="24"/>
              </w:rPr>
              <w:t>》</w:t>
            </w:r>
            <w:r>
              <w:rPr>
                <w:rFonts w:hint="eastAsia"/>
                <w:color w:val="auto"/>
                <w:sz w:val="24"/>
                <w:szCs w:val="24"/>
                <w:lang w:val="en-US" w:eastAsia="zh-CN"/>
              </w:rPr>
              <w:t>（公告2024第4号），</w:t>
            </w:r>
            <w:r>
              <w:rPr>
                <w:rFonts w:hint="eastAsia"/>
                <w:color w:val="auto"/>
                <w:sz w:val="24"/>
                <w:szCs w:val="24"/>
              </w:rPr>
              <w:t>分拣杂物属于“</w:t>
            </w:r>
            <w:r>
              <w:rPr>
                <w:rFonts w:hint="eastAsia"/>
                <w:color w:val="auto"/>
                <w:sz w:val="24"/>
                <w:szCs w:val="24"/>
                <w:lang w:val="en-US" w:eastAsia="zh-CN"/>
              </w:rPr>
              <w:t>S</w:t>
            </w:r>
            <w:r>
              <w:rPr>
                <w:rFonts w:hint="eastAsia"/>
                <w:color w:val="auto"/>
                <w:sz w:val="24"/>
                <w:szCs w:val="24"/>
              </w:rPr>
              <w:t>W</w:t>
            </w:r>
            <w:r>
              <w:rPr>
                <w:rFonts w:hint="eastAsia"/>
                <w:color w:val="auto"/>
                <w:sz w:val="24"/>
                <w:szCs w:val="24"/>
                <w:lang w:val="en-US" w:eastAsia="zh-CN"/>
              </w:rPr>
              <w:t>5</w:t>
            </w:r>
            <w:r>
              <w:rPr>
                <w:rFonts w:hint="eastAsia"/>
                <w:color w:val="auto"/>
                <w:sz w:val="24"/>
                <w:szCs w:val="24"/>
              </w:rPr>
              <w:t>9</w:t>
            </w:r>
            <w:r>
              <w:rPr>
                <w:rFonts w:hint="eastAsia"/>
                <w:color w:val="auto"/>
                <w:sz w:val="24"/>
                <w:szCs w:val="24"/>
                <w:lang w:val="en-US" w:eastAsia="zh-CN"/>
              </w:rPr>
              <w:t>其他工业固体</w:t>
            </w:r>
            <w:r>
              <w:rPr>
                <w:rFonts w:hint="eastAsia"/>
                <w:color w:val="auto"/>
                <w:sz w:val="24"/>
                <w:szCs w:val="24"/>
              </w:rPr>
              <w:t>废物900-0</w:t>
            </w:r>
            <w:r>
              <w:rPr>
                <w:rFonts w:hint="eastAsia"/>
                <w:color w:val="auto"/>
                <w:sz w:val="24"/>
                <w:szCs w:val="24"/>
                <w:lang w:val="en-US" w:eastAsia="zh-CN"/>
              </w:rPr>
              <w:t>99</w:t>
            </w:r>
            <w:r>
              <w:rPr>
                <w:rFonts w:hint="eastAsia"/>
                <w:color w:val="auto"/>
                <w:sz w:val="24"/>
                <w:szCs w:val="24"/>
              </w:rPr>
              <w:t>-</w:t>
            </w:r>
            <w:r>
              <w:rPr>
                <w:rFonts w:hint="eastAsia"/>
                <w:color w:val="auto"/>
                <w:sz w:val="24"/>
                <w:szCs w:val="24"/>
                <w:lang w:val="en-US" w:eastAsia="zh-CN"/>
              </w:rPr>
              <w:t>S59其他工业生产过程中产生的固体废物</w:t>
            </w:r>
            <w:r>
              <w:rPr>
                <w:rFonts w:hint="eastAsia"/>
                <w:color w:val="auto"/>
                <w:sz w:val="24"/>
                <w:szCs w:val="24"/>
              </w:rPr>
              <w:t>”</w:t>
            </w:r>
            <w:r>
              <w:rPr>
                <w:rFonts w:hint="eastAsia"/>
                <w:color w:val="auto"/>
                <w:sz w:val="24"/>
                <w:szCs w:val="24"/>
                <w:lang w:eastAsia="zh-CN"/>
              </w:rPr>
              <w:t>，</w:t>
            </w:r>
            <w:r>
              <w:rPr>
                <w:rFonts w:hint="default" w:ascii="Times New Roman" w:hAnsi="Times New Roman" w:eastAsia="宋体" w:cs="Times New Roman"/>
                <w:b w:val="0"/>
                <w:bCs w:val="0"/>
                <w:color w:val="auto"/>
                <w:kern w:val="2"/>
                <w:sz w:val="24"/>
                <w:szCs w:val="24"/>
                <w:lang w:val="en-US" w:eastAsia="zh-CN" w:bidi="ar"/>
              </w:rPr>
              <w:t>统一收集后暂存于一般固体废物暂存</w:t>
            </w:r>
            <w:r>
              <w:rPr>
                <w:rFonts w:hint="eastAsia" w:cs="Times New Roman"/>
                <w:b w:val="0"/>
                <w:bCs w:val="0"/>
                <w:color w:val="auto"/>
                <w:kern w:val="2"/>
                <w:sz w:val="24"/>
                <w:szCs w:val="24"/>
                <w:lang w:val="en-US" w:eastAsia="zh-CN" w:bidi="ar"/>
              </w:rPr>
              <w:t>间</w:t>
            </w:r>
            <w:r>
              <w:rPr>
                <w:rFonts w:hint="default" w:ascii="Times New Roman" w:hAnsi="Times New Roman" w:eastAsia="宋体" w:cs="Times New Roman"/>
                <w:b w:val="0"/>
                <w:bCs w:val="0"/>
                <w:color w:val="auto"/>
                <w:kern w:val="2"/>
                <w:sz w:val="24"/>
                <w:szCs w:val="24"/>
                <w:lang w:val="en-US" w:eastAsia="zh-CN" w:bidi="ar"/>
              </w:rPr>
              <w:t>，定期外</w:t>
            </w:r>
            <w:r>
              <w:rPr>
                <w:rFonts w:hint="default" w:ascii="Times New Roman" w:hAnsi="Times New Roman" w:eastAsia="宋体" w:cs="Times New Roman"/>
                <w:b w:val="0"/>
                <w:bCs w:val="0"/>
                <w:color w:val="auto"/>
                <w:sz w:val="24"/>
                <w:szCs w:val="24"/>
                <w:highlight w:val="none"/>
                <w:lang w:val="en-US" w:eastAsia="zh-CN"/>
              </w:rPr>
              <w:t>售给废品收购站。</w:t>
            </w:r>
          </w:p>
          <w:p w14:paraId="61A6B1A4">
            <w:pPr>
              <w:keepNext w:val="0"/>
              <w:keepLines w:val="0"/>
              <w:pageBreakBefore w:val="0"/>
              <w:kinsoku/>
              <w:wordWrap/>
              <w:overflowPunct/>
              <w:topLinePunct w:val="0"/>
              <w:bidi w:val="0"/>
              <w:adjustRightInd w:val="0"/>
              <w:snapToGrid w:val="0"/>
              <w:spacing w:line="360" w:lineRule="auto"/>
              <w:ind w:firstLine="480" w:firstLineChars="200"/>
              <w:jc w:val="left"/>
              <w:textAlignment w:val="auto"/>
              <w:rPr>
                <w:rFonts w:hint="default" w:eastAsia="宋体"/>
                <w:color w:val="auto"/>
                <w:sz w:val="24"/>
                <w:lang w:val="en-US" w:eastAsia="zh-CN"/>
              </w:rPr>
            </w:pPr>
            <w:r>
              <w:rPr>
                <w:color w:val="auto"/>
                <w:sz w:val="24"/>
                <w:szCs w:val="24"/>
              </w:rPr>
              <w:t>（2）</w:t>
            </w:r>
            <w:r>
              <w:rPr>
                <w:color w:val="auto"/>
                <w:sz w:val="24"/>
              </w:rPr>
              <w:t>边角料</w:t>
            </w:r>
            <w:r>
              <w:rPr>
                <w:rFonts w:hint="eastAsia"/>
                <w:color w:val="auto"/>
                <w:sz w:val="24"/>
              </w:rPr>
              <w:t>、不合格产品</w:t>
            </w:r>
            <w:r>
              <w:rPr>
                <w:rFonts w:hint="eastAsia"/>
                <w:color w:val="auto"/>
                <w:sz w:val="24"/>
                <w:lang w:eastAsia="zh-CN"/>
              </w:rPr>
              <w:t>、</w:t>
            </w:r>
            <w:r>
              <w:rPr>
                <w:rFonts w:hint="eastAsia"/>
                <w:color w:val="auto"/>
                <w:sz w:val="24"/>
                <w:lang w:val="en-US" w:eastAsia="zh-CN"/>
              </w:rPr>
              <w:t>未成形产品</w:t>
            </w:r>
          </w:p>
          <w:p w14:paraId="1026CB19">
            <w:pPr>
              <w:adjustRightInd w:val="0"/>
              <w:snapToGrid w:val="0"/>
              <w:spacing w:line="360" w:lineRule="auto"/>
              <w:ind w:firstLine="480" w:firstLineChars="200"/>
              <w:rPr>
                <w:rFonts w:hint="default" w:eastAsia="宋体"/>
                <w:b/>
                <w:bCs/>
                <w:color w:val="auto"/>
                <w:sz w:val="24"/>
                <w:szCs w:val="24"/>
                <w:lang w:val="en-US" w:eastAsia="zh-CN"/>
              </w:rPr>
            </w:pPr>
            <w:r>
              <w:rPr>
                <w:rFonts w:hint="eastAsia"/>
                <w:color w:val="auto"/>
                <w:sz w:val="24"/>
              </w:rPr>
              <w:t>产生量参照中华人</w:t>
            </w:r>
            <w:r>
              <w:rPr>
                <w:color w:val="auto"/>
                <w:sz w:val="24"/>
              </w:rPr>
              <w:t>民共和国生态环境部</w:t>
            </w:r>
            <w:r>
              <w:rPr>
                <w:rFonts w:hint="eastAsia"/>
                <w:color w:val="auto"/>
                <w:sz w:val="24"/>
              </w:rPr>
              <w:t>2021</w:t>
            </w:r>
            <w:r>
              <w:rPr>
                <w:color w:val="auto"/>
                <w:sz w:val="24"/>
              </w:rPr>
              <w:t>年6月11日发布的《排放源统计调查产排污核算方法和系数手册》的公告（公告2021年第24号）中《292塑料制品行业系数手册》2926</w:t>
            </w:r>
            <w:r>
              <w:rPr>
                <w:rFonts w:hint="eastAsia"/>
                <w:color w:val="auto"/>
                <w:sz w:val="24"/>
              </w:rPr>
              <w:t>塑料包装箱及容器制造行业系数表中的产排污系数进行计算，一般固废产生量为2.5</w:t>
            </w:r>
            <w:r>
              <w:rPr>
                <w:color w:val="auto"/>
                <w:sz w:val="24"/>
              </w:rPr>
              <w:t>千克/吨-产品。本项目产品总量为</w:t>
            </w:r>
            <w:r>
              <w:rPr>
                <w:rFonts w:hint="eastAsia"/>
                <w:color w:val="auto"/>
                <w:sz w:val="24"/>
                <w:lang w:val="en-US" w:eastAsia="zh-CN"/>
              </w:rPr>
              <w:t>8691</w:t>
            </w:r>
            <w:r>
              <w:rPr>
                <w:color w:val="auto"/>
                <w:sz w:val="24"/>
              </w:rPr>
              <w:t>t，则生产过程一般固废产生总量为</w:t>
            </w:r>
            <w:r>
              <w:rPr>
                <w:rFonts w:hint="eastAsia"/>
                <w:color w:val="auto"/>
                <w:sz w:val="24"/>
                <w:lang w:val="en-US" w:eastAsia="zh-CN"/>
              </w:rPr>
              <w:t>21.7275</w:t>
            </w:r>
            <w:r>
              <w:rPr>
                <w:color w:val="auto"/>
                <w:sz w:val="24"/>
              </w:rPr>
              <w:t>t/a，一般固体废物包括边角料、不合格品</w:t>
            </w:r>
            <w:r>
              <w:rPr>
                <w:rFonts w:hint="eastAsia"/>
                <w:color w:val="auto"/>
                <w:sz w:val="24"/>
                <w:lang w:eastAsia="zh-CN"/>
              </w:rPr>
              <w:t>、</w:t>
            </w:r>
            <w:r>
              <w:rPr>
                <w:rFonts w:hint="eastAsia"/>
                <w:color w:val="auto"/>
                <w:sz w:val="24"/>
                <w:lang w:val="en-US" w:eastAsia="zh-CN"/>
              </w:rPr>
              <w:t>未成品产品</w:t>
            </w:r>
            <w:r>
              <w:rPr>
                <w:color w:val="auto"/>
                <w:sz w:val="24"/>
              </w:rPr>
              <w:t>等，</w:t>
            </w:r>
            <w:r>
              <w:rPr>
                <w:rFonts w:hint="eastAsia"/>
                <w:color w:val="auto"/>
                <w:sz w:val="24"/>
                <w:szCs w:val="24"/>
              </w:rPr>
              <w:t>根据《</w:t>
            </w:r>
            <w:r>
              <w:rPr>
                <w:rFonts w:hint="eastAsia"/>
                <w:color w:val="auto"/>
                <w:sz w:val="24"/>
                <w:szCs w:val="24"/>
                <w:lang w:val="en-US" w:eastAsia="zh-CN"/>
              </w:rPr>
              <w:t>固体废物分类与代码目录</w:t>
            </w:r>
            <w:r>
              <w:rPr>
                <w:rFonts w:hint="eastAsia"/>
                <w:color w:val="auto"/>
                <w:sz w:val="24"/>
                <w:szCs w:val="24"/>
              </w:rPr>
              <w:t>》</w:t>
            </w:r>
            <w:r>
              <w:rPr>
                <w:rFonts w:hint="eastAsia"/>
                <w:color w:val="auto"/>
                <w:sz w:val="24"/>
                <w:szCs w:val="24"/>
                <w:lang w:val="en-US" w:eastAsia="zh-CN"/>
              </w:rPr>
              <w:t>（公告2024第4号），</w:t>
            </w:r>
            <w:r>
              <w:rPr>
                <w:rFonts w:hint="eastAsia"/>
                <w:color w:val="auto"/>
                <w:sz w:val="24"/>
                <w:szCs w:val="24"/>
              </w:rPr>
              <w:t>分拣杂物属于“</w:t>
            </w:r>
            <w:r>
              <w:rPr>
                <w:rFonts w:hint="eastAsia"/>
                <w:color w:val="auto"/>
                <w:sz w:val="24"/>
                <w:szCs w:val="24"/>
                <w:lang w:val="en-US" w:eastAsia="zh-CN"/>
              </w:rPr>
              <w:t>S</w:t>
            </w:r>
            <w:r>
              <w:rPr>
                <w:rFonts w:hint="eastAsia"/>
                <w:color w:val="auto"/>
                <w:sz w:val="24"/>
                <w:szCs w:val="24"/>
              </w:rPr>
              <w:t>W</w:t>
            </w:r>
            <w:r>
              <w:rPr>
                <w:rFonts w:hint="eastAsia"/>
                <w:color w:val="auto"/>
                <w:sz w:val="24"/>
                <w:szCs w:val="24"/>
                <w:lang w:val="en-US" w:eastAsia="zh-CN"/>
              </w:rPr>
              <w:t>17可再生类废物</w:t>
            </w:r>
            <w:r>
              <w:rPr>
                <w:rFonts w:hint="eastAsia"/>
                <w:color w:val="auto"/>
                <w:sz w:val="24"/>
                <w:szCs w:val="24"/>
              </w:rPr>
              <w:t>900-0</w:t>
            </w:r>
            <w:r>
              <w:rPr>
                <w:rFonts w:hint="eastAsia"/>
                <w:color w:val="auto"/>
                <w:sz w:val="24"/>
                <w:szCs w:val="24"/>
                <w:lang w:val="en-US" w:eastAsia="zh-CN"/>
              </w:rPr>
              <w:t>03</w:t>
            </w:r>
            <w:r>
              <w:rPr>
                <w:rFonts w:hint="eastAsia"/>
                <w:color w:val="auto"/>
                <w:sz w:val="24"/>
                <w:szCs w:val="24"/>
              </w:rPr>
              <w:t>-</w:t>
            </w:r>
            <w:r>
              <w:rPr>
                <w:rFonts w:hint="eastAsia"/>
                <w:color w:val="auto"/>
                <w:sz w:val="24"/>
                <w:szCs w:val="24"/>
                <w:lang w:val="en-US" w:eastAsia="zh-CN"/>
              </w:rPr>
              <w:t>S17</w:t>
            </w:r>
            <w:r>
              <w:rPr>
                <w:rFonts w:hint="eastAsia" w:ascii="Times New Roman" w:hAnsi="Times New Roman" w:eastAsia="宋体" w:cs="Times New Roman"/>
                <w:color w:val="auto"/>
                <w:sz w:val="24"/>
                <w:szCs w:val="24"/>
                <w:lang w:val="en-US" w:eastAsia="zh-CN"/>
              </w:rPr>
              <w:t>废塑料。工业生产活动中产生的塑料废弃边角料、废弃塑料包装等废物”，</w:t>
            </w:r>
            <w:r>
              <w:rPr>
                <w:color w:val="auto"/>
                <w:sz w:val="24"/>
              </w:rPr>
              <w:t>统一收集后暂存于一般固体废物暂存</w:t>
            </w:r>
            <w:r>
              <w:rPr>
                <w:rFonts w:hint="eastAsia"/>
                <w:color w:val="auto"/>
                <w:sz w:val="24"/>
                <w:lang w:val="en-US" w:eastAsia="zh-CN"/>
              </w:rPr>
              <w:t>间</w:t>
            </w:r>
            <w:r>
              <w:rPr>
                <w:color w:val="auto"/>
                <w:sz w:val="24"/>
              </w:rPr>
              <w:t>定期进行破碎处理后外售</w:t>
            </w:r>
            <w:r>
              <w:rPr>
                <w:rFonts w:hint="eastAsia"/>
                <w:color w:val="auto"/>
                <w:sz w:val="24"/>
                <w:szCs w:val="24"/>
              </w:rPr>
              <w:t>。</w:t>
            </w:r>
          </w:p>
          <w:p w14:paraId="4B233040">
            <w:pPr>
              <w:keepNext w:val="0"/>
              <w:keepLines w:val="0"/>
              <w:pageBreakBefore w:val="0"/>
              <w:kinsoku/>
              <w:wordWrap/>
              <w:overflowPunct/>
              <w:topLinePunct w:val="0"/>
              <w:bidi w:val="0"/>
              <w:adjustRightInd w:val="0"/>
              <w:snapToGrid w:val="0"/>
              <w:spacing w:line="360" w:lineRule="auto"/>
              <w:ind w:firstLine="480" w:firstLineChars="200"/>
              <w:jc w:val="left"/>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（3）布袋除尘器除尘灰</w:t>
            </w:r>
          </w:p>
          <w:p w14:paraId="19D22A0D">
            <w:pPr>
              <w:keepNext w:val="0"/>
              <w:keepLines w:val="0"/>
              <w:pageBreakBefore w:val="0"/>
              <w:kinsoku/>
              <w:wordWrap/>
              <w:overflowPunct/>
              <w:topLinePunct w:val="0"/>
              <w:bidi w:val="0"/>
              <w:adjustRightInd w:val="0"/>
              <w:snapToGrid w:val="0"/>
              <w:spacing w:line="360" w:lineRule="auto"/>
              <w:ind w:firstLine="480" w:firstLineChars="200"/>
              <w:jc w:val="left"/>
              <w:textAlignment w:val="auto"/>
              <w:rPr>
                <w:rFonts w:hint="default" w:eastAsia="宋体"/>
                <w:b/>
                <w:bCs/>
                <w:color w:val="auto"/>
                <w:sz w:val="24"/>
                <w:lang w:val="en-US" w:eastAsia="zh-CN"/>
              </w:rPr>
            </w:pPr>
            <w:r>
              <w:rPr>
                <w:rFonts w:ascii="Times New Roman" w:hAnsi="Times New Roman" w:eastAsia="宋体" w:cs="Times New Roman"/>
                <w:color w:val="auto"/>
                <w:sz w:val="24"/>
                <w:szCs w:val="24"/>
              </w:rPr>
              <w:t>根据废气部分工程分析可知，</w:t>
            </w:r>
            <w:r>
              <w:rPr>
                <w:rFonts w:hint="eastAsia" w:ascii="Times New Roman" w:hAnsi="Times New Roman" w:eastAsia="宋体" w:cs="Times New Roman"/>
                <w:color w:val="auto"/>
                <w:sz w:val="24"/>
                <w:szCs w:val="24"/>
              </w:rPr>
              <w:t>破碎</w:t>
            </w:r>
            <w:r>
              <w:rPr>
                <w:rFonts w:ascii="Times New Roman" w:hAnsi="Times New Roman" w:eastAsia="宋体" w:cs="Times New Roman"/>
                <w:color w:val="auto"/>
                <w:sz w:val="24"/>
                <w:szCs w:val="24"/>
              </w:rPr>
              <w:t>过程</w:t>
            </w:r>
            <w:r>
              <w:rPr>
                <w:rFonts w:hint="eastAsia" w:ascii="Times New Roman" w:hAnsi="Times New Roman" w:eastAsia="宋体" w:cs="Times New Roman"/>
                <w:color w:val="auto"/>
                <w:sz w:val="24"/>
                <w:szCs w:val="24"/>
                <w:lang w:eastAsia="zh-CN"/>
              </w:rPr>
              <w:t>布袋除尘器除尘灰</w:t>
            </w:r>
            <w:r>
              <w:rPr>
                <w:rFonts w:ascii="Times New Roman" w:hAnsi="Times New Roman" w:eastAsia="宋体" w:cs="Times New Roman"/>
                <w:color w:val="auto"/>
                <w:sz w:val="24"/>
                <w:szCs w:val="24"/>
              </w:rPr>
              <w:t>收集量约为</w:t>
            </w:r>
            <w:r>
              <w:rPr>
                <w:rFonts w:hint="eastAsia"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lang w:val="en-US" w:eastAsia="zh-CN"/>
              </w:rPr>
              <w:t>0062</w:t>
            </w:r>
            <w:r>
              <w:rPr>
                <w:rFonts w:ascii="Times New Roman" w:hAnsi="Times New Roman" w:eastAsia="宋体" w:cs="Times New Roman"/>
                <w:color w:val="auto"/>
                <w:sz w:val="24"/>
                <w:szCs w:val="24"/>
                <w:lang w:val="zh-CN"/>
              </w:rPr>
              <w:t>t/a</w:t>
            </w:r>
            <w:r>
              <w:rPr>
                <w:rFonts w:ascii="Times New Roman" w:hAnsi="Times New Roman" w:eastAsia="宋体" w:cs="Times New Roman"/>
                <w:color w:val="auto"/>
                <w:sz w:val="24"/>
                <w:szCs w:val="24"/>
              </w:rPr>
              <w:t>，</w:t>
            </w:r>
            <w:r>
              <w:rPr>
                <w:rFonts w:hint="eastAsia"/>
                <w:color w:val="auto"/>
                <w:sz w:val="24"/>
                <w:szCs w:val="24"/>
              </w:rPr>
              <w:t>《</w:t>
            </w:r>
            <w:r>
              <w:rPr>
                <w:rFonts w:hint="eastAsia"/>
                <w:color w:val="auto"/>
                <w:sz w:val="24"/>
                <w:szCs w:val="24"/>
                <w:lang w:val="en-US" w:eastAsia="zh-CN"/>
              </w:rPr>
              <w:t>固体废物分类与代码目录</w:t>
            </w:r>
            <w:r>
              <w:rPr>
                <w:rFonts w:hint="eastAsia"/>
                <w:color w:val="auto"/>
                <w:sz w:val="24"/>
                <w:szCs w:val="24"/>
              </w:rPr>
              <w:t>》</w:t>
            </w:r>
            <w:r>
              <w:rPr>
                <w:rFonts w:hint="eastAsia"/>
                <w:color w:val="auto"/>
                <w:sz w:val="24"/>
                <w:szCs w:val="24"/>
                <w:lang w:val="en-US" w:eastAsia="zh-CN"/>
              </w:rPr>
              <w:t>（公告2024第4号），</w:t>
            </w:r>
            <w:r>
              <w:rPr>
                <w:rFonts w:hint="eastAsia"/>
                <w:color w:val="auto"/>
                <w:sz w:val="24"/>
                <w:szCs w:val="24"/>
              </w:rPr>
              <w:t>分拣杂物属于“</w:t>
            </w:r>
            <w:r>
              <w:rPr>
                <w:rFonts w:hint="eastAsia"/>
                <w:color w:val="auto"/>
                <w:sz w:val="24"/>
                <w:szCs w:val="24"/>
                <w:lang w:val="en-US" w:eastAsia="zh-CN"/>
              </w:rPr>
              <w:t>S</w:t>
            </w:r>
            <w:r>
              <w:rPr>
                <w:rFonts w:hint="eastAsia"/>
                <w:color w:val="auto"/>
                <w:sz w:val="24"/>
                <w:szCs w:val="24"/>
              </w:rPr>
              <w:t>W</w:t>
            </w:r>
            <w:r>
              <w:rPr>
                <w:rFonts w:hint="eastAsia"/>
                <w:color w:val="auto"/>
                <w:sz w:val="24"/>
                <w:szCs w:val="24"/>
                <w:lang w:val="en-US" w:eastAsia="zh-CN"/>
              </w:rPr>
              <w:t>17可再生类废物</w:t>
            </w:r>
            <w:r>
              <w:rPr>
                <w:rFonts w:hint="eastAsia"/>
                <w:color w:val="auto"/>
                <w:sz w:val="24"/>
                <w:szCs w:val="24"/>
              </w:rPr>
              <w:t>900-</w:t>
            </w:r>
            <w:r>
              <w:rPr>
                <w:rFonts w:hint="eastAsia"/>
                <w:color w:val="auto"/>
                <w:sz w:val="24"/>
                <w:szCs w:val="24"/>
                <w:lang w:val="en-US" w:eastAsia="zh-CN"/>
              </w:rPr>
              <w:t>099</w:t>
            </w:r>
            <w:r>
              <w:rPr>
                <w:rFonts w:hint="eastAsia"/>
                <w:color w:val="auto"/>
                <w:sz w:val="24"/>
                <w:szCs w:val="24"/>
              </w:rPr>
              <w:t>-</w:t>
            </w:r>
            <w:r>
              <w:rPr>
                <w:rFonts w:hint="eastAsia"/>
                <w:color w:val="auto"/>
                <w:sz w:val="24"/>
                <w:szCs w:val="24"/>
                <w:lang w:val="en-US" w:eastAsia="zh-CN"/>
              </w:rPr>
              <w:t>S17</w:t>
            </w:r>
            <w:r>
              <w:rPr>
                <w:rFonts w:hint="eastAsia" w:ascii="Times New Roman" w:hAnsi="Times New Roman" w:eastAsia="宋体" w:cs="Times New Roman"/>
                <w:color w:val="auto"/>
                <w:sz w:val="24"/>
                <w:szCs w:val="24"/>
                <w:lang w:val="en-US" w:eastAsia="zh-CN"/>
              </w:rPr>
              <w:t>其他可再生类废物。工业生产活动中产生的其他可再生类废物”统一收集后暂存于一般固废暂存间同破碎后的</w:t>
            </w:r>
            <w:r>
              <w:rPr>
                <w:rFonts w:hint="default" w:ascii="Times New Roman" w:hAnsi="Times New Roman" w:eastAsia="宋体" w:cs="Times New Roman"/>
                <w:color w:val="auto"/>
                <w:sz w:val="24"/>
                <w:szCs w:val="24"/>
                <w:lang w:val="zh-CN" w:eastAsia="zh-CN"/>
              </w:rPr>
              <w:t>不合格产品及边角料</w:t>
            </w:r>
            <w:r>
              <w:rPr>
                <w:rFonts w:hint="eastAsia" w:ascii="Times New Roman" w:hAnsi="Times New Roman" w:eastAsia="宋体" w:cs="Times New Roman"/>
                <w:color w:val="auto"/>
                <w:sz w:val="24"/>
                <w:szCs w:val="24"/>
                <w:lang w:val="zh-CN" w:eastAsia="zh-CN"/>
              </w:rPr>
              <w:t>、</w:t>
            </w:r>
            <w:r>
              <w:rPr>
                <w:rFonts w:hint="eastAsia" w:ascii="Times New Roman" w:hAnsi="Times New Roman" w:eastAsia="宋体" w:cs="Times New Roman"/>
                <w:color w:val="auto"/>
                <w:sz w:val="24"/>
                <w:szCs w:val="24"/>
                <w:lang w:val="en-US" w:eastAsia="zh-CN"/>
              </w:rPr>
              <w:t>未成品产品一并外售。</w:t>
            </w:r>
          </w:p>
          <w:p w14:paraId="2BE2581A">
            <w:pPr>
              <w:keepNext w:val="0"/>
              <w:keepLines w:val="0"/>
              <w:pageBreakBefore w:val="0"/>
              <w:kinsoku/>
              <w:wordWrap/>
              <w:overflowPunct/>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（4）需保养模具</w:t>
            </w:r>
          </w:p>
          <w:p w14:paraId="0EFE2EA2">
            <w:pPr>
              <w:keepNext w:val="0"/>
              <w:keepLines w:val="0"/>
              <w:pageBreakBefore w:val="0"/>
              <w:widowControl w:val="0"/>
              <w:kinsoku/>
              <w:wordWrap/>
              <w:overflowPunct/>
              <w:topLinePunct w:val="0"/>
              <w:autoSpaceDE/>
              <w:autoSpaceDN/>
              <w:bidi w:val="0"/>
              <w:adjustRightInd w:val="0"/>
              <w:snapToGrid w:val="0"/>
              <w:spacing w:line="360" w:lineRule="auto"/>
              <w:ind w:leftChars="0" w:firstLine="480" w:firstLineChars="200"/>
              <w:jc w:val="left"/>
              <w:textAlignment w:val="auto"/>
              <w:rPr>
                <w:rFonts w:hint="default" w:ascii="Times New Roman" w:hAnsi="Times New Roman" w:eastAsia="宋体" w:cs="Times New Roman"/>
                <w:bCs/>
                <w:color w:val="auto"/>
                <w:sz w:val="24"/>
                <w:lang w:val="en-US" w:eastAsia="zh-CN"/>
              </w:rPr>
            </w:pPr>
            <w:r>
              <w:rPr>
                <w:rFonts w:hint="eastAsia" w:ascii="Times New Roman" w:hAnsi="Times New Roman" w:eastAsia="宋体" w:cs="Times New Roman"/>
                <w:bCs/>
                <w:color w:val="auto"/>
                <w:sz w:val="24"/>
                <w:lang w:val="en-US" w:eastAsia="zh-CN"/>
              </w:rPr>
              <w:t>本项目不同产品类型通过更换模具实现生产，模具在使用到一定时间后需返回厂家保养，保养后继续使用；根据业主提供的资料可知，模具每生产5000-1000次需进行小保养；20000-50000次需进行大保养；因模具型号规格不同，因此本项目需保养模具量以保养次数计，为4次/a。</w:t>
            </w:r>
            <w:r>
              <w:rPr>
                <w:rFonts w:hint="eastAsia"/>
                <w:color w:val="auto"/>
                <w:sz w:val="24"/>
                <w:szCs w:val="24"/>
              </w:rPr>
              <w:t>根据《</w:t>
            </w:r>
            <w:r>
              <w:rPr>
                <w:rFonts w:hint="eastAsia"/>
                <w:color w:val="auto"/>
                <w:sz w:val="24"/>
                <w:szCs w:val="24"/>
                <w:lang w:val="en-US" w:eastAsia="zh-CN"/>
              </w:rPr>
              <w:t>固体废物分类与代码目录</w:t>
            </w:r>
            <w:r>
              <w:rPr>
                <w:rFonts w:hint="eastAsia"/>
                <w:color w:val="auto"/>
                <w:sz w:val="24"/>
                <w:szCs w:val="24"/>
              </w:rPr>
              <w:t>》</w:t>
            </w:r>
            <w:r>
              <w:rPr>
                <w:rFonts w:hint="eastAsia"/>
                <w:color w:val="auto"/>
                <w:sz w:val="24"/>
                <w:szCs w:val="24"/>
                <w:lang w:val="en-US" w:eastAsia="zh-CN"/>
              </w:rPr>
              <w:t>（公告2024第4号），需保养模具</w:t>
            </w:r>
            <w:r>
              <w:rPr>
                <w:rFonts w:hint="eastAsia"/>
                <w:color w:val="auto"/>
                <w:sz w:val="24"/>
                <w:szCs w:val="24"/>
              </w:rPr>
              <w:t>属于“</w:t>
            </w:r>
            <w:r>
              <w:rPr>
                <w:rFonts w:hint="eastAsia"/>
                <w:color w:val="auto"/>
                <w:sz w:val="24"/>
                <w:szCs w:val="24"/>
                <w:lang w:val="en-US" w:eastAsia="zh-CN"/>
              </w:rPr>
              <w:t>S</w:t>
            </w:r>
            <w:r>
              <w:rPr>
                <w:rFonts w:hint="eastAsia"/>
                <w:color w:val="auto"/>
                <w:sz w:val="24"/>
                <w:szCs w:val="24"/>
              </w:rPr>
              <w:t>W</w:t>
            </w:r>
            <w:r>
              <w:rPr>
                <w:rFonts w:hint="eastAsia"/>
                <w:color w:val="auto"/>
                <w:sz w:val="24"/>
                <w:szCs w:val="24"/>
                <w:lang w:val="en-US" w:eastAsia="zh-CN"/>
              </w:rPr>
              <w:t>5</w:t>
            </w:r>
            <w:r>
              <w:rPr>
                <w:rFonts w:hint="eastAsia"/>
                <w:color w:val="auto"/>
                <w:sz w:val="24"/>
                <w:szCs w:val="24"/>
              </w:rPr>
              <w:t>9</w:t>
            </w:r>
            <w:r>
              <w:rPr>
                <w:rFonts w:hint="eastAsia"/>
                <w:color w:val="auto"/>
                <w:sz w:val="24"/>
                <w:szCs w:val="24"/>
                <w:lang w:val="en-US" w:eastAsia="zh-CN"/>
              </w:rPr>
              <w:t>其他工业固体</w:t>
            </w:r>
            <w:r>
              <w:rPr>
                <w:rFonts w:hint="eastAsia"/>
                <w:color w:val="auto"/>
                <w:sz w:val="24"/>
                <w:szCs w:val="24"/>
              </w:rPr>
              <w:t>废物900-0</w:t>
            </w:r>
            <w:r>
              <w:rPr>
                <w:rFonts w:hint="eastAsia"/>
                <w:color w:val="auto"/>
                <w:sz w:val="24"/>
                <w:szCs w:val="24"/>
                <w:lang w:val="en-US" w:eastAsia="zh-CN"/>
              </w:rPr>
              <w:t>99</w:t>
            </w:r>
            <w:r>
              <w:rPr>
                <w:rFonts w:hint="eastAsia"/>
                <w:color w:val="auto"/>
                <w:sz w:val="24"/>
                <w:szCs w:val="24"/>
              </w:rPr>
              <w:t>-</w:t>
            </w:r>
            <w:r>
              <w:rPr>
                <w:rFonts w:hint="eastAsia"/>
                <w:color w:val="auto"/>
                <w:sz w:val="24"/>
                <w:szCs w:val="24"/>
                <w:lang w:val="en-US" w:eastAsia="zh-CN"/>
              </w:rPr>
              <w:t>S59其他工业生产过程中产生的固体废物</w:t>
            </w:r>
            <w:r>
              <w:rPr>
                <w:rFonts w:hint="eastAsia"/>
                <w:color w:val="auto"/>
                <w:sz w:val="24"/>
                <w:szCs w:val="24"/>
              </w:rPr>
              <w:t>”</w:t>
            </w:r>
            <w:r>
              <w:rPr>
                <w:rFonts w:hint="eastAsia"/>
                <w:color w:val="auto"/>
                <w:sz w:val="24"/>
                <w:szCs w:val="24"/>
                <w:lang w:eastAsia="zh-CN"/>
              </w:rPr>
              <w:t>，</w:t>
            </w:r>
            <w:r>
              <w:rPr>
                <w:rFonts w:hint="default" w:ascii="Times New Roman" w:hAnsi="Times New Roman" w:eastAsia="宋体" w:cs="Times New Roman"/>
                <w:b w:val="0"/>
                <w:bCs w:val="0"/>
                <w:color w:val="auto"/>
                <w:kern w:val="2"/>
                <w:sz w:val="24"/>
                <w:szCs w:val="24"/>
                <w:lang w:val="en-US" w:eastAsia="zh-CN" w:bidi="ar"/>
              </w:rPr>
              <w:t>统一收集后</w:t>
            </w:r>
            <w:r>
              <w:rPr>
                <w:rFonts w:hint="eastAsia" w:ascii="Times New Roman" w:hAnsi="Times New Roman" w:eastAsia="宋体" w:cs="Times New Roman"/>
                <w:bCs/>
                <w:color w:val="auto"/>
                <w:sz w:val="24"/>
                <w:lang w:val="en-US" w:eastAsia="zh-CN"/>
              </w:rPr>
              <w:t>返回厂家保养，保养后继续使用。</w:t>
            </w:r>
          </w:p>
          <w:p w14:paraId="7766D15E">
            <w:pPr>
              <w:adjustRightInd w:val="0"/>
              <w:snapToGrid w:val="0"/>
              <w:spacing w:line="360" w:lineRule="auto"/>
              <w:ind w:firstLine="482" w:firstLineChars="200"/>
              <w:rPr>
                <w:b/>
                <w:bCs/>
                <w:color w:val="auto"/>
                <w:sz w:val="24"/>
              </w:rPr>
            </w:pPr>
            <w:r>
              <w:rPr>
                <w:b/>
                <w:bCs/>
                <w:color w:val="auto"/>
                <w:sz w:val="24"/>
              </w:rPr>
              <w:t>2、生活固废</w:t>
            </w:r>
          </w:p>
          <w:p w14:paraId="5051F005">
            <w:pPr>
              <w:pStyle w:val="83"/>
              <w:tabs>
                <w:tab w:val="left" w:pos="1189"/>
              </w:tabs>
              <w:autoSpaceDE w:val="0"/>
              <w:autoSpaceDN w:val="0"/>
              <w:adjustRightInd w:val="0"/>
              <w:snapToGrid w:val="0"/>
              <w:spacing w:line="360" w:lineRule="auto"/>
              <w:ind w:firstLine="480" w:firstLineChars="200"/>
              <w:jc w:val="left"/>
              <w:rPr>
                <w:color w:val="auto"/>
              </w:rPr>
            </w:pPr>
            <w:r>
              <w:rPr>
                <w:color w:val="auto"/>
              </w:rPr>
              <w:t>（1）生活垃圾</w:t>
            </w:r>
          </w:p>
          <w:p w14:paraId="7FC30C10">
            <w:pPr>
              <w:pStyle w:val="83"/>
              <w:autoSpaceDE w:val="0"/>
              <w:autoSpaceDN w:val="0"/>
              <w:adjustRightInd w:val="0"/>
              <w:snapToGrid w:val="0"/>
              <w:spacing w:line="360" w:lineRule="auto"/>
              <w:ind w:firstLine="480" w:firstLineChars="200"/>
              <w:rPr>
                <w:color w:val="auto"/>
                <w:kern w:val="0"/>
              </w:rPr>
            </w:pPr>
            <w:r>
              <w:rPr>
                <w:color w:val="auto"/>
              </w:rPr>
              <w:t>本项目工作人员数量为</w:t>
            </w:r>
            <w:r>
              <w:rPr>
                <w:rFonts w:hint="eastAsia"/>
                <w:color w:val="auto"/>
                <w:lang w:val="en-US" w:eastAsia="zh-CN"/>
              </w:rPr>
              <w:t>4</w:t>
            </w:r>
            <w:r>
              <w:rPr>
                <w:rFonts w:hint="eastAsia"/>
                <w:color w:val="auto"/>
              </w:rPr>
              <w:t>0</w:t>
            </w:r>
            <w:r>
              <w:rPr>
                <w:color w:val="auto"/>
              </w:rPr>
              <w:t>人，</w:t>
            </w:r>
            <w:r>
              <w:rPr>
                <w:rFonts w:hint="eastAsia"/>
                <w:snapToGrid w:val="0"/>
                <w:color w:val="auto"/>
              </w:rPr>
              <w:t>其中</w:t>
            </w:r>
            <w:r>
              <w:rPr>
                <w:rFonts w:hint="eastAsia"/>
                <w:snapToGrid w:val="0"/>
                <w:color w:val="auto"/>
                <w:lang w:val="en-US" w:eastAsia="zh-CN"/>
              </w:rPr>
              <w:t>20</w:t>
            </w:r>
            <w:r>
              <w:rPr>
                <w:rFonts w:hint="eastAsia"/>
                <w:snapToGrid w:val="0"/>
                <w:color w:val="auto"/>
              </w:rPr>
              <w:t>人</w:t>
            </w:r>
            <w:r>
              <w:rPr>
                <w:snapToGrid w:val="0"/>
                <w:color w:val="auto"/>
              </w:rPr>
              <w:t>在项目区食宿，</w:t>
            </w:r>
            <w:r>
              <w:rPr>
                <w:rFonts w:hint="eastAsia"/>
                <w:snapToGrid w:val="0"/>
                <w:color w:val="auto"/>
              </w:rPr>
              <w:t>20人不在项目区食宿，</w:t>
            </w:r>
            <w:r>
              <w:rPr>
                <w:color w:val="auto"/>
              </w:rPr>
              <w:t>根据城镇生活源产排污系数手册，食宿工作人员生活垃圾产生量按1kg/d·人计算，</w:t>
            </w:r>
            <w:r>
              <w:rPr>
                <w:rFonts w:hint="eastAsia"/>
                <w:color w:val="auto"/>
              </w:rPr>
              <w:t>不</w:t>
            </w:r>
            <w:r>
              <w:rPr>
                <w:color w:val="auto"/>
              </w:rPr>
              <w:t>食宿工作人员生活垃圾产生量按</w:t>
            </w:r>
            <w:r>
              <w:rPr>
                <w:rFonts w:hint="eastAsia"/>
                <w:color w:val="auto"/>
              </w:rPr>
              <w:t>0.5</w:t>
            </w:r>
            <w:r>
              <w:rPr>
                <w:color w:val="auto"/>
              </w:rPr>
              <w:t>kg/d·人计算，则员工生活垃圾的产生量为</w:t>
            </w:r>
            <w:r>
              <w:rPr>
                <w:rFonts w:hint="eastAsia"/>
                <w:color w:val="auto"/>
                <w:lang w:val="en-US" w:eastAsia="zh-CN"/>
              </w:rPr>
              <w:t>30</w:t>
            </w:r>
            <w:r>
              <w:rPr>
                <w:color w:val="auto"/>
              </w:rPr>
              <w:t>kg/d，</w:t>
            </w:r>
            <w:r>
              <w:rPr>
                <w:rFonts w:hint="eastAsia"/>
                <w:color w:val="auto"/>
                <w:lang w:val="en-US" w:eastAsia="zh-CN"/>
              </w:rPr>
              <w:t>9</w:t>
            </w:r>
            <w:r>
              <w:rPr>
                <w:color w:val="auto"/>
              </w:rPr>
              <w:t>t/a。</w:t>
            </w:r>
            <w:r>
              <w:rPr>
                <w:rFonts w:hint="eastAsia"/>
                <w:color w:val="auto"/>
                <w:sz w:val="24"/>
                <w:szCs w:val="24"/>
              </w:rPr>
              <w:t>根据《</w:t>
            </w:r>
            <w:r>
              <w:rPr>
                <w:rFonts w:hint="eastAsia"/>
                <w:color w:val="auto"/>
                <w:sz w:val="24"/>
                <w:szCs w:val="24"/>
                <w:lang w:val="en-US" w:eastAsia="zh-CN"/>
              </w:rPr>
              <w:t>固体废物分类与代码目录</w:t>
            </w:r>
            <w:r>
              <w:rPr>
                <w:rFonts w:hint="eastAsia"/>
                <w:color w:val="auto"/>
                <w:sz w:val="24"/>
                <w:szCs w:val="24"/>
              </w:rPr>
              <w:t>》</w:t>
            </w:r>
            <w:r>
              <w:rPr>
                <w:rFonts w:hint="eastAsia"/>
                <w:color w:val="auto"/>
                <w:sz w:val="24"/>
                <w:szCs w:val="24"/>
                <w:lang w:val="en-US" w:eastAsia="zh-CN"/>
              </w:rPr>
              <w:t>（公告2024第4号），生活垃圾</w:t>
            </w:r>
            <w:r>
              <w:rPr>
                <w:rFonts w:hint="eastAsia" w:ascii="Times New Roman" w:hAnsi="Times New Roman" w:eastAsia="宋体" w:cs="Times New Roman"/>
                <w:b w:val="0"/>
                <w:color w:val="auto"/>
                <w:kern w:val="2"/>
                <w:sz w:val="24"/>
                <w:szCs w:val="24"/>
                <w:lang w:val="en-US" w:eastAsia="zh-CN" w:bidi="ar-SA"/>
              </w:rPr>
              <w:t>属于“SW64其他垃圾900-099-S64</w:t>
            </w:r>
            <w:r>
              <w:rPr>
                <w:rFonts w:hint="eastAsia" w:ascii="宋体" w:hAnsi="宋体" w:eastAsia="宋体" w:cs="宋体"/>
                <w:color w:val="auto"/>
                <w:kern w:val="0"/>
                <w:sz w:val="24"/>
                <w:szCs w:val="24"/>
                <w:lang w:val="en-US" w:eastAsia="zh-CN" w:bidi="ar"/>
              </w:rPr>
              <w:t>以上之外的生活垃圾</w:t>
            </w:r>
            <w:r>
              <w:rPr>
                <w:rFonts w:hint="eastAsia" w:ascii="Times New Roman" w:hAnsi="Times New Roman" w:eastAsia="宋体" w:cs="Times New Roman"/>
                <w:b w:val="0"/>
                <w:color w:val="auto"/>
                <w:kern w:val="2"/>
                <w:sz w:val="24"/>
                <w:szCs w:val="24"/>
                <w:lang w:val="en-US" w:eastAsia="zh-CN" w:bidi="ar-SA"/>
              </w:rPr>
              <w:t>”，</w:t>
            </w:r>
            <w:r>
              <w:rPr>
                <w:color w:val="auto"/>
                <w:kern w:val="0"/>
              </w:rPr>
              <w:t>生活垃圾由项目区工作人员</w:t>
            </w:r>
            <w:r>
              <w:rPr>
                <w:color w:val="auto"/>
              </w:rPr>
              <w:t>使用带盖式生活垃圾收集桶</w:t>
            </w:r>
            <w:r>
              <w:rPr>
                <w:color w:val="auto"/>
                <w:kern w:val="0"/>
              </w:rPr>
              <w:t>统一收集后由当地环卫部门定期清运、处置。</w:t>
            </w:r>
          </w:p>
          <w:p w14:paraId="284B06D9">
            <w:pPr>
              <w:pStyle w:val="83"/>
              <w:keepNext w:val="0"/>
              <w:keepLines w:val="0"/>
              <w:pageBreakBefore w:val="0"/>
              <w:kinsoku/>
              <w:wordWrap/>
              <w:overflowPunct/>
              <w:topLinePunct w:val="0"/>
              <w:autoSpaceDE w:val="0"/>
              <w:autoSpaceDN w:val="0"/>
              <w:bidi w:val="0"/>
              <w:adjustRightInd w:val="0"/>
              <w:snapToGrid w:val="0"/>
              <w:spacing w:line="360" w:lineRule="auto"/>
              <w:ind w:firstLine="480" w:firstLineChars="200"/>
              <w:textAlignment w:val="auto"/>
              <w:rPr>
                <w:color w:val="auto"/>
                <w:kern w:val="0"/>
                <w:sz w:val="24"/>
                <w:szCs w:val="24"/>
              </w:rPr>
            </w:pPr>
            <w:r>
              <w:rPr>
                <w:color w:val="auto"/>
                <w:kern w:val="0"/>
                <w:sz w:val="24"/>
                <w:szCs w:val="24"/>
              </w:rPr>
              <w:t>（2）餐厨垃圾</w:t>
            </w:r>
          </w:p>
          <w:p w14:paraId="27612776">
            <w:pPr>
              <w:keepNext w:val="0"/>
              <w:keepLines w:val="0"/>
              <w:pageBreakBefore w:val="0"/>
              <w:widowControl/>
              <w:suppressLineNumbers w:val="0"/>
              <w:kinsoku/>
              <w:wordWrap/>
              <w:overflowPunct/>
              <w:topLinePunct w:val="0"/>
              <w:bidi w:val="0"/>
              <w:adjustRightInd w:val="0"/>
              <w:snapToGrid w:val="0"/>
              <w:spacing w:line="360" w:lineRule="auto"/>
              <w:ind w:firstLine="480" w:firstLineChars="200"/>
              <w:jc w:val="left"/>
              <w:textAlignment w:val="auto"/>
              <w:rPr>
                <w:b/>
                <w:bCs/>
                <w:color w:val="auto"/>
                <w:sz w:val="24"/>
                <w:szCs w:val="24"/>
              </w:rPr>
            </w:pPr>
            <w:r>
              <w:rPr>
                <w:color w:val="auto"/>
                <w:kern w:val="0"/>
                <w:sz w:val="24"/>
                <w:szCs w:val="24"/>
              </w:rPr>
              <w:t>食堂餐厨垃圾主要为食品加工过程中产生的剩饭剩菜</w:t>
            </w:r>
            <w:r>
              <w:rPr>
                <w:rFonts w:hint="eastAsia"/>
                <w:color w:val="auto"/>
                <w:kern w:val="0"/>
                <w:sz w:val="24"/>
                <w:szCs w:val="24"/>
                <w:lang w:eastAsia="zh-CN"/>
              </w:rPr>
              <w:t>（</w:t>
            </w:r>
            <w:r>
              <w:rPr>
                <w:rFonts w:hint="eastAsia"/>
                <w:color w:val="auto"/>
                <w:kern w:val="0"/>
                <w:sz w:val="24"/>
                <w:szCs w:val="24"/>
                <w:lang w:val="en-US" w:eastAsia="zh-CN"/>
              </w:rPr>
              <w:t>泔水</w:t>
            </w:r>
            <w:r>
              <w:rPr>
                <w:rFonts w:hint="eastAsia"/>
                <w:color w:val="auto"/>
                <w:kern w:val="0"/>
                <w:sz w:val="24"/>
                <w:szCs w:val="24"/>
                <w:lang w:eastAsia="zh-CN"/>
              </w:rPr>
              <w:t>）</w:t>
            </w:r>
            <w:r>
              <w:rPr>
                <w:color w:val="auto"/>
                <w:kern w:val="0"/>
                <w:sz w:val="24"/>
                <w:szCs w:val="24"/>
              </w:rPr>
              <w:t>，根据相关经验数据，餐厨垃圾以平均0.3kg/人次•d计，食堂就餐人数</w:t>
            </w:r>
            <w:r>
              <w:rPr>
                <w:rFonts w:hint="eastAsia"/>
                <w:color w:val="auto"/>
                <w:kern w:val="0"/>
                <w:sz w:val="24"/>
                <w:szCs w:val="24"/>
                <w:lang w:val="en-US" w:eastAsia="zh-CN"/>
              </w:rPr>
              <w:t>2</w:t>
            </w:r>
            <w:r>
              <w:rPr>
                <w:rFonts w:hint="eastAsia"/>
                <w:color w:val="auto"/>
                <w:kern w:val="0"/>
                <w:sz w:val="24"/>
                <w:szCs w:val="24"/>
              </w:rPr>
              <w:t>0</w:t>
            </w:r>
            <w:r>
              <w:rPr>
                <w:color w:val="auto"/>
                <w:kern w:val="0"/>
                <w:sz w:val="24"/>
                <w:szCs w:val="24"/>
              </w:rPr>
              <w:t>人/d，则产生餐厨垃圾为</w:t>
            </w:r>
            <w:r>
              <w:rPr>
                <w:rFonts w:hint="eastAsia"/>
                <w:color w:val="auto"/>
                <w:kern w:val="0"/>
                <w:sz w:val="24"/>
                <w:szCs w:val="24"/>
                <w:lang w:val="en-US" w:eastAsia="zh-CN"/>
              </w:rPr>
              <w:t>6</w:t>
            </w:r>
            <w:r>
              <w:rPr>
                <w:color w:val="auto"/>
                <w:kern w:val="0"/>
                <w:sz w:val="24"/>
                <w:szCs w:val="24"/>
              </w:rPr>
              <w:t>kg/d，</w:t>
            </w:r>
            <w:r>
              <w:rPr>
                <w:rFonts w:hint="eastAsia"/>
                <w:color w:val="auto"/>
                <w:kern w:val="0"/>
                <w:sz w:val="24"/>
                <w:szCs w:val="24"/>
                <w:lang w:val="en-US" w:eastAsia="zh-CN"/>
              </w:rPr>
              <w:t>1.8</w:t>
            </w:r>
            <w:r>
              <w:rPr>
                <w:color w:val="auto"/>
                <w:kern w:val="0"/>
                <w:sz w:val="24"/>
                <w:szCs w:val="24"/>
              </w:rPr>
              <w:t>t/a。</w:t>
            </w:r>
            <w:r>
              <w:rPr>
                <w:rFonts w:hint="eastAsia"/>
                <w:color w:val="auto"/>
                <w:sz w:val="24"/>
                <w:szCs w:val="24"/>
              </w:rPr>
              <w:t>根据《</w:t>
            </w:r>
            <w:r>
              <w:rPr>
                <w:rFonts w:hint="eastAsia"/>
                <w:color w:val="auto"/>
                <w:sz w:val="24"/>
                <w:szCs w:val="24"/>
                <w:lang w:val="en-US" w:eastAsia="zh-CN"/>
              </w:rPr>
              <w:t>固体废物分类与代码目录</w:t>
            </w:r>
            <w:r>
              <w:rPr>
                <w:rFonts w:hint="eastAsia"/>
                <w:color w:val="auto"/>
                <w:sz w:val="24"/>
                <w:szCs w:val="24"/>
              </w:rPr>
              <w:t>》</w:t>
            </w:r>
            <w:r>
              <w:rPr>
                <w:rFonts w:hint="eastAsia"/>
                <w:color w:val="auto"/>
                <w:sz w:val="24"/>
                <w:szCs w:val="24"/>
                <w:lang w:val="en-US" w:eastAsia="zh-CN"/>
              </w:rPr>
              <w:t>（公告2024第4号），餐厨垃圾</w:t>
            </w:r>
            <w:r>
              <w:rPr>
                <w:rFonts w:hint="eastAsia" w:ascii="Times New Roman" w:hAnsi="Times New Roman" w:eastAsia="宋体" w:cs="Times New Roman"/>
                <w:b w:val="0"/>
                <w:color w:val="auto"/>
                <w:kern w:val="2"/>
                <w:sz w:val="24"/>
                <w:szCs w:val="24"/>
                <w:lang w:val="en-US" w:eastAsia="zh-CN" w:bidi="ar-SA"/>
              </w:rPr>
              <w:t>属于“SW61厨余垃圾900-002-S61</w:t>
            </w:r>
            <w:r>
              <w:rPr>
                <w:rFonts w:hint="eastAsia" w:ascii="宋体" w:hAnsi="宋体" w:eastAsia="宋体" w:cs="宋体"/>
                <w:color w:val="auto"/>
                <w:kern w:val="0"/>
                <w:sz w:val="24"/>
                <w:szCs w:val="24"/>
                <w:lang w:val="en-US" w:eastAsia="zh-CN" w:bidi="ar"/>
              </w:rPr>
              <w:t>餐厨垃圾。相关企业和公共机构在食品加工、饮食服务、单位供餐等活动中，产生的食物残渣、食品加工废料和废弃食用油脂等</w:t>
            </w:r>
            <w:r>
              <w:rPr>
                <w:rFonts w:hint="eastAsia" w:ascii="Times New Roman" w:hAnsi="Times New Roman" w:eastAsia="宋体" w:cs="Times New Roman"/>
                <w:b w:val="0"/>
                <w:color w:val="auto"/>
                <w:kern w:val="2"/>
                <w:sz w:val="24"/>
                <w:szCs w:val="24"/>
                <w:lang w:val="en-US" w:eastAsia="zh-CN" w:bidi="ar-SA"/>
              </w:rPr>
              <w:t>”，</w:t>
            </w:r>
            <w:r>
              <w:rPr>
                <w:color w:val="auto"/>
                <w:kern w:val="0"/>
                <w:sz w:val="24"/>
                <w:szCs w:val="24"/>
              </w:rPr>
              <w:t>食堂餐厨垃圾通过加盖塑料桶收集后由有资质的单位定期清运、处置。</w:t>
            </w:r>
          </w:p>
          <w:p w14:paraId="11F2E4B4">
            <w:pPr>
              <w:pStyle w:val="83"/>
              <w:autoSpaceDE w:val="0"/>
              <w:autoSpaceDN w:val="0"/>
              <w:adjustRightInd w:val="0"/>
              <w:snapToGrid w:val="0"/>
              <w:spacing w:line="360" w:lineRule="auto"/>
              <w:ind w:firstLine="480" w:firstLineChars="200"/>
              <w:rPr>
                <w:rFonts w:hint="eastAsia" w:ascii="Times New Roman" w:hAnsi="Times New Roman" w:eastAsia="宋体" w:cs="Times New Roman"/>
                <w:color w:val="auto"/>
                <w:kern w:val="0"/>
                <w:lang w:val="en-US" w:eastAsia="zh-CN"/>
              </w:rPr>
            </w:pPr>
            <w:r>
              <w:rPr>
                <w:rFonts w:hint="eastAsia" w:cs="Times New Roman"/>
                <w:color w:val="auto"/>
                <w:kern w:val="0"/>
                <w:lang w:val="en-US" w:eastAsia="zh-CN"/>
              </w:rPr>
              <w:t>（3）</w:t>
            </w:r>
            <w:r>
              <w:rPr>
                <w:color w:val="auto"/>
                <w:kern w:val="0"/>
                <w:sz w:val="24"/>
                <w:szCs w:val="24"/>
              </w:rPr>
              <w:t>隔油池</w:t>
            </w:r>
            <w:r>
              <w:rPr>
                <w:rFonts w:hint="eastAsia"/>
                <w:color w:val="auto"/>
                <w:kern w:val="0"/>
                <w:sz w:val="24"/>
                <w:szCs w:val="24"/>
                <w:lang w:eastAsia="zh-CN"/>
              </w:rPr>
              <w:t>油污</w:t>
            </w:r>
          </w:p>
          <w:p w14:paraId="32CE14A2">
            <w:pPr>
              <w:pStyle w:val="83"/>
              <w:autoSpaceDE w:val="0"/>
              <w:autoSpaceDN w:val="0"/>
              <w:adjustRightInd w:val="0"/>
              <w:snapToGrid w:val="0"/>
              <w:spacing w:line="360" w:lineRule="auto"/>
              <w:ind w:firstLine="480" w:firstLineChars="200"/>
              <w:rPr>
                <w:rFonts w:hint="default" w:ascii="Times New Roman" w:hAnsi="Times New Roman" w:eastAsia="宋体" w:cs="Times New Roman"/>
                <w:color w:val="auto"/>
                <w:kern w:val="0"/>
                <w:lang w:val="en-US" w:eastAsia="zh-CN"/>
              </w:rPr>
            </w:pPr>
            <w:r>
              <w:rPr>
                <w:rFonts w:hint="eastAsia" w:cs="Times New Roman"/>
                <w:color w:val="auto"/>
                <w:kern w:val="0"/>
                <w:lang w:val="en-US" w:eastAsia="zh-CN"/>
              </w:rPr>
              <w:t>根据前文废水工程核算分析可知，隔油池油污产生量为0.0184t/a。</w:t>
            </w:r>
            <w:r>
              <w:rPr>
                <w:rFonts w:hint="eastAsia"/>
                <w:color w:val="auto"/>
                <w:sz w:val="24"/>
                <w:szCs w:val="24"/>
              </w:rPr>
              <w:t>根据《</w:t>
            </w:r>
            <w:r>
              <w:rPr>
                <w:rFonts w:hint="eastAsia"/>
                <w:color w:val="auto"/>
                <w:sz w:val="24"/>
                <w:szCs w:val="24"/>
                <w:lang w:val="en-US" w:eastAsia="zh-CN"/>
              </w:rPr>
              <w:t>固体废物分类与代码目录</w:t>
            </w:r>
            <w:r>
              <w:rPr>
                <w:rFonts w:hint="eastAsia"/>
                <w:color w:val="auto"/>
                <w:sz w:val="24"/>
                <w:szCs w:val="24"/>
              </w:rPr>
              <w:t>》</w:t>
            </w:r>
            <w:r>
              <w:rPr>
                <w:rFonts w:hint="eastAsia"/>
                <w:color w:val="auto"/>
                <w:sz w:val="24"/>
                <w:szCs w:val="24"/>
                <w:lang w:val="en-US" w:eastAsia="zh-CN"/>
              </w:rPr>
              <w:t>（公告2024第4号），</w:t>
            </w:r>
            <w:r>
              <w:rPr>
                <w:rFonts w:hint="eastAsia" w:cs="Times New Roman"/>
                <w:color w:val="auto"/>
                <w:kern w:val="0"/>
                <w:lang w:val="en-US" w:eastAsia="zh-CN"/>
              </w:rPr>
              <w:t>隔油池油污</w:t>
            </w:r>
            <w:r>
              <w:rPr>
                <w:rFonts w:hint="eastAsia" w:ascii="Times New Roman" w:hAnsi="Times New Roman" w:eastAsia="宋体" w:cs="Times New Roman"/>
                <w:b w:val="0"/>
                <w:color w:val="auto"/>
                <w:kern w:val="2"/>
                <w:sz w:val="24"/>
                <w:szCs w:val="24"/>
                <w:lang w:val="en-US" w:eastAsia="zh-CN" w:bidi="ar-SA"/>
              </w:rPr>
              <w:t>属于“SW61厨余垃圾900-002-S61</w:t>
            </w:r>
            <w:r>
              <w:rPr>
                <w:rFonts w:hint="eastAsia" w:ascii="宋体" w:hAnsi="宋体" w:eastAsia="宋体" w:cs="宋体"/>
                <w:color w:val="auto"/>
                <w:kern w:val="0"/>
                <w:sz w:val="24"/>
                <w:szCs w:val="24"/>
                <w:lang w:val="en-US" w:eastAsia="zh-CN" w:bidi="ar"/>
              </w:rPr>
              <w:t>餐厨垃圾。相关企业和公共机构在食品加工、饮食服务、单位供餐等活动中，产生的食物残渣、食品加工废料和废弃食用油脂等</w:t>
            </w:r>
            <w:r>
              <w:rPr>
                <w:rFonts w:hint="eastAsia" w:ascii="Times New Roman" w:hAnsi="Times New Roman" w:eastAsia="宋体" w:cs="Times New Roman"/>
                <w:b w:val="0"/>
                <w:color w:val="auto"/>
                <w:kern w:val="2"/>
                <w:sz w:val="24"/>
                <w:szCs w:val="24"/>
                <w:lang w:val="en-US" w:eastAsia="zh-CN" w:bidi="ar-SA"/>
              </w:rPr>
              <w:t>”，</w:t>
            </w:r>
            <w:r>
              <w:rPr>
                <w:rFonts w:hint="eastAsia" w:cs="Times New Roman"/>
                <w:color w:val="auto"/>
                <w:kern w:val="0"/>
                <w:lang w:val="en-US" w:eastAsia="zh-CN"/>
              </w:rPr>
              <w:t>隔油池油污</w:t>
            </w:r>
            <w:r>
              <w:rPr>
                <w:color w:val="auto"/>
                <w:kern w:val="0"/>
                <w:sz w:val="24"/>
                <w:szCs w:val="24"/>
              </w:rPr>
              <w:t>通过加盖塑料桶收集后由有资质的单位定期清运、处置。</w:t>
            </w:r>
          </w:p>
          <w:p w14:paraId="646CFF9B">
            <w:pPr>
              <w:pStyle w:val="83"/>
              <w:autoSpaceDE w:val="0"/>
              <w:autoSpaceDN w:val="0"/>
              <w:adjustRightInd w:val="0"/>
              <w:snapToGrid w:val="0"/>
              <w:spacing w:line="360" w:lineRule="auto"/>
              <w:ind w:firstLine="480" w:firstLineChars="200"/>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w:t>
            </w:r>
            <w:r>
              <w:rPr>
                <w:rFonts w:hint="eastAsia" w:cs="Times New Roman"/>
                <w:color w:val="auto"/>
                <w:kern w:val="0"/>
                <w:highlight w:val="none"/>
                <w:lang w:val="en-US" w:eastAsia="zh-CN"/>
              </w:rPr>
              <w:t>4</w:t>
            </w:r>
            <w:r>
              <w:rPr>
                <w:rFonts w:hint="eastAsia" w:ascii="Times New Roman" w:hAnsi="Times New Roman" w:eastAsia="宋体" w:cs="Times New Roman"/>
                <w:color w:val="auto"/>
                <w:kern w:val="0"/>
                <w:highlight w:val="none"/>
                <w:lang w:val="en-US" w:eastAsia="zh-CN"/>
              </w:rPr>
              <w:t>）化粪池</w:t>
            </w:r>
          </w:p>
          <w:p w14:paraId="07B8E9D0">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80" w:firstLineChars="200"/>
              <w:jc w:val="left"/>
              <w:textAlignment w:val="auto"/>
              <w:rPr>
                <w:rFonts w:hint="eastAsia" w:eastAsia="宋体"/>
                <w:b/>
                <w:bCs/>
                <w:color w:val="auto"/>
                <w:lang w:eastAsia="zh-CN"/>
              </w:rPr>
            </w:pPr>
            <w:r>
              <w:rPr>
                <w:rFonts w:hint="eastAsia"/>
                <w:color w:val="auto"/>
                <w:sz w:val="24"/>
                <w:szCs w:val="24"/>
                <w:highlight w:val="none"/>
              </w:rPr>
              <w:t>项目</w:t>
            </w:r>
            <w:r>
              <w:rPr>
                <w:rFonts w:hint="eastAsia"/>
                <w:color w:val="auto"/>
                <w:sz w:val="24"/>
                <w:szCs w:val="24"/>
                <w:highlight w:val="none"/>
                <w:lang w:val="en-US" w:eastAsia="zh-CN"/>
              </w:rPr>
              <w:t>化粪池</w:t>
            </w:r>
            <w:r>
              <w:rPr>
                <w:rFonts w:hint="eastAsia"/>
                <w:color w:val="auto"/>
                <w:sz w:val="24"/>
                <w:szCs w:val="24"/>
                <w:highlight w:val="none"/>
              </w:rPr>
              <w:t>污泥产生量约为</w:t>
            </w:r>
            <w:r>
              <w:rPr>
                <w:rFonts w:hint="eastAsia"/>
                <w:color w:val="auto"/>
                <w:sz w:val="24"/>
                <w:szCs w:val="24"/>
                <w:highlight w:val="none"/>
                <w:lang w:val="en-US" w:eastAsia="zh-CN"/>
              </w:rPr>
              <w:t>0.3</w:t>
            </w:r>
            <w:r>
              <w:rPr>
                <w:rFonts w:hint="eastAsia"/>
                <w:color w:val="auto"/>
                <w:sz w:val="24"/>
                <w:szCs w:val="24"/>
                <w:highlight w:val="none"/>
              </w:rPr>
              <w:t>t/a</w:t>
            </w:r>
            <w:r>
              <w:rPr>
                <w:rFonts w:hint="eastAsia"/>
                <w:color w:val="auto"/>
                <w:sz w:val="24"/>
                <w:szCs w:val="24"/>
                <w:highlight w:val="none"/>
                <w:lang w:eastAsia="zh-CN"/>
              </w:rPr>
              <w:t>，</w:t>
            </w:r>
            <w:r>
              <w:rPr>
                <w:rFonts w:hint="eastAsia"/>
                <w:color w:val="auto"/>
                <w:sz w:val="24"/>
                <w:szCs w:val="24"/>
                <w:highlight w:val="none"/>
              </w:rPr>
              <w:t>根据《</w:t>
            </w:r>
            <w:r>
              <w:rPr>
                <w:rFonts w:hint="eastAsia"/>
                <w:color w:val="auto"/>
                <w:sz w:val="24"/>
                <w:szCs w:val="24"/>
                <w:highlight w:val="none"/>
                <w:lang w:val="en-US" w:eastAsia="zh-CN"/>
              </w:rPr>
              <w:t>固体废物分类与代码目录</w:t>
            </w:r>
            <w:r>
              <w:rPr>
                <w:rFonts w:hint="eastAsia"/>
                <w:color w:val="auto"/>
                <w:sz w:val="24"/>
                <w:szCs w:val="24"/>
                <w:highlight w:val="none"/>
              </w:rPr>
              <w:t>》</w:t>
            </w:r>
            <w:r>
              <w:rPr>
                <w:rFonts w:hint="eastAsia"/>
                <w:color w:val="auto"/>
                <w:sz w:val="24"/>
                <w:szCs w:val="24"/>
                <w:highlight w:val="none"/>
                <w:lang w:val="en-US" w:eastAsia="zh-CN"/>
              </w:rPr>
              <w:t>（公告2024第4号），化粪池污泥</w:t>
            </w:r>
            <w:r>
              <w:rPr>
                <w:rFonts w:hint="eastAsia" w:ascii="Times New Roman" w:hAnsi="Times New Roman" w:eastAsia="宋体" w:cs="Times New Roman"/>
                <w:b w:val="0"/>
                <w:color w:val="auto"/>
                <w:kern w:val="2"/>
                <w:sz w:val="24"/>
                <w:szCs w:val="24"/>
                <w:highlight w:val="none"/>
                <w:lang w:val="en-US" w:eastAsia="zh-CN" w:bidi="ar-SA"/>
              </w:rPr>
              <w:t>属于“SW07污泥900-099-S07</w:t>
            </w:r>
            <w:r>
              <w:rPr>
                <w:rFonts w:hint="eastAsia" w:ascii="宋体" w:hAnsi="宋体" w:eastAsia="宋体" w:cs="宋体"/>
                <w:color w:val="auto"/>
                <w:kern w:val="0"/>
                <w:sz w:val="24"/>
                <w:szCs w:val="24"/>
                <w:highlight w:val="none"/>
                <w:lang w:val="en-US" w:eastAsia="zh-CN" w:bidi="ar"/>
              </w:rPr>
              <w:t>其他污泥。其他行业产生的废水处理污泥</w:t>
            </w:r>
            <w:r>
              <w:rPr>
                <w:rFonts w:hint="eastAsia" w:ascii="Times New Roman" w:hAnsi="Times New Roman" w:eastAsia="宋体" w:cs="Times New Roman"/>
                <w:b w:val="0"/>
                <w:color w:val="auto"/>
                <w:kern w:val="2"/>
                <w:sz w:val="24"/>
                <w:szCs w:val="24"/>
                <w:highlight w:val="none"/>
                <w:lang w:val="en-US" w:eastAsia="zh-CN" w:bidi="ar-SA"/>
              </w:rPr>
              <w:t>”，</w:t>
            </w:r>
            <w:r>
              <w:rPr>
                <w:rFonts w:hint="eastAsia" w:cs="Times New Roman"/>
                <w:b w:val="0"/>
                <w:color w:val="auto"/>
                <w:kern w:val="2"/>
                <w:sz w:val="24"/>
                <w:szCs w:val="24"/>
                <w:highlight w:val="none"/>
                <w:lang w:val="en-US" w:eastAsia="zh-CN" w:bidi="ar-SA"/>
              </w:rPr>
              <w:t>化粪池</w:t>
            </w:r>
            <w:r>
              <w:rPr>
                <w:rFonts w:hint="eastAsia"/>
                <w:color w:val="auto"/>
                <w:sz w:val="24"/>
                <w:szCs w:val="24"/>
                <w:lang w:val="en-US" w:eastAsia="zh-CN"/>
              </w:rPr>
              <w:t>污泥定期清理后</w:t>
            </w:r>
            <w:r>
              <w:rPr>
                <w:rFonts w:hint="eastAsia" w:ascii="Times New Roman" w:hAnsi="Times New Roman"/>
                <w:b w:val="0"/>
                <w:color w:val="auto"/>
                <w:sz w:val="24"/>
                <w:szCs w:val="24"/>
              </w:rPr>
              <w:t>委托当地环卫部门清运、处置。</w:t>
            </w:r>
          </w:p>
          <w:p w14:paraId="4A393464">
            <w:pPr>
              <w:pStyle w:val="83"/>
              <w:autoSpaceDE w:val="0"/>
              <w:autoSpaceDN w:val="0"/>
              <w:adjustRightInd w:val="0"/>
              <w:snapToGrid w:val="0"/>
              <w:spacing w:line="360" w:lineRule="auto"/>
              <w:ind w:firstLine="482" w:firstLineChars="200"/>
              <w:rPr>
                <w:b/>
                <w:bCs/>
                <w:color w:val="auto"/>
              </w:rPr>
            </w:pPr>
            <w:r>
              <w:rPr>
                <w:b/>
                <w:bCs/>
                <w:color w:val="auto"/>
              </w:rPr>
              <w:t>3、危险废物</w:t>
            </w:r>
          </w:p>
          <w:p w14:paraId="420E8FC5">
            <w:pPr>
              <w:pStyle w:val="83"/>
              <w:autoSpaceDE w:val="0"/>
              <w:autoSpaceDN w:val="0"/>
              <w:spacing w:line="360" w:lineRule="auto"/>
              <w:ind w:firstLine="480" w:firstLineChars="200"/>
              <w:rPr>
                <w:rFonts w:hint="eastAsia" w:eastAsia="宋体"/>
                <w:color w:val="auto"/>
                <w:sz w:val="24"/>
                <w:lang w:val="en-US" w:eastAsia="zh-CN"/>
              </w:rPr>
            </w:pPr>
            <w:r>
              <w:rPr>
                <w:color w:val="auto"/>
                <w:sz w:val="24"/>
              </w:rPr>
              <w:t>（</w:t>
            </w:r>
            <w:r>
              <w:rPr>
                <w:rFonts w:hint="eastAsia"/>
                <w:color w:val="auto"/>
                <w:sz w:val="24"/>
              </w:rPr>
              <w:t>1</w:t>
            </w:r>
            <w:r>
              <w:rPr>
                <w:color w:val="auto"/>
                <w:sz w:val="24"/>
              </w:rPr>
              <w:t>）</w:t>
            </w:r>
            <w:r>
              <w:rPr>
                <w:rFonts w:hint="eastAsia" w:eastAsia="宋体"/>
                <w:color w:val="auto"/>
                <w:sz w:val="24"/>
                <w:lang w:val="en-US" w:eastAsia="zh-CN"/>
              </w:rPr>
              <w:t>废活性炭</w:t>
            </w:r>
          </w:p>
          <w:p w14:paraId="1322CB59">
            <w:pPr>
              <w:pStyle w:val="83"/>
              <w:autoSpaceDE w:val="0"/>
              <w:autoSpaceDN w:val="0"/>
              <w:spacing w:line="360" w:lineRule="auto"/>
              <w:ind w:firstLine="480" w:firstLineChars="200"/>
              <w:rPr>
                <w:rFonts w:hint="eastAsia" w:eastAsia="宋体"/>
                <w:color w:val="auto"/>
                <w:sz w:val="24"/>
                <w:highlight w:val="yellow"/>
                <w:lang w:val="en-US" w:eastAsia="zh-CN"/>
              </w:rPr>
            </w:pPr>
            <w:r>
              <w:rPr>
                <w:rFonts w:hint="eastAsia" w:eastAsia="宋体"/>
                <w:color w:val="auto"/>
                <w:sz w:val="24"/>
                <w:lang w:val="en-US" w:eastAsia="zh-CN"/>
              </w:rPr>
              <w:t>项目消毒废气采用1套“</w:t>
            </w:r>
            <w:r>
              <w:rPr>
                <w:rFonts w:hint="eastAsia" w:eastAsia="宋体"/>
                <w:color w:val="auto"/>
                <w:sz w:val="24"/>
                <w:lang w:val="zh-CN" w:eastAsia="zh-CN"/>
              </w:rPr>
              <w:t>活性炭吸附装置</w:t>
            </w:r>
            <w:r>
              <w:rPr>
                <w:rFonts w:hint="eastAsia" w:eastAsia="宋体"/>
                <w:color w:val="auto"/>
                <w:sz w:val="24"/>
                <w:lang w:val="en-US" w:eastAsia="zh-CN"/>
              </w:rPr>
              <w:t>”，运营过程中会产生废活性炭。本项目使用活性炭处理设施对有组织废气进行吸附，活性炭重复使用一段时间后会失效，参考陆良杰、王京刚在《化工环保》2007年05期发表的《挥发性有机物的物化性质与活性炭饱和吸附量的相关性研究》，活性炭对挥发性有机废气的饱和吸附量为280mg/g，</w:t>
            </w:r>
            <w:r>
              <w:rPr>
                <w:rFonts w:hint="eastAsia" w:eastAsia="宋体"/>
                <w:color w:val="auto"/>
                <w:sz w:val="24"/>
                <w:highlight w:val="none"/>
                <w:lang w:val="en-US" w:eastAsia="zh-CN"/>
              </w:rPr>
              <w:t>项目吸附挥发性有机废气量为</w:t>
            </w:r>
            <w:r>
              <w:rPr>
                <w:rFonts w:hint="eastAsia"/>
                <w:color w:val="auto"/>
                <w:sz w:val="24"/>
                <w:highlight w:val="none"/>
                <w:lang w:val="en-US" w:eastAsia="zh-CN"/>
              </w:rPr>
              <w:t>15.0181</w:t>
            </w:r>
            <w:r>
              <w:rPr>
                <w:rFonts w:hint="eastAsia" w:eastAsia="宋体"/>
                <w:color w:val="auto"/>
                <w:sz w:val="24"/>
                <w:highlight w:val="none"/>
                <w:lang w:val="en-US" w:eastAsia="zh-CN"/>
              </w:rPr>
              <w:t>t/a，则活性炭用量为</w:t>
            </w:r>
            <w:r>
              <w:rPr>
                <w:rFonts w:hint="eastAsia"/>
                <w:color w:val="auto"/>
                <w:sz w:val="24"/>
                <w:highlight w:val="none"/>
                <w:lang w:val="en-US" w:eastAsia="zh-CN"/>
              </w:rPr>
              <w:t>53.6361</w:t>
            </w:r>
            <w:r>
              <w:rPr>
                <w:rFonts w:hint="eastAsia" w:eastAsia="宋体"/>
                <w:color w:val="auto"/>
                <w:sz w:val="24"/>
                <w:highlight w:val="none"/>
                <w:lang w:val="en-US" w:eastAsia="zh-CN"/>
              </w:rPr>
              <w:t>t/a，废活性炭产生量为</w:t>
            </w:r>
            <w:r>
              <w:rPr>
                <w:rFonts w:hint="eastAsia"/>
                <w:color w:val="auto"/>
                <w:sz w:val="24"/>
                <w:highlight w:val="none"/>
                <w:lang w:val="en-US" w:eastAsia="zh-CN"/>
              </w:rPr>
              <w:t>68.6542</w:t>
            </w:r>
            <w:r>
              <w:rPr>
                <w:rFonts w:hint="eastAsia" w:eastAsia="宋体"/>
                <w:color w:val="auto"/>
                <w:sz w:val="24"/>
                <w:highlight w:val="none"/>
                <w:lang w:val="en-US" w:eastAsia="zh-CN"/>
              </w:rPr>
              <w:t>t/a。</w:t>
            </w:r>
          </w:p>
          <w:p w14:paraId="1A602679">
            <w:pPr>
              <w:pStyle w:val="83"/>
              <w:autoSpaceDE w:val="0"/>
              <w:autoSpaceDN w:val="0"/>
              <w:spacing w:line="360" w:lineRule="auto"/>
              <w:ind w:firstLine="480" w:firstLineChars="200"/>
              <w:rPr>
                <w:rFonts w:hint="eastAsia" w:eastAsia="宋体"/>
                <w:color w:val="auto"/>
                <w:sz w:val="24"/>
                <w:highlight w:val="yellow"/>
                <w:lang w:val="en-US" w:eastAsia="zh-CN"/>
              </w:rPr>
            </w:pPr>
            <w:r>
              <w:rPr>
                <w:color w:val="auto"/>
                <w:sz w:val="24"/>
              </w:rPr>
              <w:t>为保证活性炭吸附净化装置的吸附效率，活性炭定期更换</w:t>
            </w:r>
            <w:r>
              <w:rPr>
                <w:rFonts w:hint="eastAsia"/>
                <w:color w:val="auto"/>
                <w:sz w:val="24"/>
                <w:lang w:eastAsia="zh-CN"/>
              </w:rPr>
              <w:t>（</w:t>
            </w:r>
            <w:r>
              <w:rPr>
                <w:rFonts w:hint="eastAsia"/>
                <w:color w:val="auto"/>
                <w:sz w:val="24"/>
                <w:lang w:val="en-US" w:eastAsia="zh-CN"/>
              </w:rPr>
              <w:t>半年更换一次</w:t>
            </w:r>
            <w:r>
              <w:rPr>
                <w:rFonts w:hint="eastAsia"/>
                <w:color w:val="auto"/>
                <w:sz w:val="24"/>
                <w:lang w:eastAsia="zh-CN"/>
              </w:rPr>
              <w:t>），</w:t>
            </w:r>
            <w:r>
              <w:rPr>
                <w:rFonts w:hint="default" w:ascii="Times New Roman" w:hAnsi="Times New Roman" w:eastAsia="Arial" w:cs="Times New Roman"/>
                <w:snapToGrid w:val="0"/>
                <w:color w:val="auto"/>
                <w:kern w:val="0"/>
                <w:sz w:val="24"/>
                <w:szCs w:val="24"/>
                <w:highlight w:val="none"/>
                <w:lang w:val="en-US" w:eastAsia="zh-CN"/>
              </w:rPr>
              <w:t>由于</w:t>
            </w:r>
            <w:r>
              <w:rPr>
                <w:rFonts w:hint="eastAsia" w:ascii="Times New Roman" w:hAnsi="Times New Roman" w:eastAsia="Arial" w:cs="Times New Roman"/>
                <w:snapToGrid w:val="0"/>
                <w:color w:val="auto"/>
                <w:kern w:val="0"/>
                <w:sz w:val="24"/>
                <w:szCs w:val="24"/>
                <w:highlight w:val="none"/>
                <w:lang w:val="en-US" w:eastAsia="zh-CN"/>
              </w:rPr>
              <w:t>废气处理</w:t>
            </w:r>
            <w:r>
              <w:rPr>
                <w:rFonts w:hint="default" w:ascii="Times New Roman" w:hAnsi="Times New Roman" w:eastAsia="Arial" w:cs="Times New Roman"/>
                <w:snapToGrid w:val="0"/>
                <w:color w:val="auto"/>
                <w:kern w:val="0"/>
                <w:sz w:val="24"/>
                <w:szCs w:val="24"/>
                <w:highlight w:val="none"/>
                <w:lang w:val="en-US" w:eastAsia="zh-CN"/>
              </w:rPr>
              <w:t>设备运行工况的复杂性</w:t>
            </w:r>
            <w:r>
              <w:rPr>
                <w:rFonts w:hint="eastAsia" w:ascii="Times New Roman" w:hAnsi="Times New Roman" w:eastAsia="Arial" w:cs="Times New Roman"/>
                <w:snapToGrid w:val="0"/>
                <w:color w:val="auto"/>
                <w:kern w:val="0"/>
                <w:sz w:val="24"/>
                <w:szCs w:val="24"/>
                <w:highlight w:val="none"/>
                <w:lang w:val="en-US" w:eastAsia="zh-CN"/>
              </w:rPr>
              <w:t>及污染物浓度、量的实际情况均不同</w:t>
            </w:r>
            <w:r>
              <w:rPr>
                <w:rFonts w:hint="default" w:ascii="Times New Roman" w:hAnsi="Times New Roman" w:eastAsia="Arial" w:cs="Times New Roman"/>
                <w:snapToGrid w:val="0"/>
                <w:color w:val="auto"/>
                <w:kern w:val="0"/>
                <w:sz w:val="24"/>
                <w:szCs w:val="24"/>
                <w:highlight w:val="none"/>
                <w:lang w:val="en-US" w:eastAsia="zh-CN"/>
              </w:rPr>
              <w:t>，活性炭的更换周期（天）仅作参考</w:t>
            </w:r>
            <w:r>
              <w:rPr>
                <w:rFonts w:hint="eastAsia" w:ascii="Times New Roman" w:hAnsi="Times New Roman" w:eastAsia="Arial" w:cs="Times New Roman"/>
                <w:snapToGrid w:val="0"/>
                <w:color w:val="auto"/>
                <w:kern w:val="0"/>
                <w:sz w:val="24"/>
                <w:szCs w:val="24"/>
                <w:highlight w:val="none"/>
                <w:lang w:val="en-US" w:eastAsia="zh-CN"/>
              </w:rPr>
              <w:t>。</w:t>
            </w:r>
          </w:p>
          <w:p w14:paraId="486E8AC1">
            <w:pPr>
              <w:pStyle w:val="83"/>
              <w:autoSpaceDE w:val="0"/>
              <w:autoSpaceDN w:val="0"/>
              <w:spacing w:line="360" w:lineRule="auto"/>
              <w:ind w:firstLine="480" w:firstLineChars="200"/>
              <w:rPr>
                <w:rFonts w:hint="eastAsia"/>
                <w:color w:val="auto"/>
                <w:sz w:val="24"/>
                <w:lang w:eastAsia="zh-CN"/>
              </w:rPr>
            </w:pPr>
            <w:r>
              <w:rPr>
                <w:rFonts w:hint="eastAsia" w:eastAsia="宋体"/>
                <w:color w:val="auto"/>
                <w:sz w:val="24"/>
                <w:lang w:val="en-US" w:eastAsia="zh-CN"/>
              </w:rPr>
              <w:t>根据《国家危险废物名录》（2025年版），废活性炭属于废活性炭属于“HW49其他废物900-039-49烟气、VOCs治理过程（不包括餐饮行业油烟治理过程）产生的废活性炭，化学原料和化学制品脱色（不包括有机合成食品添加剂脱色）、除杂、净化过程产生的废活性炭（不包括900-405-06、772-005-18、261-053-29、265-002-29、384-003-29、387-001-29类危险废物）（危险特性T）”。废活性炭收集暂存于</w:t>
            </w:r>
            <w:r>
              <w:rPr>
                <w:rFonts w:hint="eastAsia"/>
                <w:color w:val="auto"/>
                <w:sz w:val="24"/>
              </w:rPr>
              <w:t>危险废</w:t>
            </w:r>
            <w:r>
              <w:rPr>
                <w:rFonts w:hint="eastAsia"/>
                <w:color w:val="auto"/>
                <w:sz w:val="24"/>
                <w:szCs w:val="24"/>
              </w:rPr>
              <w:t>物</w:t>
            </w:r>
            <w:r>
              <w:rPr>
                <w:rFonts w:hint="eastAsia"/>
                <w:color w:val="auto"/>
                <w:sz w:val="24"/>
                <w:szCs w:val="24"/>
                <w:lang w:val="en-US" w:eastAsia="zh-CN"/>
              </w:rPr>
              <w:t>贮存库</w:t>
            </w:r>
            <w:r>
              <w:rPr>
                <w:rFonts w:hint="eastAsia" w:eastAsia="宋体"/>
                <w:color w:val="auto"/>
                <w:sz w:val="24"/>
                <w:lang w:val="en-US" w:eastAsia="zh-CN"/>
              </w:rPr>
              <w:t>后，委托资质单位清运处置。</w:t>
            </w:r>
          </w:p>
          <w:p w14:paraId="329D5AE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sz w:val="24"/>
              </w:rPr>
            </w:pPr>
            <w:r>
              <w:rPr>
                <w:rFonts w:hint="eastAsia"/>
                <w:color w:val="auto"/>
                <w:sz w:val="24"/>
                <w:lang w:eastAsia="zh-CN"/>
              </w:rPr>
              <w:t>（</w:t>
            </w:r>
            <w:r>
              <w:rPr>
                <w:rFonts w:hint="eastAsia"/>
                <w:color w:val="auto"/>
                <w:sz w:val="24"/>
                <w:lang w:val="en-US" w:eastAsia="zh-CN"/>
              </w:rPr>
              <w:t>2</w:t>
            </w:r>
            <w:r>
              <w:rPr>
                <w:rFonts w:hint="eastAsia"/>
                <w:color w:val="auto"/>
                <w:sz w:val="24"/>
                <w:lang w:eastAsia="zh-CN"/>
              </w:rPr>
              <w:t>）</w:t>
            </w:r>
            <w:r>
              <w:rPr>
                <w:rFonts w:hint="eastAsia"/>
                <w:color w:val="auto"/>
                <w:sz w:val="24"/>
                <w:szCs w:val="24"/>
                <w:lang w:val="en-US" w:eastAsia="zh-CN"/>
              </w:rPr>
              <w:t>设备维护保养</w:t>
            </w:r>
            <w:r>
              <w:rPr>
                <w:color w:val="auto"/>
                <w:sz w:val="24"/>
              </w:rPr>
              <w:t>废物</w:t>
            </w:r>
          </w:p>
          <w:p w14:paraId="6545F78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color w:val="auto"/>
                <w:sz w:val="24"/>
              </w:rPr>
            </w:pPr>
            <w:r>
              <w:rPr>
                <w:color w:val="auto"/>
                <w:sz w:val="24"/>
              </w:rPr>
              <w:t>根据</w:t>
            </w:r>
            <w:r>
              <w:rPr>
                <w:bCs/>
                <w:color w:val="auto"/>
                <w:sz w:val="24"/>
              </w:rPr>
              <w:t>建设单位提供资料，项目区内的机械设备需定期进行维护保养，该过程会产生废机油及</w:t>
            </w:r>
            <w:r>
              <w:rPr>
                <w:color w:val="auto"/>
                <w:sz w:val="24"/>
              </w:rPr>
              <w:t>工作人员工作使用的废弃手套、毛巾等，</w:t>
            </w:r>
            <w:r>
              <w:rPr>
                <w:bCs/>
                <w:color w:val="auto"/>
                <w:sz w:val="24"/>
              </w:rPr>
              <w:t>废机油产生量</w:t>
            </w:r>
            <w:r>
              <w:rPr>
                <w:color w:val="auto"/>
                <w:sz w:val="24"/>
              </w:rPr>
              <w:t>约为0.</w:t>
            </w:r>
            <w:r>
              <w:rPr>
                <w:rFonts w:hint="eastAsia"/>
                <w:color w:val="auto"/>
                <w:sz w:val="24"/>
                <w:lang w:val="en-US" w:eastAsia="zh-CN"/>
              </w:rPr>
              <w:t>4</w:t>
            </w:r>
            <w:r>
              <w:rPr>
                <w:color w:val="auto"/>
                <w:sz w:val="24"/>
              </w:rPr>
              <w:t>t/a，废弃的含油抹布、劳保用品等</w:t>
            </w:r>
            <w:r>
              <w:rPr>
                <w:bCs/>
                <w:color w:val="auto"/>
                <w:sz w:val="24"/>
              </w:rPr>
              <w:t>产生</w:t>
            </w:r>
            <w:r>
              <w:rPr>
                <w:color w:val="auto"/>
                <w:sz w:val="24"/>
              </w:rPr>
              <w:t>约为0.</w:t>
            </w:r>
            <w:r>
              <w:rPr>
                <w:rFonts w:hint="eastAsia"/>
                <w:color w:val="auto"/>
                <w:sz w:val="24"/>
              </w:rPr>
              <w:t>1</w:t>
            </w:r>
            <w:r>
              <w:rPr>
                <w:color w:val="auto"/>
                <w:sz w:val="24"/>
              </w:rPr>
              <w:t>t/a</w:t>
            </w:r>
            <w:r>
              <w:rPr>
                <w:rFonts w:hint="eastAsia"/>
                <w:color w:val="auto"/>
                <w:sz w:val="24"/>
              </w:rPr>
              <w:t>。</w:t>
            </w:r>
            <w:r>
              <w:rPr>
                <w:rStyle w:val="97"/>
                <w:rFonts w:ascii="Times New Roman" w:hAnsi="Times New Roman" w:eastAsia="宋体"/>
                <w:color w:val="auto"/>
                <w:spacing w:val="0"/>
                <w:sz w:val="24"/>
                <w:szCs w:val="24"/>
              </w:rPr>
              <w:t>根据</w:t>
            </w:r>
            <w:r>
              <w:rPr>
                <w:color w:val="auto"/>
                <w:sz w:val="24"/>
              </w:rPr>
              <w:t>《国家危险废物名录》（202</w:t>
            </w:r>
            <w:r>
              <w:rPr>
                <w:rFonts w:hint="eastAsia"/>
                <w:color w:val="auto"/>
                <w:sz w:val="24"/>
              </w:rPr>
              <w:t>5</w:t>
            </w:r>
            <w:r>
              <w:rPr>
                <w:color w:val="auto"/>
                <w:sz w:val="24"/>
              </w:rPr>
              <w:t>版），废机油</w:t>
            </w:r>
            <w:r>
              <w:rPr>
                <w:color w:val="auto"/>
                <w:sz w:val="24"/>
                <w:lang w:bidi="ar"/>
              </w:rPr>
              <w:t>属于</w:t>
            </w:r>
            <w:r>
              <w:rPr>
                <w:color w:val="auto"/>
                <w:sz w:val="24"/>
              </w:rPr>
              <w:t>HW08废矿物油与含矿物油废物类危险废物，危废代码为</w:t>
            </w:r>
            <w:r>
              <w:rPr>
                <w:bCs/>
                <w:color w:val="auto"/>
                <w:kern w:val="0"/>
                <w:sz w:val="24"/>
              </w:rPr>
              <w:t>900-214-08；</w:t>
            </w:r>
            <w:r>
              <w:rPr>
                <w:color w:val="auto"/>
                <w:sz w:val="24"/>
              </w:rPr>
              <w:t>废弃的含油抹布、劳保用品属于HW49其他废物类危险废物，危废代码为900-041-49</w:t>
            </w:r>
            <w:r>
              <w:rPr>
                <w:rStyle w:val="97"/>
                <w:rFonts w:ascii="Times New Roman" w:hAnsi="Times New Roman" w:eastAsia="宋体"/>
                <w:color w:val="auto"/>
                <w:spacing w:val="0"/>
                <w:sz w:val="24"/>
                <w:szCs w:val="24"/>
              </w:rPr>
              <w:t>。</w:t>
            </w:r>
            <w:r>
              <w:rPr>
                <w:color w:val="auto"/>
                <w:sz w:val="24"/>
              </w:rPr>
              <w:t>使用危废收集桶收集暂存于</w:t>
            </w:r>
            <w:r>
              <w:rPr>
                <w:rFonts w:hint="eastAsia"/>
                <w:color w:val="auto"/>
                <w:sz w:val="24"/>
              </w:rPr>
              <w:t>危险废</w:t>
            </w:r>
            <w:r>
              <w:rPr>
                <w:rFonts w:hint="eastAsia"/>
                <w:color w:val="auto"/>
                <w:sz w:val="24"/>
                <w:szCs w:val="24"/>
              </w:rPr>
              <w:t>物</w:t>
            </w:r>
            <w:r>
              <w:rPr>
                <w:rFonts w:hint="eastAsia"/>
                <w:color w:val="auto"/>
                <w:sz w:val="24"/>
                <w:szCs w:val="24"/>
                <w:lang w:val="en-US" w:eastAsia="zh-CN"/>
              </w:rPr>
              <w:t>贮存库</w:t>
            </w:r>
            <w:r>
              <w:rPr>
                <w:color w:val="auto"/>
                <w:sz w:val="24"/>
              </w:rPr>
              <w:t>，</w:t>
            </w:r>
            <w:r>
              <w:rPr>
                <w:rFonts w:hint="eastAsia"/>
                <w:color w:val="auto"/>
                <w:sz w:val="24"/>
              </w:rPr>
              <w:t>委托</w:t>
            </w:r>
            <w:r>
              <w:rPr>
                <w:color w:val="auto"/>
                <w:sz w:val="24"/>
              </w:rPr>
              <w:t>有资质的单位定期清运处置</w:t>
            </w:r>
            <w:r>
              <w:rPr>
                <w:rStyle w:val="97"/>
                <w:rFonts w:ascii="Times New Roman" w:hAnsi="Times New Roman" w:eastAsia="宋体"/>
                <w:color w:val="auto"/>
                <w:spacing w:val="0"/>
                <w:sz w:val="24"/>
                <w:szCs w:val="24"/>
              </w:rPr>
              <w:t>。</w:t>
            </w:r>
          </w:p>
          <w:p w14:paraId="2EC9D03B">
            <w:pPr>
              <w:pStyle w:val="28"/>
              <w:snapToGrid w:val="0"/>
              <w:spacing w:after="0" w:line="356" w:lineRule="auto"/>
              <w:ind w:firstLine="480" w:firstLineChars="200"/>
              <w:rPr>
                <w:color w:val="auto"/>
              </w:rPr>
            </w:pPr>
            <w:r>
              <w:rPr>
                <w:bCs/>
                <w:color w:val="auto"/>
                <w:kern w:val="0"/>
                <w:lang w:val="zh-CN"/>
              </w:rPr>
              <w:t>项目所涉及的危险废物的危</w:t>
            </w:r>
            <w:r>
              <w:rPr>
                <w:color w:val="auto"/>
                <w:lang w:val="zh-CN"/>
              </w:rPr>
              <w:t>险特性见表</w:t>
            </w:r>
            <w:r>
              <w:rPr>
                <w:color w:val="auto"/>
              </w:rPr>
              <w:t>4-</w:t>
            </w:r>
            <w:r>
              <w:rPr>
                <w:rFonts w:hint="eastAsia"/>
                <w:color w:val="auto"/>
                <w:lang w:val="en-US" w:eastAsia="zh-CN"/>
              </w:rPr>
              <w:t>21</w:t>
            </w:r>
            <w:r>
              <w:rPr>
                <w:color w:val="auto"/>
              </w:rPr>
              <w:t>。</w:t>
            </w:r>
          </w:p>
          <w:p w14:paraId="35FE1F70">
            <w:pPr>
              <w:pStyle w:val="99"/>
              <w:rPr>
                <w:color w:val="auto"/>
              </w:rPr>
            </w:pPr>
            <w:r>
              <w:rPr>
                <w:color w:val="auto"/>
              </w:rPr>
              <w:t>表4-</w:t>
            </w:r>
            <w:r>
              <w:rPr>
                <w:rFonts w:hint="eastAsia"/>
                <w:color w:val="auto"/>
                <w:lang w:val="en-US" w:eastAsia="zh-CN"/>
              </w:rPr>
              <w:t>21</w:t>
            </w:r>
            <w:r>
              <w:rPr>
                <w:color w:val="auto"/>
              </w:rPr>
              <w:t xml:space="preserve">  国家危险废物名录（202</w:t>
            </w:r>
            <w:r>
              <w:rPr>
                <w:rFonts w:hint="eastAsia"/>
                <w:color w:val="auto"/>
              </w:rPr>
              <w:t>5</w:t>
            </w:r>
            <w:r>
              <w:rPr>
                <w:color w:val="auto"/>
              </w:rPr>
              <w:t>年）（摘抄）</w:t>
            </w:r>
          </w:p>
          <w:tbl>
            <w:tblPr>
              <w:tblStyle w:val="30"/>
              <w:tblW w:w="851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182"/>
              <w:gridCol w:w="1241"/>
              <w:gridCol w:w="900"/>
              <w:gridCol w:w="900"/>
              <w:gridCol w:w="3546"/>
              <w:gridCol w:w="748"/>
            </w:tblGrid>
            <w:tr w14:paraId="12734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jc w:val="center"/>
              </w:trPr>
              <w:tc>
                <w:tcPr>
                  <w:tcW w:w="1182" w:type="dxa"/>
                  <w:tcBorders>
                    <w:tl2br w:val="nil"/>
                    <w:tr2bl w:val="nil"/>
                  </w:tcBorders>
                  <w:vAlign w:val="center"/>
                </w:tcPr>
                <w:p w14:paraId="6177E57F">
                  <w:pPr>
                    <w:pStyle w:val="100"/>
                    <w:snapToGrid/>
                    <w:rPr>
                      <w:b/>
                      <w:bCs/>
                      <w:color w:val="auto"/>
                    </w:rPr>
                  </w:pPr>
                  <w:r>
                    <w:rPr>
                      <w:b/>
                      <w:bCs/>
                      <w:color w:val="auto"/>
                    </w:rPr>
                    <w:t>名称</w:t>
                  </w:r>
                </w:p>
              </w:tc>
              <w:tc>
                <w:tcPr>
                  <w:tcW w:w="1241" w:type="dxa"/>
                  <w:tcBorders>
                    <w:tl2br w:val="nil"/>
                    <w:tr2bl w:val="nil"/>
                  </w:tcBorders>
                  <w:vAlign w:val="center"/>
                </w:tcPr>
                <w:p w14:paraId="58326CB0">
                  <w:pPr>
                    <w:pStyle w:val="100"/>
                    <w:snapToGrid/>
                    <w:rPr>
                      <w:b/>
                      <w:bCs/>
                      <w:color w:val="auto"/>
                    </w:rPr>
                  </w:pPr>
                  <w:r>
                    <w:rPr>
                      <w:b/>
                      <w:bCs/>
                      <w:color w:val="auto"/>
                    </w:rPr>
                    <w:t>废物类别</w:t>
                  </w:r>
                </w:p>
              </w:tc>
              <w:tc>
                <w:tcPr>
                  <w:tcW w:w="900" w:type="dxa"/>
                  <w:tcBorders>
                    <w:tl2br w:val="nil"/>
                    <w:tr2bl w:val="nil"/>
                  </w:tcBorders>
                  <w:vAlign w:val="center"/>
                </w:tcPr>
                <w:p w14:paraId="37CC47AC">
                  <w:pPr>
                    <w:pStyle w:val="100"/>
                    <w:snapToGrid/>
                    <w:rPr>
                      <w:b/>
                      <w:bCs/>
                      <w:color w:val="auto"/>
                    </w:rPr>
                  </w:pPr>
                  <w:r>
                    <w:rPr>
                      <w:b/>
                      <w:bCs/>
                      <w:color w:val="auto"/>
                    </w:rPr>
                    <w:t>行业来源</w:t>
                  </w:r>
                </w:p>
              </w:tc>
              <w:tc>
                <w:tcPr>
                  <w:tcW w:w="900" w:type="dxa"/>
                  <w:tcBorders>
                    <w:tl2br w:val="nil"/>
                    <w:tr2bl w:val="nil"/>
                  </w:tcBorders>
                  <w:vAlign w:val="center"/>
                </w:tcPr>
                <w:p w14:paraId="2E8C1FEB">
                  <w:pPr>
                    <w:pStyle w:val="100"/>
                    <w:snapToGrid/>
                    <w:rPr>
                      <w:b/>
                      <w:bCs/>
                      <w:color w:val="auto"/>
                    </w:rPr>
                  </w:pPr>
                  <w:r>
                    <w:rPr>
                      <w:b/>
                      <w:bCs/>
                      <w:color w:val="auto"/>
                    </w:rPr>
                    <w:t>废物代码</w:t>
                  </w:r>
                </w:p>
              </w:tc>
              <w:tc>
                <w:tcPr>
                  <w:tcW w:w="3546" w:type="dxa"/>
                  <w:tcBorders>
                    <w:tl2br w:val="nil"/>
                    <w:tr2bl w:val="nil"/>
                  </w:tcBorders>
                  <w:vAlign w:val="center"/>
                </w:tcPr>
                <w:p w14:paraId="11652067">
                  <w:pPr>
                    <w:pStyle w:val="100"/>
                    <w:snapToGrid/>
                    <w:rPr>
                      <w:b/>
                      <w:bCs/>
                      <w:color w:val="auto"/>
                    </w:rPr>
                  </w:pPr>
                  <w:r>
                    <w:rPr>
                      <w:b/>
                      <w:bCs/>
                      <w:color w:val="auto"/>
                    </w:rPr>
                    <w:t>危险废物</w:t>
                  </w:r>
                </w:p>
              </w:tc>
              <w:tc>
                <w:tcPr>
                  <w:tcW w:w="748" w:type="dxa"/>
                  <w:tcBorders>
                    <w:tl2br w:val="nil"/>
                    <w:tr2bl w:val="nil"/>
                  </w:tcBorders>
                  <w:vAlign w:val="center"/>
                </w:tcPr>
                <w:p w14:paraId="121ADED5">
                  <w:pPr>
                    <w:pStyle w:val="100"/>
                    <w:snapToGrid/>
                    <w:rPr>
                      <w:b/>
                      <w:bCs/>
                      <w:color w:val="auto"/>
                    </w:rPr>
                  </w:pPr>
                  <w:r>
                    <w:rPr>
                      <w:b/>
                      <w:bCs/>
                      <w:color w:val="auto"/>
                    </w:rPr>
                    <w:t>危险特性</w:t>
                  </w:r>
                </w:p>
              </w:tc>
            </w:tr>
            <w:tr w14:paraId="67138F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jc w:val="center"/>
              </w:trPr>
              <w:tc>
                <w:tcPr>
                  <w:tcW w:w="1182" w:type="dxa"/>
                  <w:tcBorders>
                    <w:tl2br w:val="nil"/>
                    <w:tr2bl w:val="nil"/>
                  </w:tcBorders>
                  <w:vAlign w:val="center"/>
                </w:tcPr>
                <w:p w14:paraId="10CE7775">
                  <w:pPr>
                    <w:pStyle w:val="100"/>
                    <w:snapToGrid/>
                    <w:rPr>
                      <w:rFonts w:hint="eastAsia"/>
                      <w:color w:val="auto"/>
                    </w:rPr>
                  </w:pPr>
                  <w:r>
                    <w:rPr>
                      <w:color w:val="auto"/>
                    </w:rPr>
                    <w:t>废活性炭</w:t>
                  </w:r>
                </w:p>
              </w:tc>
              <w:tc>
                <w:tcPr>
                  <w:tcW w:w="1241" w:type="dxa"/>
                  <w:tcBorders>
                    <w:tl2br w:val="nil"/>
                    <w:tr2bl w:val="nil"/>
                  </w:tcBorders>
                  <w:vAlign w:val="center"/>
                </w:tcPr>
                <w:p w14:paraId="4AA8B249">
                  <w:pPr>
                    <w:pStyle w:val="100"/>
                    <w:snapToGrid/>
                    <w:rPr>
                      <w:rFonts w:hint="eastAsia"/>
                      <w:color w:val="auto"/>
                    </w:rPr>
                  </w:pPr>
                  <w:r>
                    <w:rPr>
                      <w:color w:val="auto"/>
                    </w:rPr>
                    <w:t>HW49其他废物</w:t>
                  </w:r>
                </w:p>
              </w:tc>
              <w:tc>
                <w:tcPr>
                  <w:tcW w:w="900" w:type="dxa"/>
                  <w:tcBorders>
                    <w:tl2br w:val="nil"/>
                    <w:tr2bl w:val="nil"/>
                  </w:tcBorders>
                  <w:vAlign w:val="center"/>
                </w:tcPr>
                <w:p w14:paraId="044AAE3F">
                  <w:pPr>
                    <w:pStyle w:val="100"/>
                    <w:snapToGrid/>
                    <w:rPr>
                      <w:color w:val="auto"/>
                    </w:rPr>
                  </w:pPr>
                  <w:r>
                    <w:rPr>
                      <w:color w:val="auto"/>
                    </w:rPr>
                    <w:t>非特定行业</w:t>
                  </w:r>
                </w:p>
              </w:tc>
              <w:tc>
                <w:tcPr>
                  <w:tcW w:w="900" w:type="dxa"/>
                  <w:tcBorders>
                    <w:tl2br w:val="nil"/>
                    <w:tr2bl w:val="nil"/>
                  </w:tcBorders>
                  <w:vAlign w:val="center"/>
                </w:tcPr>
                <w:p w14:paraId="4EB791C3">
                  <w:pPr>
                    <w:pStyle w:val="100"/>
                    <w:snapToGrid/>
                    <w:rPr>
                      <w:rFonts w:hint="eastAsia"/>
                      <w:color w:val="auto"/>
                    </w:rPr>
                  </w:pPr>
                  <w:r>
                    <w:rPr>
                      <w:bCs/>
                      <w:color w:val="auto"/>
                      <w:kern w:val="0"/>
                    </w:rPr>
                    <w:t>900-039-49</w:t>
                  </w:r>
                </w:p>
              </w:tc>
              <w:tc>
                <w:tcPr>
                  <w:tcW w:w="3546" w:type="dxa"/>
                  <w:tcBorders>
                    <w:tl2br w:val="nil"/>
                    <w:tr2bl w:val="nil"/>
                  </w:tcBorders>
                  <w:vAlign w:val="center"/>
                </w:tcPr>
                <w:p w14:paraId="0794DAE2">
                  <w:pPr>
                    <w:pStyle w:val="100"/>
                    <w:snapToGrid/>
                    <w:rPr>
                      <w:rFonts w:hint="eastAsia"/>
                      <w:color w:val="auto"/>
                    </w:rPr>
                  </w:pPr>
                  <w:r>
                    <w:rPr>
                      <w:color w:val="auto"/>
                      <w:lang w:val="zh-CN"/>
                    </w:rPr>
                    <w:t>烟气、VOCs治理过程（不包括餐饮行业油烟治理过程）产生的废活性炭</w:t>
                  </w:r>
                </w:p>
              </w:tc>
              <w:tc>
                <w:tcPr>
                  <w:tcW w:w="748" w:type="dxa"/>
                  <w:tcBorders>
                    <w:tl2br w:val="nil"/>
                    <w:tr2bl w:val="nil"/>
                  </w:tcBorders>
                  <w:vAlign w:val="center"/>
                </w:tcPr>
                <w:p w14:paraId="459CF3D2">
                  <w:pPr>
                    <w:pStyle w:val="100"/>
                    <w:snapToGrid/>
                    <w:rPr>
                      <w:color w:val="auto"/>
                    </w:rPr>
                  </w:pPr>
                  <w:r>
                    <w:rPr>
                      <w:color w:val="auto"/>
                    </w:rPr>
                    <w:t>T</w:t>
                  </w:r>
                </w:p>
              </w:tc>
            </w:tr>
            <w:tr w14:paraId="2EB691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jc w:val="center"/>
              </w:trPr>
              <w:tc>
                <w:tcPr>
                  <w:tcW w:w="1182" w:type="dxa"/>
                  <w:tcBorders>
                    <w:tl2br w:val="nil"/>
                    <w:tr2bl w:val="nil"/>
                  </w:tcBorders>
                  <w:vAlign w:val="center"/>
                </w:tcPr>
                <w:p w14:paraId="50F0802F">
                  <w:pPr>
                    <w:pStyle w:val="100"/>
                    <w:snapToGrid/>
                    <w:rPr>
                      <w:color w:val="auto"/>
                    </w:rPr>
                  </w:pPr>
                  <w:r>
                    <w:rPr>
                      <w:color w:val="auto"/>
                    </w:rPr>
                    <w:t>废机油</w:t>
                  </w:r>
                </w:p>
              </w:tc>
              <w:tc>
                <w:tcPr>
                  <w:tcW w:w="1241" w:type="dxa"/>
                  <w:tcBorders>
                    <w:tl2br w:val="nil"/>
                    <w:tr2bl w:val="nil"/>
                  </w:tcBorders>
                  <w:vAlign w:val="center"/>
                </w:tcPr>
                <w:p w14:paraId="19C48C6D">
                  <w:pPr>
                    <w:pStyle w:val="100"/>
                    <w:snapToGrid/>
                    <w:rPr>
                      <w:color w:val="auto"/>
                    </w:rPr>
                  </w:pPr>
                  <w:r>
                    <w:rPr>
                      <w:color w:val="auto"/>
                    </w:rPr>
                    <w:t>HW08废矿物油</w:t>
                  </w:r>
                </w:p>
              </w:tc>
              <w:tc>
                <w:tcPr>
                  <w:tcW w:w="900" w:type="dxa"/>
                  <w:tcBorders>
                    <w:tl2br w:val="nil"/>
                    <w:tr2bl w:val="nil"/>
                  </w:tcBorders>
                  <w:vAlign w:val="center"/>
                </w:tcPr>
                <w:p w14:paraId="01E04B57">
                  <w:pPr>
                    <w:pStyle w:val="100"/>
                    <w:snapToGrid/>
                    <w:rPr>
                      <w:color w:val="auto"/>
                    </w:rPr>
                  </w:pPr>
                  <w:r>
                    <w:rPr>
                      <w:color w:val="auto"/>
                    </w:rPr>
                    <w:t>非特定行业</w:t>
                  </w:r>
                </w:p>
              </w:tc>
              <w:tc>
                <w:tcPr>
                  <w:tcW w:w="900" w:type="dxa"/>
                  <w:tcBorders>
                    <w:tl2br w:val="nil"/>
                    <w:tr2bl w:val="nil"/>
                  </w:tcBorders>
                  <w:vAlign w:val="center"/>
                </w:tcPr>
                <w:p w14:paraId="6F987A46">
                  <w:pPr>
                    <w:pStyle w:val="100"/>
                    <w:snapToGrid/>
                    <w:rPr>
                      <w:color w:val="auto"/>
                    </w:rPr>
                  </w:pPr>
                  <w:r>
                    <w:rPr>
                      <w:color w:val="auto"/>
                    </w:rPr>
                    <w:t>900-214-08</w:t>
                  </w:r>
                </w:p>
              </w:tc>
              <w:tc>
                <w:tcPr>
                  <w:tcW w:w="3546" w:type="dxa"/>
                  <w:tcBorders>
                    <w:tl2br w:val="nil"/>
                    <w:tr2bl w:val="nil"/>
                  </w:tcBorders>
                  <w:vAlign w:val="center"/>
                </w:tcPr>
                <w:p w14:paraId="79C8FBCF">
                  <w:pPr>
                    <w:pStyle w:val="100"/>
                    <w:snapToGrid/>
                    <w:rPr>
                      <w:color w:val="auto"/>
                    </w:rPr>
                  </w:pPr>
                  <w:r>
                    <w:rPr>
                      <w:color w:val="auto"/>
                      <w:lang w:val="zh-CN"/>
                    </w:rPr>
                    <w:t>车辆、轮船及其它机械维修过程中产生的废发动机油、制动器油、自动变速器油、齿轮油等废润滑油</w:t>
                  </w:r>
                </w:p>
              </w:tc>
              <w:tc>
                <w:tcPr>
                  <w:tcW w:w="748" w:type="dxa"/>
                  <w:tcBorders>
                    <w:tl2br w:val="nil"/>
                    <w:tr2bl w:val="nil"/>
                  </w:tcBorders>
                  <w:vAlign w:val="center"/>
                </w:tcPr>
                <w:p w14:paraId="473F89CE">
                  <w:pPr>
                    <w:pStyle w:val="100"/>
                    <w:snapToGrid/>
                    <w:rPr>
                      <w:color w:val="auto"/>
                    </w:rPr>
                  </w:pPr>
                  <w:r>
                    <w:rPr>
                      <w:color w:val="auto"/>
                    </w:rPr>
                    <w:t>T，I</w:t>
                  </w:r>
                </w:p>
              </w:tc>
            </w:tr>
            <w:tr w14:paraId="37BD0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jc w:val="center"/>
              </w:trPr>
              <w:tc>
                <w:tcPr>
                  <w:tcW w:w="1182" w:type="dxa"/>
                  <w:tcBorders>
                    <w:tl2br w:val="nil"/>
                    <w:tr2bl w:val="nil"/>
                  </w:tcBorders>
                  <w:vAlign w:val="center"/>
                </w:tcPr>
                <w:p w14:paraId="1D6ACE3C">
                  <w:pPr>
                    <w:pStyle w:val="100"/>
                    <w:snapToGrid/>
                    <w:rPr>
                      <w:color w:val="auto"/>
                    </w:rPr>
                  </w:pPr>
                  <w:r>
                    <w:rPr>
                      <w:color w:val="auto"/>
                    </w:rPr>
                    <w:t>废弃的含油抹布、劳保用品</w:t>
                  </w:r>
                </w:p>
              </w:tc>
              <w:tc>
                <w:tcPr>
                  <w:tcW w:w="1241" w:type="dxa"/>
                  <w:tcBorders>
                    <w:tl2br w:val="nil"/>
                    <w:tr2bl w:val="nil"/>
                  </w:tcBorders>
                  <w:vAlign w:val="center"/>
                </w:tcPr>
                <w:p w14:paraId="12B95568">
                  <w:pPr>
                    <w:pStyle w:val="100"/>
                    <w:snapToGrid/>
                    <w:rPr>
                      <w:color w:val="auto"/>
                    </w:rPr>
                  </w:pPr>
                  <w:r>
                    <w:rPr>
                      <w:color w:val="auto"/>
                    </w:rPr>
                    <w:t>HW49其他废物</w:t>
                  </w:r>
                </w:p>
              </w:tc>
              <w:tc>
                <w:tcPr>
                  <w:tcW w:w="900" w:type="dxa"/>
                  <w:tcBorders>
                    <w:tl2br w:val="nil"/>
                    <w:tr2bl w:val="nil"/>
                  </w:tcBorders>
                  <w:vAlign w:val="center"/>
                </w:tcPr>
                <w:p w14:paraId="6686EB52">
                  <w:pPr>
                    <w:pStyle w:val="100"/>
                    <w:snapToGrid/>
                    <w:rPr>
                      <w:color w:val="auto"/>
                    </w:rPr>
                  </w:pPr>
                  <w:r>
                    <w:rPr>
                      <w:color w:val="auto"/>
                    </w:rPr>
                    <w:t>非特定行业</w:t>
                  </w:r>
                </w:p>
              </w:tc>
              <w:tc>
                <w:tcPr>
                  <w:tcW w:w="900" w:type="dxa"/>
                  <w:tcBorders>
                    <w:tl2br w:val="nil"/>
                    <w:tr2bl w:val="nil"/>
                  </w:tcBorders>
                  <w:vAlign w:val="center"/>
                </w:tcPr>
                <w:p w14:paraId="049FD6A2">
                  <w:pPr>
                    <w:pStyle w:val="100"/>
                    <w:snapToGrid/>
                    <w:rPr>
                      <w:color w:val="auto"/>
                    </w:rPr>
                  </w:pPr>
                  <w:r>
                    <w:rPr>
                      <w:color w:val="auto"/>
                    </w:rPr>
                    <w:t>900-041-49</w:t>
                  </w:r>
                </w:p>
              </w:tc>
              <w:tc>
                <w:tcPr>
                  <w:tcW w:w="3546" w:type="dxa"/>
                  <w:tcBorders>
                    <w:tl2br w:val="nil"/>
                    <w:tr2bl w:val="nil"/>
                  </w:tcBorders>
                  <w:vAlign w:val="center"/>
                </w:tcPr>
                <w:p w14:paraId="68D0C135">
                  <w:pPr>
                    <w:jc w:val="left"/>
                    <w:rPr>
                      <w:color w:val="auto"/>
                      <w:szCs w:val="21"/>
                    </w:rPr>
                  </w:pPr>
                  <w:r>
                    <w:rPr>
                      <w:color w:val="auto"/>
                      <w:szCs w:val="21"/>
                    </w:rPr>
                    <w:t>含有或沾染毒性、感染性危险废物的废弃包装物、容器、过滤吸附介质</w:t>
                  </w:r>
                </w:p>
              </w:tc>
              <w:tc>
                <w:tcPr>
                  <w:tcW w:w="748" w:type="dxa"/>
                  <w:tcBorders>
                    <w:tl2br w:val="nil"/>
                    <w:tr2bl w:val="nil"/>
                  </w:tcBorders>
                  <w:vAlign w:val="center"/>
                </w:tcPr>
                <w:p w14:paraId="5A9C2969">
                  <w:pPr>
                    <w:pStyle w:val="100"/>
                    <w:snapToGrid/>
                    <w:rPr>
                      <w:color w:val="auto"/>
                    </w:rPr>
                  </w:pPr>
                  <w:r>
                    <w:rPr>
                      <w:color w:val="auto"/>
                    </w:rPr>
                    <w:t>T/In</w:t>
                  </w:r>
                </w:p>
              </w:tc>
            </w:tr>
          </w:tbl>
          <w:p w14:paraId="0289069D">
            <w:pPr>
              <w:adjustRightInd w:val="0"/>
              <w:snapToGrid w:val="0"/>
              <w:spacing w:line="360" w:lineRule="auto"/>
              <w:ind w:firstLine="482" w:firstLineChars="200"/>
              <w:rPr>
                <w:b/>
                <w:bCs/>
                <w:color w:val="auto"/>
                <w:sz w:val="24"/>
              </w:rPr>
            </w:pPr>
            <w:r>
              <w:rPr>
                <w:rFonts w:hint="eastAsia"/>
                <w:b/>
                <w:bCs/>
                <w:color w:val="auto"/>
                <w:sz w:val="24"/>
              </w:rPr>
              <w:t>4、固体废物影响分析</w:t>
            </w:r>
          </w:p>
          <w:p w14:paraId="23D6F39D">
            <w:pPr>
              <w:pStyle w:val="62"/>
              <w:adjustRightInd w:val="0"/>
              <w:snapToGrid w:val="0"/>
              <w:spacing w:line="360" w:lineRule="auto"/>
              <w:ind w:firstLine="480" w:firstLineChars="200"/>
              <w:rPr>
                <w:rFonts w:eastAsia="宋体"/>
                <w:bCs/>
                <w:color w:val="auto"/>
                <w:sz w:val="24"/>
                <w:szCs w:val="24"/>
              </w:rPr>
            </w:pPr>
            <w:r>
              <w:rPr>
                <w:rFonts w:eastAsia="宋体"/>
                <w:color w:val="auto"/>
                <w:sz w:val="24"/>
                <w:szCs w:val="24"/>
              </w:rPr>
              <w:t>本次环评提出在项目区内设置1间面积约为</w:t>
            </w:r>
            <w:r>
              <w:rPr>
                <w:rFonts w:hint="eastAsia" w:eastAsia="宋体"/>
                <w:color w:val="auto"/>
                <w:sz w:val="24"/>
                <w:szCs w:val="24"/>
                <w:lang w:val="en-US" w:eastAsia="zh-CN"/>
              </w:rPr>
              <w:t>8</w:t>
            </w:r>
            <w:r>
              <w:rPr>
                <w:rFonts w:eastAsia="宋体"/>
                <w:color w:val="auto"/>
                <w:sz w:val="24"/>
                <w:szCs w:val="24"/>
              </w:rPr>
              <w:t>m</w:t>
            </w:r>
            <w:r>
              <w:rPr>
                <w:rFonts w:eastAsia="宋体"/>
                <w:color w:val="auto"/>
                <w:sz w:val="24"/>
                <w:szCs w:val="24"/>
                <w:vertAlign w:val="superscript"/>
              </w:rPr>
              <w:t>2</w:t>
            </w:r>
            <w:r>
              <w:rPr>
                <w:rFonts w:eastAsia="宋体"/>
                <w:color w:val="auto"/>
                <w:sz w:val="24"/>
                <w:szCs w:val="24"/>
              </w:rPr>
              <w:t>的危险废物</w:t>
            </w:r>
            <w:r>
              <w:rPr>
                <w:rFonts w:hint="eastAsia" w:eastAsia="宋体"/>
                <w:color w:val="auto"/>
                <w:sz w:val="24"/>
                <w:szCs w:val="24"/>
                <w:lang w:val="en-US" w:eastAsia="zh-CN"/>
              </w:rPr>
              <w:t>贮存库</w:t>
            </w:r>
            <w:r>
              <w:rPr>
                <w:rFonts w:hint="eastAsia" w:eastAsia="宋体"/>
                <w:color w:val="auto"/>
                <w:sz w:val="24"/>
                <w:szCs w:val="24"/>
              </w:rPr>
              <w:t>，</w:t>
            </w:r>
            <w:r>
              <w:rPr>
                <w:rFonts w:eastAsia="宋体"/>
                <w:color w:val="auto"/>
                <w:sz w:val="24"/>
                <w:szCs w:val="24"/>
              </w:rPr>
              <w:t>危险废物</w:t>
            </w:r>
            <w:r>
              <w:rPr>
                <w:rFonts w:hint="eastAsia" w:eastAsia="宋体"/>
                <w:color w:val="auto"/>
                <w:sz w:val="24"/>
                <w:szCs w:val="24"/>
                <w:lang w:val="en-US" w:eastAsia="zh-CN"/>
              </w:rPr>
              <w:t>贮存库</w:t>
            </w:r>
            <w:r>
              <w:rPr>
                <w:rFonts w:eastAsia="宋体"/>
                <w:color w:val="auto"/>
                <w:sz w:val="24"/>
                <w:szCs w:val="24"/>
              </w:rPr>
              <w:t>地面和四周墙裙脚</w:t>
            </w:r>
            <w:r>
              <w:rPr>
                <w:rFonts w:eastAsia="宋体"/>
                <w:color w:val="auto"/>
                <w:sz w:val="24"/>
                <w:szCs w:val="24"/>
                <w:lang w:val="zh-CN"/>
              </w:rPr>
              <w:t>采用“</w:t>
            </w:r>
            <w:r>
              <w:rPr>
                <w:rFonts w:eastAsia="宋体"/>
                <w:color w:val="auto"/>
                <w:sz w:val="24"/>
                <w:szCs w:val="24"/>
              </w:rPr>
              <w:t>混凝土</w:t>
            </w:r>
            <w:r>
              <w:rPr>
                <w:rFonts w:eastAsia="宋体"/>
                <w:color w:val="auto"/>
                <w:sz w:val="24"/>
                <w:szCs w:val="24"/>
                <w:lang w:val="zh-CN"/>
              </w:rPr>
              <w:t>+2mm厚HDPE+环氧树脂”</w:t>
            </w:r>
            <w:r>
              <w:rPr>
                <w:rFonts w:eastAsia="宋体"/>
                <w:color w:val="auto"/>
                <w:sz w:val="24"/>
                <w:szCs w:val="24"/>
              </w:rPr>
              <w:t>进行重点防渗处理</w:t>
            </w:r>
            <w:r>
              <w:rPr>
                <w:rFonts w:eastAsia="宋体"/>
                <w:color w:val="auto"/>
                <w:sz w:val="24"/>
                <w:szCs w:val="24"/>
                <w:lang w:val="zh-CN"/>
              </w:rPr>
              <w:t>，渗透系数≤10</w:t>
            </w:r>
            <w:r>
              <w:rPr>
                <w:rFonts w:eastAsia="宋体"/>
                <w:color w:val="auto"/>
                <w:sz w:val="24"/>
                <w:szCs w:val="24"/>
                <w:vertAlign w:val="superscript"/>
                <w:lang w:val="zh-CN"/>
              </w:rPr>
              <w:t>-10</w:t>
            </w:r>
            <w:r>
              <w:rPr>
                <w:rFonts w:eastAsia="宋体"/>
                <w:color w:val="auto"/>
                <w:sz w:val="24"/>
                <w:szCs w:val="24"/>
                <w:lang w:val="zh-CN"/>
              </w:rPr>
              <w:t>cm/s</w:t>
            </w:r>
            <w:r>
              <w:rPr>
                <w:rFonts w:eastAsia="宋体"/>
                <w:color w:val="auto"/>
                <w:sz w:val="24"/>
                <w:szCs w:val="24"/>
              </w:rPr>
              <w:t>，并按照要求设置规范的标识标牌，同时内设2个专用危废收集容器，将项目区内所有危险废物收集后分区暂存于危险废物</w:t>
            </w:r>
            <w:r>
              <w:rPr>
                <w:rFonts w:hint="eastAsia" w:eastAsia="宋体"/>
                <w:color w:val="auto"/>
                <w:sz w:val="24"/>
                <w:szCs w:val="24"/>
                <w:lang w:val="en-US" w:eastAsia="zh-CN"/>
              </w:rPr>
              <w:t>贮存库</w:t>
            </w:r>
            <w:r>
              <w:rPr>
                <w:rFonts w:eastAsia="宋体"/>
                <w:color w:val="auto"/>
                <w:sz w:val="24"/>
                <w:szCs w:val="24"/>
              </w:rPr>
              <w:t>内，最终委托有资质的单位定期清运、处置。</w:t>
            </w:r>
            <w:r>
              <w:rPr>
                <w:rFonts w:eastAsia="宋体"/>
                <w:bCs/>
                <w:color w:val="auto"/>
                <w:sz w:val="24"/>
                <w:szCs w:val="24"/>
              </w:rPr>
              <w:t>企业严格按照</w:t>
            </w:r>
            <w:r>
              <w:rPr>
                <w:rFonts w:eastAsia="宋体"/>
                <w:color w:val="auto"/>
                <w:sz w:val="24"/>
                <w:szCs w:val="24"/>
              </w:rPr>
              <w:t>《危险废物贮存污染控制标准》（GB 18597-2023）</w:t>
            </w:r>
            <w:r>
              <w:rPr>
                <w:rFonts w:eastAsia="宋体"/>
                <w:bCs/>
                <w:color w:val="auto"/>
                <w:sz w:val="24"/>
                <w:szCs w:val="24"/>
              </w:rPr>
              <w:t>建设危险废物</w:t>
            </w:r>
            <w:r>
              <w:rPr>
                <w:rFonts w:hint="eastAsia" w:eastAsia="宋体"/>
                <w:color w:val="auto"/>
                <w:sz w:val="24"/>
                <w:szCs w:val="24"/>
                <w:lang w:val="en-US" w:eastAsia="zh-CN"/>
              </w:rPr>
              <w:t>贮存库</w:t>
            </w:r>
            <w:r>
              <w:rPr>
                <w:rFonts w:eastAsia="宋体"/>
                <w:bCs/>
                <w:color w:val="auto"/>
                <w:sz w:val="24"/>
                <w:szCs w:val="24"/>
              </w:rPr>
              <w:t>，将危险废物分类转入容器内，并粘贴危险废物标签，做好相应的纪录。对相应的暂存场建设基础防渗设施、防风、防雨、防晒并配备照明设施等，并与厂区内其它生产单元、办公生活区严格区分、单独隔离。对危险废物的转移处理须严格按照生态环境部《危险废物转移管理办法》（部令第23号）执行。</w:t>
            </w:r>
          </w:p>
          <w:p w14:paraId="76151693">
            <w:pPr>
              <w:adjustRightInd w:val="0"/>
              <w:snapToGrid w:val="0"/>
              <w:spacing w:line="360" w:lineRule="auto"/>
              <w:ind w:firstLine="480" w:firstLineChars="200"/>
              <w:rPr>
                <w:color w:val="auto"/>
                <w:sz w:val="24"/>
              </w:rPr>
            </w:pPr>
            <w:r>
              <w:rPr>
                <w:color w:val="auto"/>
                <w:sz w:val="24"/>
              </w:rPr>
              <w:t>本次环评提出在项目区内设置1</w:t>
            </w:r>
            <w:r>
              <w:rPr>
                <w:rFonts w:hint="eastAsia"/>
                <w:color w:val="auto"/>
                <w:sz w:val="24"/>
                <w:lang w:val="en-US" w:eastAsia="zh-CN"/>
              </w:rPr>
              <w:t>间</w:t>
            </w:r>
            <w:r>
              <w:rPr>
                <w:color w:val="auto"/>
                <w:sz w:val="24"/>
              </w:rPr>
              <w:t>面积约为</w:t>
            </w:r>
            <w:r>
              <w:rPr>
                <w:rFonts w:hint="eastAsia"/>
                <w:color w:val="auto"/>
                <w:sz w:val="24"/>
                <w:lang w:val="en-US" w:eastAsia="zh-CN"/>
              </w:rPr>
              <w:t>10</w:t>
            </w:r>
            <w:r>
              <w:rPr>
                <w:color w:val="auto"/>
                <w:sz w:val="24"/>
              </w:rPr>
              <w:t>m</w:t>
            </w:r>
            <w:r>
              <w:rPr>
                <w:color w:val="auto"/>
                <w:sz w:val="24"/>
                <w:vertAlign w:val="superscript"/>
              </w:rPr>
              <w:t>2</w:t>
            </w:r>
            <w:r>
              <w:rPr>
                <w:color w:val="auto"/>
                <w:sz w:val="24"/>
              </w:rPr>
              <w:t>的一般固废暂存</w:t>
            </w:r>
            <w:r>
              <w:rPr>
                <w:rFonts w:hint="eastAsia"/>
                <w:color w:val="auto"/>
                <w:sz w:val="24"/>
                <w:lang w:val="en-US" w:eastAsia="zh-CN"/>
              </w:rPr>
              <w:t>间</w:t>
            </w:r>
            <w:r>
              <w:rPr>
                <w:rFonts w:hint="eastAsia"/>
                <w:color w:val="auto"/>
                <w:sz w:val="24"/>
              </w:rPr>
              <w:t>，用于收集暂存生产过程产生的一般固体废弃物。</w:t>
            </w:r>
            <w:r>
              <w:rPr>
                <w:color w:val="auto"/>
                <w:sz w:val="24"/>
              </w:rPr>
              <w:t>一般固体废物暂存</w:t>
            </w:r>
            <w:r>
              <w:rPr>
                <w:rFonts w:hint="eastAsia"/>
                <w:color w:val="auto"/>
                <w:sz w:val="24"/>
                <w:lang w:val="en-US" w:eastAsia="zh-CN"/>
              </w:rPr>
              <w:t>间</w:t>
            </w:r>
            <w:r>
              <w:rPr>
                <w:rFonts w:hint="eastAsia"/>
                <w:color w:val="auto"/>
                <w:sz w:val="24"/>
              </w:rPr>
              <w:t>进行一般防渗，</w:t>
            </w:r>
            <w:r>
              <w:rPr>
                <w:color w:val="auto"/>
                <w:sz w:val="24"/>
                <w:lang w:val="zh-CN"/>
              </w:rPr>
              <w:t>防渗技术要求达到等效黏土防渗层Mb≥1.5m，渗透系数≤10</w:t>
            </w:r>
            <w:r>
              <w:rPr>
                <w:color w:val="auto"/>
                <w:sz w:val="24"/>
                <w:vertAlign w:val="superscript"/>
                <w:lang w:val="zh-CN"/>
              </w:rPr>
              <w:t>-</w:t>
            </w:r>
            <w:r>
              <w:rPr>
                <w:color w:val="auto"/>
                <w:sz w:val="24"/>
                <w:vertAlign w:val="superscript"/>
              </w:rPr>
              <w:t>7</w:t>
            </w:r>
            <w:r>
              <w:rPr>
                <w:color w:val="auto"/>
                <w:sz w:val="24"/>
                <w:lang w:val="zh-CN"/>
              </w:rPr>
              <w:t>cm/s。</w:t>
            </w:r>
            <w:r>
              <w:rPr>
                <w:rFonts w:hint="eastAsia"/>
                <w:color w:val="auto"/>
                <w:sz w:val="24"/>
              </w:rPr>
              <w:t>一般固废暂存</w:t>
            </w:r>
            <w:r>
              <w:rPr>
                <w:rFonts w:hint="eastAsia"/>
                <w:color w:val="auto"/>
                <w:sz w:val="24"/>
                <w:lang w:val="en-US" w:eastAsia="zh-CN"/>
              </w:rPr>
              <w:t>间</w:t>
            </w:r>
            <w:r>
              <w:rPr>
                <w:rFonts w:hint="eastAsia"/>
                <w:color w:val="auto"/>
                <w:sz w:val="24"/>
              </w:rPr>
              <w:t>建设需满足《一般工业固体废物贮存和填埋污染控制标准》（GB18599-2020）相关要求。</w:t>
            </w:r>
          </w:p>
          <w:p w14:paraId="7E601AEF">
            <w:pPr>
              <w:adjustRightInd w:val="0"/>
              <w:snapToGrid w:val="0"/>
              <w:spacing w:line="360" w:lineRule="auto"/>
              <w:ind w:firstLine="480" w:firstLineChars="200"/>
              <w:rPr>
                <w:color w:val="auto"/>
                <w:sz w:val="24"/>
              </w:rPr>
            </w:pPr>
            <w:r>
              <w:rPr>
                <w:rFonts w:hint="eastAsia"/>
                <w:color w:val="auto"/>
                <w:sz w:val="24"/>
              </w:rPr>
              <w:t>项目拟设置固废贮存设施信息表如下：</w:t>
            </w:r>
          </w:p>
          <w:p w14:paraId="18872D0A">
            <w:pPr>
              <w:adjustRightInd w:val="0"/>
              <w:snapToGrid w:val="0"/>
              <w:jc w:val="center"/>
              <w:rPr>
                <w:b/>
                <w:bCs/>
                <w:color w:val="auto"/>
                <w:szCs w:val="21"/>
              </w:rPr>
            </w:pPr>
            <w:r>
              <w:rPr>
                <w:rFonts w:hint="eastAsia"/>
                <w:b/>
                <w:bCs/>
                <w:color w:val="auto"/>
                <w:szCs w:val="21"/>
              </w:rPr>
              <w:t>表4-</w:t>
            </w:r>
            <w:r>
              <w:rPr>
                <w:rFonts w:hint="eastAsia"/>
                <w:b/>
                <w:bCs/>
                <w:color w:val="auto"/>
                <w:szCs w:val="21"/>
                <w:lang w:val="en-US" w:eastAsia="zh-CN"/>
              </w:rPr>
              <w:t>22</w:t>
            </w:r>
            <w:r>
              <w:rPr>
                <w:rFonts w:hint="eastAsia"/>
                <w:b/>
                <w:bCs/>
                <w:color w:val="auto"/>
                <w:szCs w:val="21"/>
              </w:rPr>
              <w:t xml:space="preserve">  固废贮存设施信息表</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1198"/>
              <w:gridCol w:w="1199"/>
              <w:gridCol w:w="1199"/>
              <w:gridCol w:w="1200"/>
              <w:gridCol w:w="1200"/>
              <w:gridCol w:w="1200"/>
            </w:tblGrid>
            <w:tr w14:paraId="3AE64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3" w:type="pct"/>
                  <w:vAlign w:val="center"/>
                </w:tcPr>
                <w:p w14:paraId="256532A4">
                  <w:pPr>
                    <w:adjustRightInd w:val="0"/>
                    <w:snapToGrid w:val="0"/>
                    <w:jc w:val="center"/>
                    <w:rPr>
                      <w:b/>
                      <w:bCs/>
                      <w:color w:val="auto"/>
                      <w:szCs w:val="21"/>
                    </w:rPr>
                  </w:pPr>
                  <w:r>
                    <w:rPr>
                      <w:b/>
                      <w:bCs/>
                      <w:color w:val="auto"/>
                      <w:szCs w:val="21"/>
                    </w:rPr>
                    <w:t>设施名称</w:t>
                  </w:r>
                </w:p>
              </w:tc>
              <w:tc>
                <w:tcPr>
                  <w:tcW w:w="713" w:type="pct"/>
                  <w:vAlign w:val="center"/>
                </w:tcPr>
                <w:p w14:paraId="14802475">
                  <w:pPr>
                    <w:adjustRightInd w:val="0"/>
                    <w:snapToGrid w:val="0"/>
                    <w:jc w:val="center"/>
                    <w:rPr>
                      <w:b/>
                      <w:bCs/>
                      <w:color w:val="auto"/>
                      <w:szCs w:val="21"/>
                    </w:rPr>
                  </w:pPr>
                  <w:r>
                    <w:rPr>
                      <w:b/>
                      <w:bCs/>
                      <w:color w:val="auto"/>
                      <w:szCs w:val="21"/>
                    </w:rPr>
                    <w:t>贮存固体废物类别</w:t>
                  </w:r>
                </w:p>
              </w:tc>
              <w:tc>
                <w:tcPr>
                  <w:tcW w:w="714" w:type="pct"/>
                  <w:vAlign w:val="center"/>
                </w:tcPr>
                <w:p w14:paraId="6F40229D">
                  <w:pPr>
                    <w:adjustRightInd w:val="0"/>
                    <w:snapToGrid w:val="0"/>
                    <w:jc w:val="center"/>
                    <w:rPr>
                      <w:b/>
                      <w:bCs/>
                      <w:color w:val="auto"/>
                      <w:szCs w:val="21"/>
                    </w:rPr>
                  </w:pPr>
                  <w:r>
                    <w:rPr>
                      <w:b/>
                      <w:bCs/>
                      <w:color w:val="auto"/>
                      <w:szCs w:val="21"/>
                    </w:rPr>
                    <w:t>贮存规格</w:t>
                  </w:r>
                </w:p>
              </w:tc>
              <w:tc>
                <w:tcPr>
                  <w:tcW w:w="714" w:type="pct"/>
                  <w:vAlign w:val="center"/>
                </w:tcPr>
                <w:p w14:paraId="2A5E9BD4">
                  <w:pPr>
                    <w:adjustRightInd w:val="0"/>
                    <w:snapToGrid w:val="0"/>
                    <w:jc w:val="center"/>
                    <w:rPr>
                      <w:b/>
                      <w:bCs/>
                      <w:color w:val="auto"/>
                      <w:szCs w:val="21"/>
                    </w:rPr>
                  </w:pPr>
                  <w:r>
                    <w:rPr>
                      <w:b/>
                      <w:bCs/>
                      <w:color w:val="auto"/>
                      <w:szCs w:val="21"/>
                    </w:rPr>
                    <w:t>面积</w:t>
                  </w:r>
                </w:p>
              </w:tc>
              <w:tc>
                <w:tcPr>
                  <w:tcW w:w="714" w:type="pct"/>
                  <w:vAlign w:val="center"/>
                </w:tcPr>
                <w:p w14:paraId="3CD65985">
                  <w:pPr>
                    <w:adjustRightInd w:val="0"/>
                    <w:snapToGrid w:val="0"/>
                    <w:jc w:val="center"/>
                    <w:rPr>
                      <w:b/>
                      <w:bCs/>
                      <w:color w:val="auto"/>
                      <w:szCs w:val="21"/>
                    </w:rPr>
                  </w:pPr>
                  <w:r>
                    <w:rPr>
                      <w:b/>
                      <w:bCs/>
                      <w:color w:val="auto"/>
                      <w:szCs w:val="21"/>
                    </w:rPr>
                    <w:t>最大贮存量</w:t>
                  </w:r>
                  <w:r>
                    <w:rPr>
                      <w:rFonts w:hint="eastAsia"/>
                      <w:b/>
                      <w:bCs/>
                      <w:color w:val="auto"/>
                      <w:szCs w:val="21"/>
                    </w:rPr>
                    <w:t>/</w:t>
                  </w:r>
                  <w:r>
                    <w:rPr>
                      <w:b/>
                      <w:bCs/>
                      <w:color w:val="auto"/>
                      <w:szCs w:val="21"/>
                    </w:rPr>
                    <w:t>贮存能力</w:t>
                  </w:r>
                </w:p>
              </w:tc>
              <w:tc>
                <w:tcPr>
                  <w:tcW w:w="714" w:type="pct"/>
                  <w:vAlign w:val="center"/>
                </w:tcPr>
                <w:p w14:paraId="40FA340D">
                  <w:pPr>
                    <w:adjustRightInd w:val="0"/>
                    <w:snapToGrid w:val="0"/>
                    <w:jc w:val="center"/>
                    <w:rPr>
                      <w:rFonts w:hint="eastAsia" w:eastAsia="宋体"/>
                      <w:b/>
                      <w:bCs/>
                      <w:color w:val="auto"/>
                      <w:szCs w:val="21"/>
                      <w:lang w:val="en-US" w:eastAsia="zh-CN"/>
                    </w:rPr>
                  </w:pPr>
                  <w:r>
                    <w:rPr>
                      <w:rFonts w:hint="eastAsia"/>
                      <w:b/>
                      <w:bCs/>
                      <w:color w:val="auto"/>
                      <w:szCs w:val="21"/>
                    </w:rPr>
                    <w:t>项目固废年产生量</w:t>
                  </w:r>
                  <w:r>
                    <w:rPr>
                      <w:rFonts w:hint="eastAsia"/>
                      <w:b/>
                      <w:bCs/>
                      <w:color w:val="auto"/>
                      <w:szCs w:val="21"/>
                      <w:lang w:eastAsia="zh-CN"/>
                    </w:rPr>
                    <w:t>（</w:t>
                  </w:r>
                  <w:r>
                    <w:rPr>
                      <w:rFonts w:hint="eastAsia"/>
                      <w:b/>
                      <w:bCs/>
                      <w:color w:val="auto"/>
                      <w:szCs w:val="21"/>
                      <w:lang w:val="en-US" w:eastAsia="zh-CN"/>
                    </w:rPr>
                    <w:t>t</w:t>
                  </w:r>
                  <w:r>
                    <w:rPr>
                      <w:rFonts w:hint="eastAsia"/>
                      <w:b/>
                      <w:bCs/>
                      <w:color w:val="auto"/>
                      <w:szCs w:val="21"/>
                      <w:lang w:eastAsia="zh-CN"/>
                    </w:rPr>
                    <w:t>）</w:t>
                  </w:r>
                </w:p>
              </w:tc>
              <w:tc>
                <w:tcPr>
                  <w:tcW w:w="714" w:type="pct"/>
                  <w:vAlign w:val="center"/>
                </w:tcPr>
                <w:p w14:paraId="5C470B54">
                  <w:pPr>
                    <w:adjustRightInd w:val="0"/>
                    <w:snapToGrid w:val="0"/>
                    <w:jc w:val="center"/>
                    <w:rPr>
                      <w:b/>
                      <w:bCs/>
                      <w:color w:val="auto"/>
                      <w:szCs w:val="21"/>
                    </w:rPr>
                  </w:pPr>
                  <w:r>
                    <w:rPr>
                      <w:b/>
                      <w:bCs/>
                      <w:color w:val="auto"/>
                      <w:szCs w:val="21"/>
                    </w:rPr>
                    <w:t>转运周期</w:t>
                  </w:r>
                </w:p>
              </w:tc>
            </w:tr>
            <w:tr w14:paraId="167D7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713" w:type="pct"/>
                  <w:vMerge w:val="restart"/>
                  <w:vAlign w:val="center"/>
                </w:tcPr>
                <w:p w14:paraId="54748C25">
                  <w:pPr>
                    <w:adjustRightInd w:val="0"/>
                    <w:snapToGrid w:val="0"/>
                    <w:jc w:val="center"/>
                    <w:rPr>
                      <w:color w:val="auto"/>
                      <w:szCs w:val="21"/>
                    </w:rPr>
                  </w:pPr>
                  <w:r>
                    <w:rPr>
                      <w:color w:val="auto"/>
                      <w:szCs w:val="21"/>
                    </w:rPr>
                    <w:t>一般固废暂存间</w:t>
                  </w:r>
                </w:p>
              </w:tc>
              <w:tc>
                <w:tcPr>
                  <w:tcW w:w="713" w:type="pct"/>
                  <w:vMerge w:val="restart"/>
                  <w:vAlign w:val="center"/>
                </w:tcPr>
                <w:p w14:paraId="7EAC7BA4">
                  <w:pPr>
                    <w:adjustRightInd w:val="0"/>
                    <w:snapToGrid w:val="0"/>
                    <w:jc w:val="center"/>
                    <w:rPr>
                      <w:color w:val="auto"/>
                      <w:szCs w:val="21"/>
                    </w:rPr>
                  </w:pPr>
                  <w:r>
                    <w:rPr>
                      <w:color w:val="auto"/>
                      <w:szCs w:val="21"/>
                    </w:rPr>
                    <w:t>一般</w:t>
                  </w:r>
                  <w:r>
                    <w:rPr>
                      <w:rFonts w:hint="eastAsia"/>
                      <w:color w:val="auto"/>
                      <w:szCs w:val="21"/>
                    </w:rPr>
                    <w:t>工业</w:t>
                  </w:r>
                  <w:r>
                    <w:rPr>
                      <w:color w:val="auto"/>
                      <w:szCs w:val="21"/>
                    </w:rPr>
                    <w:t>固废</w:t>
                  </w:r>
                </w:p>
              </w:tc>
              <w:tc>
                <w:tcPr>
                  <w:tcW w:w="714" w:type="pct"/>
                  <w:vAlign w:val="center"/>
                </w:tcPr>
                <w:p w14:paraId="2CAC11E8">
                  <w:pPr>
                    <w:adjustRightInd w:val="0"/>
                    <w:snapToGrid w:val="0"/>
                    <w:jc w:val="center"/>
                    <w:rPr>
                      <w:rFonts w:hint="eastAsia" w:eastAsia="宋体"/>
                      <w:color w:val="auto"/>
                      <w:szCs w:val="21"/>
                      <w:lang w:eastAsia="zh-CN"/>
                    </w:rPr>
                  </w:pPr>
                  <w:r>
                    <w:rPr>
                      <w:rFonts w:hint="eastAsia"/>
                      <w:color w:val="auto"/>
                      <w:szCs w:val="21"/>
                    </w:rPr>
                    <w:t>袋装</w:t>
                  </w:r>
                  <w:r>
                    <w:rPr>
                      <w:rFonts w:hint="eastAsia"/>
                      <w:color w:val="auto"/>
                      <w:szCs w:val="21"/>
                      <w:lang w:eastAsia="zh-CN"/>
                    </w:rPr>
                    <w:t>（</w:t>
                  </w:r>
                  <w:r>
                    <w:rPr>
                      <w:rFonts w:hint="eastAsia"/>
                      <w:color w:val="auto"/>
                      <w:szCs w:val="21"/>
                      <w:lang w:val="en-US" w:eastAsia="zh-CN"/>
                    </w:rPr>
                    <w:t>废包装材料</w:t>
                  </w:r>
                  <w:r>
                    <w:rPr>
                      <w:rFonts w:hint="eastAsia"/>
                      <w:color w:val="auto"/>
                      <w:szCs w:val="21"/>
                      <w:lang w:eastAsia="zh-CN"/>
                    </w:rPr>
                    <w:t>）</w:t>
                  </w:r>
                </w:p>
              </w:tc>
              <w:tc>
                <w:tcPr>
                  <w:tcW w:w="714" w:type="pct"/>
                  <w:vMerge w:val="restart"/>
                  <w:vAlign w:val="center"/>
                </w:tcPr>
                <w:p w14:paraId="477A80B9">
                  <w:pPr>
                    <w:adjustRightInd w:val="0"/>
                    <w:snapToGrid w:val="0"/>
                    <w:jc w:val="center"/>
                    <w:rPr>
                      <w:color w:val="auto"/>
                      <w:szCs w:val="21"/>
                    </w:rPr>
                  </w:pPr>
                  <w:r>
                    <w:rPr>
                      <w:rFonts w:hint="eastAsia"/>
                      <w:color w:val="auto"/>
                      <w:szCs w:val="21"/>
                      <w:lang w:val="en-US" w:eastAsia="zh-CN"/>
                    </w:rPr>
                    <w:t>10</w:t>
                  </w:r>
                  <w:r>
                    <w:rPr>
                      <w:color w:val="auto"/>
                      <w:szCs w:val="21"/>
                    </w:rPr>
                    <w:t>m</w:t>
                  </w:r>
                  <w:r>
                    <w:rPr>
                      <w:color w:val="auto"/>
                      <w:szCs w:val="21"/>
                      <w:vertAlign w:val="superscript"/>
                    </w:rPr>
                    <w:t>2</w:t>
                  </w:r>
                </w:p>
              </w:tc>
              <w:tc>
                <w:tcPr>
                  <w:tcW w:w="714" w:type="pct"/>
                  <w:vMerge w:val="restart"/>
                  <w:vAlign w:val="center"/>
                </w:tcPr>
                <w:p w14:paraId="453D10BD">
                  <w:pPr>
                    <w:adjustRightInd w:val="0"/>
                    <w:snapToGrid w:val="0"/>
                    <w:jc w:val="center"/>
                    <w:rPr>
                      <w:rFonts w:hint="default"/>
                      <w:color w:val="auto"/>
                      <w:szCs w:val="21"/>
                      <w:lang w:val="en-US"/>
                    </w:rPr>
                  </w:pPr>
                  <w:r>
                    <w:rPr>
                      <w:rFonts w:hint="eastAsia"/>
                      <w:color w:val="auto"/>
                      <w:szCs w:val="21"/>
                      <w:lang w:val="en-US" w:eastAsia="zh-CN"/>
                    </w:rPr>
                    <w:t>15t</w:t>
                  </w:r>
                </w:p>
              </w:tc>
              <w:tc>
                <w:tcPr>
                  <w:tcW w:w="714" w:type="pct"/>
                  <w:vAlign w:val="center"/>
                </w:tcPr>
                <w:p w14:paraId="1E6129C2">
                  <w:pPr>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52.4172</w:t>
                  </w:r>
                </w:p>
              </w:tc>
              <w:tc>
                <w:tcPr>
                  <w:tcW w:w="714" w:type="pct"/>
                  <w:vAlign w:val="center"/>
                </w:tcPr>
                <w:p w14:paraId="33B4D465">
                  <w:pPr>
                    <w:adjustRightInd w:val="0"/>
                    <w:snapToGrid w:val="0"/>
                    <w:jc w:val="center"/>
                    <w:rPr>
                      <w:color w:val="auto"/>
                      <w:szCs w:val="21"/>
                    </w:rPr>
                  </w:pPr>
                  <w:r>
                    <w:rPr>
                      <w:rFonts w:hint="eastAsia"/>
                      <w:color w:val="auto"/>
                      <w:szCs w:val="21"/>
                    </w:rPr>
                    <w:t>要求每月转运一次</w:t>
                  </w:r>
                </w:p>
              </w:tc>
            </w:tr>
            <w:tr w14:paraId="4915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713" w:type="pct"/>
                  <w:vMerge w:val="continue"/>
                  <w:vAlign w:val="center"/>
                </w:tcPr>
                <w:p w14:paraId="266EBEDE">
                  <w:pPr>
                    <w:adjustRightInd w:val="0"/>
                    <w:snapToGrid w:val="0"/>
                    <w:jc w:val="center"/>
                    <w:rPr>
                      <w:color w:val="auto"/>
                    </w:rPr>
                  </w:pPr>
                </w:p>
              </w:tc>
              <w:tc>
                <w:tcPr>
                  <w:tcW w:w="713" w:type="pct"/>
                  <w:vMerge w:val="continue"/>
                  <w:vAlign w:val="center"/>
                </w:tcPr>
                <w:p w14:paraId="02F23749">
                  <w:pPr>
                    <w:adjustRightInd w:val="0"/>
                    <w:snapToGrid w:val="0"/>
                    <w:jc w:val="center"/>
                    <w:rPr>
                      <w:color w:val="auto"/>
                    </w:rPr>
                  </w:pPr>
                </w:p>
              </w:tc>
              <w:tc>
                <w:tcPr>
                  <w:tcW w:w="714" w:type="pct"/>
                  <w:vAlign w:val="center"/>
                </w:tcPr>
                <w:p w14:paraId="5851E802">
                  <w:pPr>
                    <w:adjustRightInd w:val="0"/>
                    <w:snapToGrid w:val="0"/>
                    <w:jc w:val="center"/>
                    <w:rPr>
                      <w:rFonts w:hint="default" w:eastAsia="宋体"/>
                      <w:color w:val="auto"/>
                      <w:lang w:val="en-US" w:eastAsia="zh-CN"/>
                    </w:rPr>
                  </w:pPr>
                  <w:r>
                    <w:rPr>
                      <w:rFonts w:hint="eastAsia"/>
                      <w:color w:val="auto"/>
                      <w:lang w:val="en-US" w:eastAsia="zh-CN"/>
                    </w:rPr>
                    <w:t>袋装（破碎后的边角料、不合格产品、为成型产品）</w:t>
                  </w:r>
                </w:p>
              </w:tc>
              <w:tc>
                <w:tcPr>
                  <w:tcW w:w="714" w:type="pct"/>
                  <w:vMerge w:val="continue"/>
                  <w:vAlign w:val="center"/>
                </w:tcPr>
                <w:p w14:paraId="158B7F35">
                  <w:pPr>
                    <w:adjustRightInd w:val="0"/>
                    <w:snapToGrid w:val="0"/>
                    <w:jc w:val="center"/>
                    <w:rPr>
                      <w:color w:val="auto"/>
                    </w:rPr>
                  </w:pPr>
                </w:p>
              </w:tc>
              <w:tc>
                <w:tcPr>
                  <w:tcW w:w="714" w:type="pct"/>
                  <w:vMerge w:val="continue"/>
                  <w:vAlign w:val="center"/>
                </w:tcPr>
                <w:p w14:paraId="6CA079FE">
                  <w:pPr>
                    <w:adjustRightInd w:val="0"/>
                    <w:snapToGrid w:val="0"/>
                    <w:jc w:val="center"/>
                    <w:rPr>
                      <w:color w:val="auto"/>
                    </w:rPr>
                  </w:pPr>
                </w:p>
              </w:tc>
              <w:tc>
                <w:tcPr>
                  <w:tcW w:w="714" w:type="pct"/>
                  <w:vAlign w:val="center"/>
                </w:tcPr>
                <w:p w14:paraId="125FCF76">
                  <w:pPr>
                    <w:adjustRightInd w:val="0"/>
                    <w:snapToGrid w:val="0"/>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21.7275</w:t>
                  </w:r>
                </w:p>
              </w:tc>
              <w:tc>
                <w:tcPr>
                  <w:tcW w:w="714" w:type="pct"/>
                  <w:vAlign w:val="center"/>
                </w:tcPr>
                <w:p w14:paraId="5ABEB47D">
                  <w:pPr>
                    <w:adjustRightInd w:val="0"/>
                    <w:snapToGrid w:val="0"/>
                    <w:jc w:val="center"/>
                    <w:rPr>
                      <w:rFonts w:hint="eastAsia"/>
                      <w:color w:val="auto"/>
                      <w:szCs w:val="21"/>
                      <w:lang w:val="en-US" w:eastAsia="zh-CN"/>
                    </w:rPr>
                  </w:pPr>
                  <w:r>
                    <w:rPr>
                      <w:rFonts w:hint="eastAsia"/>
                      <w:color w:val="auto"/>
                      <w:szCs w:val="21"/>
                    </w:rPr>
                    <w:t>要求每月转运一次</w:t>
                  </w:r>
                </w:p>
              </w:tc>
            </w:tr>
            <w:tr w14:paraId="57DA5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713" w:type="pct"/>
                  <w:vMerge w:val="continue"/>
                  <w:vAlign w:val="center"/>
                </w:tcPr>
                <w:p w14:paraId="59E60448">
                  <w:pPr>
                    <w:adjustRightInd w:val="0"/>
                    <w:snapToGrid w:val="0"/>
                    <w:jc w:val="center"/>
                    <w:rPr>
                      <w:color w:val="auto"/>
                    </w:rPr>
                  </w:pPr>
                </w:p>
              </w:tc>
              <w:tc>
                <w:tcPr>
                  <w:tcW w:w="713" w:type="pct"/>
                  <w:vMerge w:val="continue"/>
                  <w:vAlign w:val="center"/>
                </w:tcPr>
                <w:p w14:paraId="7B2957C7">
                  <w:pPr>
                    <w:adjustRightInd w:val="0"/>
                    <w:snapToGrid w:val="0"/>
                    <w:jc w:val="center"/>
                    <w:rPr>
                      <w:color w:val="auto"/>
                    </w:rPr>
                  </w:pPr>
                </w:p>
              </w:tc>
              <w:tc>
                <w:tcPr>
                  <w:tcW w:w="714" w:type="pct"/>
                  <w:vAlign w:val="center"/>
                </w:tcPr>
                <w:p w14:paraId="69A2026A">
                  <w:pPr>
                    <w:adjustRightInd w:val="0"/>
                    <w:snapToGrid w:val="0"/>
                    <w:jc w:val="center"/>
                    <w:rPr>
                      <w:rFonts w:hint="eastAsia"/>
                      <w:color w:val="auto"/>
                      <w:lang w:val="en-US" w:eastAsia="zh-CN"/>
                    </w:rPr>
                  </w:pPr>
                  <w:r>
                    <w:rPr>
                      <w:rFonts w:hint="eastAsia"/>
                      <w:color w:val="auto"/>
                      <w:lang w:val="en-US" w:eastAsia="zh-CN"/>
                    </w:rPr>
                    <w:t>布袋除尘器除尘灰</w:t>
                  </w:r>
                </w:p>
              </w:tc>
              <w:tc>
                <w:tcPr>
                  <w:tcW w:w="714" w:type="pct"/>
                  <w:vMerge w:val="continue"/>
                  <w:vAlign w:val="center"/>
                </w:tcPr>
                <w:p w14:paraId="330040A7">
                  <w:pPr>
                    <w:adjustRightInd w:val="0"/>
                    <w:snapToGrid w:val="0"/>
                    <w:jc w:val="center"/>
                    <w:rPr>
                      <w:rFonts w:hint="eastAsia"/>
                      <w:color w:val="auto"/>
                      <w:lang w:val="en-US" w:eastAsia="zh-CN"/>
                    </w:rPr>
                  </w:pPr>
                </w:p>
              </w:tc>
              <w:tc>
                <w:tcPr>
                  <w:tcW w:w="714" w:type="pct"/>
                  <w:vMerge w:val="continue"/>
                  <w:vAlign w:val="center"/>
                </w:tcPr>
                <w:p w14:paraId="1BED82A8">
                  <w:pPr>
                    <w:adjustRightInd w:val="0"/>
                    <w:snapToGrid w:val="0"/>
                    <w:jc w:val="center"/>
                    <w:rPr>
                      <w:rFonts w:hint="eastAsia"/>
                      <w:color w:val="auto"/>
                      <w:lang w:val="en-US" w:eastAsia="zh-CN"/>
                    </w:rPr>
                  </w:pPr>
                </w:p>
              </w:tc>
              <w:tc>
                <w:tcPr>
                  <w:tcW w:w="714" w:type="pct"/>
                  <w:vAlign w:val="center"/>
                </w:tcPr>
                <w:p w14:paraId="4B063A5B">
                  <w:pPr>
                    <w:adjustRightInd w:val="0"/>
                    <w:snapToGrid w:val="0"/>
                    <w:jc w:val="center"/>
                    <w:rPr>
                      <w:rFonts w:hint="default"/>
                      <w:color w:val="auto"/>
                      <w:lang w:val="en-US" w:eastAsia="zh-CN"/>
                    </w:rPr>
                  </w:pPr>
                  <w:r>
                    <w:rPr>
                      <w:rFonts w:hint="eastAsia"/>
                      <w:color w:val="auto"/>
                      <w:lang w:val="en-US" w:eastAsia="zh-CN"/>
                    </w:rPr>
                    <w:t>0.0062</w:t>
                  </w:r>
                </w:p>
              </w:tc>
              <w:tc>
                <w:tcPr>
                  <w:tcW w:w="714" w:type="pct"/>
                  <w:vAlign w:val="center"/>
                </w:tcPr>
                <w:p w14:paraId="1F88E67D">
                  <w:pPr>
                    <w:adjustRightInd w:val="0"/>
                    <w:snapToGrid w:val="0"/>
                    <w:jc w:val="center"/>
                    <w:rPr>
                      <w:rFonts w:hint="eastAsia"/>
                      <w:color w:val="auto"/>
                      <w:lang w:val="en-US" w:eastAsia="zh-CN"/>
                    </w:rPr>
                  </w:pPr>
                  <w:r>
                    <w:rPr>
                      <w:rFonts w:hint="eastAsia"/>
                      <w:color w:val="auto"/>
                      <w:szCs w:val="21"/>
                    </w:rPr>
                    <w:t>要求每月转运一次</w:t>
                  </w:r>
                </w:p>
              </w:tc>
            </w:tr>
            <w:tr w14:paraId="4BD0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13" w:type="pct"/>
                  <w:vMerge w:val="restart"/>
                  <w:vAlign w:val="center"/>
                </w:tcPr>
                <w:p w14:paraId="269FFCCF">
                  <w:pPr>
                    <w:adjustRightInd w:val="0"/>
                    <w:snapToGrid w:val="0"/>
                    <w:jc w:val="center"/>
                    <w:rPr>
                      <w:color w:val="auto"/>
                      <w:szCs w:val="21"/>
                    </w:rPr>
                  </w:pPr>
                  <w:r>
                    <w:rPr>
                      <w:color w:val="auto"/>
                      <w:sz w:val="21"/>
                      <w:szCs w:val="21"/>
                    </w:rPr>
                    <w:t>危险废物</w:t>
                  </w:r>
                  <w:r>
                    <w:rPr>
                      <w:rFonts w:hint="eastAsia" w:eastAsia="宋体"/>
                      <w:color w:val="auto"/>
                      <w:sz w:val="21"/>
                      <w:szCs w:val="21"/>
                      <w:lang w:val="en-US" w:eastAsia="zh-CN"/>
                    </w:rPr>
                    <w:t>贮存库</w:t>
                  </w:r>
                </w:p>
              </w:tc>
              <w:tc>
                <w:tcPr>
                  <w:tcW w:w="713" w:type="pct"/>
                  <w:vMerge w:val="restart"/>
                  <w:vAlign w:val="center"/>
                </w:tcPr>
                <w:p w14:paraId="5D2DB036">
                  <w:pPr>
                    <w:adjustRightInd w:val="0"/>
                    <w:snapToGrid w:val="0"/>
                    <w:jc w:val="center"/>
                    <w:rPr>
                      <w:color w:val="auto"/>
                      <w:szCs w:val="21"/>
                    </w:rPr>
                  </w:pPr>
                  <w:r>
                    <w:rPr>
                      <w:color w:val="auto"/>
                      <w:szCs w:val="21"/>
                    </w:rPr>
                    <w:t>危险废物</w:t>
                  </w:r>
                </w:p>
              </w:tc>
              <w:tc>
                <w:tcPr>
                  <w:tcW w:w="714" w:type="pct"/>
                  <w:vAlign w:val="center"/>
                </w:tcPr>
                <w:p w14:paraId="7D49ED17">
                  <w:pPr>
                    <w:adjustRightInd w:val="0"/>
                    <w:snapToGrid w:val="0"/>
                    <w:jc w:val="center"/>
                    <w:rPr>
                      <w:rFonts w:hint="eastAsia" w:eastAsia="宋体"/>
                      <w:color w:val="auto"/>
                      <w:szCs w:val="21"/>
                      <w:lang w:eastAsia="zh-CN"/>
                    </w:rPr>
                  </w:pPr>
                  <w:r>
                    <w:rPr>
                      <w:rFonts w:hint="eastAsia"/>
                      <w:color w:val="auto"/>
                      <w:szCs w:val="21"/>
                      <w:lang w:eastAsia="zh-CN"/>
                    </w:rPr>
                    <w:t>废活性炭</w:t>
                  </w:r>
                </w:p>
              </w:tc>
              <w:tc>
                <w:tcPr>
                  <w:tcW w:w="714" w:type="pct"/>
                  <w:vMerge w:val="restart"/>
                  <w:vAlign w:val="center"/>
                </w:tcPr>
                <w:p w14:paraId="0D46CC34">
                  <w:pPr>
                    <w:adjustRightInd w:val="0"/>
                    <w:snapToGrid w:val="0"/>
                    <w:jc w:val="center"/>
                    <w:rPr>
                      <w:rFonts w:hint="eastAsia"/>
                      <w:color w:val="auto"/>
                      <w:szCs w:val="21"/>
                    </w:rPr>
                  </w:pPr>
                  <w:r>
                    <w:rPr>
                      <w:rFonts w:hint="eastAsia"/>
                      <w:color w:val="auto"/>
                      <w:szCs w:val="21"/>
                      <w:lang w:val="en-US" w:eastAsia="zh-CN"/>
                    </w:rPr>
                    <w:t>8</w:t>
                  </w:r>
                  <w:r>
                    <w:rPr>
                      <w:color w:val="auto"/>
                      <w:szCs w:val="21"/>
                    </w:rPr>
                    <w:t>m</w:t>
                  </w:r>
                  <w:r>
                    <w:rPr>
                      <w:color w:val="auto"/>
                      <w:szCs w:val="21"/>
                      <w:vertAlign w:val="superscript"/>
                    </w:rPr>
                    <w:t>2</w:t>
                  </w:r>
                </w:p>
              </w:tc>
              <w:tc>
                <w:tcPr>
                  <w:tcW w:w="714" w:type="pct"/>
                  <w:vMerge w:val="restart"/>
                  <w:vAlign w:val="center"/>
                </w:tcPr>
                <w:p w14:paraId="0622B0E8">
                  <w:pPr>
                    <w:adjustRightInd w:val="0"/>
                    <w:snapToGrid w:val="0"/>
                    <w:jc w:val="center"/>
                    <w:rPr>
                      <w:rFonts w:hint="eastAsia"/>
                      <w:color w:val="auto"/>
                      <w:szCs w:val="21"/>
                    </w:rPr>
                  </w:pPr>
                  <w:r>
                    <w:rPr>
                      <w:rFonts w:hint="eastAsia"/>
                      <w:color w:val="auto"/>
                      <w:szCs w:val="21"/>
                      <w:lang w:val="en-US" w:eastAsia="zh-CN"/>
                    </w:rPr>
                    <w:t>12t</w:t>
                  </w:r>
                </w:p>
              </w:tc>
              <w:tc>
                <w:tcPr>
                  <w:tcW w:w="714" w:type="pct"/>
                  <w:vAlign w:val="center"/>
                </w:tcPr>
                <w:p w14:paraId="42D0AD47">
                  <w:pPr>
                    <w:adjustRightInd w:val="0"/>
                    <w:snapToGrid w:val="0"/>
                    <w:jc w:val="center"/>
                    <w:rPr>
                      <w:rFonts w:hint="default" w:eastAsia="宋体"/>
                      <w:color w:val="auto"/>
                      <w:szCs w:val="21"/>
                      <w:lang w:val="en-US" w:eastAsia="zh-CN"/>
                    </w:rPr>
                  </w:pPr>
                  <w:r>
                    <w:rPr>
                      <w:rFonts w:hint="eastAsia"/>
                      <w:color w:val="auto"/>
                      <w:szCs w:val="21"/>
                      <w:highlight w:val="none"/>
                      <w:lang w:val="en-US" w:eastAsia="zh-CN"/>
                    </w:rPr>
                    <w:t>68.6542</w:t>
                  </w:r>
                </w:p>
              </w:tc>
              <w:tc>
                <w:tcPr>
                  <w:tcW w:w="714" w:type="pct"/>
                  <w:vAlign w:val="center"/>
                </w:tcPr>
                <w:p w14:paraId="241CE4BD">
                  <w:pPr>
                    <w:adjustRightInd w:val="0"/>
                    <w:snapToGrid w:val="0"/>
                    <w:jc w:val="center"/>
                    <w:rPr>
                      <w:rFonts w:hint="eastAsia"/>
                      <w:color w:val="auto"/>
                      <w:szCs w:val="21"/>
                    </w:rPr>
                  </w:pPr>
                  <w:r>
                    <w:rPr>
                      <w:rFonts w:hint="eastAsia"/>
                      <w:color w:val="auto"/>
                      <w:szCs w:val="21"/>
                    </w:rPr>
                    <w:t>要求每</w:t>
                  </w:r>
                  <w:r>
                    <w:rPr>
                      <w:rFonts w:hint="eastAsia"/>
                      <w:color w:val="auto"/>
                      <w:szCs w:val="21"/>
                      <w:lang w:val="en-US" w:eastAsia="zh-CN"/>
                    </w:rPr>
                    <w:t>两</w:t>
                  </w:r>
                  <w:r>
                    <w:rPr>
                      <w:rFonts w:hint="eastAsia"/>
                      <w:color w:val="auto"/>
                      <w:szCs w:val="21"/>
                    </w:rPr>
                    <w:t>月转运一次</w:t>
                  </w:r>
                </w:p>
              </w:tc>
            </w:tr>
            <w:tr w14:paraId="3B47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713" w:type="pct"/>
                  <w:vMerge w:val="continue"/>
                  <w:vAlign w:val="center"/>
                </w:tcPr>
                <w:p w14:paraId="10C39BB9">
                  <w:pPr>
                    <w:adjustRightInd w:val="0"/>
                    <w:snapToGrid w:val="0"/>
                    <w:jc w:val="center"/>
                    <w:rPr>
                      <w:color w:val="auto"/>
                    </w:rPr>
                  </w:pPr>
                </w:p>
              </w:tc>
              <w:tc>
                <w:tcPr>
                  <w:tcW w:w="713" w:type="pct"/>
                  <w:vMerge w:val="continue"/>
                  <w:vAlign w:val="center"/>
                </w:tcPr>
                <w:p w14:paraId="6B0EB804">
                  <w:pPr>
                    <w:adjustRightInd w:val="0"/>
                    <w:snapToGrid w:val="0"/>
                    <w:jc w:val="center"/>
                    <w:rPr>
                      <w:color w:val="auto"/>
                    </w:rPr>
                  </w:pPr>
                </w:p>
              </w:tc>
              <w:tc>
                <w:tcPr>
                  <w:tcW w:w="714" w:type="pct"/>
                  <w:vAlign w:val="center"/>
                </w:tcPr>
                <w:p w14:paraId="007AA3B9">
                  <w:pPr>
                    <w:adjustRightInd w:val="0"/>
                    <w:snapToGrid w:val="0"/>
                    <w:jc w:val="center"/>
                    <w:rPr>
                      <w:rFonts w:hint="eastAsia"/>
                      <w:color w:val="auto"/>
                      <w:szCs w:val="21"/>
                    </w:rPr>
                  </w:pPr>
                  <w:r>
                    <w:rPr>
                      <w:rFonts w:hint="eastAsia"/>
                      <w:color w:val="auto"/>
                      <w:szCs w:val="21"/>
                    </w:rPr>
                    <w:t>袋装（废弃手套、毛巾）、桶装（废机油，容积为200L铁皮桶）</w:t>
                  </w:r>
                </w:p>
              </w:tc>
              <w:tc>
                <w:tcPr>
                  <w:tcW w:w="714" w:type="pct"/>
                  <w:vMerge w:val="continue"/>
                  <w:vAlign w:val="center"/>
                </w:tcPr>
                <w:p w14:paraId="6C1001E4">
                  <w:pPr>
                    <w:adjustRightInd w:val="0"/>
                    <w:snapToGrid w:val="0"/>
                    <w:jc w:val="center"/>
                    <w:rPr>
                      <w:rFonts w:hint="eastAsia"/>
                      <w:color w:val="auto"/>
                      <w:szCs w:val="21"/>
                    </w:rPr>
                  </w:pPr>
                </w:p>
              </w:tc>
              <w:tc>
                <w:tcPr>
                  <w:tcW w:w="714" w:type="pct"/>
                  <w:vMerge w:val="continue"/>
                  <w:vAlign w:val="center"/>
                </w:tcPr>
                <w:p w14:paraId="59AEBD49">
                  <w:pPr>
                    <w:adjustRightInd w:val="0"/>
                    <w:snapToGrid w:val="0"/>
                    <w:jc w:val="center"/>
                    <w:rPr>
                      <w:rFonts w:hint="eastAsia"/>
                      <w:color w:val="auto"/>
                      <w:szCs w:val="21"/>
                    </w:rPr>
                  </w:pPr>
                </w:p>
              </w:tc>
              <w:tc>
                <w:tcPr>
                  <w:tcW w:w="714" w:type="pct"/>
                  <w:vAlign w:val="center"/>
                </w:tcPr>
                <w:p w14:paraId="036E5203">
                  <w:pPr>
                    <w:adjustRightInd w:val="0"/>
                    <w:snapToGrid w:val="0"/>
                    <w:jc w:val="center"/>
                    <w:rPr>
                      <w:rFonts w:hint="eastAsia" w:eastAsia="宋体"/>
                      <w:color w:val="auto"/>
                      <w:szCs w:val="21"/>
                      <w:lang w:eastAsia="zh-CN"/>
                    </w:rPr>
                  </w:pPr>
                  <w:r>
                    <w:rPr>
                      <w:rFonts w:hint="eastAsia"/>
                      <w:color w:val="auto"/>
                      <w:szCs w:val="21"/>
                    </w:rPr>
                    <w:t>0.</w:t>
                  </w:r>
                  <w:r>
                    <w:rPr>
                      <w:rFonts w:hint="eastAsia"/>
                      <w:color w:val="auto"/>
                      <w:szCs w:val="21"/>
                      <w:lang w:val="en-US" w:eastAsia="zh-CN"/>
                    </w:rPr>
                    <w:t>5</w:t>
                  </w:r>
                </w:p>
              </w:tc>
              <w:tc>
                <w:tcPr>
                  <w:tcW w:w="714" w:type="pct"/>
                  <w:vAlign w:val="center"/>
                </w:tcPr>
                <w:p w14:paraId="69341ABE">
                  <w:pPr>
                    <w:adjustRightInd w:val="0"/>
                    <w:snapToGrid w:val="0"/>
                    <w:jc w:val="center"/>
                    <w:rPr>
                      <w:rFonts w:hint="eastAsia"/>
                      <w:color w:val="auto"/>
                      <w:szCs w:val="21"/>
                    </w:rPr>
                  </w:pPr>
                  <w:r>
                    <w:rPr>
                      <w:rFonts w:hint="eastAsia"/>
                      <w:color w:val="auto"/>
                      <w:szCs w:val="21"/>
                    </w:rPr>
                    <w:t>要求每</w:t>
                  </w:r>
                  <w:r>
                    <w:rPr>
                      <w:rFonts w:hint="eastAsia"/>
                      <w:color w:val="auto"/>
                      <w:szCs w:val="21"/>
                      <w:lang w:val="en-US" w:eastAsia="zh-CN"/>
                    </w:rPr>
                    <w:t>两</w:t>
                  </w:r>
                  <w:r>
                    <w:rPr>
                      <w:rFonts w:hint="eastAsia"/>
                      <w:color w:val="auto"/>
                      <w:szCs w:val="21"/>
                    </w:rPr>
                    <w:t>月转运一次</w:t>
                  </w:r>
                </w:p>
              </w:tc>
            </w:tr>
          </w:tbl>
          <w:p w14:paraId="1AF369F1">
            <w:pPr>
              <w:adjustRightInd w:val="0"/>
              <w:snapToGrid w:val="0"/>
              <w:spacing w:line="360" w:lineRule="auto"/>
              <w:ind w:firstLine="480" w:firstLineChars="200"/>
              <w:rPr>
                <w:color w:val="auto"/>
                <w:sz w:val="24"/>
              </w:rPr>
            </w:pPr>
            <w:r>
              <w:rPr>
                <w:rFonts w:hint="eastAsia"/>
                <w:color w:val="auto"/>
                <w:sz w:val="24"/>
              </w:rPr>
              <w:t>本项目需在厂内暂存的一般工业固废产生总量约为</w:t>
            </w:r>
            <w:r>
              <w:rPr>
                <w:rFonts w:hint="eastAsia"/>
                <w:color w:val="auto"/>
                <w:sz w:val="24"/>
                <w:lang w:val="en-US" w:eastAsia="zh-CN"/>
              </w:rPr>
              <w:t>74.1509</w:t>
            </w:r>
            <w:r>
              <w:rPr>
                <w:rFonts w:hint="eastAsia"/>
                <w:color w:val="auto"/>
                <w:sz w:val="24"/>
              </w:rPr>
              <w:t>t/a，环评要求一般工业固体废物约每月转运一次，则每次清理转运量约为</w:t>
            </w:r>
            <w:r>
              <w:rPr>
                <w:rFonts w:hint="eastAsia"/>
                <w:color w:val="auto"/>
                <w:sz w:val="24"/>
                <w:lang w:val="en-US" w:eastAsia="zh-CN"/>
              </w:rPr>
              <w:t>6.18</w:t>
            </w:r>
            <w:r>
              <w:rPr>
                <w:rFonts w:hint="eastAsia"/>
                <w:color w:val="auto"/>
                <w:sz w:val="24"/>
              </w:rPr>
              <w:t>t，项目拟设置</w:t>
            </w:r>
            <w:r>
              <w:rPr>
                <w:color w:val="auto"/>
                <w:sz w:val="24"/>
              </w:rPr>
              <w:t>一般固废暂存间</w:t>
            </w:r>
            <w:r>
              <w:rPr>
                <w:rFonts w:hint="eastAsia"/>
                <w:color w:val="auto"/>
                <w:sz w:val="24"/>
              </w:rPr>
              <w:t>最大贮存量为</w:t>
            </w:r>
            <w:r>
              <w:rPr>
                <w:rFonts w:hint="eastAsia"/>
                <w:color w:val="auto"/>
                <w:sz w:val="24"/>
                <w:lang w:val="en-US" w:eastAsia="zh-CN"/>
              </w:rPr>
              <w:t>15</w:t>
            </w:r>
            <w:r>
              <w:rPr>
                <w:rFonts w:hint="eastAsia"/>
                <w:color w:val="auto"/>
                <w:sz w:val="24"/>
              </w:rPr>
              <w:t>t，因此项目设计的</w:t>
            </w:r>
            <w:r>
              <w:rPr>
                <w:color w:val="auto"/>
                <w:sz w:val="24"/>
              </w:rPr>
              <w:t>一般固废暂存间</w:t>
            </w:r>
            <w:r>
              <w:rPr>
                <w:rFonts w:hint="eastAsia"/>
                <w:color w:val="auto"/>
                <w:sz w:val="24"/>
              </w:rPr>
              <w:t>最大贮存量能够满足本项目的使用需求。本项目</w:t>
            </w:r>
            <w:r>
              <w:rPr>
                <w:rFonts w:hint="eastAsia"/>
                <w:color w:val="auto"/>
                <w:sz w:val="24"/>
                <w:lang w:val="en-US" w:eastAsia="zh-CN"/>
              </w:rPr>
              <w:t>需暂存的</w:t>
            </w:r>
            <w:r>
              <w:rPr>
                <w:rFonts w:hint="eastAsia"/>
                <w:color w:val="auto"/>
                <w:sz w:val="24"/>
              </w:rPr>
              <w:t>危险废物产生总量约为</w:t>
            </w:r>
            <w:r>
              <w:rPr>
                <w:rFonts w:hint="eastAsia"/>
                <w:color w:val="auto"/>
                <w:sz w:val="24"/>
                <w:highlight w:val="none"/>
                <w:lang w:val="en-US" w:eastAsia="zh-CN"/>
              </w:rPr>
              <w:t>69.1542</w:t>
            </w:r>
            <w:r>
              <w:rPr>
                <w:rFonts w:hint="eastAsia"/>
                <w:color w:val="auto"/>
                <w:sz w:val="24"/>
                <w:highlight w:val="none"/>
              </w:rPr>
              <w:t>t/a，环评要求危险废物约每</w:t>
            </w:r>
            <w:r>
              <w:rPr>
                <w:rFonts w:hint="eastAsia"/>
                <w:color w:val="auto"/>
                <w:sz w:val="24"/>
                <w:highlight w:val="none"/>
                <w:lang w:val="en-US" w:eastAsia="zh-CN"/>
              </w:rPr>
              <w:t>两</w:t>
            </w:r>
            <w:r>
              <w:rPr>
                <w:rFonts w:hint="eastAsia"/>
                <w:color w:val="auto"/>
                <w:sz w:val="24"/>
                <w:highlight w:val="none"/>
                <w:lang w:eastAsia="zh-CN"/>
              </w:rPr>
              <w:t>月</w:t>
            </w:r>
            <w:r>
              <w:rPr>
                <w:rFonts w:hint="eastAsia"/>
                <w:color w:val="auto"/>
                <w:sz w:val="24"/>
                <w:highlight w:val="none"/>
              </w:rPr>
              <w:t>转运一次，则每次清理转运量约为</w:t>
            </w:r>
            <w:r>
              <w:rPr>
                <w:rFonts w:hint="eastAsia"/>
                <w:color w:val="auto"/>
                <w:sz w:val="24"/>
                <w:highlight w:val="none"/>
                <w:lang w:val="en-US" w:eastAsia="zh-CN"/>
              </w:rPr>
              <w:t>11.5257</w:t>
            </w:r>
            <w:r>
              <w:rPr>
                <w:rFonts w:hint="eastAsia"/>
                <w:color w:val="auto"/>
                <w:sz w:val="24"/>
                <w:highlight w:val="none"/>
              </w:rPr>
              <w:t>t，</w:t>
            </w:r>
            <w:r>
              <w:rPr>
                <w:rFonts w:hint="eastAsia"/>
                <w:color w:val="auto"/>
                <w:sz w:val="24"/>
              </w:rPr>
              <w:t>项目拟设置</w:t>
            </w:r>
            <w:r>
              <w:rPr>
                <w:color w:val="auto"/>
                <w:sz w:val="24"/>
              </w:rPr>
              <w:t>危险废物</w:t>
            </w:r>
            <w:r>
              <w:rPr>
                <w:rFonts w:hint="eastAsia" w:eastAsia="宋体"/>
                <w:color w:val="auto"/>
                <w:sz w:val="24"/>
                <w:szCs w:val="24"/>
                <w:lang w:val="en-US" w:eastAsia="zh-CN"/>
              </w:rPr>
              <w:t>贮存库</w:t>
            </w:r>
            <w:r>
              <w:rPr>
                <w:rFonts w:hint="eastAsia"/>
                <w:color w:val="auto"/>
                <w:sz w:val="24"/>
              </w:rPr>
              <w:t>最大贮存量为</w:t>
            </w:r>
            <w:r>
              <w:rPr>
                <w:rFonts w:hint="eastAsia"/>
                <w:color w:val="auto"/>
                <w:sz w:val="24"/>
                <w:lang w:val="en-US" w:eastAsia="zh-CN"/>
              </w:rPr>
              <w:t>12</w:t>
            </w:r>
            <w:r>
              <w:rPr>
                <w:rFonts w:hint="eastAsia"/>
                <w:color w:val="auto"/>
                <w:sz w:val="24"/>
              </w:rPr>
              <w:t>t，因此项目设计的</w:t>
            </w:r>
            <w:r>
              <w:rPr>
                <w:color w:val="auto"/>
                <w:sz w:val="24"/>
              </w:rPr>
              <w:t>危险废物</w:t>
            </w:r>
            <w:r>
              <w:rPr>
                <w:rFonts w:hint="eastAsia" w:eastAsia="宋体"/>
                <w:color w:val="auto"/>
                <w:sz w:val="24"/>
                <w:szCs w:val="24"/>
                <w:lang w:val="en-US" w:eastAsia="zh-CN"/>
              </w:rPr>
              <w:t>贮存库</w:t>
            </w:r>
            <w:r>
              <w:rPr>
                <w:rFonts w:hint="eastAsia"/>
                <w:color w:val="auto"/>
                <w:sz w:val="24"/>
              </w:rPr>
              <w:t>最大贮存量能够满足本项目的使用需求。</w:t>
            </w:r>
          </w:p>
          <w:p w14:paraId="2B54F29E">
            <w:pPr>
              <w:adjustRightInd w:val="0"/>
              <w:snapToGrid w:val="0"/>
              <w:spacing w:line="360" w:lineRule="auto"/>
              <w:ind w:firstLine="480" w:firstLineChars="200"/>
              <w:rPr>
                <w:color w:val="auto"/>
                <w:sz w:val="24"/>
              </w:rPr>
            </w:pPr>
            <w:r>
              <w:rPr>
                <w:color w:val="auto"/>
                <w:sz w:val="24"/>
              </w:rPr>
              <w:t>综上分析，项目在严格落实环评提出的各项固体废弃物收集、储存设施确实实施的情况下，一般固体废弃物的储存处置能够达到《一般工业固体废物贮存和填埋污染控制标准》（GB18599-2020）</w:t>
            </w:r>
            <w:r>
              <w:rPr>
                <w:color w:val="auto"/>
                <w:kern w:val="0"/>
                <w:sz w:val="24"/>
              </w:rPr>
              <w:t>中有关规定</w:t>
            </w:r>
            <w:r>
              <w:rPr>
                <w:color w:val="auto"/>
                <w:sz w:val="24"/>
              </w:rPr>
              <w:t>，项目所产生的危险废物能够满足</w:t>
            </w:r>
            <w:r>
              <w:rPr>
                <w:rStyle w:val="76"/>
                <w:color w:val="auto"/>
                <w:sz w:val="24"/>
              </w:rPr>
              <w:t>《危险废物贮存污染控制标准》（GB18597-2023）</w:t>
            </w:r>
            <w:r>
              <w:rPr>
                <w:color w:val="auto"/>
                <w:kern w:val="0"/>
                <w:sz w:val="24"/>
              </w:rPr>
              <w:t>中有关规定</w:t>
            </w:r>
            <w:r>
              <w:rPr>
                <w:color w:val="auto"/>
                <w:sz w:val="24"/>
              </w:rPr>
              <w:t>，项目所产生的固体废弃物能够得到合理、有效的处置，各固体废弃物去向明确，处置率达到100%，对环境的影响较小。</w:t>
            </w:r>
          </w:p>
          <w:p w14:paraId="59908198">
            <w:pPr>
              <w:adjustRightInd w:val="0"/>
              <w:snapToGrid w:val="0"/>
              <w:spacing w:line="360" w:lineRule="auto"/>
              <w:ind w:firstLine="480" w:firstLineChars="200"/>
              <w:rPr>
                <w:color w:val="auto"/>
                <w:sz w:val="24"/>
              </w:rPr>
            </w:pPr>
            <w:r>
              <w:rPr>
                <w:rFonts w:hint="eastAsia"/>
                <w:color w:val="auto"/>
                <w:sz w:val="24"/>
              </w:rPr>
              <w:t>项目固体废物处置汇总情况详见下表。</w:t>
            </w:r>
          </w:p>
          <w:p w14:paraId="5C4C0AE0">
            <w:pPr>
              <w:pStyle w:val="55"/>
              <w:adjustRightInd w:val="0"/>
              <w:snapToGrid w:val="0"/>
              <w:rPr>
                <w:rStyle w:val="52"/>
                <w:b/>
                <w:color w:val="auto"/>
                <w:szCs w:val="21"/>
              </w:rPr>
            </w:pPr>
            <w:r>
              <w:rPr>
                <w:rStyle w:val="52"/>
                <w:b/>
                <w:color w:val="auto"/>
                <w:szCs w:val="21"/>
              </w:rPr>
              <w:t>表4-</w:t>
            </w:r>
            <w:r>
              <w:rPr>
                <w:rStyle w:val="52"/>
                <w:rFonts w:hint="eastAsia"/>
                <w:b/>
                <w:color w:val="auto"/>
                <w:szCs w:val="21"/>
                <w:lang w:val="en-US" w:eastAsia="zh-CN"/>
              </w:rPr>
              <w:t>23</w:t>
            </w:r>
            <w:r>
              <w:rPr>
                <w:rStyle w:val="52"/>
                <w:b/>
                <w:color w:val="auto"/>
                <w:szCs w:val="21"/>
              </w:rPr>
              <w:t xml:space="preserve">   项目固体废物处置情况</w:t>
            </w:r>
          </w:p>
          <w:tbl>
            <w:tblPr>
              <w:tblStyle w:val="31"/>
              <w:tblW w:w="49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565"/>
              <w:gridCol w:w="510"/>
              <w:gridCol w:w="705"/>
              <w:gridCol w:w="534"/>
              <w:gridCol w:w="2"/>
              <w:gridCol w:w="1"/>
              <w:gridCol w:w="523"/>
              <w:gridCol w:w="435"/>
              <w:gridCol w:w="516"/>
              <w:gridCol w:w="614"/>
              <w:gridCol w:w="764"/>
              <w:gridCol w:w="7"/>
              <w:gridCol w:w="637"/>
              <w:gridCol w:w="7"/>
              <w:gridCol w:w="682"/>
              <w:gridCol w:w="7"/>
              <w:gridCol w:w="1030"/>
              <w:gridCol w:w="2"/>
              <w:gridCol w:w="5"/>
              <w:gridCol w:w="4"/>
            </w:tblGrid>
            <w:tr w14:paraId="59E40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5" w:type="pct"/>
                <w:jc w:val="center"/>
              </w:trPr>
              <w:tc>
                <w:tcPr>
                  <w:tcW w:w="791" w:type="pct"/>
                  <w:gridSpan w:val="2"/>
                  <w:vAlign w:val="center"/>
                </w:tcPr>
                <w:p w14:paraId="55CD0E17">
                  <w:pPr>
                    <w:jc w:val="center"/>
                    <w:rPr>
                      <w:b/>
                      <w:bCs/>
                      <w:color w:val="auto"/>
                      <w:szCs w:val="21"/>
                    </w:rPr>
                  </w:pPr>
                  <w:r>
                    <w:rPr>
                      <w:b/>
                      <w:bCs/>
                      <w:color w:val="auto"/>
                      <w:szCs w:val="21"/>
                    </w:rPr>
                    <w:t>产污环节</w:t>
                  </w:r>
                </w:p>
              </w:tc>
              <w:tc>
                <w:tcPr>
                  <w:tcW w:w="307" w:type="pct"/>
                  <w:vAlign w:val="center"/>
                </w:tcPr>
                <w:p w14:paraId="4EE42E49">
                  <w:pPr>
                    <w:jc w:val="center"/>
                    <w:rPr>
                      <w:rFonts w:hint="default" w:eastAsia="宋体"/>
                      <w:color w:val="auto"/>
                      <w:szCs w:val="21"/>
                      <w:lang w:val="en-US" w:eastAsia="zh-CN"/>
                    </w:rPr>
                  </w:pPr>
                  <w:r>
                    <w:rPr>
                      <w:rFonts w:hint="eastAsia"/>
                      <w:color w:val="auto"/>
                      <w:szCs w:val="21"/>
                      <w:lang w:val="en-US" w:eastAsia="zh-CN"/>
                    </w:rPr>
                    <w:t>原辅料开包</w:t>
                  </w:r>
                </w:p>
              </w:tc>
              <w:tc>
                <w:tcPr>
                  <w:tcW w:w="424" w:type="pct"/>
                  <w:vAlign w:val="center"/>
                </w:tcPr>
                <w:p w14:paraId="10EAD36E">
                  <w:pPr>
                    <w:jc w:val="center"/>
                    <w:rPr>
                      <w:rFonts w:hint="default" w:eastAsia="宋体"/>
                      <w:color w:val="auto"/>
                      <w:szCs w:val="21"/>
                      <w:lang w:val="en-US" w:eastAsia="zh-CN"/>
                    </w:rPr>
                  </w:pPr>
                  <w:r>
                    <w:rPr>
                      <w:rFonts w:hint="eastAsia"/>
                      <w:color w:val="auto"/>
                      <w:szCs w:val="21"/>
                      <w:lang w:val="en-US" w:eastAsia="zh-CN"/>
                    </w:rPr>
                    <w:t>注塑、切割、检验</w:t>
                  </w:r>
                </w:p>
              </w:tc>
              <w:tc>
                <w:tcPr>
                  <w:tcW w:w="322" w:type="pct"/>
                  <w:gridSpan w:val="2"/>
                  <w:vAlign w:val="center"/>
                </w:tcPr>
                <w:p w14:paraId="552455BB">
                  <w:pPr>
                    <w:jc w:val="center"/>
                    <w:rPr>
                      <w:rFonts w:hint="eastAsia"/>
                      <w:color w:val="auto"/>
                      <w:szCs w:val="21"/>
                      <w:lang w:val="en-US" w:eastAsia="zh-CN"/>
                    </w:rPr>
                  </w:pPr>
                  <w:r>
                    <w:rPr>
                      <w:rFonts w:hint="eastAsia"/>
                      <w:color w:val="auto"/>
                      <w:szCs w:val="21"/>
                      <w:lang w:val="en-US" w:eastAsia="zh-CN"/>
                    </w:rPr>
                    <w:t>废</w:t>
                  </w:r>
                  <w:r>
                    <w:rPr>
                      <w:rFonts w:hint="eastAsia" w:ascii="Times New Roman" w:hAnsi="Times New Roman" w:eastAsia="宋体" w:cs="Times New Roman"/>
                      <w:color w:val="auto"/>
                      <w:szCs w:val="21"/>
                      <w:lang w:val="en-US" w:eastAsia="zh-CN"/>
                    </w:rPr>
                    <w:t>气处</w:t>
                  </w:r>
                  <w:r>
                    <w:rPr>
                      <w:rFonts w:hint="eastAsia"/>
                      <w:color w:val="auto"/>
                      <w:szCs w:val="21"/>
                      <w:lang w:val="en-US" w:eastAsia="zh-CN"/>
                    </w:rPr>
                    <w:t>理</w:t>
                  </w:r>
                </w:p>
              </w:tc>
              <w:tc>
                <w:tcPr>
                  <w:tcW w:w="315" w:type="pct"/>
                  <w:gridSpan w:val="2"/>
                  <w:vAlign w:val="center"/>
                </w:tcPr>
                <w:p w14:paraId="5B795DB3">
                  <w:pPr>
                    <w:jc w:val="center"/>
                    <w:rPr>
                      <w:rFonts w:hint="default"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注塑工序</w:t>
                  </w:r>
                </w:p>
              </w:tc>
              <w:tc>
                <w:tcPr>
                  <w:tcW w:w="262" w:type="pct"/>
                  <w:vAlign w:val="center"/>
                </w:tcPr>
                <w:p w14:paraId="7D80539D">
                  <w:pPr>
                    <w:jc w:val="center"/>
                    <w:rPr>
                      <w:color w:val="auto"/>
                      <w:szCs w:val="21"/>
                    </w:rPr>
                  </w:pPr>
                  <w:r>
                    <w:rPr>
                      <w:color w:val="auto"/>
                      <w:szCs w:val="21"/>
                    </w:rPr>
                    <w:t>日常生活</w:t>
                  </w:r>
                </w:p>
              </w:tc>
              <w:tc>
                <w:tcPr>
                  <w:tcW w:w="310" w:type="pct"/>
                  <w:vAlign w:val="center"/>
                </w:tcPr>
                <w:p w14:paraId="438293FC">
                  <w:pPr>
                    <w:jc w:val="center"/>
                    <w:rPr>
                      <w:color w:val="auto"/>
                      <w:szCs w:val="21"/>
                    </w:rPr>
                  </w:pPr>
                  <w:r>
                    <w:rPr>
                      <w:color w:val="auto"/>
                      <w:szCs w:val="21"/>
                    </w:rPr>
                    <w:t>食堂</w:t>
                  </w:r>
                </w:p>
              </w:tc>
              <w:tc>
                <w:tcPr>
                  <w:tcW w:w="369" w:type="pct"/>
                  <w:vAlign w:val="center"/>
                </w:tcPr>
                <w:p w14:paraId="6CC356DD">
                  <w:pPr>
                    <w:jc w:val="center"/>
                    <w:rPr>
                      <w:rFonts w:hint="eastAsia" w:eastAsia="宋体"/>
                      <w:color w:val="auto"/>
                      <w:szCs w:val="21"/>
                      <w:lang w:eastAsia="zh-CN"/>
                    </w:rPr>
                  </w:pPr>
                  <w:r>
                    <w:rPr>
                      <w:rFonts w:hint="eastAsia"/>
                      <w:color w:val="auto"/>
                      <w:szCs w:val="21"/>
                      <w:lang w:eastAsia="zh-CN"/>
                    </w:rPr>
                    <w:t>隔油池</w:t>
                  </w:r>
                </w:p>
              </w:tc>
              <w:tc>
                <w:tcPr>
                  <w:tcW w:w="460" w:type="pct"/>
                  <w:vAlign w:val="center"/>
                </w:tcPr>
                <w:p w14:paraId="40445C41">
                  <w:pPr>
                    <w:jc w:val="center"/>
                    <w:rPr>
                      <w:rFonts w:hint="eastAsia" w:eastAsia="宋体"/>
                      <w:color w:val="auto"/>
                      <w:szCs w:val="21"/>
                      <w:lang w:val="en-US" w:eastAsia="zh-CN"/>
                    </w:rPr>
                  </w:pPr>
                  <w:r>
                    <w:rPr>
                      <w:rFonts w:hint="eastAsia"/>
                      <w:color w:val="auto"/>
                      <w:szCs w:val="21"/>
                      <w:lang w:val="en-US" w:eastAsia="zh-CN"/>
                    </w:rPr>
                    <w:t>化粪池</w:t>
                  </w:r>
                </w:p>
              </w:tc>
              <w:tc>
                <w:tcPr>
                  <w:tcW w:w="387" w:type="pct"/>
                  <w:gridSpan w:val="2"/>
                  <w:vAlign w:val="center"/>
                </w:tcPr>
                <w:p w14:paraId="798D37D8">
                  <w:pPr>
                    <w:jc w:val="center"/>
                    <w:rPr>
                      <w:rFonts w:hint="eastAsia"/>
                      <w:color w:val="auto"/>
                      <w:szCs w:val="21"/>
                      <w:lang w:val="en-US" w:eastAsia="zh-CN"/>
                    </w:rPr>
                  </w:pPr>
                  <w:r>
                    <w:rPr>
                      <w:rFonts w:hint="eastAsia"/>
                      <w:color w:val="auto"/>
                      <w:szCs w:val="21"/>
                      <w:lang w:val="en-US" w:eastAsia="zh-CN"/>
                    </w:rPr>
                    <w:t>废气处理</w:t>
                  </w:r>
                </w:p>
              </w:tc>
              <w:tc>
                <w:tcPr>
                  <w:tcW w:w="1041" w:type="pct"/>
                  <w:gridSpan w:val="5"/>
                  <w:vAlign w:val="center"/>
                </w:tcPr>
                <w:p w14:paraId="7FB2DBDD">
                  <w:pPr>
                    <w:jc w:val="center"/>
                    <w:rPr>
                      <w:color w:val="auto"/>
                      <w:szCs w:val="21"/>
                    </w:rPr>
                  </w:pPr>
                  <w:r>
                    <w:rPr>
                      <w:rFonts w:hint="eastAsia"/>
                      <w:color w:val="auto"/>
                      <w:lang w:val="en-US" w:eastAsia="zh-CN"/>
                    </w:rPr>
                    <w:t>设备</w:t>
                  </w:r>
                  <w:r>
                    <w:rPr>
                      <w:rFonts w:hint="eastAsia"/>
                      <w:color w:val="auto"/>
                      <w:szCs w:val="21"/>
                      <w:lang w:val="en-US" w:eastAsia="zh-CN"/>
                    </w:rPr>
                    <w:t>维护保养</w:t>
                  </w:r>
                </w:p>
              </w:tc>
            </w:tr>
            <w:tr w14:paraId="21571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6" w:type="pct"/>
                <w:jc w:val="center"/>
              </w:trPr>
              <w:tc>
                <w:tcPr>
                  <w:tcW w:w="791" w:type="pct"/>
                  <w:gridSpan w:val="2"/>
                  <w:vAlign w:val="center"/>
                </w:tcPr>
                <w:p w14:paraId="1A8CF36D">
                  <w:pPr>
                    <w:jc w:val="center"/>
                    <w:rPr>
                      <w:b/>
                      <w:bCs/>
                      <w:color w:val="auto"/>
                      <w:szCs w:val="21"/>
                    </w:rPr>
                  </w:pPr>
                  <w:r>
                    <w:rPr>
                      <w:b/>
                      <w:bCs/>
                      <w:color w:val="auto"/>
                      <w:szCs w:val="21"/>
                    </w:rPr>
                    <w:t>名称</w:t>
                  </w:r>
                </w:p>
              </w:tc>
              <w:tc>
                <w:tcPr>
                  <w:tcW w:w="307" w:type="pct"/>
                  <w:vAlign w:val="center"/>
                </w:tcPr>
                <w:p w14:paraId="650EC4CA">
                  <w:pPr>
                    <w:jc w:val="center"/>
                    <w:rPr>
                      <w:rFonts w:ascii="Times New Roman" w:hAnsi="Times New Roman" w:eastAsia="宋体" w:cs="Times New Roman"/>
                      <w:color w:val="auto"/>
                      <w:szCs w:val="21"/>
                    </w:rPr>
                  </w:pPr>
                  <w:r>
                    <w:rPr>
                      <w:rFonts w:hint="default" w:ascii="Times New Roman" w:hAnsi="Times New Roman" w:eastAsia="宋体" w:cs="Times New Roman"/>
                      <w:color w:val="auto"/>
                      <w:szCs w:val="21"/>
                    </w:rPr>
                    <w:t>废包装材料</w:t>
                  </w:r>
                </w:p>
              </w:tc>
              <w:tc>
                <w:tcPr>
                  <w:tcW w:w="424" w:type="pct"/>
                  <w:vAlign w:val="center"/>
                </w:tcPr>
                <w:p w14:paraId="1F4ACC0F">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边角料</w:t>
                  </w:r>
                  <w:r>
                    <w:rPr>
                      <w:rFonts w:hint="eastAsia" w:ascii="Times New Roman" w:hAnsi="Times New Roman" w:eastAsia="宋体" w:cs="Times New Roman"/>
                      <w:color w:val="auto"/>
                      <w:szCs w:val="21"/>
                    </w:rPr>
                    <w:t>、不合格产品</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未成形产品</w:t>
                  </w:r>
                </w:p>
              </w:tc>
              <w:tc>
                <w:tcPr>
                  <w:tcW w:w="322" w:type="pct"/>
                  <w:gridSpan w:val="2"/>
                  <w:vAlign w:val="center"/>
                </w:tcPr>
                <w:p w14:paraId="63C0D4A9">
                  <w:pPr>
                    <w:jc w:val="center"/>
                    <w:rPr>
                      <w:rFonts w:ascii="Times New Roman" w:hAnsi="Times New Roman" w:eastAsia="宋体" w:cs="Times New Roman"/>
                      <w:color w:val="auto"/>
                      <w:szCs w:val="21"/>
                    </w:rPr>
                  </w:pPr>
                  <w:r>
                    <w:rPr>
                      <w:rFonts w:hint="eastAsia"/>
                      <w:color w:val="auto"/>
                      <w:szCs w:val="21"/>
                      <w:lang w:val="en-US" w:eastAsia="zh-CN"/>
                    </w:rPr>
                    <w:t>布袋除尘器除尘灰</w:t>
                  </w:r>
                </w:p>
              </w:tc>
              <w:tc>
                <w:tcPr>
                  <w:tcW w:w="315" w:type="pct"/>
                  <w:gridSpan w:val="2"/>
                  <w:vAlign w:val="center"/>
                </w:tcPr>
                <w:p w14:paraId="467ED5B6">
                  <w:pPr>
                    <w:jc w:val="center"/>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需保养模具</w:t>
                  </w:r>
                </w:p>
              </w:tc>
              <w:tc>
                <w:tcPr>
                  <w:tcW w:w="262" w:type="pct"/>
                  <w:vAlign w:val="center"/>
                </w:tcPr>
                <w:p w14:paraId="64A1144D">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生活垃圾</w:t>
                  </w:r>
                </w:p>
              </w:tc>
              <w:tc>
                <w:tcPr>
                  <w:tcW w:w="310" w:type="pct"/>
                  <w:shd w:val="clear" w:color="auto" w:fill="auto"/>
                  <w:vAlign w:val="center"/>
                </w:tcPr>
                <w:p w14:paraId="22E6A1D7">
                  <w:pPr>
                    <w:jc w:val="center"/>
                    <w:rPr>
                      <w:rFonts w:ascii="Times New Roman" w:hAnsi="Times New Roman" w:eastAsia="宋体" w:cs="Times New Roman"/>
                      <w:color w:val="auto"/>
                      <w:szCs w:val="21"/>
                    </w:rPr>
                  </w:pPr>
                  <w:r>
                    <w:rPr>
                      <w:rFonts w:ascii="Times New Roman" w:hAnsi="Times New Roman" w:eastAsia="宋体" w:cs="Times New Roman"/>
                      <w:color w:val="auto"/>
                      <w:szCs w:val="21"/>
                    </w:rPr>
                    <w:t>餐厨垃圾</w:t>
                  </w:r>
                </w:p>
              </w:tc>
              <w:tc>
                <w:tcPr>
                  <w:tcW w:w="369" w:type="pct"/>
                  <w:shd w:val="clear" w:color="auto" w:fill="auto"/>
                  <w:vAlign w:val="center"/>
                </w:tcPr>
                <w:p w14:paraId="3937F9F7">
                  <w:pPr>
                    <w:jc w:val="center"/>
                    <w:rPr>
                      <w:rFonts w:hint="eastAsia" w:ascii="Times New Roman" w:hAnsi="Times New Roman" w:eastAsia="宋体" w:cs="Times New Roman"/>
                      <w:color w:val="auto"/>
                      <w:szCs w:val="21"/>
                      <w:lang w:eastAsia="zh-CN"/>
                    </w:rPr>
                  </w:pPr>
                  <w:r>
                    <w:rPr>
                      <w:rFonts w:hint="eastAsia" w:ascii="Times New Roman" w:hAnsi="Times New Roman" w:eastAsia="宋体" w:cs="Times New Roman"/>
                      <w:color w:val="auto"/>
                      <w:szCs w:val="21"/>
                      <w:lang w:eastAsia="zh-CN"/>
                    </w:rPr>
                    <w:t>隔油池油污</w:t>
                  </w:r>
                </w:p>
              </w:tc>
              <w:tc>
                <w:tcPr>
                  <w:tcW w:w="460" w:type="pct"/>
                  <w:shd w:val="clear" w:color="auto" w:fill="auto"/>
                  <w:vAlign w:val="center"/>
                </w:tcPr>
                <w:p w14:paraId="1A493836">
                  <w:pPr>
                    <w:jc w:val="center"/>
                    <w:rPr>
                      <w:rFonts w:hint="eastAsia" w:eastAsia="宋体"/>
                      <w:color w:val="auto"/>
                      <w:szCs w:val="21"/>
                      <w:lang w:val="en-US" w:eastAsia="zh-CN"/>
                    </w:rPr>
                  </w:pPr>
                  <w:r>
                    <w:rPr>
                      <w:rFonts w:hint="eastAsia"/>
                      <w:color w:val="auto"/>
                      <w:szCs w:val="21"/>
                      <w:lang w:val="en-US" w:eastAsia="zh-CN"/>
                    </w:rPr>
                    <w:t>污泥</w:t>
                  </w:r>
                </w:p>
              </w:tc>
              <w:tc>
                <w:tcPr>
                  <w:tcW w:w="387" w:type="pct"/>
                  <w:gridSpan w:val="2"/>
                  <w:shd w:val="clear" w:color="auto" w:fill="auto"/>
                  <w:vAlign w:val="center"/>
                </w:tcPr>
                <w:p w14:paraId="32CCD66E">
                  <w:pPr>
                    <w:jc w:val="center"/>
                    <w:rPr>
                      <w:rFonts w:hint="eastAsia"/>
                      <w:color w:val="auto"/>
                      <w:szCs w:val="21"/>
                      <w:lang w:val="en-US" w:eastAsia="zh-CN"/>
                    </w:rPr>
                  </w:pPr>
                  <w:r>
                    <w:rPr>
                      <w:rFonts w:hint="eastAsia"/>
                      <w:color w:val="auto"/>
                      <w:szCs w:val="21"/>
                      <w:lang w:val="en-US" w:eastAsia="zh-CN"/>
                    </w:rPr>
                    <w:t>废活性炭</w:t>
                  </w:r>
                </w:p>
              </w:tc>
              <w:tc>
                <w:tcPr>
                  <w:tcW w:w="415" w:type="pct"/>
                  <w:gridSpan w:val="2"/>
                  <w:shd w:val="clear" w:color="auto" w:fill="auto"/>
                  <w:vAlign w:val="center"/>
                </w:tcPr>
                <w:p w14:paraId="223C8FEF">
                  <w:pPr>
                    <w:jc w:val="center"/>
                    <w:rPr>
                      <w:color w:val="auto"/>
                      <w:szCs w:val="21"/>
                    </w:rPr>
                  </w:pPr>
                  <w:r>
                    <w:rPr>
                      <w:color w:val="auto"/>
                      <w:szCs w:val="21"/>
                    </w:rPr>
                    <w:t>废机油</w:t>
                  </w:r>
                </w:p>
              </w:tc>
              <w:tc>
                <w:tcPr>
                  <w:tcW w:w="624" w:type="pct"/>
                  <w:gridSpan w:val="2"/>
                  <w:vAlign w:val="center"/>
                </w:tcPr>
                <w:p w14:paraId="584AA7C8">
                  <w:pPr>
                    <w:jc w:val="center"/>
                    <w:rPr>
                      <w:color w:val="auto"/>
                      <w:szCs w:val="21"/>
                    </w:rPr>
                  </w:pPr>
                  <w:r>
                    <w:rPr>
                      <w:color w:val="auto"/>
                      <w:szCs w:val="21"/>
                    </w:rPr>
                    <w:t>含油废劳保用品</w:t>
                  </w:r>
                </w:p>
              </w:tc>
            </w:tr>
            <w:tr w14:paraId="359A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pct"/>
                <w:jc w:val="center"/>
              </w:trPr>
              <w:tc>
                <w:tcPr>
                  <w:tcW w:w="451" w:type="pct"/>
                  <w:vMerge w:val="restart"/>
                  <w:vAlign w:val="center"/>
                </w:tcPr>
                <w:p w14:paraId="55B9B552">
                  <w:pPr>
                    <w:jc w:val="center"/>
                    <w:rPr>
                      <w:b/>
                      <w:bCs/>
                      <w:color w:val="auto"/>
                      <w:szCs w:val="21"/>
                    </w:rPr>
                  </w:pPr>
                  <w:r>
                    <w:rPr>
                      <w:b/>
                      <w:bCs/>
                      <w:color w:val="auto"/>
                      <w:szCs w:val="21"/>
                    </w:rPr>
                    <w:t>属性</w:t>
                  </w:r>
                </w:p>
                <w:p w14:paraId="5FAB5CC9">
                  <w:pPr>
                    <w:jc w:val="center"/>
                    <w:rPr>
                      <w:b/>
                      <w:bCs/>
                      <w:color w:val="auto"/>
                      <w:szCs w:val="21"/>
                    </w:rPr>
                  </w:pPr>
                </w:p>
              </w:tc>
              <w:tc>
                <w:tcPr>
                  <w:tcW w:w="340" w:type="pct"/>
                  <w:vAlign w:val="center"/>
                </w:tcPr>
                <w:p w14:paraId="07474EDB">
                  <w:pPr>
                    <w:jc w:val="center"/>
                    <w:rPr>
                      <w:b/>
                      <w:bCs/>
                      <w:color w:val="auto"/>
                      <w:szCs w:val="21"/>
                    </w:rPr>
                  </w:pPr>
                  <w:r>
                    <w:rPr>
                      <w:b/>
                      <w:bCs/>
                      <w:color w:val="auto"/>
                      <w:szCs w:val="21"/>
                    </w:rPr>
                    <w:t>属性</w:t>
                  </w:r>
                </w:p>
              </w:tc>
              <w:tc>
                <w:tcPr>
                  <w:tcW w:w="1370" w:type="pct"/>
                  <w:gridSpan w:val="6"/>
                  <w:vAlign w:val="center"/>
                </w:tcPr>
                <w:p w14:paraId="51099520">
                  <w:pPr>
                    <w:jc w:val="center"/>
                    <w:rPr>
                      <w:color w:val="auto"/>
                      <w:szCs w:val="21"/>
                    </w:rPr>
                  </w:pPr>
                  <w:r>
                    <w:rPr>
                      <w:color w:val="auto"/>
                      <w:szCs w:val="21"/>
                    </w:rPr>
                    <w:t>一般工业固废</w:t>
                  </w:r>
                </w:p>
              </w:tc>
              <w:tc>
                <w:tcPr>
                  <w:tcW w:w="1407" w:type="pct"/>
                  <w:gridSpan w:val="5"/>
                  <w:vAlign w:val="center"/>
                </w:tcPr>
                <w:p w14:paraId="520ACA6A">
                  <w:pPr>
                    <w:jc w:val="center"/>
                    <w:rPr>
                      <w:color w:val="auto"/>
                      <w:szCs w:val="21"/>
                    </w:rPr>
                  </w:pPr>
                  <w:r>
                    <w:rPr>
                      <w:color w:val="auto"/>
                      <w:szCs w:val="21"/>
                    </w:rPr>
                    <w:t>一般固废</w:t>
                  </w:r>
                </w:p>
              </w:tc>
              <w:tc>
                <w:tcPr>
                  <w:tcW w:w="387" w:type="pct"/>
                  <w:gridSpan w:val="2"/>
                  <w:vAlign w:val="center"/>
                </w:tcPr>
                <w:p w14:paraId="475EDB93">
                  <w:pPr>
                    <w:jc w:val="center"/>
                    <w:rPr>
                      <w:color w:val="auto"/>
                      <w:szCs w:val="21"/>
                    </w:rPr>
                  </w:pPr>
                  <w:r>
                    <w:rPr>
                      <w:color w:val="auto"/>
                      <w:szCs w:val="21"/>
                    </w:rPr>
                    <w:t>危险废物</w:t>
                  </w:r>
                </w:p>
              </w:tc>
              <w:tc>
                <w:tcPr>
                  <w:tcW w:w="415" w:type="pct"/>
                  <w:gridSpan w:val="2"/>
                  <w:vAlign w:val="center"/>
                </w:tcPr>
                <w:p w14:paraId="793431F7">
                  <w:pPr>
                    <w:jc w:val="center"/>
                    <w:rPr>
                      <w:color w:val="auto"/>
                      <w:szCs w:val="21"/>
                    </w:rPr>
                  </w:pPr>
                  <w:r>
                    <w:rPr>
                      <w:color w:val="auto"/>
                      <w:szCs w:val="21"/>
                    </w:rPr>
                    <w:t>危险废物</w:t>
                  </w:r>
                </w:p>
              </w:tc>
              <w:tc>
                <w:tcPr>
                  <w:tcW w:w="624" w:type="pct"/>
                  <w:gridSpan w:val="3"/>
                  <w:vAlign w:val="center"/>
                </w:tcPr>
                <w:p w14:paraId="3A28E667">
                  <w:pPr>
                    <w:jc w:val="center"/>
                    <w:rPr>
                      <w:color w:val="auto"/>
                      <w:szCs w:val="21"/>
                    </w:rPr>
                  </w:pPr>
                  <w:r>
                    <w:rPr>
                      <w:color w:val="auto"/>
                      <w:szCs w:val="21"/>
                    </w:rPr>
                    <w:t>危险废物</w:t>
                  </w:r>
                </w:p>
              </w:tc>
            </w:tr>
            <w:tr w14:paraId="45FAC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6" w:type="pct"/>
                <w:jc w:val="center"/>
              </w:trPr>
              <w:tc>
                <w:tcPr>
                  <w:tcW w:w="451" w:type="pct"/>
                  <w:vMerge w:val="continue"/>
                  <w:vAlign w:val="center"/>
                </w:tcPr>
                <w:p w14:paraId="2ADC628F">
                  <w:pPr>
                    <w:jc w:val="center"/>
                    <w:rPr>
                      <w:b/>
                      <w:bCs/>
                      <w:color w:val="auto"/>
                      <w:szCs w:val="21"/>
                    </w:rPr>
                  </w:pPr>
                </w:p>
              </w:tc>
              <w:tc>
                <w:tcPr>
                  <w:tcW w:w="340" w:type="pct"/>
                  <w:vAlign w:val="center"/>
                </w:tcPr>
                <w:p w14:paraId="0ED4A554">
                  <w:pPr>
                    <w:jc w:val="center"/>
                    <w:rPr>
                      <w:b/>
                      <w:bCs/>
                      <w:color w:val="auto"/>
                      <w:szCs w:val="21"/>
                    </w:rPr>
                  </w:pPr>
                  <w:r>
                    <w:rPr>
                      <w:b/>
                      <w:bCs/>
                      <w:color w:val="auto"/>
                      <w:szCs w:val="21"/>
                    </w:rPr>
                    <w:t>废物代码</w:t>
                  </w:r>
                </w:p>
              </w:tc>
              <w:tc>
                <w:tcPr>
                  <w:tcW w:w="307" w:type="pct"/>
                  <w:vAlign w:val="center"/>
                </w:tcPr>
                <w:p w14:paraId="033F4A1F">
                  <w:pPr>
                    <w:jc w:val="center"/>
                    <w:rPr>
                      <w:color w:val="auto"/>
                      <w:szCs w:val="21"/>
                    </w:rPr>
                  </w:pPr>
                  <w:r>
                    <w:rPr>
                      <w:rFonts w:hint="eastAsia"/>
                      <w:color w:val="auto"/>
                      <w:szCs w:val="21"/>
                    </w:rPr>
                    <w:t>900-099-S59</w:t>
                  </w:r>
                </w:p>
              </w:tc>
              <w:tc>
                <w:tcPr>
                  <w:tcW w:w="424" w:type="pct"/>
                  <w:vAlign w:val="center"/>
                </w:tcPr>
                <w:p w14:paraId="47777001">
                  <w:pPr>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900-0</w:t>
                  </w:r>
                  <w:r>
                    <w:rPr>
                      <w:rFonts w:hint="eastAsia" w:ascii="Times New Roman" w:hAnsi="Times New Roman" w:eastAsia="宋体" w:cs="Times New Roman"/>
                      <w:color w:val="auto"/>
                      <w:szCs w:val="21"/>
                      <w:lang w:val="en-US" w:eastAsia="zh-CN"/>
                    </w:rPr>
                    <w:t>03</w:t>
                  </w:r>
                  <w:r>
                    <w:rPr>
                      <w:rFonts w:hint="eastAsia" w:ascii="Times New Roman" w:hAnsi="Times New Roman" w:eastAsia="宋体" w:cs="Times New Roman"/>
                      <w:color w:val="auto"/>
                      <w:szCs w:val="21"/>
                    </w:rPr>
                    <w:t>-</w:t>
                  </w:r>
                  <w:r>
                    <w:rPr>
                      <w:rFonts w:hint="eastAsia" w:ascii="Times New Roman" w:hAnsi="Times New Roman" w:eastAsia="宋体" w:cs="Times New Roman"/>
                      <w:color w:val="auto"/>
                      <w:szCs w:val="21"/>
                      <w:lang w:val="en-US" w:eastAsia="zh-CN"/>
                    </w:rPr>
                    <w:t>S17</w:t>
                  </w:r>
                </w:p>
              </w:tc>
              <w:tc>
                <w:tcPr>
                  <w:tcW w:w="321" w:type="pct"/>
                  <w:vAlign w:val="center"/>
                </w:tcPr>
                <w:p w14:paraId="3117C01D">
                  <w:pPr>
                    <w:jc w:val="center"/>
                    <w:rPr>
                      <w:rFonts w:hint="eastAsia" w:ascii="Times New Roman" w:hAnsi="Times New Roman" w:eastAsia="宋体" w:cs="Times New Roman"/>
                      <w:color w:val="auto"/>
                      <w:sz w:val="21"/>
                      <w:szCs w:val="21"/>
                    </w:rPr>
                  </w:pPr>
                  <w:r>
                    <w:rPr>
                      <w:rFonts w:hint="eastAsia"/>
                      <w:color w:val="auto"/>
                      <w:sz w:val="21"/>
                      <w:szCs w:val="21"/>
                    </w:rPr>
                    <w:t>900-</w:t>
                  </w:r>
                  <w:r>
                    <w:rPr>
                      <w:rFonts w:hint="eastAsia"/>
                      <w:color w:val="auto"/>
                      <w:sz w:val="21"/>
                      <w:szCs w:val="21"/>
                      <w:lang w:val="en-US" w:eastAsia="zh-CN"/>
                    </w:rPr>
                    <w:t>099</w:t>
                  </w:r>
                  <w:r>
                    <w:rPr>
                      <w:rFonts w:hint="eastAsia"/>
                      <w:color w:val="auto"/>
                      <w:sz w:val="21"/>
                      <w:szCs w:val="21"/>
                    </w:rPr>
                    <w:t>-</w:t>
                  </w:r>
                  <w:r>
                    <w:rPr>
                      <w:rFonts w:hint="eastAsia"/>
                      <w:color w:val="auto"/>
                      <w:sz w:val="21"/>
                      <w:szCs w:val="21"/>
                      <w:lang w:val="en-US" w:eastAsia="zh-CN"/>
                    </w:rPr>
                    <w:t>S17</w:t>
                  </w:r>
                </w:p>
              </w:tc>
              <w:tc>
                <w:tcPr>
                  <w:tcW w:w="316" w:type="pct"/>
                  <w:gridSpan w:val="3"/>
                  <w:shd w:val="clear" w:color="auto" w:fill="auto"/>
                  <w:vAlign w:val="center"/>
                </w:tcPr>
                <w:p w14:paraId="760800EF">
                  <w:pPr>
                    <w:jc w:val="center"/>
                    <w:rPr>
                      <w:rFonts w:hint="eastAsia" w:ascii="Times New Roman" w:hAnsi="Times New Roman" w:eastAsia="宋体" w:cs="Times New Roman"/>
                      <w:color w:val="auto"/>
                      <w:kern w:val="2"/>
                      <w:sz w:val="21"/>
                      <w:szCs w:val="21"/>
                      <w:lang w:val="en-US" w:eastAsia="zh-CN" w:bidi="ar-SA"/>
                    </w:rPr>
                  </w:pPr>
                  <w:r>
                    <w:rPr>
                      <w:rFonts w:hint="eastAsia"/>
                      <w:color w:val="auto"/>
                      <w:szCs w:val="21"/>
                    </w:rPr>
                    <w:t>900-099-S59</w:t>
                  </w:r>
                </w:p>
              </w:tc>
              <w:tc>
                <w:tcPr>
                  <w:tcW w:w="262" w:type="pct"/>
                  <w:vAlign w:val="center"/>
                </w:tcPr>
                <w:p w14:paraId="2640D8EE">
                  <w:pPr>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lang w:val="en-US" w:eastAsia="zh-CN"/>
                    </w:rPr>
                    <w:t>900-099-S64</w:t>
                  </w:r>
                </w:p>
              </w:tc>
              <w:tc>
                <w:tcPr>
                  <w:tcW w:w="310" w:type="pct"/>
                  <w:vAlign w:val="center"/>
                </w:tcPr>
                <w:p w14:paraId="0360A3B3">
                  <w:pPr>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900-002-S61</w:t>
                  </w:r>
                </w:p>
              </w:tc>
              <w:tc>
                <w:tcPr>
                  <w:tcW w:w="369" w:type="pct"/>
                  <w:vAlign w:val="center"/>
                </w:tcPr>
                <w:p w14:paraId="3F455243">
                  <w:pPr>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szCs w:val="21"/>
                      <w:lang w:val="en-US" w:eastAsia="zh-CN"/>
                    </w:rPr>
                    <w:t>900-002-S61</w:t>
                  </w:r>
                </w:p>
              </w:tc>
              <w:tc>
                <w:tcPr>
                  <w:tcW w:w="460" w:type="pct"/>
                  <w:vAlign w:val="center"/>
                </w:tcPr>
                <w:p w14:paraId="33D181D0">
                  <w:pPr>
                    <w:jc w:val="center"/>
                    <w:rPr>
                      <w:rFonts w:hint="eastAsia"/>
                      <w:color w:val="auto"/>
                      <w:sz w:val="21"/>
                      <w:szCs w:val="21"/>
                    </w:rPr>
                  </w:pPr>
                  <w:r>
                    <w:rPr>
                      <w:rFonts w:hint="eastAsia" w:ascii="Times New Roman" w:hAnsi="Times New Roman" w:eastAsia="宋体" w:cs="Times New Roman"/>
                      <w:b w:val="0"/>
                      <w:color w:val="auto"/>
                      <w:kern w:val="2"/>
                      <w:sz w:val="21"/>
                      <w:szCs w:val="21"/>
                      <w:lang w:val="en-US" w:eastAsia="zh-CN" w:bidi="ar-SA"/>
                    </w:rPr>
                    <w:t>900-099-S07</w:t>
                  </w:r>
                </w:p>
              </w:tc>
              <w:tc>
                <w:tcPr>
                  <w:tcW w:w="387" w:type="pct"/>
                  <w:gridSpan w:val="2"/>
                  <w:vAlign w:val="center"/>
                </w:tcPr>
                <w:p w14:paraId="1306E42E">
                  <w:pPr>
                    <w:jc w:val="center"/>
                    <w:rPr>
                      <w:color w:val="auto"/>
                      <w:szCs w:val="21"/>
                    </w:rPr>
                  </w:pPr>
                  <w:r>
                    <w:rPr>
                      <w:rFonts w:hint="eastAsia" w:eastAsia="宋体"/>
                      <w:color w:val="auto"/>
                      <w:sz w:val="21"/>
                      <w:szCs w:val="21"/>
                      <w:lang w:val="en-US" w:eastAsia="zh-CN"/>
                    </w:rPr>
                    <w:t>HW49，900-039-49</w:t>
                  </w:r>
                </w:p>
              </w:tc>
              <w:tc>
                <w:tcPr>
                  <w:tcW w:w="415" w:type="pct"/>
                  <w:gridSpan w:val="2"/>
                  <w:vAlign w:val="center"/>
                </w:tcPr>
                <w:p w14:paraId="333F2B7B">
                  <w:pPr>
                    <w:jc w:val="center"/>
                    <w:rPr>
                      <w:color w:val="auto"/>
                      <w:szCs w:val="21"/>
                    </w:rPr>
                  </w:pPr>
                  <w:r>
                    <w:rPr>
                      <w:color w:val="auto"/>
                      <w:szCs w:val="21"/>
                    </w:rPr>
                    <w:t>HW08，900-214-08</w:t>
                  </w:r>
                </w:p>
              </w:tc>
              <w:tc>
                <w:tcPr>
                  <w:tcW w:w="624" w:type="pct"/>
                  <w:gridSpan w:val="2"/>
                  <w:vAlign w:val="center"/>
                </w:tcPr>
                <w:p w14:paraId="6F79255A">
                  <w:pPr>
                    <w:jc w:val="center"/>
                    <w:rPr>
                      <w:color w:val="auto"/>
                      <w:szCs w:val="21"/>
                    </w:rPr>
                  </w:pPr>
                  <w:r>
                    <w:rPr>
                      <w:color w:val="auto"/>
                      <w:szCs w:val="21"/>
                    </w:rPr>
                    <w:t>HW49，900-041-49</w:t>
                  </w:r>
                </w:p>
              </w:tc>
            </w:tr>
            <w:tr w14:paraId="19C9F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6" w:type="pct"/>
                <w:jc w:val="center"/>
              </w:trPr>
              <w:tc>
                <w:tcPr>
                  <w:tcW w:w="791" w:type="pct"/>
                  <w:gridSpan w:val="2"/>
                  <w:vAlign w:val="center"/>
                </w:tcPr>
                <w:p w14:paraId="64BFF91C">
                  <w:pPr>
                    <w:jc w:val="center"/>
                    <w:rPr>
                      <w:b/>
                      <w:bCs/>
                      <w:color w:val="auto"/>
                      <w:szCs w:val="21"/>
                    </w:rPr>
                  </w:pPr>
                  <w:r>
                    <w:rPr>
                      <w:b/>
                      <w:bCs/>
                      <w:color w:val="auto"/>
                      <w:szCs w:val="21"/>
                    </w:rPr>
                    <w:t>主要有毒有害物质名称</w:t>
                  </w:r>
                </w:p>
              </w:tc>
              <w:tc>
                <w:tcPr>
                  <w:tcW w:w="307" w:type="pct"/>
                  <w:vAlign w:val="center"/>
                </w:tcPr>
                <w:p w14:paraId="03C52AB9">
                  <w:pPr>
                    <w:jc w:val="center"/>
                    <w:rPr>
                      <w:color w:val="auto"/>
                      <w:szCs w:val="21"/>
                    </w:rPr>
                  </w:pPr>
                  <w:r>
                    <w:rPr>
                      <w:color w:val="auto"/>
                      <w:szCs w:val="21"/>
                    </w:rPr>
                    <w:t>/</w:t>
                  </w:r>
                </w:p>
              </w:tc>
              <w:tc>
                <w:tcPr>
                  <w:tcW w:w="424" w:type="pct"/>
                  <w:vAlign w:val="center"/>
                </w:tcPr>
                <w:p w14:paraId="303DB458">
                  <w:pPr>
                    <w:jc w:val="center"/>
                    <w:rPr>
                      <w:color w:val="auto"/>
                      <w:szCs w:val="21"/>
                    </w:rPr>
                  </w:pPr>
                  <w:r>
                    <w:rPr>
                      <w:color w:val="auto"/>
                      <w:szCs w:val="21"/>
                    </w:rPr>
                    <w:t>/</w:t>
                  </w:r>
                </w:p>
              </w:tc>
              <w:tc>
                <w:tcPr>
                  <w:tcW w:w="321" w:type="pct"/>
                  <w:vAlign w:val="center"/>
                </w:tcPr>
                <w:p w14:paraId="51EF105F">
                  <w:pPr>
                    <w:jc w:val="center"/>
                    <w:rPr>
                      <w:rFonts w:hint="eastAsia" w:eastAsia="宋体"/>
                      <w:color w:val="auto"/>
                      <w:sz w:val="21"/>
                      <w:szCs w:val="21"/>
                      <w:lang w:val="en-US" w:eastAsia="zh-CN"/>
                    </w:rPr>
                  </w:pPr>
                  <w:r>
                    <w:rPr>
                      <w:rFonts w:hint="eastAsia"/>
                      <w:color w:val="auto"/>
                      <w:sz w:val="21"/>
                      <w:szCs w:val="21"/>
                      <w:lang w:val="en-US" w:eastAsia="zh-CN"/>
                    </w:rPr>
                    <w:t>/</w:t>
                  </w:r>
                </w:p>
              </w:tc>
              <w:tc>
                <w:tcPr>
                  <w:tcW w:w="316" w:type="pct"/>
                  <w:gridSpan w:val="3"/>
                  <w:vAlign w:val="center"/>
                </w:tcPr>
                <w:p w14:paraId="64C6BCB9">
                  <w:pPr>
                    <w:jc w:val="center"/>
                    <w:rPr>
                      <w:rFonts w:hint="default"/>
                      <w:color w:val="auto"/>
                      <w:sz w:val="21"/>
                      <w:szCs w:val="21"/>
                      <w:lang w:val="en-US" w:eastAsia="zh-CN"/>
                    </w:rPr>
                  </w:pPr>
                  <w:r>
                    <w:rPr>
                      <w:rFonts w:hint="eastAsia"/>
                      <w:color w:val="auto"/>
                      <w:sz w:val="21"/>
                      <w:szCs w:val="21"/>
                      <w:lang w:val="en-US" w:eastAsia="zh-CN"/>
                    </w:rPr>
                    <w:t>/</w:t>
                  </w:r>
                </w:p>
              </w:tc>
              <w:tc>
                <w:tcPr>
                  <w:tcW w:w="262" w:type="pct"/>
                  <w:vAlign w:val="center"/>
                </w:tcPr>
                <w:p w14:paraId="4021E6A5">
                  <w:pPr>
                    <w:jc w:val="center"/>
                    <w:rPr>
                      <w:color w:val="auto"/>
                      <w:szCs w:val="21"/>
                    </w:rPr>
                  </w:pPr>
                  <w:r>
                    <w:rPr>
                      <w:rFonts w:hint="eastAsia"/>
                      <w:color w:val="auto"/>
                      <w:szCs w:val="21"/>
                    </w:rPr>
                    <w:t>/</w:t>
                  </w:r>
                </w:p>
              </w:tc>
              <w:tc>
                <w:tcPr>
                  <w:tcW w:w="310" w:type="pct"/>
                  <w:vAlign w:val="center"/>
                </w:tcPr>
                <w:p w14:paraId="142DD0EE">
                  <w:pPr>
                    <w:jc w:val="center"/>
                    <w:rPr>
                      <w:rFonts w:hint="eastAsia"/>
                      <w:color w:val="auto"/>
                      <w:szCs w:val="21"/>
                    </w:rPr>
                  </w:pPr>
                  <w:r>
                    <w:rPr>
                      <w:rFonts w:hint="eastAsia"/>
                      <w:color w:val="auto"/>
                      <w:szCs w:val="21"/>
                    </w:rPr>
                    <w:t>/</w:t>
                  </w:r>
                </w:p>
              </w:tc>
              <w:tc>
                <w:tcPr>
                  <w:tcW w:w="369" w:type="pct"/>
                  <w:vAlign w:val="center"/>
                </w:tcPr>
                <w:p w14:paraId="129CE593">
                  <w:pPr>
                    <w:jc w:val="center"/>
                    <w:rPr>
                      <w:rFonts w:hint="eastAsia" w:eastAsia="宋体"/>
                      <w:color w:val="auto"/>
                      <w:szCs w:val="21"/>
                      <w:lang w:val="en-US" w:eastAsia="zh-CN"/>
                    </w:rPr>
                  </w:pPr>
                  <w:r>
                    <w:rPr>
                      <w:rFonts w:hint="eastAsia"/>
                      <w:color w:val="auto"/>
                      <w:szCs w:val="21"/>
                      <w:lang w:val="en-US" w:eastAsia="zh-CN"/>
                    </w:rPr>
                    <w:t>/</w:t>
                  </w:r>
                </w:p>
              </w:tc>
              <w:tc>
                <w:tcPr>
                  <w:tcW w:w="460" w:type="pct"/>
                  <w:vAlign w:val="center"/>
                </w:tcPr>
                <w:p w14:paraId="539DBCE5">
                  <w:pPr>
                    <w:jc w:val="center"/>
                    <w:rPr>
                      <w:rFonts w:hint="default"/>
                      <w:color w:val="auto"/>
                      <w:szCs w:val="21"/>
                      <w:lang w:val="en-US" w:eastAsia="zh-CN"/>
                    </w:rPr>
                  </w:pPr>
                  <w:r>
                    <w:rPr>
                      <w:rFonts w:hint="eastAsia"/>
                      <w:color w:val="auto"/>
                      <w:szCs w:val="21"/>
                      <w:lang w:val="en-US" w:eastAsia="zh-CN"/>
                    </w:rPr>
                    <w:t>/</w:t>
                  </w:r>
                </w:p>
              </w:tc>
              <w:tc>
                <w:tcPr>
                  <w:tcW w:w="387" w:type="pct"/>
                  <w:gridSpan w:val="2"/>
                  <w:vAlign w:val="center"/>
                </w:tcPr>
                <w:p w14:paraId="66F3A30C">
                  <w:pPr>
                    <w:jc w:val="center"/>
                    <w:rPr>
                      <w:rFonts w:hint="eastAsia"/>
                      <w:color w:val="auto"/>
                      <w:szCs w:val="21"/>
                      <w:lang w:eastAsia="zh-CN"/>
                    </w:rPr>
                  </w:pPr>
                  <w:r>
                    <w:rPr>
                      <w:color w:val="auto"/>
                      <w:szCs w:val="21"/>
                    </w:rPr>
                    <w:t>有机废气</w:t>
                  </w:r>
                </w:p>
              </w:tc>
              <w:tc>
                <w:tcPr>
                  <w:tcW w:w="415" w:type="pct"/>
                  <w:gridSpan w:val="2"/>
                  <w:vAlign w:val="center"/>
                </w:tcPr>
                <w:p w14:paraId="45A7EA4B">
                  <w:pPr>
                    <w:jc w:val="center"/>
                    <w:rPr>
                      <w:color w:val="auto"/>
                      <w:szCs w:val="21"/>
                    </w:rPr>
                  </w:pPr>
                  <w:r>
                    <w:rPr>
                      <w:color w:val="auto"/>
                      <w:szCs w:val="21"/>
                    </w:rPr>
                    <w:t>废矿物油</w:t>
                  </w:r>
                </w:p>
              </w:tc>
              <w:tc>
                <w:tcPr>
                  <w:tcW w:w="624" w:type="pct"/>
                  <w:gridSpan w:val="2"/>
                  <w:vAlign w:val="center"/>
                </w:tcPr>
                <w:p w14:paraId="7EE88997">
                  <w:pPr>
                    <w:jc w:val="center"/>
                    <w:rPr>
                      <w:color w:val="auto"/>
                      <w:szCs w:val="21"/>
                    </w:rPr>
                  </w:pPr>
                  <w:r>
                    <w:rPr>
                      <w:color w:val="auto"/>
                      <w:szCs w:val="21"/>
                    </w:rPr>
                    <w:t>废机油</w:t>
                  </w:r>
                </w:p>
              </w:tc>
            </w:tr>
            <w:tr w14:paraId="530AB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6" w:type="pct"/>
                <w:jc w:val="center"/>
              </w:trPr>
              <w:tc>
                <w:tcPr>
                  <w:tcW w:w="791" w:type="pct"/>
                  <w:gridSpan w:val="2"/>
                  <w:vAlign w:val="center"/>
                </w:tcPr>
                <w:p w14:paraId="4C42B24D">
                  <w:pPr>
                    <w:jc w:val="center"/>
                    <w:rPr>
                      <w:b/>
                      <w:bCs/>
                      <w:color w:val="auto"/>
                      <w:szCs w:val="21"/>
                    </w:rPr>
                  </w:pPr>
                  <w:r>
                    <w:rPr>
                      <w:b/>
                      <w:bCs/>
                      <w:color w:val="auto"/>
                      <w:szCs w:val="21"/>
                    </w:rPr>
                    <w:t>物理性状</w:t>
                  </w:r>
                </w:p>
              </w:tc>
              <w:tc>
                <w:tcPr>
                  <w:tcW w:w="307" w:type="pct"/>
                  <w:vAlign w:val="center"/>
                </w:tcPr>
                <w:p w14:paraId="00C476AB">
                  <w:pPr>
                    <w:jc w:val="center"/>
                    <w:rPr>
                      <w:color w:val="auto"/>
                      <w:szCs w:val="21"/>
                    </w:rPr>
                  </w:pPr>
                  <w:r>
                    <w:rPr>
                      <w:color w:val="auto"/>
                      <w:szCs w:val="21"/>
                    </w:rPr>
                    <w:t>固体</w:t>
                  </w:r>
                </w:p>
              </w:tc>
              <w:tc>
                <w:tcPr>
                  <w:tcW w:w="424" w:type="pct"/>
                  <w:vAlign w:val="center"/>
                </w:tcPr>
                <w:p w14:paraId="69E568C3">
                  <w:pPr>
                    <w:jc w:val="center"/>
                    <w:rPr>
                      <w:color w:val="auto"/>
                      <w:szCs w:val="21"/>
                    </w:rPr>
                  </w:pPr>
                  <w:r>
                    <w:rPr>
                      <w:color w:val="auto"/>
                      <w:szCs w:val="21"/>
                    </w:rPr>
                    <w:t>固体</w:t>
                  </w:r>
                </w:p>
              </w:tc>
              <w:tc>
                <w:tcPr>
                  <w:tcW w:w="321" w:type="pct"/>
                  <w:vAlign w:val="center"/>
                </w:tcPr>
                <w:p w14:paraId="3E714028">
                  <w:pPr>
                    <w:jc w:val="center"/>
                    <w:rPr>
                      <w:rFonts w:hint="eastAsia" w:eastAsia="宋体"/>
                      <w:color w:val="auto"/>
                      <w:sz w:val="21"/>
                      <w:szCs w:val="21"/>
                      <w:lang w:eastAsia="zh-CN"/>
                    </w:rPr>
                  </w:pPr>
                  <w:r>
                    <w:rPr>
                      <w:rFonts w:hint="eastAsia"/>
                      <w:color w:val="auto"/>
                      <w:sz w:val="21"/>
                      <w:szCs w:val="21"/>
                      <w:lang w:eastAsia="zh-CN"/>
                    </w:rPr>
                    <w:t>固体</w:t>
                  </w:r>
                </w:p>
              </w:tc>
              <w:tc>
                <w:tcPr>
                  <w:tcW w:w="526" w:type="dxa"/>
                  <w:gridSpan w:val="3"/>
                  <w:vAlign w:val="center"/>
                </w:tcPr>
                <w:p w14:paraId="4D38B2F2">
                  <w:pPr>
                    <w:jc w:val="center"/>
                    <w:rPr>
                      <w:rFonts w:hint="eastAsia"/>
                      <w:color w:val="auto"/>
                      <w:sz w:val="21"/>
                      <w:szCs w:val="21"/>
                      <w:lang w:eastAsia="zh-CN"/>
                    </w:rPr>
                  </w:pPr>
                  <w:r>
                    <w:rPr>
                      <w:rFonts w:hint="eastAsia"/>
                      <w:color w:val="auto"/>
                      <w:sz w:val="21"/>
                      <w:szCs w:val="21"/>
                      <w:lang w:eastAsia="zh-CN"/>
                    </w:rPr>
                    <w:t>固体</w:t>
                  </w:r>
                </w:p>
              </w:tc>
              <w:tc>
                <w:tcPr>
                  <w:tcW w:w="262" w:type="pct"/>
                  <w:vAlign w:val="center"/>
                </w:tcPr>
                <w:p w14:paraId="290CC206">
                  <w:pPr>
                    <w:jc w:val="center"/>
                    <w:rPr>
                      <w:color w:val="auto"/>
                      <w:szCs w:val="21"/>
                    </w:rPr>
                  </w:pPr>
                  <w:r>
                    <w:rPr>
                      <w:color w:val="auto"/>
                      <w:szCs w:val="21"/>
                    </w:rPr>
                    <w:t>固体</w:t>
                  </w:r>
                </w:p>
              </w:tc>
              <w:tc>
                <w:tcPr>
                  <w:tcW w:w="310" w:type="pct"/>
                  <w:vAlign w:val="center"/>
                </w:tcPr>
                <w:p w14:paraId="5E2C81D0">
                  <w:pPr>
                    <w:jc w:val="center"/>
                    <w:rPr>
                      <w:color w:val="auto"/>
                      <w:szCs w:val="21"/>
                    </w:rPr>
                  </w:pPr>
                  <w:r>
                    <w:rPr>
                      <w:color w:val="auto"/>
                      <w:szCs w:val="21"/>
                    </w:rPr>
                    <w:t>固体、油状</w:t>
                  </w:r>
                </w:p>
              </w:tc>
              <w:tc>
                <w:tcPr>
                  <w:tcW w:w="369" w:type="pct"/>
                  <w:vAlign w:val="center"/>
                </w:tcPr>
                <w:p w14:paraId="282567B4">
                  <w:pPr>
                    <w:jc w:val="center"/>
                    <w:rPr>
                      <w:rFonts w:hint="eastAsia" w:eastAsia="宋体"/>
                      <w:color w:val="auto"/>
                      <w:szCs w:val="21"/>
                      <w:lang w:eastAsia="zh-CN"/>
                    </w:rPr>
                  </w:pPr>
                  <w:r>
                    <w:rPr>
                      <w:rFonts w:hint="eastAsia"/>
                      <w:color w:val="auto"/>
                      <w:szCs w:val="21"/>
                      <w:lang w:eastAsia="zh-CN"/>
                    </w:rPr>
                    <w:t>油状</w:t>
                  </w:r>
                </w:p>
              </w:tc>
              <w:tc>
                <w:tcPr>
                  <w:tcW w:w="460" w:type="pct"/>
                  <w:vAlign w:val="center"/>
                </w:tcPr>
                <w:p w14:paraId="2BB65B8C">
                  <w:pPr>
                    <w:jc w:val="center"/>
                    <w:rPr>
                      <w:color w:val="auto"/>
                      <w:szCs w:val="21"/>
                    </w:rPr>
                  </w:pPr>
                  <w:r>
                    <w:rPr>
                      <w:rFonts w:hint="eastAsia"/>
                      <w:color w:val="auto"/>
                      <w:szCs w:val="21"/>
                      <w:lang w:val="en-US" w:eastAsia="zh-CN"/>
                    </w:rPr>
                    <w:t>泥状</w:t>
                  </w:r>
                </w:p>
              </w:tc>
              <w:tc>
                <w:tcPr>
                  <w:tcW w:w="387" w:type="pct"/>
                  <w:gridSpan w:val="2"/>
                  <w:vAlign w:val="center"/>
                </w:tcPr>
                <w:p w14:paraId="63B172C9">
                  <w:pPr>
                    <w:jc w:val="center"/>
                    <w:rPr>
                      <w:color w:val="auto"/>
                      <w:szCs w:val="21"/>
                    </w:rPr>
                  </w:pPr>
                  <w:r>
                    <w:rPr>
                      <w:color w:val="auto"/>
                      <w:szCs w:val="21"/>
                    </w:rPr>
                    <w:t>固体</w:t>
                  </w:r>
                </w:p>
              </w:tc>
              <w:tc>
                <w:tcPr>
                  <w:tcW w:w="415" w:type="pct"/>
                  <w:gridSpan w:val="2"/>
                  <w:vAlign w:val="center"/>
                </w:tcPr>
                <w:p w14:paraId="7FA6EC3D">
                  <w:pPr>
                    <w:jc w:val="center"/>
                    <w:rPr>
                      <w:color w:val="auto"/>
                      <w:szCs w:val="21"/>
                    </w:rPr>
                  </w:pPr>
                  <w:r>
                    <w:rPr>
                      <w:color w:val="auto"/>
                      <w:szCs w:val="21"/>
                    </w:rPr>
                    <w:t>固体</w:t>
                  </w:r>
                </w:p>
              </w:tc>
              <w:tc>
                <w:tcPr>
                  <w:tcW w:w="624" w:type="pct"/>
                  <w:gridSpan w:val="2"/>
                  <w:vAlign w:val="center"/>
                </w:tcPr>
                <w:p w14:paraId="4743D54B">
                  <w:pPr>
                    <w:jc w:val="center"/>
                    <w:rPr>
                      <w:color w:val="auto"/>
                      <w:szCs w:val="21"/>
                    </w:rPr>
                  </w:pPr>
                  <w:r>
                    <w:rPr>
                      <w:color w:val="auto"/>
                      <w:szCs w:val="21"/>
                    </w:rPr>
                    <w:t>油状</w:t>
                  </w:r>
                </w:p>
              </w:tc>
            </w:tr>
            <w:tr w14:paraId="04510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6" w:type="pct"/>
                <w:jc w:val="center"/>
              </w:trPr>
              <w:tc>
                <w:tcPr>
                  <w:tcW w:w="791" w:type="pct"/>
                  <w:gridSpan w:val="2"/>
                  <w:vAlign w:val="center"/>
                </w:tcPr>
                <w:p w14:paraId="39BCFB93">
                  <w:pPr>
                    <w:jc w:val="center"/>
                    <w:rPr>
                      <w:b/>
                      <w:bCs/>
                      <w:color w:val="auto"/>
                      <w:szCs w:val="21"/>
                    </w:rPr>
                  </w:pPr>
                  <w:r>
                    <w:rPr>
                      <w:b/>
                      <w:bCs/>
                      <w:color w:val="auto"/>
                      <w:szCs w:val="21"/>
                    </w:rPr>
                    <w:t>环境危险特性</w:t>
                  </w:r>
                </w:p>
              </w:tc>
              <w:tc>
                <w:tcPr>
                  <w:tcW w:w="307" w:type="pct"/>
                  <w:vAlign w:val="center"/>
                </w:tcPr>
                <w:p w14:paraId="36C38679">
                  <w:pPr>
                    <w:jc w:val="center"/>
                    <w:rPr>
                      <w:color w:val="auto"/>
                      <w:szCs w:val="21"/>
                    </w:rPr>
                  </w:pPr>
                  <w:r>
                    <w:rPr>
                      <w:color w:val="auto"/>
                      <w:szCs w:val="21"/>
                    </w:rPr>
                    <w:t>/</w:t>
                  </w:r>
                </w:p>
              </w:tc>
              <w:tc>
                <w:tcPr>
                  <w:tcW w:w="424" w:type="pct"/>
                  <w:vAlign w:val="center"/>
                </w:tcPr>
                <w:p w14:paraId="635F2DBC">
                  <w:pPr>
                    <w:jc w:val="center"/>
                    <w:rPr>
                      <w:color w:val="auto"/>
                      <w:szCs w:val="21"/>
                    </w:rPr>
                  </w:pPr>
                  <w:r>
                    <w:rPr>
                      <w:color w:val="auto"/>
                      <w:szCs w:val="21"/>
                    </w:rPr>
                    <w:t>/</w:t>
                  </w:r>
                </w:p>
              </w:tc>
              <w:tc>
                <w:tcPr>
                  <w:tcW w:w="321" w:type="pct"/>
                  <w:vAlign w:val="center"/>
                </w:tcPr>
                <w:p w14:paraId="22DCC11E">
                  <w:pPr>
                    <w:jc w:val="center"/>
                    <w:rPr>
                      <w:rFonts w:hint="eastAsia" w:eastAsia="宋体"/>
                      <w:color w:val="auto"/>
                      <w:sz w:val="21"/>
                      <w:szCs w:val="21"/>
                      <w:lang w:val="en-US" w:eastAsia="zh-CN"/>
                    </w:rPr>
                  </w:pPr>
                  <w:r>
                    <w:rPr>
                      <w:rFonts w:hint="eastAsia"/>
                      <w:color w:val="auto"/>
                      <w:sz w:val="21"/>
                      <w:szCs w:val="21"/>
                      <w:lang w:val="en-US" w:eastAsia="zh-CN"/>
                    </w:rPr>
                    <w:t>/</w:t>
                  </w:r>
                </w:p>
              </w:tc>
              <w:tc>
                <w:tcPr>
                  <w:tcW w:w="526" w:type="dxa"/>
                  <w:gridSpan w:val="3"/>
                  <w:vAlign w:val="center"/>
                </w:tcPr>
                <w:p w14:paraId="5C21C090">
                  <w:pPr>
                    <w:jc w:val="center"/>
                    <w:rPr>
                      <w:rFonts w:hint="eastAsia"/>
                      <w:color w:val="auto"/>
                      <w:sz w:val="21"/>
                      <w:szCs w:val="21"/>
                      <w:lang w:val="en-US" w:eastAsia="zh-CN"/>
                    </w:rPr>
                  </w:pPr>
                  <w:r>
                    <w:rPr>
                      <w:rFonts w:hint="eastAsia"/>
                      <w:color w:val="auto"/>
                      <w:sz w:val="21"/>
                      <w:szCs w:val="21"/>
                      <w:lang w:val="en-US" w:eastAsia="zh-CN"/>
                    </w:rPr>
                    <w:t>/</w:t>
                  </w:r>
                </w:p>
              </w:tc>
              <w:tc>
                <w:tcPr>
                  <w:tcW w:w="262" w:type="pct"/>
                  <w:vAlign w:val="center"/>
                </w:tcPr>
                <w:p w14:paraId="380FFCF7">
                  <w:pPr>
                    <w:jc w:val="center"/>
                    <w:rPr>
                      <w:color w:val="auto"/>
                      <w:szCs w:val="21"/>
                    </w:rPr>
                  </w:pPr>
                  <w:r>
                    <w:rPr>
                      <w:color w:val="auto"/>
                      <w:szCs w:val="21"/>
                    </w:rPr>
                    <w:t>/</w:t>
                  </w:r>
                </w:p>
              </w:tc>
              <w:tc>
                <w:tcPr>
                  <w:tcW w:w="310" w:type="pct"/>
                  <w:vAlign w:val="center"/>
                </w:tcPr>
                <w:p w14:paraId="207BD652">
                  <w:pPr>
                    <w:jc w:val="center"/>
                    <w:rPr>
                      <w:color w:val="auto"/>
                      <w:szCs w:val="21"/>
                    </w:rPr>
                  </w:pPr>
                  <w:r>
                    <w:rPr>
                      <w:color w:val="auto"/>
                      <w:szCs w:val="21"/>
                    </w:rPr>
                    <w:t>/</w:t>
                  </w:r>
                </w:p>
              </w:tc>
              <w:tc>
                <w:tcPr>
                  <w:tcW w:w="369" w:type="pct"/>
                  <w:vAlign w:val="center"/>
                </w:tcPr>
                <w:p w14:paraId="781A2863">
                  <w:pPr>
                    <w:jc w:val="center"/>
                    <w:rPr>
                      <w:rFonts w:hint="eastAsia" w:eastAsia="宋体"/>
                      <w:color w:val="auto"/>
                      <w:szCs w:val="21"/>
                      <w:lang w:val="en-US" w:eastAsia="zh-CN"/>
                    </w:rPr>
                  </w:pPr>
                  <w:r>
                    <w:rPr>
                      <w:rFonts w:hint="eastAsia"/>
                      <w:color w:val="auto"/>
                      <w:szCs w:val="21"/>
                      <w:lang w:val="en-US" w:eastAsia="zh-CN"/>
                    </w:rPr>
                    <w:t>/</w:t>
                  </w:r>
                </w:p>
              </w:tc>
              <w:tc>
                <w:tcPr>
                  <w:tcW w:w="460" w:type="pct"/>
                  <w:vAlign w:val="center"/>
                </w:tcPr>
                <w:p w14:paraId="13B6E2FA">
                  <w:pPr>
                    <w:jc w:val="center"/>
                    <w:rPr>
                      <w:rFonts w:hint="eastAsia" w:eastAsia="宋体"/>
                      <w:color w:val="auto"/>
                      <w:szCs w:val="21"/>
                      <w:lang w:val="en-US" w:eastAsia="zh-CN"/>
                    </w:rPr>
                  </w:pPr>
                  <w:r>
                    <w:rPr>
                      <w:rFonts w:hint="eastAsia"/>
                      <w:color w:val="auto"/>
                      <w:szCs w:val="21"/>
                      <w:lang w:val="en-US" w:eastAsia="zh-CN"/>
                    </w:rPr>
                    <w:t>/</w:t>
                  </w:r>
                </w:p>
              </w:tc>
              <w:tc>
                <w:tcPr>
                  <w:tcW w:w="387" w:type="pct"/>
                  <w:gridSpan w:val="2"/>
                  <w:vAlign w:val="center"/>
                </w:tcPr>
                <w:p w14:paraId="17311FD4">
                  <w:pPr>
                    <w:jc w:val="center"/>
                    <w:rPr>
                      <w:color w:val="auto"/>
                    </w:rPr>
                  </w:pPr>
                  <w:r>
                    <w:rPr>
                      <w:color w:val="auto"/>
                      <w:szCs w:val="21"/>
                    </w:rPr>
                    <w:t>T</w:t>
                  </w:r>
                </w:p>
              </w:tc>
              <w:tc>
                <w:tcPr>
                  <w:tcW w:w="415" w:type="pct"/>
                  <w:gridSpan w:val="2"/>
                  <w:vAlign w:val="center"/>
                </w:tcPr>
                <w:p w14:paraId="4B2D5DD0">
                  <w:pPr>
                    <w:jc w:val="center"/>
                    <w:rPr>
                      <w:color w:val="auto"/>
                      <w:szCs w:val="21"/>
                    </w:rPr>
                  </w:pPr>
                  <w:r>
                    <w:rPr>
                      <w:color w:val="auto"/>
                      <w:szCs w:val="21"/>
                    </w:rPr>
                    <w:t>T，I</w:t>
                  </w:r>
                </w:p>
              </w:tc>
              <w:tc>
                <w:tcPr>
                  <w:tcW w:w="624" w:type="pct"/>
                  <w:gridSpan w:val="2"/>
                  <w:vAlign w:val="center"/>
                </w:tcPr>
                <w:p w14:paraId="2D098604">
                  <w:pPr>
                    <w:jc w:val="center"/>
                    <w:rPr>
                      <w:color w:val="auto"/>
                      <w:szCs w:val="21"/>
                    </w:rPr>
                  </w:pPr>
                  <w:r>
                    <w:rPr>
                      <w:color w:val="auto"/>
                      <w:szCs w:val="21"/>
                    </w:rPr>
                    <w:t>T/In</w:t>
                  </w:r>
                </w:p>
              </w:tc>
            </w:tr>
            <w:tr w14:paraId="2665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6" w:type="pct"/>
                <w:trHeight w:val="471" w:hRule="atLeast"/>
                <w:jc w:val="center"/>
              </w:trPr>
              <w:tc>
                <w:tcPr>
                  <w:tcW w:w="791" w:type="pct"/>
                  <w:gridSpan w:val="2"/>
                  <w:vAlign w:val="center"/>
                </w:tcPr>
                <w:p w14:paraId="455DD05C">
                  <w:pPr>
                    <w:jc w:val="center"/>
                    <w:rPr>
                      <w:b/>
                      <w:bCs/>
                      <w:color w:val="auto"/>
                      <w:szCs w:val="21"/>
                    </w:rPr>
                  </w:pPr>
                  <w:r>
                    <w:rPr>
                      <w:b/>
                      <w:bCs/>
                      <w:color w:val="auto"/>
                      <w:szCs w:val="21"/>
                    </w:rPr>
                    <w:t>年度产生量（t/a）</w:t>
                  </w:r>
                </w:p>
              </w:tc>
              <w:tc>
                <w:tcPr>
                  <w:tcW w:w="307" w:type="pct"/>
                  <w:vAlign w:val="center"/>
                </w:tcPr>
                <w:p w14:paraId="3EC089BC">
                  <w:pPr>
                    <w:jc w:val="center"/>
                    <w:rPr>
                      <w:rFonts w:hint="default" w:eastAsia="宋体"/>
                      <w:color w:val="auto"/>
                      <w:szCs w:val="21"/>
                      <w:lang w:val="en-US" w:eastAsia="zh-CN"/>
                    </w:rPr>
                  </w:pPr>
                  <w:r>
                    <w:rPr>
                      <w:rFonts w:hint="eastAsia" w:ascii="Times New Roman" w:hAnsi="Times New Roman" w:eastAsia="宋体" w:cs="Times New Roman"/>
                      <w:color w:val="auto"/>
                      <w:szCs w:val="21"/>
                      <w:lang w:val="en-US" w:eastAsia="zh-CN"/>
                    </w:rPr>
                    <w:t>52.4172</w:t>
                  </w:r>
                </w:p>
              </w:tc>
              <w:tc>
                <w:tcPr>
                  <w:tcW w:w="424" w:type="pct"/>
                  <w:vAlign w:val="center"/>
                </w:tcPr>
                <w:p w14:paraId="1406EBDA">
                  <w:pPr>
                    <w:jc w:val="center"/>
                    <w:rPr>
                      <w:rFonts w:hint="default" w:eastAsia="宋体"/>
                      <w:color w:val="auto"/>
                      <w:szCs w:val="21"/>
                      <w:lang w:val="en-US" w:eastAsia="zh-CN"/>
                    </w:rPr>
                  </w:pPr>
                  <w:r>
                    <w:rPr>
                      <w:rFonts w:hint="eastAsia"/>
                      <w:color w:val="auto"/>
                      <w:szCs w:val="21"/>
                      <w:lang w:val="en-US" w:eastAsia="zh-CN"/>
                    </w:rPr>
                    <w:t>21.7275</w:t>
                  </w:r>
                </w:p>
              </w:tc>
              <w:tc>
                <w:tcPr>
                  <w:tcW w:w="323" w:type="pct"/>
                  <w:gridSpan w:val="3"/>
                  <w:vAlign w:val="center"/>
                </w:tcPr>
                <w:p w14:paraId="277CB77F">
                  <w:pPr>
                    <w:jc w:val="center"/>
                    <w:rPr>
                      <w:rFonts w:hint="default"/>
                      <w:color w:val="auto"/>
                      <w:szCs w:val="21"/>
                      <w:lang w:val="en-US" w:eastAsia="zh-CN"/>
                    </w:rPr>
                  </w:pPr>
                  <w:r>
                    <w:rPr>
                      <w:rFonts w:hint="eastAsia"/>
                      <w:color w:val="auto"/>
                      <w:szCs w:val="21"/>
                      <w:lang w:val="en-US" w:eastAsia="zh-CN"/>
                    </w:rPr>
                    <w:t>0.0062</w:t>
                  </w:r>
                </w:p>
              </w:tc>
              <w:tc>
                <w:tcPr>
                  <w:tcW w:w="315" w:type="pct"/>
                  <w:vAlign w:val="center"/>
                </w:tcPr>
                <w:p w14:paraId="693413D8">
                  <w:pPr>
                    <w:jc w:val="center"/>
                    <w:rPr>
                      <w:rFonts w:hint="default"/>
                      <w:color w:val="auto"/>
                      <w:szCs w:val="21"/>
                      <w:lang w:val="en-US" w:eastAsia="zh-CN"/>
                    </w:rPr>
                  </w:pPr>
                  <w:r>
                    <w:rPr>
                      <w:rFonts w:hint="eastAsia"/>
                      <w:color w:val="auto"/>
                      <w:szCs w:val="21"/>
                      <w:lang w:val="en-US" w:eastAsia="zh-CN"/>
                    </w:rPr>
                    <w:t>4次/a</w:t>
                  </w:r>
                </w:p>
              </w:tc>
              <w:tc>
                <w:tcPr>
                  <w:tcW w:w="262" w:type="pct"/>
                  <w:vAlign w:val="center"/>
                </w:tcPr>
                <w:p w14:paraId="73E51C5A">
                  <w:pPr>
                    <w:jc w:val="center"/>
                    <w:rPr>
                      <w:rFonts w:hint="default" w:eastAsia="宋体"/>
                      <w:color w:val="auto"/>
                      <w:szCs w:val="21"/>
                      <w:lang w:val="en-US" w:eastAsia="zh-CN"/>
                    </w:rPr>
                  </w:pPr>
                  <w:r>
                    <w:rPr>
                      <w:rFonts w:hint="eastAsia"/>
                      <w:color w:val="auto"/>
                      <w:szCs w:val="21"/>
                      <w:lang w:val="en-US" w:eastAsia="zh-CN"/>
                    </w:rPr>
                    <w:t>9.0</w:t>
                  </w:r>
                </w:p>
              </w:tc>
              <w:tc>
                <w:tcPr>
                  <w:tcW w:w="310" w:type="pct"/>
                  <w:vAlign w:val="center"/>
                </w:tcPr>
                <w:p w14:paraId="703C2805">
                  <w:pPr>
                    <w:jc w:val="center"/>
                    <w:rPr>
                      <w:rFonts w:hint="default" w:eastAsia="宋体"/>
                      <w:color w:val="auto"/>
                      <w:szCs w:val="21"/>
                      <w:lang w:val="en-US" w:eastAsia="zh-CN"/>
                    </w:rPr>
                  </w:pPr>
                  <w:r>
                    <w:rPr>
                      <w:rFonts w:hint="eastAsia"/>
                      <w:color w:val="auto"/>
                      <w:szCs w:val="21"/>
                      <w:lang w:val="en-US" w:eastAsia="zh-CN"/>
                    </w:rPr>
                    <w:t>1.8</w:t>
                  </w:r>
                </w:p>
              </w:tc>
              <w:tc>
                <w:tcPr>
                  <w:tcW w:w="369" w:type="pct"/>
                  <w:vAlign w:val="center"/>
                </w:tcPr>
                <w:p w14:paraId="0CEE8F56">
                  <w:pPr>
                    <w:jc w:val="center"/>
                    <w:rPr>
                      <w:rFonts w:hint="default" w:eastAsia="宋体"/>
                      <w:color w:val="auto"/>
                      <w:szCs w:val="21"/>
                      <w:lang w:val="en-US" w:eastAsia="zh-CN"/>
                    </w:rPr>
                  </w:pPr>
                  <w:r>
                    <w:rPr>
                      <w:rFonts w:hint="eastAsia"/>
                      <w:color w:val="auto"/>
                      <w:szCs w:val="21"/>
                      <w:lang w:val="en-US" w:eastAsia="zh-CN"/>
                    </w:rPr>
                    <w:t>0.0184</w:t>
                  </w:r>
                </w:p>
              </w:tc>
              <w:tc>
                <w:tcPr>
                  <w:tcW w:w="460" w:type="pct"/>
                  <w:vAlign w:val="center"/>
                </w:tcPr>
                <w:p w14:paraId="75C9EC9F">
                  <w:pPr>
                    <w:jc w:val="center"/>
                    <w:rPr>
                      <w:rFonts w:hint="default" w:eastAsia="宋体"/>
                      <w:color w:val="auto"/>
                      <w:szCs w:val="21"/>
                      <w:lang w:val="en-US" w:eastAsia="zh-CN"/>
                    </w:rPr>
                  </w:pPr>
                  <w:r>
                    <w:rPr>
                      <w:rFonts w:hint="eastAsia"/>
                      <w:color w:val="auto"/>
                      <w:szCs w:val="21"/>
                      <w:lang w:val="en-US" w:eastAsia="zh-CN"/>
                    </w:rPr>
                    <w:t>0.3</w:t>
                  </w:r>
                </w:p>
              </w:tc>
              <w:tc>
                <w:tcPr>
                  <w:tcW w:w="387" w:type="pct"/>
                  <w:gridSpan w:val="2"/>
                  <w:vAlign w:val="center"/>
                </w:tcPr>
                <w:p w14:paraId="439D76EE">
                  <w:pPr>
                    <w:jc w:val="center"/>
                    <w:rPr>
                      <w:rFonts w:hint="default"/>
                      <w:color w:val="auto"/>
                      <w:szCs w:val="21"/>
                      <w:lang w:val="en-US" w:eastAsia="zh-CN"/>
                    </w:rPr>
                  </w:pPr>
                  <w:r>
                    <w:rPr>
                      <w:rFonts w:hint="eastAsia"/>
                      <w:color w:val="auto"/>
                      <w:szCs w:val="21"/>
                      <w:lang w:val="en-US" w:eastAsia="zh-CN"/>
                    </w:rPr>
                    <w:t>68.6542</w:t>
                  </w:r>
                </w:p>
              </w:tc>
              <w:tc>
                <w:tcPr>
                  <w:tcW w:w="415" w:type="pct"/>
                  <w:gridSpan w:val="2"/>
                  <w:vAlign w:val="center"/>
                </w:tcPr>
                <w:p w14:paraId="32A424D4">
                  <w:pPr>
                    <w:jc w:val="center"/>
                    <w:rPr>
                      <w:rFonts w:hint="eastAsia" w:eastAsia="宋体"/>
                      <w:color w:val="auto"/>
                      <w:szCs w:val="21"/>
                      <w:lang w:val="en-US" w:eastAsia="zh-CN"/>
                    </w:rPr>
                  </w:pPr>
                  <w:r>
                    <w:rPr>
                      <w:color w:val="auto"/>
                      <w:szCs w:val="21"/>
                    </w:rPr>
                    <w:t>0.</w:t>
                  </w:r>
                  <w:r>
                    <w:rPr>
                      <w:rFonts w:hint="eastAsia"/>
                      <w:color w:val="auto"/>
                      <w:szCs w:val="21"/>
                      <w:lang w:val="en-US" w:eastAsia="zh-CN"/>
                    </w:rPr>
                    <w:t>4</w:t>
                  </w:r>
                </w:p>
              </w:tc>
              <w:tc>
                <w:tcPr>
                  <w:tcW w:w="624" w:type="pct"/>
                  <w:gridSpan w:val="2"/>
                  <w:vAlign w:val="center"/>
                </w:tcPr>
                <w:p w14:paraId="78C5A349">
                  <w:pPr>
                    <w:jc w:val="center"/>
                    <w:rPr>
                      <w:color w:val="auto"/>
                      <w:szCs w:val="21"/>
                    </w:rPr>
                  </w:pPr>
                  <w:r>
                    <w:rPr>
                      <w:color w:val="auto"/>
                      <w:szCs w:val="21"/>
                    </w:rPr>
                    <w:t>0.</w:t>
                  </w:r>
                  <w:r>
                    <w:rPr>
                      <w:rFonts w:hint="eastAsia"/>
                      <w:color w:val="auto"/>
                      <w:szCs w:val="21"/>
                    </w:rPr>
                    <w:t>1</w:t>
                  </w:r>
                </w:p>
              </w:tc>
            </w:tr>
            <w:tr w14:paraId="5A62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6" w:type="pct"/>
                <w:jc w:val="center"/>
              </w:trPr>
              <w:tc>
                <w:tcPr>
                  <w:tcW w:w="791" w:type="pct"/>
                  <w:gridSpan w:val="2"/>
                  <w:vAlign w:val="center"/>
                </w:tcPr>
                <w:p w14:paraId="795506DC">
                  <w:pPr>
                    <w:jc w:val="center"/>
                    <w:rPr>
                      <w:b/>
                      <w:bCs/>
                      <w:color w:val="auto"/>
                      <w:szCs w:val="21"/>
                    </w:rPr>
                  </w:pPr>
                  <w:r>
                    <w:rPr>
                      <w:b/>
                      <w:bCs/>
                      <w:color w:val="auto"/>
                      <w:szCs w:val="21"/>
                    </w:rPr>
                    <w:t>贮存方式</w:t>
                  </w:r>
                </w:p>
              </w:tc>
              <w:tc>
                <w:tcPr>
                  <w:tcW w:w="1055" w:type="pct"/>
                  <w:gridSpan w:val="5"/>
                  <w:vAlign w:val="center"/>
                </w:tcPr>
                <w:p w14:paraId="070892ED">
                  <w:pPr>
                    <w:jc w:val="center"/>
                    <w:rPr>
                      <w:rFonts w:hint="eastAsia" w:eastAsia="宋体"/>
                      <w:color w:val="auto"/>
                      <w:szCs w:val="21"/>
                      <w:lang w:eastAsia="zh-CN"/>
                    </w:rPr>
                  </w:pPr>
                  <w:r>
                    <w:rPr>
                      <w:rFonts w:hint="eastAsia"/>
                      <w:color w:val="auto"/>
                      <w:szCs w:val="21"/>
                      <w:lang w:val="en-US" w:eastAsia="zh-CN"/>
                    </w:rPr>
                    <w:t>一般固废暂存间</w:t>
                  </w:r>
                </w:p>
              </w:tc>
              <w:tc>
                <w:tcPr>
                  <w:tcW w:w="315" w:type="pct"/>
                  <w:vAlign w:val="center"/>
                </w:tcPr>
                <w:p w14:paraId="2FCD3531">
                  <w:pPr>
                    <w:jc w:val="center"/>
                    <w:rPr>
                      <w:rFonts w:hint="default"/>
                      <w:color w:val="auto"/>
                      <w:sz w:val="21"/>
                      <w:szCs w:val="21"/>
                      <w:lang w:val="en-US" w:eastAsia="zh-CN"/>
                    </w:rPr>
                  </w:pPr>
                  <w:r>
                    <w:rPr>
                      <w:rFonts w:hint="eastAsia"/>
                      <w:color w:val="auto"/>
                      <w:sz w:val="21"/>
                      <w:szCs w:val="21"/>
                      <w:lang w:val="en-US" w:eastAsia="zh-CN"/>
                    </w:rPr>
                    <w:t>不贮存</w:t>
                  </w:r>
                </w:p>
              </w:tc>
              <w:tc>
                <w:tcPr>
                  <w:tcW w:w="262" w:type="pct"/>
                  <w:vAlign w:val="center"/>
                </w:tcPr>
                <w:p w14:paraId="7CDB2918">
                  <w:pPr>
                    <w:jc w:val="center"/>
                    <w:rPr>
                      <w:color w:val="auto"/>
                      <w:szCs w:val="21"/>
                    </w:rPr>
                  </w:pPr>
                  <w:r>
                    <w:rPr>
                      <w:color w:val="auto"/>
                      <w:szCs w:val="21"/>
                    </w:rPr>
                    <w:t>生活垃圾桶</w:t>
                  </w:r>
                </w:p>
              </w:tc>
              <w:tc>
                <w:tcPr>
                  <w:tcW w:w="310" w:type="pct"/>
                  <w:vAlign w:val="center"/>
                </w:tcPr>
                <w:p w14:paraId="64DD2A3D">
                  <w:pPr>
                    <w:jc w:val="center"/>
                    <w:rPr>
                      <w:color w:val="auto"/>
                      <w:szCs w:val="21"/>
                    </w:rPr>
                  </w:pPr>
                  <w:r>
                    <w:rPr>
                      <w:color w:val="auto"/>
                      <w:szCs w:val="21"/>
                    </w:rPr>
                    <w:t>泔水桶、废油桶</w:t>
                  </w:r>
                </w:p>
              </w:tc>
              <w:tc>
                <w:tcPr>
                  <w:tcW w:w="369" w:type="pct"/>
                  <w:vAlign w:val="center"/>
                </w:tcPr>
                <w:p w14:paraId="705F9D63">
                  <w:pPr>
                    <w:jc w:val="both"/>
                    <w:rPr>
                      <w:rFonts w:hint="default" w:eastAsia="宋体"/>
                      <w:color w:val="auto"/>
                      <w:szCs w:val="21"/>
                      <w:lang w:val="en-US" w:eastAsia="zh-CN"/>
                    </w:rPr>
                  </w:pPr>
                  <w:r>
                    <w:rPr>
                      <w:rFonts w:hint="eastAsia"/>
                      <w:color w:val="auto"/>
                      <w:szCs w:val="21"/>
                      <w:lang w:val="en-US" w:eastAsia="zh-CN"/>
                    </w:rPr>
                    <w:t>废油桶</w:t>
                  </w:r>
                </w:p>
              </w:tc>
              <w:tc>
                <w:tcPr>
                  <w:tcW w:w="460" w:type="pct"/>
                  <w:vAlign w:val="center"/>
                </w:tcPr>
                <w:p w14:paraId="6A5C3313">
                  <w:pPr>
                    <w:jc w:val="center"/>
                    <w:rPr>
                      <w:color w:val="auto"/>
                      <w:szCs w:val="21"/>
                    </w:rPr>
                  </w:pPr>
                  <w:r>
                    <w:rPr>
                      <w:rFonts w:hint="eastAsia"/>
                      <w:color w:val="auto"/>
                      <w:szCs w:val="21"/>
                      <w:lang w:val="en-US" w:eastAsia="zh-CN"/>
                    </w:rPr>
                    <w:t>贮存桶</w:t>
                  </w:r>
                </w:p>
              </w:tc>
              <w:tc>
                <w:tcPr>
                  <w:tcW w:w="1427" w:type="pct"/>
                  <w:gridSpan w:val="6"/>
                  <w:vAlign w:val="center"/>
                </w:tcPr>
                <w:p w14:paraId="7A8BBCD8">
                  <w:pPr>
                    <w:jc w:val="center"/>
                    <w:rPr>
                      <w:color w:val="auto"/>
                      <w:szCs w:val="21"/>
                    </w:rPr>
                  </w:pPr>
                  <w:r>
                    <w:rPr>
                      <w:rFonts w:hint="eastAsia"/>
                      <w:color w:val="auto"/>
                      <w:szCs w:val="21"/>
                      <w:lang w:val="en-US" w:eastAsia="zh-CN"/>
                    </w:rPr>
                    <w:t>危险废物贮存库</w:t>
                  </w:r>
                </w:p>
              </w:tc>
            </w:tr>
            <w:tr w14:paraId="5AFAE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6" w:type="pct"/>
                <w:trHeight w:val="331" w:hRule="atLeast"/>
                <w:jc w:val="center"/>
              </w:trPr>
              <w:tc>
                <w:tcPr>
                  <w:tcW w:w="791" w:type="pct"/>
                  <w:gridSpan w:val="2"/>
                  <w:vAlign w:val="center"/>
                </w:tcPr>
                <w:p w14:paraId="5A4D6022">
                  <w:pPr>
                    <w:jc w:val="center"/>
                    <w:rPr>
                      <w:color w:val="auto"/>
                      <w:szCs w:val="21"/>
                      <w:lang w:val="zh-CN"/>
                    </w:rPr>
                  </w:pPr>
                  <w:r>
                    <w:rPr>
                      <w:b/>
                      <w:bCs/>
                      <w:color w:val="auto"/>
                      <w:szCs w:val="21"/>
                    </w:rPr>
                    <w:t>利用处置方式和去向</w:t>
                  </w:r>
                </w:p>
              </w:tc>
              <w:tc>
                <w:tcPr>
                  <w:tcW w:w="307" w:type="pct"/>
                  <w:vAlign w:val="center"/>
                </w:tcPr>
                <w:p w14:paraId="52E6404F">
                  <w:pPr>
                    <w:jc w:val="center"/>
                    <w:rPr>
                      <w:rFonts w:ascii="Times New Roman" w:hAnsi="Times New Roman" w:eastAsia="宋体" w:cs="Times New Roman"/>
                      <w:color w:val="auto"/>
                      <w:szCs w:val="21"/>
                      <w:lang w:val="zh-CN"/>
                    </w:rPr>
                  </w:pPr>
                  <w:r>
                    <w:rPr>
                      <w:rFonts w:hint="default" w:ascii="Times New Roman" w:hAnsi="Times New Roman" w:eastAsia="宋体" w:cs="Times New Roman"/>
                      <w:color w:val="auto"/>
                      <w:szCs w:val="21"/>
                      <w:lang w:val="en-US" w:eastAsia="zh-CN"/>
                    </w:rPr>
                    <w:t>定期外售给废品收购站</w:t>
                  </w:r>
                </w:p>
              </w:tc>
              <w:tc>
                <w:tcPr>
                  <w:tcW w:w="424" w:type="pct"/>
                  <w:vAlign w:val="center"/>
                </w:tcPr>
                <w:p w14:paraId="1A2BB036">
                  <w:pPr>
                    <w:jc w:val="center"/>
                    <w:rPr>
                      <w:rFonts w:hint="default" w:ascii="Times New Roman" w:hAnsi="Times New Roman" w:eastAsia="宋体" w:cs="Times New Roman"/>
                      <w:color w:val="auto"/>
                      <w:szCs w:val="21"/>
                      <w:lang w:val="en-US" w:eastAsia="zh-CN"/>
                    </w:rPr>
                  </w:pPr>
                  <w:r>
                    <w:rPr>
                      <w:rFonts w:ascii="Times New Roman" w:hAnsi="Times New Roman" w:eastAsia="宋体" w:cs="Times New Roman"/>
                      <w:color w:val="auto"/>
                      <w:szCs w:val="21"/>
                      <w:lang w:val="zh-CN"/>
                    </w:rPr>
                    <w:t>定期进行破碎处理后外售</w:t>
                  </w:r>
                  <w:r>
                    <w:rPr>
                      <w:rFonts w:hint="eastAsia" w:ascii="Times New Roman" w:hAnsi="Times New Roman" w:eastAsia="宋体" w:cs="Times New Roman"/>
                      <w:color w:val="auto"/>
                      <w:szCs w:val="21"/>
                      <w:lang w:val="zh-CN"/>
                    </w:rPr>
                    <w:t>。</w:t>
                  </w:r>
                </w:p>
                <w:p w14:paraId="25923A48">
                  <w:pPr>
                    <w:jc w:val="center"/>
                    <w:rPr>
                      <w:rFonts w:ascii="Times New Roman" w:hAnsi="Times New Roman" w:eastAsia="宋体" w:cs="Times New Roman"/>
                      <w:color w:val="auto"/>
                      <w:szCs w:val="21"/>
                      <w:lang w:val="zh-CN"/>
                    </w:rPr>
                  </w:pPr>
                </w:p>
              </w:tc>
              <w:tc>
                <w:tcPr>
                  <w:tcW w:w="323" w:type="pct"/>
                  <w:gridSpan w:val="3"/>
                  <w:vAlign w:val="center"/>
                </w:tcPr>
                <w:p w14:paraId="00DB2E13">
                  <w:pPr>
                    <w:jc w:val="center"/>
                    <w:rPr>
                      <w:rFonts w:hint="default" w:ascii="Times New Roman" w:hAnsi="Times New Roman" w:eastAsia="宋体" w:cs="Times New Roman"/>
                      <w:color w:val="auto"/>
                      <w:szCs w:val="21"/>
                      <w:lang w:val="en-US"/>
                    </w:rPr>
                  </w:pPr>
                  <w:r>
                    <w:rPr>
                      <w:rFonts w:hint="eastAsia" w:ascii="Times New Roman" w:hAnsi="Times New Roman" w:eastAsia="宋体" w:cs="Times New Roman"/>
                      <w:color w:val="auto"/>
                      <w:szCs w:val="21"/>
                      <w:lang w:val="en-US" w:eastAsia="zh-CN"/>
                    </w:rPr>
                    <w:t>统一收集后同破碎后的</w:t>
                  </w:r>
                  <w:r>
                    <w:rPr>
                      <w:rFonts w:hint="default" w:ascii="Times New Roman" w:hAnsi="Times New Roman" w:eastAsia="宋体" w:cs="Times New Roman"/>
                      <w:color w:val="auto"/>
                      <w:szCs w:val="21"/>
                      <w:lang w:val="zh-CN" w:eastAsia="zh-CN"/>
                    </w:rPr>
                    <w:t>不合格产品及边角料</w:t>
                  </w:r>
                  <w:r>
                    <w:rPr>
                      <w:rFonts w:hint="eastAsia" w:ascii="Times New Roman" w:hAnsi="Times New Roman" w:eastAsia="宋体" w:cs="Times New Roman"/>
                      <w:color w:val="auto"/>
                      <w:szCs w:val="21"/>
                      <w:lang w:val="zh-CN" w:eastAsia="zh-CN"/>
                    </w:rPr>
                    <w:t>、</w:t>
                  </w:r>
                  <w:r>
                    <w:rPr>
                      <w:rFonts w:hint="eastAsia" w:ascii="Times New Roman" w:hAnsi="Times New Roman" w:eastAsia="宋体" w:cs="Times New Roman"/>
                      <w:color w:val="auto"/>
                      <w:szCs w:val="21"/>
                      <w:lang w:val="en-US" w:eastAsia="zh-CN"/>
                    </w:rPr>
                    <w:t>未成品产品一并外售。</w:t>
                  </w:r>
                </w:p>
              </w:tc>
              <w:tc>
                <w:tcPr>
                  <w:tcW w:w="315" w:type="pct"/>
                  <w:vAlign w:val="center"/>
                </w:tcPr>
                <w:p w14:paraId="6AAD2089">
                  <w:pPr>
                    <w:keepNext w:val="0"/>
                    <w:keepLines w:val="0"/>
                    <w:pageBreakBefore w:val="0"/>
                    <w:widowControl w:val="0"/>
                    <w:kinsoku/>
                    <w:wordWrap/>
                    <w:overflowPunct/>
                    <w:topLinePunct w:val="0"/>
                    <w:autoSpaceDE/>
                    <w:autoSpaceDN/>
                    <w:bidi w:val="0"/>
                    <w:adjustRightInd w:val="0"/>
                    <w:snapToGrid w:val="0"/>
                    <w:spacing w:line="360" w:lineRule="auto"/>
                    <w:ind w:leftChars="0" w:firstLine="420" w:firstLineChars="200"/>
                    <w:jc w:val="left"/>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b w:val="0"/>
                      <w:bCs w:val="0"/>
                      <w:color w:val="auto"/>
                      <w:kern w:val="2"/>
                      <w:sz w:val="21"/>
                      <w:szCs w:val="21"/>
                      <w:lang w:val="en-US" w:eastAsia="zh-CN" w:bidi="ar"/>
                    </w:rPr>
                    <w:t>统</w:t>
                  </w:r>
                  <w:r>
                    <w:rPr>
                      <w:rFonts w:hint="eastAsia" w:ascii="Times New Roman" w:hAnsi="Times New Roman" w:eastAsia="宋体" w:cs="Times New Roman"/>
                      <w:color w:val="auto"/>
                      <w:szCs w:val="21"/>
                      <w:lang w:val="en-US" w:eastAsia="zh-CN"/>
                    </w:rPr>
                    <w:t>统</w:t>
                  </w:r>
                  <w:r>
                    <w:rPr>
                      <w:rFonts w:hint="default" w:ascii="Times New Roman" w:hAnsi="Times New Roman" w:eastAsia="宋体" w:cs="Times New Roman"/>
                      <w:color w:val="auto"/>
                      <w:szCs w:val="21"/>
                      <w:lang w:val="en-US" w:eastAsia="zh-CN"/>
                    </w:rPr>
                    <w:t>一收集后</w:t>
                  </w:r>
                  <w:r>
                    <w:rPr>
                      <w:rFonts w:hint="eastAsia" w:ascii="Times New Roman" w:hAnsi="Times New Roman" w:eastAsia="宋体" w:cs="Times New Roman"/>
                      <w:color w:val="auto"/>
                      <w:szCs w:val="21"/>
                      <w:lang w:val="en-US" w:eastAsia="zh-CN"/>
                    </w:rPr>
                    <w:t>返回厂家保养，保养后继续使用。</w:t>
                  </w:r>
                </w:p>
              </w:tc>
              <w:tc>
                <w:tcPr>
                  <w:tcW w:w="262" w:type="pct"/>
                  <w:vAlign w:val="center"/>
                </w:tcPr>
                <w:p w14:paraId="746A38E0">
                  <w:pPr>
                    <w:jc w:val="center"/>
                    <w:rPr>
                      <w:color w:val="auto"/>
                      <w:szCs w:val="21"/>
                      <w:lang w:val="zh-CN"/>
                    </w:rPr>
                  </w:pPr>
                  <w:r>
                    <w:rPr>
                      <w:color w:val="auto"/>
                      <w:szCs w:val="21"/>
                      <w:lang w:val="zh-CN"/>
                    </w:rPr>
                    <w:t>委托环卫部门清运处置。</w:t>
                  </w:r>
                </w:p>
              </w:tc>
              <w:tc>
                <w:tcPr>
                  <w:tcW w:w="680" w:type="pct"/>
                  <w:gridSpan w:val="2"/>
                  <w:vAlign w:val="center"/>
                </w:tcPr>
                <w:p w14:paraId="33998A5A">
                  <w:pPr>
                    <w:jc w:val="center"/>
                    <w:rPr>
                      <w:color w:val="auto"/>
                      <w:szCs w:val="21"/>
                      <w:lang w:val="zh-CN"/>
                    </w:rPr>
                  </w:pPr>
                  <w:r>
                    <w:rPr>
                      <w:color w:val="auto"/>
                      <w:szCs w:val="21"/>
                      <w:lang w:val="zh-CN"/>
                    </w:rPr>
                    <w:t>委托有资质的单位进行处置。</w:t>
                  </w:r>
                </w:p>
              </w:tc>
              <w:tc>
                <w:tcPr>
                  <w:tcW w:w="460" w:type="pct"/>
                  <w:vAlign w:val="center"/>
                </w:tcPr>
                <w:p w14:paraId="4B060837">
                  <w:pPr>
                    <w:jc w:val="center"/>
                    <w:rPr>
                      <w:color w:val="auto"/>
                      <w:szCs w:val="21"/>
                      <w:lang w:val="zh-CN"/>
                    </w:rPr>
                  </w:pPr>
                  <w:r>
                    <w:rPr>
                      <w:color w:val="auto"/>
                      <w:szCs w:val="21"/>
                      <w:lang w:val="zh-CN"/>
                    </w:rPr>
                    <w:t>委托环卫部门清运处置</w:t>
                  </w:r>
                  <w:r>
                    <w:rPr>
                      <w:rFonts w:hint="eastAsia"/>
                      <w:color w:val="auto"/>
                      <w:szCs w:val="21"/>
                      <w:lang w:val="zh-CN"/>
                    </w:rPr>
                    <w:t>。</w:t>
                  </w:r>
                </w:p>
              </w:tc>
              <w:tc>
                <w:tcPr>
                  <w:tcW w:w="1427" w:type="pct"/>
                  <w:gridSpan w:val="6"/>
                  <w:vAlign w:val="center"/>
                </w:tcPr>
                <w:p w14:paraId="49819DE8">
                  <w:pPr>
                    <w:jc w:val="center"/>
                    <w:rPr>
                      <w:color w:val="auto"/>
                      <w:szCs w:val="21"/>
                      <w:lang w:val="zh-CN"/>
                    </w:rPr>
                  </w:pPr>
                  <w:r>
                    <w:rPr>
                      <w:color w:val="auto"/>
                      <w:szCs w:val="21"/>
                      <w:lang w:val="zh-CN"/>
                    </w:rPr>
                    <w:t>委托有资质单位进行处置</w:t>
                  </w:r>
                </w:p>
              </w:tc>
            </w:tr>
            <w:tr w14:paraId="1F336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3"/>
                <w:wAfter w:w="6" w:type="pct"/>
                <w:jc w:val="center"/>
              </w:trPr>
              <w:tc>
                <w:tcPr>
                  <w:tcW w:w="791" w:type="pct"/>
                  <w:gridSpan w:val="2"/>
                  <w:vAlign w:val="center"/>
                </w:tcPr>
                <w:p w14:paraId="3C02481D">
                  <w:pPr>
                    <w:jc w:val="center"/>
                    <w:rPr>
                      <w:b/>
                      <w:bCs/>
                      <w:color w:val="auto"/>
                      <w:szCs w:val="21"/>
                    </w:rPr>
                  </w:pPr>
                  <w:r>
                    <w:rPr>
                      <w:b/>
                      <w:bCs/>
                      <w:color w:val="auto"/>
                      <w:szCs w:val="21"/>
                    </w:rPr>
                    <w:t>利用或处置量（t/a）</w:t>
                  </w:r>
                </w:p>
              </w:tc>
              <w:tc>
                <w:tcPr>
                  <w:tcW w:w="307" w:type="pct"/>
                  <w:vAlign w:val="center"/>
                </w:tcPr>
                <w:p w14:paraId="290F9229">
                  <w:pPr>
                    <w:jc w:val="center"/>
                    <w:rPr>
                      <w:color w:val="auto"/>
                      <w:szCs w:val="21"/>
                    </w:rPr>
                  </w:pPr>
                  <w:r>
                    <w:rPr>
                      <w:rFonts w:hint="eastAsia" w:ascii="Times New Roman" w:hAnsi="Times New Roman" w:eastAsia="宋体" w:cs="Times New Roman"/>
                      <w:color w:val="auto"/>
                      <w:szCs w:val="21"/>
                      <w:lang w:val="en-US" w:eastAsia="zh-CN"/>
                    </w:rPr>
                    <w:t>52.4172</w:t>
                  </w:r>
                </w:p>
              </w:tc>
              <w:tc>
                <w:tcPr>
                  <w:tcW w:w="424" w:type="pct"/>
                  <w:vAlign w:val="center"/>
                </w:tcPr>
                <w:p w14:paraId="4A60F1C4">
                  <w:pPr>
                    <w:jc w:val="center"/>
                    <w:rPr>
                      <w:color w:val="auto"/>
                      <w:szCs w:val="21"/>
                    </w:rPr>
                  </w:pPr>
                  <w:r>
                    <w:rPr>
                      <w:rFonts w:hint="eastAsia"/>
                      <w:color w:val="auto"/>
                      <w:szCs w:val="21"/>
                      <w:lang w:val="en-US" w:eastAsia="zh-CN"/>
                    </w:rPr>
                    <w:t>21.7275</w:t>
                  </w:r>
                </w:p>
              </w:tc>
              <w:tc>
                <w:tcPr>
                  <w:tcW w:w="323" w:type="pct"/>
                  <w:gridSpan w:val="3"/>
                  <w:vAlign w:val="center"/>
                </w:tcPr>
                <w:p w14:paraId="2246719E">
                  <w:pPr>
                    <w:jc w:val="center"/>
                    <w:rPr>
                      <w:rFonts w:hint="default"/>
                      <w:color w:val="auto"/>
                      <w:szCs w:val="21"/>
                      <w:lang w:val="en-US" w:eastAsia="zh-CN"/>
                    </w:rPr>
                  </w:pPr>
                  <w:r>
                    <w:rPr>
                      <w:rFonts w:hint="eastAsia"/>
                      <w:color w:val="auto"/>
                      <w:szCs w:val="21"/>
                      <w:lang w:val="en-US" w:eastAsia="zh-CN"/>
                    </w:rPr>
                    <w:t>0.0062</w:t>
                  </w:r>
                </w:p>
              </w:tc>
              <w:tc>
                <w:tcPr>
                  <w:tcW w:w="315" w:type="pct"/>
                  <w:vAlign w:val="center"/>
                </w:tcPr>
                <w:p w14:paraId="4C54518F">
                  <w:pPr>
                    <w:jc w:val="center"/>
                    <w:rPr>
                      <w:rFonts w:hint="eastAsia"/>
                      <w:color w:val="auto"/>
                      <w:szCs w:val="21"/>
                      <w:lang w:val="en-US" w:eastAsia="zh-CN"/>
                    </w:rPr>
                  </w:pPr>
                  <w:r>
                    <w:rPr>
                      <w:rFonts w:hint="eastAsia"/>
                      <w:color w:val="auto"/>
                      <w:szCs w:val="21"/>
                      <w:lang w:val="en-US" w:eastAsia="zh-CN"/>
                    </w:rPr>
                    <w:t>4次/a</w:t>
                  </w:r>
                </w:p>
              </w:tc>
              <w:tc>
                <w:tcPr>
                  <w:tcW w:w="262" w:type="pct"/>
                  <w:vAlign w:val="center"/>
                </w:tcPr>
                <w:p w14:paraId="0BFF21C2">
                  <w:pPr>
                    <w:jc w:val="center"/>
                    <w:rPr>
                      <w:color w:val="auto"/>
                      <w:szCs w:val="21"/>
                    </w:rPr>
                  </w:pPr>
                  <w:r>
                    <w:rPr>
                      <w:rFonts w:hint="eastAsia"/>
                      <w:color w:val="auto"/>
                      <w:szCs w:val="21"/>
                      <w:lang w:val="en-US" w:eastAsia="zh-CN"/>
                    </w:rPr>
                    <w:t>9.0</w:t>
                  </w:r>
                </w:p>
              </w:tc>
              <w:tc>
                <w:tcPr>
                  <w:tcW w:w="310" w:type="pct"/>
                  <w:vAlign w:val="center"/>
                </w:tcPr>
                <w:p w14:paraId="213B0967">
                  <w:pPr>
                    <w:jc w:val="center"/>
                    <w:rPr>
                      <w:color w:val="auto"/>
                      <w:szCs w:val="21"/>
                    </w:rPr>
                  </w:pPr>
                  <w:r>
                    <w:rPr>
                      <w:rFonts w:hint="eastAsia"/>
                      <w:color w:val="auto"/>
                      <w:szCs w:val="21"/>
                      <w:lang w:val="en-US" w:eastAsia="zh-CN"/>
                    </w:rPr>
                    <w:t>1.8</w:t>
                  </w:r>
                </w:p>
              </w:tc>
              <w:tc>
                <w:tcPr>
                  <w:tcW w:w="369" w:type="pct"/>
                  <w:vAlign w:val="center"/>
                </w:tcPr>
                <w:p w14:paraId="38C5BAA9">
                  <w:pPr>
                    <w:jc w:val="center"/>
                    <w:rPr>
                      <w:rFonts w:hint="default" w:eastAsia="宋体"/>
                      <w:color w:val="auto"/>
                      <w:szCs w:val="21"/>
                      <w:lang w:val="en-US" w:eastAsia="zh-CN"/>
                    </w:rPr>
                  </w:pPr>
                  <w:r>
                    <w:rPr>
                      <w:rFonts w:hint="eastAsia"/>
                      <w:color w:val="auto"/>
                      <w:szCs w:val="21"/>
                      <w:lang w:val="en-US" w:eastAsia="zh-CN"/>
                    </w:rPr>
                    <w:t>0.0184</w:t>
                  </w:r>
                </w:p>
              </w:tc>
              <w:tc>
                <w:tcPr>
                  <w:tcW w:w="460" w:type="pct"/>
                  <w:vAlign w:val="center"/>
                </w:tcPr>
                <w:p w14:paraId="43B3DD12">
                  <w:pPr>
                    <w:jc w:val="center"/>
                    <w:rPr>
                      <w:rFonts w:hint="default"/>
                      <w:color w:val="auto"/>
                      <w:szCs w:val="21"/>
                      <w:lang w:val="en-US"/>
                    </w:rPr>
                  </w:pPr>
                  <w:r>
                    <w:rPr>
                      <w:rFonts w:hint="eastAsia"/>
                      <w:color w:val="auto"/>
                      <w:szCs w:val="21"/>
                      <w:lang w:val="en-US" w:eastAsia="zh-CN"/>
                    </w:rPr>
                    <w:t>0.3</w:t>
                  </w:r>
                </w:p>
              </w:tc>
              <w:tc>
                <w:tcPr>
                  <w:tcW w:w="387" w:type="pct"/>
                  <w:gridSpan w:val="2"/>
                  <w:vAlign w:val="center"/>
                </w:tcPr>
                <w:p w14:paraId="43ABD722">
                  <w:pPr>
                    <w:jc w:val="center"/>
                    <w:rPr>
                      <w:rFonts w:hint="eastAsia"/>
                      <w:color w:val="auto"/>
                      <w:szCs w:val="21"/>
                      <w:lang w:val="en-US" w:eastAsia="zh-CN"/>
                    </w:rPr>
                  </w:pPr>
                  <w:r>
                    <w:rPr>
                      <w:rFonts w:hint="eastAsia"/>
                      <w:color w:val="auto"/>
                      <w:szCs w:val="21"/>
                      <w:lang w:val="en-US" w:eastAsia="zh-CN"/>
                    </w:rPr>
                    <w:t>68.6542</w:t>
                  </w:r>
                </w:p>
              </w:tc>
              <w:tc>
                <w:tcPr>
                  <w:tcW w:w="415" w:type="pct"/>
                  <w:gridSpan w:val="2"/>
                  <w:vAlign w:val="center"/>
                </w:tcPr>
                <w:p w14:paraId="0F942FA3">
                  <w:pPr>
                    <w:jc w:val="center"/>
                    <w:rPr>
                      <w:color w:val="auto"/>
                      <w:szCs w:val="21"/>
                    </w:rPr>
                  </w:pPr>
                  <w:r>
                    <w:rPr>
                      <w:color w:val="auto"/>
                      <w:szCs w:val="21"/>
                    </w:rPr>
                    <w:t>0.</w:t>
                  </w:r>
                  <w:r>
                    <w:rPr>
                      <w:rFonts w:hint="eastAsia"/>
                      <w:color w:val="auto"/>
                      <w:szCs w:val="21"/>
                      <w:lang w:val="en-US" w:eastAsia="zh-CN"/>
                    </w:rPr>
                    <w:t>4</w:t>
                  </w:r>
                </w:p>
              </w:tc>
              <w:tc>
                <w:tcPr>
                  <w:tcW w:w="624" w:type="pct"/>
                  <w:gridSpan w:val="2"/>
                  <w:vAlign w:val="center"/>
                </w:tcPr>
                <w:p w14:paraId="358A23A4">
                  <w:pPr>
                    <w:jc w:val="center"/>
                    <w:rPr>
                      <w:color w:val="auto"/>
                      <w:szCs w:val="21"/>
                    </w:rPr>
                  </w:pPr>
                  <w:r>
                    <w:rPr>
                      <w:color w:val="auto"/>
                      <w:szCs w:val="21"/>
                    </w:rPr>
                    <w:t>0.</w:t>
                  </w:r>
                  <w:r>
                    <w:rPr>
                      <w:rFonts w:hint="eastAsia"/>
                      <w:color w:val="auto"/>
                      <w:szCs w:val="21"/>
                    </w:rPr>
                    <w:t>1</w:t>
                  </w:r>
                </w:p>
              </w:tc>
            </w:tr>
            <w:tr w14:paraId="07332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1" w:type="pct"/>
                  <w:gridSpan w:val="2"/>
                  <w:vAlign w:val="center"/>
                </w:tcPr>
                <w:p w14:paraId="1AD0ACF7">
                  <w:pPr>
                    <w:jc w:val="center"/>
                    <w:rPr>
                      <w:b/>
                      <w:bCs/>
                      <w:color w:val="auto"/>
                      <w:szCs w:val="21"/>
                    </w:rPr>
                  </w:pPr>
                  <w:r>
                    <w:rPr>
                      <w:b/>
                      <w:bCs/>
                      <w:color w:val="auto"/>
                      <w:szCs w:val="21"/>
                    </w:rPr>
                    <w:t>环境管理要求</w:t>
                  </w:r>
                </w:p>
              </w:tc>
              <w:tc>
                <w:tcPr>
                  <w:tcW w:w="4208" w:type="pct"/>
                  <w:gridSpan w:val="19"/>
                  <w:vAlign w:val="center"/>
                </w:tcPr>
                <w:p w14:paraId="2065A2D3">
                  <w:pPr>
                    <w:jc w:val="center"/>
                    <w:rPr>
                      <w:color w:val="auto"/>
                      <w:szCs w:val="21"/>
                    </w:rPr>
                  </w:pPr>
                  <w:r>
                    <w:rPr>
                      <w:color w:val="auto"/>
                      <w:szCs w:val="21"/>
                    </w:rPr>
                    <w:t>100%处置</w:t>
                  </w:r>
                </w:p>
              </w:tc>
            </w:tr>
          </w:tbl>
          <w:p w14:paraId="2BECC328">
            <w:pPr>
              <w:pStyle w:val="83"/>
              <w:adjustRightInd w:val="0"/>
              <w:snapToGrid w:val="0"/>
              <w:spacing w:line="360" w:lineRule="auto"/>
              <w:ind w:firstLine="482" w:firstLineChars="200"/>
              <w:rPr>
                <w:b/>
                <w:color w:val="auto"/>
              </w:rPr>
            </w:pPr>
            <w:r>
              <w:rPr>
                <w:rFonts w:hint="eastAsia"/>
                <w:b/>
                <w:bCs/>
                <w:color w:val="auto"/>
              </w:rPr>
              <w:t>5、</w:t>
            </w:r>
            <w:r>
              <w:rPr>
                <w:b/>
                <w:color w:val="auto"/>
              </w:rPr>
              <w:t>危险废物</w:t>
            </w:r>
            <w:r>
              <w:rPr>
                <w:rFonts w:hint="eastAsia" w:eastAsia="宋体"/>
                <w:b/>
                <w:bCs/>
                <w:color w:val="auto"/>
                <w:sz w:val="24"/>
                <w:szCs w:val="24"/>
                <w:lang w:val="en-US" w:eastAsia="zh-CN"/>
              </w:rPr>
              <w:t>贮存库</w:t>
            </w:r>
            <w:r>
              <w:rPr>
                <w:b/>
                <w:color w:val="auto"/>
              </w:rPr>
              <w:t>建设</w:t>
            </w:r>
            <w:r>
              <w:rPr>
                <w:rFonts w:hint="eastAsia"/>
                <w:b/>
                <w:color w:val="auto"/>
              </w:rPr>
              <w:t>要求</w:t>
            </w:r>
          </w:p>
          <w:p w14:paraId="2376EB0C">
            <w:pPr>
              <w:adjustRightInd w:val="0"/>
              <w:snapToGrid w:val="0"/>
              <w:spacing w:line="360" w:lineRule="auto"/>
              <w:ind w:firstLine="480" w:firstLineChars="200"/>
              <w:rPr>
                <w:color w:val="auto"/>
                <w:sz w:val="24"/>
              </w:rPr>
            </w:pPr>
            <w:r>
              <w:rPr>
                <w:rFonts w:hint="eastAsia"/>
                <w:color w:val="auto"/>
                <w:sz w:val="24"/>
              </w:rPr>
              <w:t>本项目需在厂内暂存的一般工业固废产生总量约为</w:t>
            </w:r>
            <w:r>
              <w:rPr>
                <w:rFonts w:hint="eastAsia"/>
                <w:color w:val="auto"/>
                <w:sz w:val="24"/>
                <w:lang w:val="en-US" w:eastAsia="zh-CN"/>
              </w:rPr>
              <w:t>74.1509</w:t>
            </w:r>
            <w:r>
              <w:rPr>
                <w:rFonts w:hint="eastAsia"/>
                <w:color w:val="auto"/>
                <w:sz w:val="24"/>
              </w:rPr>
              <w:t>t/a，环评要求一般工业固体废物约每月转运一次，则每次清理转运量约为</w:t>
            </w:r>
            <w:r>
              <w:rPr>
                <w:rFonts w:hint="eastAsia"/>
                <w:color w:val="auto"/>
                <w:sz w:val="24"/>
                <w:lang w:val="en-US" w:eastAsia="zh-CN"/>
              </w:rPr>
              <w:t>6.18</w:t>
            </w:r>
            <w:r>
              <w:rPr>
                <w:rFonts w:hint="eastAsia"/>
                <w:color w:val="auto"/>
                <w:sz w:val="24"/>
              </w:rPr>
              <w:t>t，项目拟设置</w:t>
            </w:r>
            <w:r>
              <w:rPr>
                <w:color w:val="auto"/>
                <w:sz w:val="24"/>
              </w:rPr>
              <w:t>一般固废暂存间</w:t>
            </w:r>
            <w:r>
              <w:rPr>
                <w:rFonts w:hint="eastAsia"/>
                <w:color w:val="auto"/>
                <w:sz w:val="24"/>
              </w:rPr>
              <w:t>最大贮存量为</w:t>
            </w:r>
            <w:r>
              <w:rPr>
                <w:rFonts w:hint="eastAsia"/>
                <w:color w:val="auto"/>
                <w:sz w:val="24"/>
                <w:lang w:val="en-US" w:eastAsia="zh-CN"/>
              </w:rPr>
              <w:t>15</w:t>
            </w:r>
            <w:r>
              <w:rPr>
                <w:rFonts w:hint="eastAsia"/>
                <w:color w:val="auto"/>
                <w:sz w:val="24"/>
              </w:rPr>
              <w:t>t，因此项目设计的</w:t>
            </w:r>
            <w:r>
              <w:rPr>
                <w:color w:val="auto"/>
                <w:sz w:val="24"/>
              </w:rPr>
              <w:t>一般固废暂存间</w:t>
            </w:r>
            <w:r>
              <w:rPr>
                <w:rFonts w:hint="eastAsia"/>
                <w:color w:val="auto"/>
                <w:sz w:val="24"/>
              </w:rPr>
              <w:t>最大贮存量能够满足本项目的使用需求。本项目</w:t>
            </w:r>
            <w:r>
              <w:rPr>
                <w:rFonts w:hint="eastAsia"/>
                <w:color w:val="auto"/>
                <w:sz w:val="24"/>
                <w:lang w:val="en-US" w:eastAsia="zh-CN"/>
              </w:rPr>
              <w:t>需暂存的</w:t>
            </w:r>
            <w:r>
              <w:rPr>
                <w:rFonts w:hint="eastAsia"/>
                <w:color w:val="auto"/>
                <w:sz w:val="24"/>
              </w:rPr>
              <w:t>危险废物产生总量约</w:t>
            </w:r>
            <w:r>
              <w:rPr>
                <w:rFonts w:hint="eastAsia"/>
                <w:color w:val="auto"/>
                <w:sz w:val="24"/>
                <w:highlight w:val="none"/>
              </w:rPr>
              <w:t>为</w:t>
            </w:r>
            <w:r>
              <w:rPr>
                <w:rFonts w:hint="eastAsia"/>
                <w:color w:val="auto"/>
                <w:sz w:val="24"/>
                <w:highlight w:val="none"/>
                <w:lang w:val="en-US" w:eastAsia="zh-CN"/>
              </w:rPr>
              <w:t>69.1542</w:t>
            </w:r>
            <w:r>
              <w:rPr>
                <w:rFonts w:hint="eastAsia"/>
                <w:color w:val="auto"/>
                <w:sz w:val="24"/>
                <w:highlight w:val="none"/>
              </w:rPr>
              <w:t>t/a，环评要求危险废物约每</w:t>
            </w:r>
            <w:r>
              <w:rPr>
                <w:rFonts w:hint="eastAsia"/>
                <w:color w:val="auto"/>
                <w:sz w:val="24"/>
                <w:highlight w:val="none"/>
                <w:lang w:val="en-US" w:eastAsia="zh-CN"/>
              </w:rPr>
              <w:t>两</w:t>
            </w:r>
            <w:r>
              <w:rPr>
                <w:rFonts w:hint="eastAsia"/>
                <w:color w:val="auto"/>
                <w:sz w:val="24"/>
                <w:highlight w:val="none"/>
                <w:lang w:eastAsia="zh-CN"/>
              </w:rPr>
              <w:t>月</w:t>
            </w:r>
            <w:r>
              <w:rPr>
                <w:rFonts w:hint="eastAsia"/>
                <w:color w:val="auto"/>
                <w:sz w:val="24"/>
                <w:highlight w:val="none"/>
              </w:rPr>
              <w:t>转运一次，则每次清理转运量约为</w:t>
            </w:r>
            <w:r>
              <w:rPr>
                <w:rFonts w:hint="eastAsia"/>
                <w:color w:val="auto"/>
                <w:sz w:val="24"/>
                <w:highlight w:val="none"/>
                <w:lang w:val="en-US" w:eastAsia="zh-CN"/>
              </w:rPr>
              <w:t>11.5257</w:t>
            </w:r>
            <w:r>
              <w:rPr>
                <w:rFonts w:hint="eastAsia"/>
                <w:color w:val="auto"/>
                <w:sz w:val="24"/>
                <w:highlight w:val="none"/>
              </w:rPr>
              <w:t>t</w:t>
            </w:r>
            <w:r>
              <w:rPr>
                <w:rFonts w:hint="eastAsia"/>
                <w:color w:val="auto"/>
                <w:sz w:val="24"/>
              </w:rPr>
              <w:t>，项目拟设置</w:t>
            </w:r>
            <w:r>
              <w:rPr>
                <w:color w:val="auto"/>
                <w:sz w:val="24"/>
              </w:rPr>
              <w:t>危险废物</w:t>
            </w:r>
            <w:r>
              <w:rPr>
                <w:rFonts w:hint="eastAsia" w:eastAsia="宋体"/>
                <w:color w:val="auto"/>
                <w:sz w:val="24"/>
                <w:szCs w:val="24"/>
                <w:lang w:val="en-US" w:eastAsia="zh-CN"/>
              </w:rPr>
              <w:t>贮存库</w:t>
            </w:r>
            <w:r>
              <w:rPr>
                <w:rFonts w:hint="eastAsia"/>
                <w:color w:val="auto"/>
                <w:sz w:val="24"/>
              </w:rPr>
              <w:t>最大贮存量为</w:t>
            </w:r>
            <w:r>
              <w:rPr>
                <w:rFonts w:hint="eastAsia"/>
                <w:color w:val="auto"/>
                <w:sz w:val="24"/>
                <w:lang w:val="en-US" w:eastAsia="zh-CN"/>
              </w:rPr>
              <w:t>12</w:t>
            </w:r>
            <w:r>
              <w:rPr>
                <w:rFonts w:hint="eastAsia"/>
                <w:color w:val="auto"/>
                <w:sz w:val="24"/>
              </w:rPr>
              <w:t>t，因此项目设计的</w:t>
            </w:r>
            <w:r>
              <w:rPr>
                <w:color w:val="auto"/>
                <w:sz w:val="24"/>
              </w:rPr>
              <w:t>危险废物</w:t>
            </w:r>
            <w:r>
              <w:rPr>
                <w:rFonts w:hint="eastAsia" w:eastAsia="宋体"/>
                <w:color w:val="auto"/>
                <w:sz w:val="24"/>
                <w:szCs w:val="24"/>
                <w:lang w:val="en-US" w:eastAsia="zh-CN"/>
              </w:rPr>
              <w:t>贮存库</w:t>
            </w:r>
            <w:r>
              <w:rPr>
                <w:rFonts w:hint="eastAsia"/>
                <w:color w:val="auto"/>
                <w:sz w:val="24"/>
              </w:rPr>
              <w:t>最大贮存量能够满足本项目的使用需求。</w:t>
            </w:r>
          </w:p>
          <w:p w14:paraId="16A2832E">
            <w:pPr>
              <w:pStyle w:val="83"/>
              <w:tabs>
                <w:tab w:val="left" w:pos="1189"/>
              </w:tabs>
              <w:adjustRightInd w:val="0"/>
              <w:snapToGrid w:val="0"/>
              <w:spacing w:line="360" w:lineRule="auto"/>
              <w:ind w:left="420" w:leftChars="200"/>
              <w:jc w:val="left"/>
              <w:rPr>
                <w:color w:val="auto"/>
              </w:rPr>
            </w:pPr>
            <w:r>
              <w:rPr>
                <w:color w:val="auto"/>
              </w:rPr>
              <w:t>（1）防渗标准及措施</w:t>
            </w:r>
          </w:p>
          <w:p w14:paraId="6D0F8F3A">
            <w:pPr>
              <w:pStyle w:val="83"/>
              <w:adjustRightInd w:val="0"/>
              <w:snapToGrid w:val="0"/>
              <w:spacing w:line="360" w:lineRule="auto"/>
              <w:ind w:firstLine="448" w:firstLineChars="200"/>
              <w:rPr>
                <w:color w:val="auto"/>
                <w:spacing w:val="-3"/>
              </w:rPr>
            </w:pPr>
            <w:r>
              <w:rPr>
                <w:color w:val="auto"/>
                <w:spacing w:val="-8"/>
              </w:rPr>
              <w:t>根据</w:t>
            </w:r>
            <w:r>
              <w:rPr>
                <w:rStyle w:val="76"/>
                <w:color w:val="auto"/>
                <w:sz w:val="24"/>
              </w:rPr>
              <w:t>《危险废物贮存污染控制标准》（GB18597-2023）</w:t>
            </w:r>
            <w:r>
              <w:rPr>
                <w:color w:val="auto"/>
                <w:spacing w:val="-3"/>
              </w:rPr>
              <w:t>，</w:t>
            </w:r>
            <w:r>
              <w:rPr>
                <w:color w:val="auto"/>
              </w:rPr>
              <w:t>危险废物</w:t>
            </w:r>
            <w:r>
              <w:rPr>
                <w:rFonts w:hint="eastAsia" w:eastAsia="宋体"/>
                <w:color w:val="auto"/>
                <w:sz w:val="24"/>
                <w:szCs w:val="24"/>
                <w:lang w:val="en-US" w:eastAsia="zh-CN"/>
              </w:rPr>
              <w:t>贮存库</w:t>
            </w:r>
            <w:r>
              <w:rPr>
                <w:color w:val="auto"/>
              </w:rPr>
              <w:t>地面和四周墙裙脚</w:t>
            </w:r>
            <w:r>
              <w:rPr>
                <w:color w:val="auto"/>
                <w:lang w:val="zh-CN"/>
              </w:rPr>
              <w:t>采用“</w:t>
            </w:r>
            <w:r>
              <w:rPr>
                <w:color w:val="auto"/>
              </w:rPr>
              <w:t>混凝土</w:t>
            </w:r>
            <w:r>
              <w:rPr>
                <w:color w:val="auto"/>
                <w:lang w:val="zh-CN"/>
              </w:rPr>
              <w:t>+2mm厚HDPE+环氧树脂”</w:t>
            </w:r>
            <w:r>
              <w:rPr>
                <w:color w:val="auto"/>
              </w:rPr>
              <w:t>进行重点防渗处理</w:t>
            </w:r>
            <w:r>
              <w:rPr>
                <w:color w:val="auto"/>
                <w:lang w:val="zh-CN"/>
              </w:rPr>
              <w:t>，渗透系数≤10</w:t>
            </w:r>
            <w:r>
              <w:rPr>
                <w:color w:val="auto"/>
                <w:vertAlign w:val="superscript"/>
                <w:lang w:val="zh-CN"/>
              </w:rPr>
              <w:t>-10</w:t>
            </w:r>
            <w:r>
              <w:rPr>
                <w:color w:val="auto"/>
                <w:lang w:val="zh-CN"/>
              </w:rPr>
              <w:t>cm/s</w:t>
            </w:r>
            <w:r>
              <w:rPr>
                <w:color w:val="auto"/>
              </w:rPr>
              <w:t>，并按照要求设置规范的标识标牌。</w:t>
            </w:r>
          </w:p>
          <w:p w14:paraId="4244E6CC">
            <w:pPr>
              <w:pStyle w:val="83"/>
              <w:tabs>
                <w:tab w:val="left" w:pos="1189"/>
              </w:tabs>
              <w:adjustRightInd w:val="0"/>
              <w:snapToGrid w:val="0"/>
              <w:spacing w:line="360" w:lineRule="auto"/>
              <w:ind w:firstLine="480" w:firstLineChars="200"/>
              <w:jc w:val="left"/>
              <w:rPr>
                <w:color w:val="auto"/>
              </w:rPr>
            </w:pPr>
            <w:r>
              <w:rPr>
                <w:color w:val="auto"/>
              </w:rPr>
              <w:t>（2）暂存</w:t>
            </w:r>
          </w:p>
          <w:p w14:paraId="239CA17A">
            <w:pPr>
              <w:pStyle w:val="83"/>
              <w:adjustRightInd w:val="0"/>
              <w:snapToGrid w:val="0"/>
              <w:spacing w:line="360" w:lineRule="auto"/>
              <w:ind w:firstLine="480" w:firstLineChars="200"/>
              <w:rPr>
                <w:color w:val="auto"/>
              </w:rPr>
            </w:pPr>
            <w:r>
              <w:rPr>
                <w:color w:val="auto"/>
              </w:rPr>
              <w:t>对于危险废物委托有资质的单位处置。应按《危险废物贮存污染控制标准》（GB 18597-2023）要求设置暂存场地，并要求做到以下几点：</w:t>
            </w:r>
          </w:p>
          <w:p w14:paraId="5EF1D846">
            <w:pPr>
              <w:pStyle w:val="83"/>
              <w:adjustRightInd w:val="0"/>
              <w:snapToGrid w:val="0"/>
              <w:spacing w:line="360" w:lineRule="auto"/>
              <w:ind w:firstLine="480" w:firstLineChars="200"/>
              <w:rPr>
                <w:color w:val="auto"/>
              </w:rPr>
            </w:pPr>
            <w:r>
              <w:rPr>
                <w:color w:val="auto"/>
              </w:rPr>
              <w:t>①贮存设施应根据危险废物的形态、物理化学性质、包装形式和污染物迁移途径，采取必要的防风、防晒、防雨、防漏、防渗、防腐以及其他环境污染防治措施，不应露天堆放危险废物。</w:t>
            </w:r>
          </w:p>
          <w:p w14:paraId="4793D924">
            <w:pPr>
              <w:pStyle w:val="83"/>
              <w:adjustRightInd w:val="0"/>
              <w:snapToGrid w:val="0"/>
              <w:spacing w:line="360" w:lineRule="auto"/>
              <w:ind w:firstLine="480" w:firstLineChars="200"/>
              <w:rPr>
                <w:color w:val="auto"/>
              </w:rPr>
            </w:pPr>
            <w:r>
              <w:rPr>
                <w:color w:val="auto"/>
              </w:rPr>
              <w:t>②贮存设施应根据危险废物的类别、数量、形态、物理化学性质和污染防治等要求设置必要的贮存分区，避免不相容的危险废物接触、混合。</w:t>
            </w:r>
          </w:p>
          <w:p w14:paraId="73E050F0">
            <w:pPr>
              <w:pStyle w:val="83"/>
              <w:adjustRightInd w:val="0"/>
              <w:snapToGrid w:val="0"/>
              <w:spacing w:line="360" w:lineRule="auto"/>
              <w:ind w:firstLine="480" w:firstLineChars="200"/>
              <w:rPr>
                <w:color w:val="auto"/>
              </w:rPr>
            </w:pPr>
            <w:r>
              <w:rPr>
                <w:color w:val="auto"/>
              </w:rPr>
              <w:t>③贮存设施或贮存分区内地面、墙面裙脚、堵截泄漏的围堰、接触危险废物的隔板和墙体等应采用坚固的材料建造，表面无裂缝。</w:t>
            </w:r>
          </w:p>
          <w:p w14:paraId="11957AFB">
            <w:pPr>
              <w:pStyle w:val="83"/>
              <w:widowControl/>
              <w:adjustRightInd w:val="0"/>
              <w:snapToGrid w:val="0"/>
              <w:spacing w:line="360" w:lineRule="auto"/>
              <w:ind w:firstLine="480" w:firstLineChars="200"/>
              <w:rPr>
                <w:color w:val="auto"/>
              </w:rPr>
            </w:pPr>
            <w:r>
              <w:rPr>
                <w:color w:val="auto"/>
              </w:rPr>
              <w:t>④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 m 厚黏土层（渗透系数不大于10</w:t>
            </w:r>
            <w:r>
              <w:rPr>
                <w:color w:val="auto"/>
                <w:vertAlign w:val="superscript"/>
              </w:rPr>
              <w:t>-7</w:t>
            </w:r>
            <w:r>
              <w:rPr>
                <w:color w:val="auto"/>
              </w:rPr>
              <w:t>cm/s），或至少2 mm 厚高密度聚乙烯膜等人工防渗材料（渗透系数不大于10</w:t>
            </w:r>
            <w:r>
              <w:rPr>
                <w:color w:val="auto"/>
                <w:vertAlign w:val="superscript"/>
              </w:rPr>
              <w:t>-10</w:t>
            </w:r>
            <w:r>
              <w:rPr>
                <w:color w:val="auto"/>
              </w:rPr>
              <w:t>cm/s），或其他防渗性能等效的材料。</w:t>
            </w:r>
          </w:p>
          <w:p w14:paraId="0D823127">
            <w:pPr>
              <w:pStyle w:val="83"/>
              <w:widowControl/>
              <w:adjustRightInd w:val="0"/>
              <w:snapToGrid w:val="0"/>
              <w:spacing w:line="360" w:lineRule="auto"/>
              <w:ind w:firstLine="480" w:firstLineChars="200"/>
              <w:rPr>
                <w:color w:val="auto"/>
              </w:rPr>
            </w:pPr>
            <w:r>
              <w:rPr>
                <w:color w:val="auto"/>
              </w:rPr>
              <w:t>⑤同一贮存设施宜采用相同的防渗、防腐工艺（包括防渗、防腐结构或材料），防渗、防腐材料应覆盖所有可能与废物及其渗滤液、渗漏液等接触的构筑物表面；采用不同防渗、防腐工艺应分别建设贮存分区。</w:t>
            </w:r>
          </w:p>
          <w:p w14:paraId="7982C5F9">
            <w:pPr>
              <w:pStyle w:val="83"/>
              <w:adjustRightInd w:val="0"/>
              <w:snapToGrid w:val="0"/>
              <w:spacing w:line="360" w:lineRule="auto"/>
              <w:ind w:firstLine="480" w:firstLineChars="200"/>
              <w:rPr>
                <w:color w:val="auto"/>
              </w:rPr>
            </w:pPr>
            <w:r>
              <w:rPr>
                <w:color w:val="auto"/>
              </w:rPr>
              <w:t>⑥贮存设施应采取技术和管理措施防止无关人员进入。</w:t>
            </w:r>
          </w:p>
          <w:p w14:paraId="37F44120">
            <w:pPr>
              <w:pStyle w:val="83"/>
              <w:adjustRightInd w:val="0"/>
              <w:snapToGrid w:val="0"/>
              <w:spacing w:line="360" w:lineRule="auto"/>
              <w:ind w:firstLine="480" w:firstLineChars="200"/>
              <w:rPr>
                <w:color w:val="auto"/>
              </w:rPr>
            </w:pPr>
            <w:r>
              <w:rPr>
                <w:color w:val="auto"/>
              </w:rPr>
              <w:t>（3）危废转移</w:t>
            </w:r>
          </w:p>
          <w:p w14:paraId="3EA245D3">
            <w:pPr>
              <w:pStyle w:val="83"/>
              <w:adjustRightInd w:val="0"/>
              <w:snapToGrid w:val="0"/>
              <w:spacing w:line="360" w:lineRule="auto"/>
              <w:ind w:firstLine="480" w:firstLineChars="200"/>
              <w:rPr>
                <w:color w:val="auto"/>
              </w:rPr>
            </w:pPr>
            <w:r>
              <w:rPr>
                <w:color w:val="auto"/>
              </w:rPr>
              <w:t>危废转移</w:t>
            </w:r>
            <w:r>
              <w:rPr>
                <w:color w:val="auto"/>
                <w:spacing w:val="-5"/>
              </w:rPr>
              <w:t>过程应当严格遵守《危险废物转移管理办法》（部令 第23号）、《危险废</w:t>
            </w:r>
            <w:r>
              <w:rPr>
                <w:color w:val="auto"/>
              </w:rPr>
              <w:t>物收集贮存运输技术规范</w:t>
            </w:r>
            <w:r>
              <w:rPr>
                <w:color w:val="auto"/>
                <w:spacing w:val="-5"/>
              </w:rPr>
              <w:t>》</w:t>
            </w:r>
            <w:r>
              <w:rPr>
                <w:color w:val="auto"/>
              </w:rPr>
              <w:t>（HJ 2025-2012）相关要求，确保危险废物得到安全处置：</w:t>
            </w:r>
          </w:p>
          <w:p w14:paraId="2D85014F">
            <w:pPr>
              <w:pStyle w:val="83"/>
              <w:tabs>
                <w:tab w:val="left" w:pos="953"/>
              </w:tabs>
              <w:adjustRightInd w:val="0"/>
              <w:snapToGrid w:val="0"/>
              <w:spacing w:line="360" w:lineRule="auto"/>
              <w:ind w:firstLine="480" w:firstLineChars="200"/>
              <w:rPr>
                <w:color w:val="auto"/>
              </w:rPr>
            </w:pPr>
            <w:r>
              <w:rPr>
                <w:color w:val="auto"/>
              </w:rPr>
              <w:t>①做好危险废物转移手续，按照《危险废物转移管理办法》（部令 第23号）要求进行。建</w:t>
            </w:r>
            <w:r>
              <w:rPr>
                <w:color w:val="auto"/>
                <w:spacing w:val="-4"/>
              </w:rPr>
              <w:t>设单位在转移危险废物前，须按照国家有关规定报批危险废物转移计划；经批准后，产生</w:t>
            </w:r>
            <w:r>
              <w:rPr>
                <w:color w:val="auto"/>
                <w:spacing w:val="-3"/>
              </w:rPr>
              <w:t>单位应当向移出地环境保护行政主管部门申请领取联单。危险废物产生单位应当如实填写</w:t>
            </w:r>
            <w:r>
              <w:rPr>
                <w:color w:val="auto"/>
                <w:spacing w:val="-5"/>
              </w:rPr>
              <w:t>联单中产生单位栏目，并加盖公章，经交付危险废物运输单位核实验收签字后，将联单第</w:t>
            </w:r>
            <w:r>
              <w:rPr>
                <w:color w:val="auto"/>
                <w:spacing w:val="-4"/>
              </w:rPr>
              <w:t>一联副联自留存档，将联单第二联交移出地环境保护行政主管部门，联单第一联正联及其</w:t>
            </w:r>
            <w:r>
              <w:rPr>
                <w:color w:val="auto"/>
              </w:rPr>
              <w:t>余各联交付运输单位随危险废物转移运行。</w:t>
            </w:r>
          </w:p>
          <w:p w14:paraId="444F622B">
            <w:pPr>
              <w:pStyle w:val="83"/>
              <w:tabs>
                <w:tab w:val="left" w:pos="953"/>
              </w:tabs>
              <w:adjustRightInd w:val="0"/>
              <w:snapToGrid w:val="0"/>
              <w:spacing w:line="360" w:lineRule="auto"/>
              <w:ind w:firstLine="480" w:firstLineChars="200"/>
              <w:jc w:val="left"/>
              <w:rPr>
                <w:color w:val="auto"/>
              </w:rPr>
            </w:pPr>
            <w:r>
              <w:rPr>
                <w:color w:val="auto"/>
              </w:rPr>
              <w:t>②危险废物运输由持有危险废物经营许可证的单位按照其许可证的经营范围组织实施，承担危险废物运输单位应获得交通运输部门颁发的危险货物运输资质；</w:t>
            </w:r>
          </w:p>
          <w:p w14:paraId="680A5404">
            <w:pPr>
              <w:pStyle w:val="83"/>
              <w:tabs>
                <w:tab w:val="left" w:pos="953"/>
              </w:tabs>
              <w:adjustRightInd w:val="0"/>
              <w:snapToGrid w:val="0"/>
              <w:spacing w:line="360" w:lineRule="auto"/>
              <w:ind w:firstLine="480" w:firstLineChars="200"/>
              <w:jc w:val="left"/>
              <w:rPr>
                <w:color w:val="auto"/>
              </w:rPr>
            </w:pPr>
            <w:r>
              <w:rPr>
                <w:color w:val="auto"/>
              </w:rPr>
              <w:t>③危险废物在运输途中若发生被盗、丢失、流散、泄漏等情况时，公司及押运人员必须立即向当地环保部门、公安部门报告，并采取一切可能的警示措施。</w:t>
            </w:r>
          </w:p>
          <w:p w14:paraId="50962918">
            <w:pPr>
              <w:pStyle w:val="83"/>
              <w:tabs>
                <w:tab w:val="left" w:pos="953"/>
              </w:tabs>
              <w:adjustRightInd w:val="0"/>
              <w:snapToGrid w:val="0"/>
              <w:spacing w:line="360" w:lineRule="auto"/>
              <w:ind w:firstLine="480" w:firstLineChars="200"/>
              <w:jc w:val="left"/>
              <w:rPr>
                <w:color w:val="auto"/>
              </w:rPr>
            </w:pPr>
            <w:r>
              <w:rPr>
                <w:color w:val="auto"/>
              </w:rPr>
              <w:t>一旦发生废弃物泄漏事故，公司和废弃物处置单位都应积极协助有关部门采取必要的安全措施，减少事故损失，防止事故蔓延、扩大；针对事故对人体、动植物、土壤、水源、空气造成的现实危害和可能产生的危害，应迅速采取封闭、隔离、洗消措施，并对事故造成的危害进行监测、处置，符合国家环境保护标准。</w:t>
            </w:r>
          </w:p>
          <w:p w14:paraId="72FEDAD6">
            <w:pPr>
              <w:pStyle w:val="83"/>
              <w:tabs>
                <w:tab w:val="left" w:pos="953"/>
              </w:tabs>
              <w:adjustRightInd w:val="0"/>
              <w:snapToGrid w:val="0"/>
              <w:spacing w:line="360" w:lineRule="auto"/>
              <w:ind w:firstLine="480" w:firstLineChars="200"/>
              <w:jc w:val="left"/>
              <w:rPr>
                <w:color w:val="auto"/>
              </w:rPr>
            </w:pPr>
            <w:r>
              <w:rPr>
                <w:color w:val="auto"/>
              </w:rPr>
              <w:t>在采取上述措施的前提下，项目运营期固体废物均能得到及时、妥善的处理和处置，不会对周围环境造成大的影响。</w:t>
            </w:r>
          </w:p>
          <w:p w14:paraId="0B84A57B">
            <w:pPr>
              <w:adjustRightInd w:val="0"/>
              <w:snapToGrid w:val="0"/>
              <w:spacing w:line="360" w:lineRule="auto"/>
              <w:ind w:firstLine="482" w:firstLineChars="200"/>
              <w:rPr>
                <w:b/>
                <w:color w:val="auto"/>
                <w:sz w:val="24"/>
              </w:rPr>
            </w:pPr>
            <w:r>
              <w:rPr>
                <w:b/>
                <w:color w:val="auto"/>
                <w:sz w:val="24"/>
              </w:rPr>
              <w:t>五、土壤、地下水环境影响分析</w:t>
            </w:r>
          </w:p>
          <w:p w14:paraId="035C1987">
            <w:pPr>
              <w:adjustRightInd w:val="0"/>
              <w:snapToGrid w:val="0"/>
              <w:spacing w:line="360" w:lineRule="auto"/>
              <w:ind w:firstLine="480" w:firstLineChars="200"/>
              <w:rPr>
                <w:color w:val="auto"/>
                <w:sz w:val="24"/>
                <w:lang w:val="zh-CN"/>
              </w:rPr>
            </w:pPr>
            <w:r>
              <w:rPr>
                <w:color w:val="auto"/>
                <w:sz w:val="24"/>
              </w:rPr>
              <w:t>1、</w:t>
            </w:r>
            <w:r>
              <w:rPr>
                <w:color w:val="auto"/>
                <w:sz w:val="24"/>
                <w:lang w:val="zh-CN"/>
              </w:rPr>
              <w:t>污染源分析</w:t>
            </w:r>
          </w:p>
          <w:p w14:paraId="27CABC54">
            <w:pPr>
              <w:adjustRightInd w:val="0"/>
              <w:snapToGrid w:val="0"/>
              <w:spacing w:line="360" w:lineRule="auto"/>
              <w:ind w:firstLine="480" w:firstLineChars="200"/>
              <w:rPr>
                <w:color w:val="auto"/>
                <w:sz w:val="24"/>
                <w:lang w:val="zh-CN"/>
              </w:rPr>
            </w:pPr>
            <w:r>
              <w:rPr>
                <w:color w:val="auto"/>
                <w:sz w:val="24"/>
                <w:lang w:val="zh-CN"/>
              </w:rPr>
              <w:t>本项目正常工况下，不会产生地下水、土壤污染，只有在事故状态下，项目内暂存的废矿物油可能会发生</w:t>
            </w:r>
            <w:r>
              <w:rPr>
                <w:color w:val="auto"/>
                <w:sz w:val="24"/>
              </w:rPr>
              <w:t>泄漏</w:t>
            </w:r>
            <w:r>
              <w:rPr>
                <w:color w:val="auto"/>
                <w:sz w:val="24"/>
                <w:lang w:val="zh-CN"/>
              </w:rPr>
              <w:t>等情况，可能对周边土壤造成污染，长时间</w:t>
            </w:r>
            <w:r>
              <w:rPr>
                <w:color w:val="auto"/>
                <w:sz w:val="24"/>
              </w:rPr>
              <w:t>泄漏</w:t>
            </w:r>
            <w:r>
              <w:rPr>
                <w:color w:val="auto"/>
                <w:sz w:val="24"/>
                <w:lang w:val="zh-CN"/>
              </w:rPr>
              <w:t>可能深入地下对地下水造成污染。</w:t>
            </w:r>
          </w:p>
          <w:p w14:paraId="2F55D071">
            <w:pPr>
              <w:adjustRightInd w:val="0"/>
              <w:snapToGrid w:val="0"/>
              <w:spacing w:line="360" w:lineRule="auto"/>
              <w:ind w:firstLine="480" w:firstLineChars="200"/>
              <w:rPr>
                <w:color w:val="auto"/>
                <w:sz w:val="24"/>
                <w:lang w:val="zh-CN"/>
              </w:rPr>
            </w:pPr>
            <w:r>
              <w:rPr>
                <w:color w:val="auto"/>
                <w:sz w:val="24"/>
              </w:rPr>
              <w:t>2、</w:t>
            </w:r>
            <w:r>
              <w:rPr>
                <w:color w:val="auto"/>
                <w:sz w:val="24"/>
                <w:lang w:val="zh-CN"/>
              </w:rPr>
              <w:t>污染物类型和污染途径识别</w:t>
            </w:r>
          </w:p>
          <w:p w14:paraId="64436F62">
            <w:pPr>
              <w:adjustRightInd w:val="0"/>
              <w:snapToGrid w:val="0"/>
              <w:spacing w:line="360" w:lineRule="auto"/>
              <w:ind w:firstLine="480" w:firstLineChars="200"/>
              <w:rPr>
                <w:color w:val="auto"/>
                <w:sz w:val="24"/>
                <w:lang w:val="zh-CN"/>
              </w:rPr>
            </w:pPr>
            <w:r>
              <w:rPr>
                <w:color w:val="auto"/>
                <w:sz w:val="24"/>
                <w:lang w:val="zh-CN"/>
              </w:rPr>
              <w:fldChar w:fldCharType="begin"/>
            </w:r>
            <w:r>
              <w:rPr>
                <w:color w:val="auto"/>
                <w:sz w:val="24"/>
                <w:lang w:val="zh-CN"/>
              </w:rPr>
              <w:instrText xml:space="preserve"> = 1 \* GB3 \* MERGEFORMAT </w:instrText>
            </w:r>
            <w:r>
              <w:rPr>
                <w:color w:val="auto"/>
                <w:sz w:val="24"/>
                <w:lang w:val="zh-CN"/>
              </w:rPr>
              <w:fldChar w:fldCharType="separate"/>
            </w:r>
            <w:r>
              <w:rPr>
                <w:color w:val="auto"/>
                <w:sz w:val="24"/>
                <w:lang w:val="zh-CN"/>
              </w:rPr>
              <w:t>①</w:t>
            </w:r>
            <w:r>
              <w:rPr>
                <w:color w:val="auto"/>
                <w:sz w:val="24"/>
                <w:lang w:val="zh-CN"/>
              </w:rPr>
              <w:fldChar w:fldCharType="end"/>
            </w:r>
            <w:r>
              <w:rPr>
                <w:color w:val="auto"/>
                <w:sz w:val="24"/>
                <w:lang w:val="zh-CN"/>
              </w:rPr>
              <w:t>土壤、</w:t>
            </w:r>
            <w:r>
              <w:rPr>
                <w:color w:val="auto"/>
                <w:sz w:val="24"/>
              </w:rPr>
              <w:t>地下水</w:t>
            </w:r>
            <w:r>
              <w:rPr>
                <w:color w:val="auto"/>
                <w:sz w:val="24"/>
                <w:lang w:val="zh-CN"/>
              </w:rPr>
              <w:t>环境影响类型与影响途径识别</w:t>
            </w:r>
          </w:p>
          <w:p w14:paraId="3C8430A3">
            <w:pPr>
              <w:adjustRightInd w:val="0"/>
              <w:snapToGrid w:val="0"/>
              <w:spacing w:line="360" w:lineRule="auto"/>
              <w:ind w:firstLine="480" w:firstLineChars="200"/>
              <w:rPr>
                <w:color w:val="auto"/>
                <w:sz w:val="24"/>
                <w:lang w:val="zh-CN"/>
              </w:rPr>
            </w:pPr>
            <w:r>
              <w:rPr>
                <w:color w:val="auto"/>
                <w:sz w:val="24"/>
                <w:lang w:val="zh-CN"/>
              </w:rPr>
              <w:t>本项目对周边</w:t>
            </w:r>
            <w:r>
              <w:rPr>
                <w:color w:val="auto"/>
                <w:sz w:val="24"/>
              </w:rPr>
              <w:t>地下水、</w:t>
            </w:r>
            <w:r>
              <w:rPr>
                <w:color w:val="auto"/>
                <w:sz w:val="24"/>
                <w:lang w:val="zh-CN"/>
              </w:rPr>
              <w:t>土壤环境影响的类型与影响途径见表4-</w:t>
            </w:r>
            <w:r>
              <w:rPr>
                <w:rFonts w:hint="eastAsia"/>
                <w:color w:val="auto"/>
                <w:sz w:val="24"/>
              </w:rPr>
              <w:t>2</w:t>
            </w:r>
            <w:r>
              <w:rPr>
                <w:rFonts w:hint="eastAsia"/>
                <w:color w:val="auto"/>
                <w:sz w:val="24"/>
                <w:lang w:val="en-US" w:eastAsia="zh-CN"/>
              </w:rPr>
              <w:t>4</w:t>
            </w:r>
            <w:r>
              <w:rPr>
                <w:color w:val="auto"/>
                <w:sz w:val="24"/>
                <w:lang w:val="zh-CN"/>
              </w:rPr>
              <w:t>。</w:t>
            </w:r>
          </w:p>
          <w:p w14:paraId="27257DE8">
            <w:pPr>
              <w:pStyle w:val="55"/>
              <w:adjustRightInd w:val="0"/>
              <w:snapToGrid w:val="0"/>
              <w:rPr>
                <w:rStyle w:val="52"/>
                <w:b/>
                <w:color w:val="auto"/>
                <w:szCs w:val="21"/>
              </w:rPr>
            </w:pPr>
            <w:r>
              <w:rPr>
                <w:rStyle w:val="52"/>
                <w:b/>
                <w:color w:val="auto"/>
                <w:szCs w:val="21"/>
              </w:rPr>
              <w:t>表4-</w:t>
            </w:r>
            <w:r>
              <w:rPr>
                <w:rStyle w:val="52"/>
                <w:rFonts w:hint="eastAsia"/>
                <w:b/>
                <w:color w:val="auto"/>
                <w:szCs w:val="21"/>
              </w:rPr>
              <w:t>2</w:t>
            </w:r>
            <w:r>
              <w:rPr>
                <w:rStyle w:val="52"/>
                <w:rFonts w:hint="eastAsia"/>
                <w:b/>
                <w:color w:val="auto"/>
                <w:szCs w:val="21"/>
                <w:lang w:val="en-US" w:eastAsia="zh-CN"/>
              </w:rPr>
              <w:t>4</w:t>
            </w:r>
            <w:r>
              <w:rPr>
                <w:rStyle w:val="52"/>
                <w:b/>
                <w:color w:val="auto"/>
                <w:szCs w:val="21"/>
              </w:rPr>
              <w:t xml:space="preserve">  项目土壤、地下水环境影响类型与影响途径识别表</w:t>
            </w:r>
          </w:p>
          <w:tbl>
            <w:tblPr>
              <w:tblStyle w:val="31"/>
              <w:tblW w:w="83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9"/>
              <w:gridCol w:w="1484"/>
              <w:gridCol w:w="1724"/>
              <w:gridCol w:w="1760"/>
              <w:gridCol w:w="1557"/>
            </w:tblGrid>
            <w:tr w14:paraId="68016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vMerge w:val="restart"/>
                  <w:vAlign w:val="center"/>
                </w:tcPr>
                <w:p w14:paraId="6CBC2596">
                  <w:pPr>
                    <w:pStyle w:val="55"/>
                    <w:adjustRightInd w:val="0"/>
                    <w:snapToGrid w:val="0"/>
                    <w:rPr>
                      <w:rStyle w:val="52"/>
                      <w:b/>
                      <w:color w:val="auto"/>
                      <w:szCs w:val="21"/>
                    </w:rPr>
                  </w:pPr>
                  <w:r>
                    <w:rPr>
                      <w:rStyle w:val="52"/>
                      <w:b/>
                      <w:color w:val="auto"/>
                      <w:szCs w:val="21"/>
                    </w:rPr>
                    <w:t>时段</w:t>
                  </w:r>
                </w:p>
              </w:tc>
              <w:tc>
                <w:tcPr>
                  <w:tcW w:w="6525" w:type="dxa"/>
                  <w:gridSpan w:val="4"/>
                  <w:vAlign w:val="center"/>
                </w:tcPr>
                <w:p w14:paraId="7E03DDF1">
                  <w:pPr>
                    <w:pStyle w:val="55"/>
                    <w:adjustRightInd w:val="0"/>
                    <w:snapToGrid w:val="0"/>
                    <w:rPr>
                      <w:rStyle w:val="52"/>
                      <w:b/>
                      <w:color w:val="auto"/>
                      <w:szCs w:val="21"/>
                    </w:rPr>
                  </w:pPr>
                  <w:r>
                    <w:rPr>
                      <w:rStyle w:val="52"/>
                      <w:b/>
                      <w:color w:val="auto"/>
                      <w:szCs w:val="21"/>
                    </w:rPr>
                    <w:t>污染影响类型</w:t>
                  </w:r>
                </w:p>
              </w:tc>
            </w:tr>
            <w:tr w14:paraId="083B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vMerge w:val="continue"/>
                  <w:vAlign w:val="center"/>
                </w:tcPr>
                <w:p w14:paraId="2D4F3E2C">
                  <w:pPr>
                    <w:pStyle w:val="55"/>
                    <w:adjustRightInd w:val="0"/>
                    <w:snapToGrid w:val="0"/>
                    <w:rPr>
                      <w:rStyle w:val="52"/>
                      <w:bCs/>
                      <w:color w:val="auto"/>
                      <w:szCs w:val="21"/>
                    </w:rPr>
                  </w:pPr>
                </w:p>
              </w:tc>
              <w:tc>
                <w:tcPr>
                  <w:tcW w:w="1484" w:type="dxa"/>
                  <w:vAlign w:val="center"/>
                </w:tcPr>
                <w:p w14:paraId="38434B84">
                  <w:pPr>
                    <w:pStyle w:val="55"/>
                    <w:adjustRightInd w:val="0"/>
                    <w:snapToGrid w:val="0"/>
                    <w:rPr>
                      <w:rStyle w:val="52"/>
                      <w:bCs/>
                      <w:color w:val="auto"/>
                      <w:szCs w:val="21"/>
                    </w:rPr>
                  </w:pPr>
                  <w:r>
                    <w:rPr>
                      <w:rStyle w:val="52"/>
                      <w:bCs/>
                      <w:color w:val="auto"/>
                      <w:szCs w:val="21"/>
                    </w:rPr>
                    <w:t>大气沉降</w:t>
                  </w:r>
                </w:p>
              </w:tc>
              <w:tc>
                <w:tcPr>
                  <w:tcW w:w="1724" w:type="dxa"/>
                  <w:vAlign w:val="center"/>
                </w:tcPr>
                <w:p w14:paraId="57DF6BB7">
                  <w:pPr>
                    <w:pStyle w:val="55"/>
                    <w:adjustRightInd w:val="0"/>
                    <w:snapToGrid w:val="0"/>
                    <w:rPr>
                      <w:rStyle w:val="52"/>
                      <w:bCs/>
                      <w:color w:val="auto"/>
                      <w:szCs w:val="21"/>
                    </w:rPr>
                  </w:pPr>
                  <w:r>
                    <w:rPr>
                      <w:rStyle w:val="52"/>
                      <w:bCs/>
                      <w:color w:val="auto"/>
                      <w:szCs w:val="21"/>
                    </w:rPr>
                    <w:t>地面漫流</w:t>
                  </w:r>
                </w:p>
              </w:tc>
              <w:tc>
                <w:tcPr>
                  <w:tcW w:w="1760" w:type="dxa"/>
                  <w:vAlign w:val="center"/>
                </w:tcPr>
                <w:p w14:paraId="66DBD745">
                  <w:pPr>
                    <w:pStyle w:val="55"/>
                    <w:adjustRightInd w:val="0"/>
                    <w:snapToGrid w:val="0"/>
                    <w:rPr>
                      <w:rStyle w:val="52"/>
                      <w:bCs/>
                      <w:color w:val="auto"/>
                      <w:szCs w:val="21"/>
                    </w:rPr>
                  </w:pPr>
                  <w:r>
                    <w:rPr>
                      <w:rStyle w:val="52"/>
                      <w:bCs/>
                      <w:color w:val="auto"/>
                      <w:szCs w:val="21"/>
                    </w:rPr>
                    <w:t>垂直入渗</w:t>
                  </w:r>
                </w:p>
              </w:tc>
              <w:tc>
                <w:tcPr>
                  <w:tcW w:w="1557" w:type="dxa"/>
                  <w:vAlign w:val="center"/>
                </w:tcPr>
                <w:p w14:paraId="2416FE05">
                  <w:pPr>
                    <w:pStyle w:val="55"/>
                    <w:adjustRightInd w:val="0"/>
                    <w:snapToGrid w:val="0"/>
                    <w:rPr>
                      <w:rStyle w:val="52"/>
                      <w:bCs/>
                      <w:color w:val="auto"/>
                      <w:szCs w:val="21"/>
                    </w:rPr>
                  </w:pPr>
                  <w:r>
                    <w:rPr>
                      <w:rStyle w:val="52"/>
                      <w:bCs/>
                      <w:color w:val="auto"/>
                      <w:szCs w:val="21"/>
                    </w:rPr>
                    <w:t>其他</w:t>
                  </w:r>
                </w:p>
              </w:tc>
            </w:tr>
            <w:tr w14:paraId="54680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9" w:type="dxa"/>
                  <w:vAlign w:val="center"/>
                </w:tcPr>
                <w:p w14:paraId="2E16FA44">
                  <w:pPr>
                    <w:pStyle w:val="55"/>
                    <w:adjustRightInd w:val="0"/>
                    <w:snapToGrid w:val="0"/>
                    <w:rPr>
                      <w:rStyle w:val="52"/>
                      <w:bCs/>
                      <w:color w:val="auto"/>
                      <w:szCs w:val="21"/>
                    </w:rPr>
                  </w:pPr>
                  <w:r>
                    <w:rPr>
                      <w:rStyle w:val="52"/>
                      <w:bCs/>
                      <w:color w:val="auto"/>
                      <w:szCs w:val="21"/>
                    </w:rPr>
                    <w:t>运营期</w:t>
                  </w:r>
                </w:p>
              </w:tc>
              <w:tc>
                <w:tcPr>
                  <w:tcW w:w="1484" w:type="dxa"/>
                  <w:vAlign w:val="center"/>
                </w:tcPr>
                <w:p w14:paraId="23140D61">
                  <w:pPr>
                    <w:pStyle w:val="55"/>
                    <w:adjustRightInd w:val="0"/>
                    <w:snapToGrid w:val="0"/>
                    <w:rPr>
                      <w:rStyle w:val="52"/>
                      <w:bCs/>
                      <w:color w:val="auto"/>
                      <w:szCs w:val="21"/>
                    </w:rPr>
                  </w:pPr>
                  <w:r>
                    <w:rPr>
                      <w:rStyle w:val="52"/>
                      <w:bCs/>
                      <w:color w:val="auto"/>
                      <w:szCs w:val="21"/>
                    </w:rPr>
                    <w:t>/</w:t>
                  </w:r>
                </w:p>
              </w:tc>
              <w:tc>
                <w:tcPr>
                  <w:tcW w:w="1724" w:type="dxa"/>
                  <w:vAlign w:val="center"/>
                </w:tcPr>
                <w:p w14:paraId="56CAB993">
                  <w:pPr>
                    <w:pStyle w:val="55"/>
                    <w:adjustRightInd w:val="0"/>
                    <w:snapToGrid w:val="0"/>
                    <w:rPr>
                      <w:rStyle w:val="52"/>
                      <w:bCs/>
                      <w:color w:val="auto"/>
                      <w:szCs w:val="21"/>
                    </w:rPr>
                  </w:pPr>
                  <w:r>
                    <w:rPr>
                      <w:rStyle w:val="52"/>
                      <w:bCs/>
                      <w:color w:val="auto"/>
                      <w:szCs w:val="21"/>
                    </w:rPr>
                    <w:t>/</w:t>
                  </w:r>
                </w:p>
              </w:tc>
              <w:tc>
                <w:tcPr>
                  <w:tcW w:w="1760" w:type="dxa"/>
                  <w:vAlign w:val="center"/>
                </w:tcPr>
                <w:p w14:paraId="10461CC1">
                  <w:pPr>
                    <w:pStyle w:val="55"/>
                    <w:adjustRightInd w:val="0"/>
                    <w:snapToGrid w:val="0"/>
                    <w:rPr>
                      <w:rStyle w:val="52"/>
                      <w:bCs/>
                      <w:color w:val="auto"/>
                      <w:szCs w:val="21"/>
                    </w:rPr>
                  </w:pPr>
                  <w:r>
                    <w:rPr>
                      <w:rStyle w:val="52"/>
                      <w:bCs/>
                      <w:color w:val="auto"/>
                      <w:szCs w:val="21"/>
                    </w:rPr>
                    <w:t>√</w:t>
                  </w:r>
                </w:p>
              </w:tc>
              <w:tc>
                <w:tcPr>
                  <w:tcW w:w="1557" w:type="dxa"/>
                  <w:vAlign w:val="center"/>
                </w:tcPr>
                <w:p w14:paraId="79F7A8BC">
                  <w:pPr>
                    <w:pStyle w:val="55"/>
                    <w:adjustRightInd w:val="0"/>
                    <w:snapToGrid w:val="0"/>
                    <w:rPr>
                      <w:rStyle w:val="52"/>
                      <w:bCs/>
                      <w:color w:val="auto"/>
                      <w:szCs w:val="21"/>
                    </w:rPr>
                  </w:pPr>
                  <w:r>
                    <w:rPr>
                      <w:rStyle w:val="52"/>
                      <w:bCs/>
                      <w:color w:val="auto"/>
                      <w:szCs w:val="21"/>
                    </w:rPr>
                    <w:t>/</w:t>
                  </w:r>
                </w:p>
              </w:tc>
            </w:tr>
          </w:tbl>
          <w:p w14:paraId="2B5C50DE">
            <w:pPr>
              <w:adjustRightInd w:val="0"/>
              <w:snapToGrid w:val="0"/>
              <w:spacing w:line="360" w:lineRule="auto"/>
              <w:ind w:firstLine="480" w:firstLineChars="200"/>
              <w:rPr>
                <w:color w:val="auto"/>
                <w:sz w:val="24"/>
              </w:rPr>
            </w:pPr>
            <w:r>
              <w:rPr>
                <w:color w:val="auto"/>
                <w:sz w:val="24"/>
                <w:lang w:val="zh-CN"/>
              </w:rPr>
              <w:fldChar w:fldCharType="begin"/>
            </w:r>
            <w:r>
              <w:rPr>
                <w:color w:val="auto"/>
                <w:sz w:val="24"/>
                <w:lang w:val="zh-CN"/>
              </w:rPr>
              <w:instrText xml:space="preserve"> = 2 \* GB3 \* MERGEFORMAT </w:instrText>
            </w:r>
            <w:r>
              <w:rPr>
                <w:color w:val="auto"/>
                <w:sz w:val="24"/>
                <w:lang w:val="zh-CN"/>
              </w:rPr>
              <w:fldChar w:fldCharType="separate"/>
            </w:r>
            <w:r>
              <w:rPr>
                <w:color w:val="auto"/>
                <w:sz w:val="24"/>
              </w:rPr>
              <w:t>②</w:t>
            </w:r>
            <w:r>
              <w:rPr>
                <w:color w:val="auto"/>
                <w:sz w:val="24"/>
                <w:lang w:val="zh-CN"/>
              </w:rPr>
              <w:fldChar w:fldCharType="end"/>
            </w:r>
            <w:r>
              <w:rPr>
                <w:color w:val="auto"/>
                <w:sz w:val="24"/>
                <w:lang w:val="zh-CN"/>
              </w:rPr>
              <w:t>土壤、</w:t>
            </w:r>
            <w:r>
              <w:rPr>
                <w:color w:val="auto"/>
                <w:sz w:val="24"/>
              </w:rPr>
              <w:t>地下水</w:t>
            </w:r>
            <w:r>
              <w:rPr>
                <w:color w:val="auto"/>
                <w:sz w:val="24"/>
                <w:lang w:val="zh-CN"/>
              </w:rPr>
              <w:t>环境影响</w:t>
            </w:r>
            <w:r>
              <w:rPr>
                <w:color w:val="auto"/>
                <w:sz w:val="24"/>
              </w:rPr>
              <w:t>源及影响因子</w:t>
            </w:r>
          </w:p>
          <w:p w14:paraId="0012E51B">
            <w:pPr>
              <w:adjustRightInd w:val="0"/>
              <w:snapToGrid w:val="0"/>
              <w:spacing w:line="360" w:lineRule="auto"/>
              <w:ind w:firstLine="480" w:firstLineChars="200"/>
              <w:rPr>
                <w:color w:val="auto"/>
                <w:sz w:val="24"/>
                <w:lang w:val="zh-CN"/>
              </w:rPr>
            </w:pPr>
            <w:r>
              <w:rPr>
                <w:color w:val="auto"/>
                <w:sz w:val="24"/>
              </w:rPr>
              <w:t>项目对</w:t>
            </w:r>
            <w:r>
              <w:rPr>
                <w:color w:val="auto"/>
                <w:sz w:val="24"/>
                <w:lang w:val="zh-CN"/>
              </w:rPr>
              <w:t>土壤、</w:t>
            </w:r>
            <w:r>
              <w:rPr>
                <w:color w:val="auto"/>
                <w:sz w:val="24"/>
              </w:rPr>
              <w:t>地下水</w:t>
            </w:r>
            <w:r>
              <w:rPr>
                <w:color w:val="auto"/>
                <w:sz w:val="24"/>
                <w:lang w:val="zh-CN"/>
              </w:rPr>
              <w:t>环境</w:t>
            </w:r>
            <w:r>
              <w:rPr>
                <w:color w:val="auto"/>
                <w:sz w:val="24"/>
              </w:rPr>
              <w:t>的</w:t>
            </w:r>
            <w:r>
              <w:rPr>
                <w:color w:val="auto"/>
                <w:sz w:val="24"/>
                <w:lang w:val="zh-CN"/>
              </w:rPr>
              <w:t>影响</w:t>
            </w:r>
            <w:r>
              <w:rPr>
                <w:color w:val="auto"/>
                <w:sz w:val="24"/>
              </w:rPr>
              <w:t>源及影响因子</w:t>
            </w:r>
            <w:r>
              <w:rPr>
                <w:color w:val="auto"/>
                <w:sz w:val="24"/>
                <w:lang w:val="zh-CN"/>
              </w:rPr>
              <w:t>见表4-</w:t>
            </w:r>
            <w:r>
              <w:rPr>
                <w:rFonts w:hint="eastAsia"/>
                <w:color w:val="auto"/>
                <w:sz w:val="24"/>
              </w:rPr>
              <w:t>2</w:t>
            </w:r>
            <w:r>
              <w:rPr>
                <w:rFonts w:hint="eastAsia"/>
                <w:color w:val="auto"/>
                <w:sz w:val="24"/>
                <w:lang w:val="en-US" w:eastAsia="zh-CN"/>
              </w:rPr>
              <w:t>5</w:t>
            </w:r>
            <w:r>
              <w:rPr>
                <w:color w:val="auto"/>
                <w:sz w:val="24"/>
                <w:lang w:val="zh-CN"/>
              </w:rPr>
              <w:t>。</w:t>
            </w:r>
          </w:p>
          <w:p w14:paraId="31CD7B98">
            <w:pPr>
              <w:pStyle w:val="55"/>
              <w:adjustRightInd w:val="0"/>
              <w:snapToGrid w:val="0"/>
              <w:rPr>
                <w:rStyle w:val="52"/>
                <w:b/>
                <w:color w:val="auto"/>
                <w:szCs w:val="21"/>
              </w:rPr>
            </w:pPr>
            <w:r>
              <w:rPr>
                <w:rStyle w:val="52"/>
                <w:b/>
                <w:color w:val="auto"/>
                <w:szCs w:val="21"/>
              </w:rPr>
              <w:t>表4-</w:t>
            </w:r>
            <w:r>
              <w:rPr>
                <w:rStyle w:val="52"/>
                <w:rFonts w:hint="eastAsia"/>
                <w:b/>
                <w:color w:val="auto"/>
                <w:szCs w:val="21"/>
              </w:rPr>
              <w:t>2</w:t>
            </w:r>
            <w:r>
              <w:rPr>
                <w:rStyle w:val="52"/>
                <w:rFonts w:hint="eastAsia"/>
                <w:b/>
                <w:color w:val="auto"/>
                <w:szCs w:val="21"/>
                <w:lang w:val="en-US" w:eastAsia="zh-CN"/>
              </w:rPr>
              <w:t>5</w:t>
            </w:r>
            <w:r>
              <w:rPr>
                <w:rStyle w:val="52"/>
                <w:b/>
                <w:color w:val="auto"/>
                <w:szCs w:val="21"/>
              </w:rPr>
              <w:t xml:space="preserve">   项目土壤、地下水环境影响源及影响因子识别表</w:t>
            </w:r>
          </w:p>
          <w:tbl>
            <w:tblPr>
              <w:tblStyle w:val="31"/>
              <w:tblW w:w="8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605"/>
              <w:gridCol w:w="1260"/>
              <w:gridCol w:w="1251"/>
              <w:gridCol w:w="2923"/>
            </w:tblGrid>
            <w:tr w14:paraId="0A391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vAlign w:val="center"/>
                </w:tcPr>
                <w:p w14:paraId="38663800">
                  <w:pPr>
                    <w:pStyle w:val="55"/>
                    <w:adjustRightInd w:val="0"/>
                    <w:snapToGrid w:val="0"/>
                    <w:rPr>
                      <w:rStyle w:val="52"/>
                      <w:b/>
                      <w:color w:val="auto"/>
                      <w:szCs w:val="21"/>
                    </w:rPr>
                  </w:pPr>
                  <w:r>
                    <w:rPr>
                      <w:rStyle w:val="52"/>
                      <w:b/>
                      <w:color w:val="auto"/>
                      <w:szCs w:val="21"/>
                    </w:rPr>
                    <w:t>污染源</w:t>
                  </w:r>
                </w:p>
              </w:tc>
              <w:tc>
                <w:tcPr>
                  <w:tcW w:w="1605" w:type="dxa"/>
                  <w:vAlign w:val="center"/>
                </w:tcPr>
                <w:p w14:paraId="68285316">
                  <w:pPr>
                    <w:pStyle w:val="55"/>
                    <w:adjustRightInd w:val="0"/>
                    <w:snapToGrid w:val="0"/>
                    <w:rPr>
                      <w:rStyle w:val="52"/>
                      <w:b/>
                      <w:color w:val="auto"/>
                      <w:szCs w:val="21"/>
                    </w:rPr>
                  </w:pPr>
                  <w:r>
                    <w:rPr>
                      <w:rStyle w:val="52"/>
                      <w:b/>
                      <w:color w:val="auto"/>
                      <w:szCs w:val="21"/>
                    </w:rPr>
                    <w:t>工艺流程/环节</w:t>
                  </w:r>
                </w:p>
              </w:tc>
              <w:tc>
                <w:tcPr>
                  <w:tcW w:w="1260" w:type="dxa"/>
                  <w:vAlign w:val="center"/>
                </w:tcPr>
                <w:p w14:paraId="24A93A15">
                  <w:pPr>
                    <w:pStyle w:val="55"/>
                    <w:adjustRightInd w:val="0"/>
                    <w:snapToGrid w:val="0"/>
                    <w:rPr>
                      <w:rStyle w:val="52"/>
                      <w:b/>
                      <w:color w:val="auto"/>
                      <w:szCs w:val="21"/>
                    </w:rPr>
                  </w:pPr>
                  <w:r>
                    <w:rPr>
                      <w:rStyle w:val="52"/>
                      <w:b/>
                      <w:color w:val="auto"/>
                      <w:szCs w:val="21"/>
                    </w:rPr>
                    <w:t>污染途径</w:t>
                  </w:r>
                </w:p>
              </w:tc>
              <w:tc>
                <w:tcPr>
                  <w:tcW w:w="1251" w:type="dxa"/>
                  <w:vAlign w:val="center"/>
                </w:tcPr>
                <w:p w14:paraId="4CD1CCDF">
                  <w:pPr>
                    <w:pStyle w:val="55"/>
                    <w:adjustRightInd w:val="0"/>
                    <w:snapToGrid w:val="0"/>
                    <w:rPr>
                      <w:rStyle w:val="52"/>
                      <w:b/>
                      <w:color w:val="auto"/>
                      <w:szCs w:val="21"/>
                    </w:rPr>
                  </w:pPr>
                  <w:r>
                    <w:rPr>
                      <w:rStyle w:val="52"/>
                      <w:b/>
                      <w:color w:val="auto"/>
                      <w:szCs w:val="21"/>
                    </w:rPr>
                    <w:t>污染物</w:t>
                  </w:r>
                </w:p>
              </w:tc>
              <w:tc>
                <w:tcPr>
                  <w:tcW w:w="2923" w:type="dxa"/>
                  <w:vAlign w:val="center"/>
                </w:tcPr>
                <w:p w14:paraId="686AA79E">
                  <w:pPr>
                    <w:pStyle w:val="55"/>
                    <w:adjustRightInd w:val="0"/>
                    <w:snapToGrid w:val="0"/>
                    <w:rPr>
                      <w:rStyle w:val="52"/>
                      <w:b/>
                      <w:color w:val="auto"/>
                      <w:szCs w:val="21"/>
                    </w:rPr>
                  </w:pPr>
                  <w:r>
                    <w:rPr>
                      <w:rStyle w:val="52"/>
                      <w:b/>
                      <w:color w:val="auto"/>
                      <w:szCs w:val="21"/>
                    </w:rPr>
                    <w:t>备注</w:t>
                  </w:r>
                </w:p>
              </w:tc>
            </w:tr>
            <w:tr w14:paraId="3D59E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vAlign w:val="center"/>
                </w:tcPr>
                <w:p w14:paraId="0FFDCC6A">
                  <w:pPr>
                    <w:pStyle w:val="55"/>
                    <w:adjustRightInd w:val="0"/>
                    <w:snapToGrid w:val="0"/>
                    <w:rPr>
                      <w:rStyle w:val="52"/>
                      <w:bCs/>
                      <w:color w:val="auto"/>
                      <w:szCs w:val="21"/>
                    </w:rPr>
                  </w:pPr>
                  <w:r>
                    <w:rPr>
                      <w:rStyle w:val="52"/>
                      <w:bCs/>
                      <w:color w:val="auto"/>
                      <w:szCs w:val="21"/>
                    </w:rPr>
                    <w:t>危险废物</w:t>
                  </w:r>
                  <w:r>
                    <w:rPr>
                      <w:rFonts w:hint="eastAsia" w:eastAsia="宋体"/>
                      <w:color w:val="auto"/>
                      <w:sz w:val="21"/>
                      <w:szCs w:val="21"/>
                      <w:lang w:val="en-US" w:eastAsia="zh-CN"/>
                    </w:rPr>
                    <w:t>贮存库</w:t>
                  </w:r>
                </w:p>
              </w:tc>
              <w:tc>
                <w:tcPr>
                  <w:tcW w:w="1605" w:type="dxa"/>
                  <w:vAlign w:val="center"/>
                </w:tcPr>
                <w:p w14:paraId="6127F87C">
                  <w:pPr>
                    <w:pStyle w:val="55"/>
                    <w:adjustRightInd w:val="0"/>
                    <w:snapToGrid w:val="0"/>
                    <w:rPr>
                      <w:rStyle w:val="52"/>
                      <w:bCs/>
                      <w:color w:val="auto"/>
                      <w:szCs w:val="21"/>
                    </w:rPr>
                  </w:pPr>
                  <w:r>
                    <w:rPr>
                      <w:rStyle w:val="52"/>
                      <w:bCs/>
                      <w:color w:val="auto"/>
                      <w:szCs w:val="21"/>
                    </w:rPr>
                    <w:t>危险废物暂存</w:t>
                  </w:r>
                </w:p>
              </w:tc>
              <w:tc>
                <w:tcPr>
                  <w:tcW w:w="1260" w:type="dxa"/>
                  <w:vAlign w:val="center"/>
                </w:tcPr>
                <w:p w14:paraId="06A66BF6">
                  <w:pPr>
                    <w:pStyle w:val="55"/>
                    <w:adjustRightInd w:val="0"/>
                    <w:snapToGrid w:val="0"/>
                    <w:rPr>
                      <w:rStyle w:val="52"/>
                      <w:bCs/>
                      <w:color w:val="auto"/>
                      <w:szCs w:val="21"/>
                    </w:rPr>
                  </w:pPr>
                  <w:r>
                    <w:rPr>
                      <w:rStyle w:val="52"/>
                      <w:bCs/>
                      <w:color w:val="auto"/>
                      <w:szCs w:val="21"/>
                    </w:rPr>
                    <w:t>垂直入渗</w:t>
                  </w:r>
                </w:p>
              </w:tc>
              <w:tc>
                <w:tcPr>
                  <w:tcW w:w="1251" w:type="dxa"/>
                  <w:vAlign w:val="center"/>
                </w:tcPr>
                <w:p w14:paraId="49890CC3">
                  <w:pPr>
                    <w:pStyle w:val="55"/>
                    <w:adjustRightInd w:val="0"/>
                    <w:snapToGrid w:val="0"/>
                    <w:rPr>
                      <w:rStyle w:val="52"/>
                      <w:bCs/>
                      <w:color w:val="auto"/>
                      <w:szCs w:val="21"/>
                    </w:rPr>
                  </w:pPr>
                  <w:r>
                    <w:rPr>
                      <w:rStyle w:val="52"/>
                      <w:bCs/>
                      <w:color w:val="auto"/>
                      <w:szCs w:val="21"/>
                    </w:rPr>
                    <w:t>废矿物油</w:t>
                  </w:r>
                </w:p>
              </w:tc>
              <w:tc>
                <w:tcPr>
                  <w:tcW w:w="2923" w:type="dxa"/>
                  <w:vAlign w:val="center"/>
                </w:tcPr>
                <w:p w14:paraId="3708DE5F">
                  <w:pPr>
                    <w:pStyle w:val="55"/>
                    <w:adjustRightInd w:val="0"/>
                    <w:snapToGrid w:val="0"/>
                    <w:rPr>
                      <w:rStyle w:val="52"/>
                      <w:bCs/>
                      <w:color w:val="auto"/>
                      <w:szCs w:val="21"/>
                    </w:rPr>
                  </w:pPr>
                  <w:r>
                    <w:rPr>
                      <w:rStyle w:val="52"/>
                      <w:bCs/>
                      <w:color w:val="auto"/>
                      <w:szCs w:val="21"/>
                    </w:rPr>
                    <w:t>危废收集容器损坏，废矿物油泄漏渗入土壤造成污染</w:t>
                  </w:r>
                </w:p>
              </w:tc>
            </w:tr>
          </w:tbl>
          <w:p w14:paraId="68BE5FAF">
            <w:pPr>
              <w:adjustRightInd w:val="0"/>
              <w:snapToGrid w:val="0"/>
              <w:spacing w:line="360" w:lineRule="auto"/>
              <w:ind w:firstLine="480" w:firstLineChars="200"/>
              <w:rPr>
                <w:color w:val="auto"/>
                <w:sz w:val="24"/>
              </w:rPr>
            </w:pPr>
            <w:r>
              <w:rPr>
                <w:color w:val="auto"/>
                <w:sz w:val="24"/>
              </w:rPr>
              <w:t>3、分区防控措施</w:t>
            </w:r>
          </w:p>
          <w:p w14:paraId="516D8CF1">
            <w:pPr>
              <w:adjustRightInd w:val="0"/>
              <w:snapToGrid w:val="0"/>
              <w:spacing w:line="360" w:lineRule="auto"/>
              <w:ind w:firstLine="480" w:firstLineChars="200"/>
              <w:rPr>
                <w:color w:val="auto"/>
                <w:sz w:val="24"/>
              </w:rPr>
            </w:pPr>
            <w:r>
              <w:rPr>
                <w:color w:val="auto"/>
                <w:sz w:val="24"/>
                <w:lang w:val="zh-CN"/>
              </w:rPr>
              <w:t>根据以上分析，项目存在土壤、地下水污染源的区域主要为危险废物</w:t>
            </w:r>
            <w:r>
              <w:rPr>
                <w:rFonts w:hint="eastAsia" w:eastAsia="宋体"/>
                <w:color w:val="auto"/>
                <w:sz w:val="24"/>
                <w:szCs w:val="24"/>
                <w:lang w:val="en-US" w:eastAsia="zh-CN"/>
              </w:rPr>
              <w:t>贮存库</w:t>
            </w:r>
            <w:r>
              <w:rPr>
                <w:rFonts w:hint="eastAsia"/>
                <w:color w:val="auto"/>
                <w:sz w:val="24"/>
              </w:rPr>
              <w:t>和污水处理设施</w:t>
            </w:r>
            <w:r>
              <w:rPr>
                <w:color w:val="auto"/>
                <w:sz w:val="24"/>
                <w:lang w:val="zh-CN"/>
              </w:rPr>
              <w:t>，因此提出厂内进行分区防渗措施，</w:t>
            </w:r>
            <w:r>
              <w:rPr>
                <w:color w:val="auto"/>
                <w:sz w:val="24"/>
              </w:rPr>
              <w:t>危险废物</w:t>
            </w:r>
            <w:r>
              <w:rPr>
                <w:rFonts w:hint="eastAsia" w:eastAsia="宋体"/>
                <w:color w:val="auto"/>
                <w:sz w:val="24"/>
                <w:szCs w:val="24"/>
                <w:lang w:val="en-US" w:eastAsia="zh-CN"/>
              </w:rPr>
              <w:t>贮存库</w:t>
            </w:r>
            <w:r>
              <w:rPr>
                <w:color w:val="auto"/>
                <w:sz w:val="24"/>
                <w:lang w:val="zh-CN"/>
              </w:rPr>
              <w:t>地面及</w:t>
            </w:r>
            <w:r>
              <w:rPr>
                <w:color w:val="auto"/>
                <w:sz w:val="24"/>
              </w:rPr>
              <w:t>四周墙裙脚应</w:t>
            </w:r>
            <w:r>
              <w:rPr>
                <w:color w:val="auto"/>
                <w:sz w:val="24"/>
                <w:lang w:val="zh-CN"/>
              </w:rPr>
              <w:t>按照</w:t>
            </w:r>
            <w:r>
              <w:rPr>
                <w:rStyle w:val="76"/>
                <w:color w:val="auto"/>
                <w:sz w:val="24"/>
              </w:rPr>
              <w:t>《危险废物贮存污染控制标准》（GB18597-2023）</w:t>
            </w:r>
            <w:r>
              <w:rPr>
                <w:color w:val="auto"/>
                <w:sz w:val="24"/>
                <w:lang w:val="zh-CN"/>
              </w:rPr>
              <w:t>中要求，采用“</w:t>
            </w:r>
            <w:r>
              <w:rPr>
                <w:color w:val="auto"/>
                <w:sz w:val="24"/>
              </w:rPr>
              <w:t>混凝土</w:t>
            </w:r>
            <w:r>
              <w:rPr>
                <w:color w:val="auto"/>
                <w:sz w:val="24"/>
                <w:lang w:val="zh-CN"/>
              </w:rPr>
              <w:t>+2mm厚HDPE+环氧树脂”</w:t>
            </w:r>
            <w:r>
              <w:rPr>
                <w:color w:val="auto"/>
                <w:sz w:val="24"/>
              </w:rPr>
              <w:t>进行重点防渗处理</w:t>
            </w:r>
            <w:r>
              <w:rPr>
                <w:color w:val="auto"/>
                <w:sz w:val="24"/>
                <w:lang w:val="zh-CN"/>
              </w:rPr>
              <w:t>，渗透系数≤10</w:t>
            </w:r>
            <w:r>
              <w:rPr>
                <w:color w:val="auto"/>
                <w:sz w:val="24"/>
                <w:vertAlign w:val="superscript"/>
                <w:lang w:val="zh-CN"/>
              </w:rPr>
              <w:t>-10</w:t>
            </w:r>
            <w:r>
              <w:rPr>
                <w:color w:val="auto"/>
                <w:sz w:val="24"/>
                <w:lang w:val="zh-CN"/>
              </w:rPr>
              <w:t>cm/s；</w:t>
            </w:r>
            <w:r>
              <w:rPr>
                <w:color w:val="auto"/>
                <w:sz w:val="24"/>
              </w:rPr>
              <w:t>并设危险废物备用储存容器，避免废矿物油泄漏污染土壤、地下水</w:t>
            </w:r>
            <w:r>
              <w:rPr>
                <w:color w:val="auto"/>
                <w:sz w:val="24"/>
                <w:highlight w:val="none"/>
                <w:lang w:val="zh-CN"/>
              </w:rPr>
              <w:t>。</w:t>
            </w:r>
            <w:r>
              <w:rPr>
                <w:rFonts w:hint="eastAsia"/>
                <w:color w:val="auto"/>
                <w:sz w:val="24"/>
                <w:highlight w:val="none"/>
                <w:lang w:val="en-US" w:eastAsia="zh-CN"/>
              </w:rPr>
              <w:t>一体化</w:t>
            </w:r>
            <w:r>
              <w:rPr>
                <w:rFonts w:hint="eastAsia"/>
                <w:color w:val="auto"/>
                <w:sz w:val="24"/>
                <w:highlight w:val="none"/>
              </w:rPr>
              <w:t>污水处理</w:t>
            </w:r>
            <w:r>
              <w:rPr>
                <w:rFonts w:hint="eastAsia"/>
                <w:color w:val="auto"/>
                <w:sz w:val="24"/>
                <w:highlight w:val="none"/>
                <w:lang w:val="en-US" w:eastAsia="zh-CN"/>
              </w:rPr>
              <w:t>站</w:t>
            </w:r>
            <w:r>
              <w:rPr>
                <w:rFonts w:hint="eastAsia"/>
                <w:color w:val="auto"/>
                <w:sz w:val="24"/>
                <w:highlight w:val="none"/>
              </w:rPr>
              <w:t>、化粪池、隔油池、</w:t>
            </w:r>
            <w:r>
              <w:rPr>
                <w:rFonts w:hint="eastAsia"/>
                <w:color w:val="auto"/>
                <w:sz w:val="24"/>
                <w:highlight w:val="none"/>
                <w:lang w:val="en-US" w:eastAsia="zh-CN"/>
              </w:rPr>
              <w:t>蓄水池</w:t>
            </w:r>
            <w:r>
              <w:rPr>
                <w:rFonts w:hint="eastAsia"/>
                <w:color w:val="auto"/>
                <w:sz w:val="24"/>
                <w:szCs w:val="24"/>
                <w:highlight w:val="none"/>
                <w:lang w:val="en-US" w:eastAsia="zh-CN"/>
              </w:rPr>
              <w:t>、</w:t>
            </w:r>
            <w:r>
              <w:rPr>
                <w:color w:val="auto"/>
                <w:sz w:val="24"/>
                <w:highlight w:val="none"/>
              </w:rPr>
              <w:t>一般固体废物暂存</w:t>
            </w:r>
            <w:r>
              <w:rPr>
                <w:rFonts w:hint="eastAsia"/>
                <w:color w:val="auto"/>
                <w:sz w:val="24"/>
                <w:highlight w:val="none"/>
              </w:rPr>
              <w:t>间</w:t>
            </w:r>
            <w:r>
              <w:rPr>
                <w:color w:val="auto"/>
                <w:sz w:val="24"/>
                <w:highlight w:val="none"/>
              </w:rPr>
              <w:t>进行</w:t>
            </w:r>
            <w:r>
              <w:rPr>
                <w:color w:val="auto"/>
                <w:sz w:val="24"/>
              </w:rPr>
              <w:t>一般防渗，</w:t>
            </w:r>
            <w:r>
              <w:rPr>
                <w:color w:val="auto"/>
                <w:sz w:val="24"/>
                <w:lang w:val="zh-CN"/>
              </w:rPr>
              <w:t>防渗技术要求达到等效黏土防渗层Mb≥1.5m，渗透系数≤10</w:t>
            </w:r>
            <w:r>
              <w:rPr>
                <w:color w:val="auto"/>
                <w:sz w:val="24"/>
                <w:vertAlign w:val="superscript"/>
                <w:lang w:val="zh-CN"/>
              </w:rPr>
              <w:t>-</w:t>
            </w:r>
            <w:r>
              <w:rPr>
                <w:color w:val="auto"/>
                <w:sz w:val="24"/>
                <w:vertAlign w:val="superscript"/>
              </w:rPr>
              <w:t>7</w:t>
            </w:r>
            <w:r>
              <w:rPr>
                <w:color w:val="auto"/>
                <w:sz w:val="24"/>
                <w:lang w:val="zh-CN"/>
              </w:rPr>
              <w:t>cm/s。其余生产区、道路及办公区域（除绿化外）进行一般</w:t>
            </w:r>
            <w:r>
              <w:rPr>
                <w:color w:val="auto"/>
                <w:sz w:val="24"/>
              </w:rPr>
              <w:t>硬化处理，为简单防渗区。</w:t>
            </w:r>
          </w:p>
          <w:p w14:paraId="2B614571">
            <w:pPr>
              <w:pStyle w:val="83"/>
              <w:tabs>
                <w:tab w:val="left" w:pos="953"/>
              </w:tabs>
              <w:adjustRightInd w:val="0"/>
              <w:snapToGrid w:val="0"/>
              <w:spacing w:line="360" w:lineRule="auto"/>
              <w:ind w:firstLine="480" w:firstLineChars="200"/>
              <w:jc w:val="left"/>
              <w:rPr>
                <w:b/>
                <w:bCs/>
                <w:color w:val="auto"/>
              </w:rPr>
            </w:pPr>
            <w:r>
              <w:rPr>
                <w:color w:val="auto"/>
              </w:rPr>
              <w:t>采取以上措施后可有效避免危险废物对土壤及地下水的污染。</w:t>
            </w:r>
          </w:p>
          <w:p w14:paraId="2A24ED77">
            <w:pPr>
              <w:spacing w:line="360" w:lineRule="auto"/>
              <w:ind w:firstLine="482"/>
              <w:rPr>
                <w:b/>
                <w:bCs/>
                <w:color w:val="auto"/>
                <w:sz w:val="24"/>
                <w:szCs w:val="22"/>
              </w:rPr>
            </w:pPr>
            <w:r>
              <w:rPr>
                <w:b/>
                <w:bCs/>
                <w:color w:val="auto"/>
                <w:sz w:val="24"/>
                <w:szCs w:val="22"/>
              </w:rPr>
              <w:t>六、生态环境</w:t>
            </w:r>
            <w:r>
              <w:rPr>
                <w:b/>
                <w:color w:val="auto"/>
                <w:sz w:val="24"/>
              </w:rPr>
              <w:t>影响分析</w:t>
            </w:r>
          </w:p>
          <w:p w14:paraId="340D093F">
            <w:pPr>
              <w:spacing w:line="360" w:lineRule="auto"/>
              <w:ind w:firstLine="482"/>
              <w:rPr>
                <w:color w:val="auto"/>
                <w:sz w:val="24"/>
                <w:lang w:val="zh-CN"/>
              </w:rPr>
            </w:pPr>
            <w:r>
              <w:rPr>
                <w:color w:val="auto"/>
                <w:sz w:val="24"/>
                <w:szCs w:val="22"/>
              </w:rPr>
              <w:t>本</w:t>
            </w:r>
            <w:r>
              <w:rPr>
                <w:color w:val="auto"/>
                <w:sz w:val="24"/>
              </w:rPr>
              <w:t>项目位于工业园区内，在已建成厂房内建设，场地均已硬化，无原生植被附着，项目建设期和运营期均不会对区域生态环境造成影响。</w:t>
            </w:r>
          </w:p>
          <w:p w14:paraId="21D85EEF">
            <w:pPr>
              <w:spacing w:line="360" w:lineRule="auto"/>
              <w:ind w:firstLine="482"/>
              <w:rPr>
                <w:b/>
                <w:bCs/>
                <w:color w:val="auto"/>
                <w:sz w:val="24"/>
                <w:szCs w:val="22"/>
              </w:rPr>
            </w:pPr>
            <w:r>
              <w:rPr>
                <w:b/>
                <w:bCs/>
                <w:color w:val="auto"/>
                <w:sz w:val="24"/>
                <w:szCs w:val="22"/>
              </w:rPr>
              <w:t>七、</w:t>
            </w:r>
            <w:r>
              <w:rPr>
                <w:rFonts w:hint="eastAsia"/>
                <w:b/>
                <w:bCs/>
                <w:color w:val="auto"/>
                <w:sz w:val="24"/>
                <w:szCs w:val="22"/>
              </w:rPr>
              <w:t>环境</w:t>
            </w:r>
            <w:r>
              <w:rPr>
                <w:b/>
                <w:bCs/>
                <w:color w:val="auto"/>
                <w:sz w:val="24"/>
                <w:szCs w:val="22"/>
              </w:rPr>
              <w:t>风险</w:t>
            </w:r>
            <w:r>
              <w:rPr>
                <w:b/>
                <w:color w:val="auto"/>
                <w:sz w:val="24"/>
              </w:rPr>
              <w:t>分析</w:t>
            </w:r>
          </w:p>
          <w:p w14:paraId="44BE9EC4">
            <w:pPr>
              <w:widowControl/>
              <w:spacing w:line="360" w:lineRule="auto"/>
              <w:ind w:firstLine="482" w:firstLineChars="200"/>
              <w:jc w:val="left"/>
              <w:rPr>
                <w:color w:val="auto"/>
                <w:sz w:val="24"/>
              </w:rPr>
            </w:pPr>
            <w:r>
              <w:rPr>
                <w:b/>
                <w:bCs/>
                <w:color w:val="auto"/>
                <w:sz w:val="24"/>
              </w:rPr>
              <w:t>1、环境风险分析的目的</w:t>
            </w:r>
          </w:p>
          <w:p w14:paraId="2CBC1E53">
            <w:pPr>
              <w:spacing w:line="360" w:lineRule="auto"/>
              <w:ind w:firstLine="480" w:firstLineChars="200"/>
              <w:rPr>
                <w:b/>
                <w:bCs/>
                <w:color w:val="auto"/>
                <w:sz w:val="24"/>
              </w:rPr>
            </w:pPr>
            <w:r>
              <w:rPr>
                <w:color w:val="auto"/>
                <w:sz w:val="24"/>
              </w:rPr>
              <w:t>环境风险分析的目的是分析和预测建设项目存在的潜在危险、有害因素，建设项目建设和运行期间可能发生的突发性事件或事故（一般不包括人为破坏及自然灾害），引起有毒有害和易燃易爆等物质泄漏，所造成的人身安全与环境影响和损害程度，提出合理可行的防范、应急与减缓措施，以使建设项目事故率、损失和环境影响达到可接受水平。</w:t>
            </w:r>
          </w:p>
          <w:p w14:paraId="4AD3748B">
            <w:pPr>
              <w:adjustRightInd w:val="0"/>
              <w:snapToGrid w:val="0"/>
              <w:spacing w:line="360" w:lineRule="auto"/>
              <w:ind w:firstLine="482" w:firstLineChars="200"/>
              <w:rPr>
                <w:b/>
                <w:bCs/>
                <w:color w:val="auto"/>
                <w:sz w:val="24"/>
              </w:rPr>
            </w:pPr>
            <w:r>
              <w:rPr>
                <w:b/>
                <w:bCs/>
                <w:color w:val="auto"/>
                <w:sz w:val="24"/>
              </w:rPr>
              <w:t>2、风险识别</w:t>
            </w:r>
          </w:p>
          <w:p w14:paraId="5DC90436">
            <w:pPr>
              <w:pStyle w:val="83"/>
              <w:spacing w:line="360" w:lineRule="auto"/>
              <w:ind w:firstLine="442" w:firstLineChars="200"/>
              <w:rPr>
                <w:b/>
                <w:bCs/>
                <w:color w:val="auto"/>
                <w:spacing w:val="-10"/>
              </w:rPr>
            </w:pPr>
            <w:r>
              <w:rPr>
                <w:b/>
                <w:bCs/>
                <w:color w:val="auto"/>
                <w:spacing w:val="-10"/>
              </w:rPr>
              <w:t>（1）</w:t>
            </w:r>
            <w:r>
              <w:rPr>
                <w:b/>
                <w:bCs/>
                <w:color w:val="auto"/>
              </w:rPr>
              <w:t>建设项目风险源调查</w:t>
            </w:r>
          </w:p>
          <w:p w14:paraId="6A30CE74">
            <w:pPr>
              <w:pStyle w:val="83"/>
              <w:spacing w:line="360" w:lineRule="auto"/>
              <w:ind w:firstLine="440" w:firstLineChars="200"/>
              <w:rPr>
                <w:color w:val="auto"/>
                <w:kern w:val="0"/>
              </w:rPr>
            </w:pPr>
            <w:r>
              <w:rPr>
                <w:color w:val="auto"/>
                <w:spacing w:val="-10"/>
              </w:rPr>
              <w:t>根据《建设项目环境风险评价技术导则》</w:t>
            </w:r>
            <w:r>
              <w:rPr>
                <w:color w:val="auto"/>
                <w:spacing w:val="-4"/>
              </w:rPr>
              <w:t>（HJ169-2018）</w:t>
            </w:r>
            <w:r>
              <w:rPr>
                <w:color w:val="auto"/>
                <w:spacing w:val="-19"/>
              </w:rPr>
              <w:t xml:space="preserve">附录 </w:t>
            </w:r>
            <w:r>
              <w:rPr>
                <w:color w:val="auto"/>
              </w:rPr>
              <w:t>B</w:t>
            </w:r>
            <w:r>
              <w:rPr>
                <w:color w:val="auto"/>
                <w:spacing w:val="4"/>
              </w:rPr>
              <w:t xml:space="preserve"> </w:t>
            </w:r>
            <w:r>
              <w:rPr>
                <w:color w:val="auto"/>
                <w:spacing w:val="-7"/>
              </w:rPr>
              <w:t>和《重大危险源辨识》</w:t>
            </w:r>
            <w:r>
              <w:rPr>
                <w:color w:val="auto"/>
              </w:rPr>
              <w:t>（GB18218-2018），本项目风险物质为废矿物油。其理化性质详见表4-2</w:t>
            </w:r>
            <w:r>
              <w:rPr>
                <w:rFonts w:hint="eastAsia"/>
                <w:color w:val="auto"/>
                <w:lang w:val="en-US" w:eastAsia="zh-CN"/>
              </w:rPr>
              <w:t>6</w:t>
            </w:r>
            <w:r>
              <w:rPr>
                <w:color w:val="auto"/>
              </w:rPr>
              <w:t>。</w:t>
            </w:r>
          </w:p>
          <w:p w14:paraId="3A7E7B4E">
            <w:pPr>
              <w:adjustRightInd w:val="0"/>
              <w:snapToGrid w:val="0"/>
              <w:jc w:val="center"/>
              <w:rPr>
                <w:b/>
                <w:color w:val="auto"/>
                <w:szCs w:val="21"/>
              </w:rPr>
            </w:pPr>
            <w:r>
              <w:rPr>
                <w:b/>
                <w:color w:val="auto"/>
                <w:szCs w:val="21"/>
              </w:rPr>
              <w:t>表4-</w:t>
            </w:r>
            <w:r>
              <w:rPr>
                <w:rFonts w:hint="eastAsia"/>
                <w:b/>
                <w:color w:val="auto"/>
                <w:szCs w:val="21"/>
              </w:rPr>
              <w:t>2</w:t>
            </w:r>
            <w:r>
              <w:rPr>
                <w:rFonts w:hint="eastAsia"/>
                <w:b/>
                <w:color w:val="auto"/>
                <w:szCs w:val="21"/>
                <w:lang w:val="en-US" w:eastAsia="zh-CN"/>
              </w:rPr>
              <w:t>6</w:t>
            </w:r>
            <w:r>
              <w:rPr>
                <w:b/>
                <w:color w:val="auto"/>
                <w:szCs w:val="21"/>
              </w:rPr>
              <w:t xml:space="preserve">   矿物油理化性质及危险特性表</w:t>
            </w:r>
          </w:p>
          <w:tbl>
            <w:tblPr>
              <w:tblStyle w:val="30"/>
              <w:tblW w:w="829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10"/>
              <w:gridCol w:w="789"/>
              <w:gridCol w:w="2455"/>
              <w:gridCol w:w="4337"/>
            </w:tblGrid>
            <w:tr w14:paraId="76D08B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restart"/>
                  <w:vAlign w:val="center"/>
                </w:tcPr>
                <w:p w14:paraId="5C044E05">
                  <w:pPr>
                    <w:snapToGrid w:val="0"/>
                    <w:spacing w:line="280" w:lineRule="exact"/>
                    <w:jc w:val="center"/>
                    <w:rPr>
                      <w:color w:val="auto"/>
                      <w:szCs w:val="21"/>
                    </w:rPr>
                  </w:pPr>
                  <w:r>
                    <w:rPr>
                      <w:color w:val="auto"/>
                      <w:szCs w:val="21"/>
                    </w:rPr>
                    <w:t>标识</w:t>
                  </w:r>
                </w:p>
              </w:tc>
              <w:tc>
                <w:tcPr>
                  <w:tcW w:w="7581" w:type="dxa"/>
                  <w:gridSpan w:val="3"/>
                  <w:vAlign w:val="center"/>
                </w:tcPr>
                <w:p w14:paraId="220BE1DA">
                  <w:pPr>
                    <w:snapToGrid w:val="0"/>
                    <w:spacing w:line="280" w:lineRule="exact"/>
                    <w:jc w:val="center"/>
                    <w:rPr>
                      <w:color w:val="auto"/>
                      <w:szCs w:val="21"/>
                    </w:rPr>
                  </w:pPr>
                  <w:r>
                    <w:rPr>
                      <w:color w:val="auto"/>
                      <w:szCs w:val="21"/>
                    </w:rPr>
                    <w:t>中文名：矿物油</w:t>
                  </w:r>
                </w:p>
              </w:tc>
            </w:tr>
            <w:tr w14:paraId="40558C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continue"/>
                  <w:vAlign w:val="center"/>
                </w:tcPr>
                <w:p w14:paraId="0ED4B670">
                  <w:pPr>
                    <w:snapToGrid w:val="0"/>
                    <w:spacing w:line="280" w:lineRule="exact"/>
                    <w:jc w:val="center"/>
                    <w:rPr>
                      <w:color w:val="auto"/>
                      <w:szCs w:val="21"/>
                    </w:rPr>
                  </w:pPr>
                </w:p>
              </w:tc>
              <w:tc>
                <w:tcPr>
                  <w:tcW w:w="7581" w:type="dxa"/>
                  <w:gridSpan w:val="3"/>
                  <w:vAlign w:val="center"/>
                </w:tcPr>
                <w:p w14:paraId="05619C34">
                  <w:pPr>
                    <w:snapToGrid w:val="0"/>
                    <w:spacing w:line="280" w:lineRule="exact"/>
                    <w:jc w:val="center"/>
                    <w:rPr>
                      <w:color w:val="auto"/>
                      <w:szCs w:val="21"/>
                    </w:rPr>
                  </w:pPr>
                  <w:r>
                    <w:rPr>
                      <w:color w:val="auto"/>
                      <w:szCs w:val="21"/>
                    </w:rPr>
                    <w:t>英文名：</w:t>
                  </w:r>
                  <w:r>
                    <w:rPr>
                      <w:color w:val="auto"/>
                    </w:rPr>
                    <w:fldChar w:fldCharType="begin"/>
                  </w:r>
                  <w:r>
                    <w:rPr>
                      <w:color w:val="auto"/>
                    </w:rPr>
                    <w:instrText xml:space="preserve"> HYPERLINK "https://www.chemsrc.com/en/cas/8020-83-5_1198972.html" \t "https://www.chemsrc.com/cas/_blank" </w:instrText>
                  </w:r>
                  <w:r>
                    <w:rPr>
                      <w:color w:val="auto"/>
                    </w:rPr>
                    <w:fldChar w:fldCharType="separate"/>
                  </w:r>
                  <w:r>
                    <w:rPr>
                      <w:rStyle w:val="36"/>
                      <w:color w:val="auto"/>
                      <w:szCs w:val="21"/>
                    </w:rPr>
                    <w:t>paraffin</w:t>
                  </w:r>
                  <w:r>
                    <w:rPr>
                      <w:rStyle w:val="36"/>
                      <w:color w:val="auto"/>
                      <w:szCs w:val="21"/>
                    </w:rPr>
                    <w:fldChar w:fldCharType="end"/>
                  </w:r>
                </w:p>
              </w:tc>
            </w:tr>
            <w:tr w14:paraId="5C343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continue"/>
                  <w:vAlign w:val="center"/>
                </w:tcPr>
                <w:p w14:paraId="78FF3C91">
                  <w:pPr>
                    <w:snapToGrid w:val="0"/>
                    <w:spacing w:line="280" w:lineRule="exact"/>
                    <w:jc w:val="center"/>
                    <w:rPr>
                      <w:color w:val="auto"/>
                      <w:szCs w:val="21"/>
                    </w:rPr>
                  </w:pPr>
                </w:p>
              </w:tc>
              <w:tc>
                <w:tcPr>
                  <w:tcW w:w="7581" w:type="dxa"/>
                  <w:gridSpan w:val="3"/>
                  <w:vAlign w:val="center"/>
                </w:tcPr>
                <w:p w14:paraId="46B46DA8">
                  <w:pPr>
                    <w:snapToGrid w:val="0"/>
                    <w:spacing w:line="280" w:lineRule="exact"/>
                    <w:jc w:val="center"/>
                    <w:rPr>
                      <w:color w:val="auto"/>
                      <w:szCs w:val="21"/>
                    </w:rPr>
                  </w:pPr>
                  <w:r>
                    <w:rPr>
                      <w:color w:val="auto"/>
                      <w:szCs w:val="21"/>
                    </w:rPr>
                    <w:t>危险性类别：可燃液体</w:t>
                  </w:r>
                </w:p>
              </w:tc>
            </w:tr>
            <w:tr w14:paraId="6E8DDE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restart"/>
                  <w:vAlign w:val="center"/>
                </w:tcPr>
                <w:p w14:paraId="2B309A3D">
                  <w:pPr>
                    <w:snapToGrid w:val="0"/>
                    <w:spacing w:line="280" w:lineRule="exact"/>
                    <w:jc w:val="center"/>
                    <w:rPr>
                      <w:color w:val="auto"/>
                      <w:szCs w:val="21"/>
                    </w:rPr>
                  </w:pPr>
                  <w:r>
                    <w:rPr>
                      <w:color w:val="auto"/>
                      <w:szCs w:val="21"/>
                    </w:rPr>
                    <w:t>理化</w:t>
                  </w:r>
                </w:p>
                <w:p w14:paraId="13096664">
                  <w:pPr>
                    <w:snapToGrid w:val="0"/>
                    <w:spacing w:line="280" w:lineRule="exact"/>
                    <w:jc w:val="center"/>
                    <w:rPr>
                      <w:color w:val="auto"/>
                      <w:szCs w:val="21"/>
                    </w:rPr>
                  </w:pPr>
                  <w:r>
                    <w:rPr>
                      <w:color w:val="auto"/>
                      <w:szCs w:val="21"/>
                    </w:rPr>
                    <w:t>性质</w:t>
                  </w:r>
                </w:p>
              </w:tc>
              <w:tc>
                <w:tcPr>
                  <w:tcW w:w="7581" w:type="dxa"/>
                  <w:gridSpan w:val="3"/>
                  <w:vAlign w:val="center"/>
                </w:tcPr>
                <w:p w14:paraId="6F080FDB">
                  <w:pPr>
                    <w:snapToGrid w:val="0"/>
                    <w:spacing w:line="280" w:lineRule="exact"/>
                    <w:jc w:val="center"/>
                    <w:rPr>
                      <w:color w:val="auto"/>
                      <w:szCs w:val="21"/>
                    </w:rPr>
                  </w:pPr>
                  <w:r>
                    <w:rPr>
                      <w:color w:val="auto"/>
                      <w:szCs w:val="21"/>
                    </w:rPr>
                    <w:t>外观与性状：</w:t>
                  </w:r>
                  <w:r>
                    <w:rPr>
                      <w:color w:val="auto"/>
                      <w:szCs w:val="21"/>
                      <w:shd w:val="clear" w:color="auto" w:fill="FFFFFF"/>
                    </w:rPr>
                    <w:t>无色透明油状黏性液体，室温下无嗅无味或略带异味，对酸、热、光都很稳定</w:t>
                  </w:r>
                  <w:r>
                    <w:rPr>
                      <w:color w:val="auto"/>
                      <w:szCs w:val="21"/>
                    </w:rPr>
                    <w:t>。</w:t>
                  </w:r>
                </w:p>
              </w:tc>
            </w:tr>
            <w:tr w14:paraId="1E0AF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continue"/>
                  <w:vAlign w:val="center"/>
                </w:tcPr>
                <w:p w14:paraId="66885A19">
                  <w:pPr>
                    <w:snapToGrid w:val="0"/>
                    <w:spacing w:line="280" w:lineRule="exact"/>
                    <w:jc w:val="center"/>
                    <w:rPr>
                      <w:color w:val="auto"/>
                      <w:szCs w:val="21"/>
                    </w:rPr>
                  </w:pPr>
                </w:p>
              </w:tc>
              <w:tc>
                <w:tcPr>
                  <w:tcW w:w="3244" w:type="dxa"/>
                  <w:gridSpan w:val="2"/>
                  <w:vAlign w:val="center"/>
                </w:tcPr>
                <w:p w14:paraId="39A0E6A3">
                  <w:pPr>
                    <w:snapToGrid w:val="0"/>
                    <w:spacing w:line="280" w:lineRule="exact"/>
                    <w:jc w:val="center"/>
                    <w:rPr>
                      <w:color w:val="auto"/>
                      <w:szCs w:val="21"/>
                    </w:rPr>
                  </w:pPr>
                  <w:r>
                    <w:rPr>
                      <w:color w:val="auto"/>
                      <w:szCs w:val="21"/>
                    </w:rPr>
                    <w:t>熔点（℃）：-</w:t>
                  </w:r>
                </w:p>
              </w:tc>
              <w:tc>
                <w:tcPr>
                  <w:tcW w:w="4337" w:type="dxa"/>
                  <w:vAlign w:val="center"/>
                </w:tcPr>
                <w:p w14:paraId="5B8BE00A">
                  <w:pPr>
                    <w:snapToGrid w:val="0"/>
                    <w:spacing w:line="280" w:lineRule="exact"/>
                    <w:jc w:val="center"/>
                    <w:rPr>
                      <w:color w:val="auto"/>
                      <w:szCs w:val="21"/>
                    </w:rPr>
                  </w:pPr>
                  <w:r>
                    <w:rPr>
                      <w:color w:val="auto"/>
                      <w:szCs w:val="21"/>
                    </w:rPr>
                    <w:t>沸点（℃）：-</w:t>
                  </w:r>
                </w:p>
              </w:tc>
            </w:tr>
            <w:tr w14:paraId="66251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continue"/>
                  <w:vAlign w:val="center"/>
                </w:tcPr>
                <w:p w14:paraId="4FB97653">
                  <w:pPr>
                    <w:snapToGrid w:val="0"/>
                    <w:spacing w:line="280" w:lineRule="exact"/>
                    <w:jc w:val="center"/>
                    <w:rPr>
                      <w:color w:val="auto"/>
                      <w:szCs w:val="21"/>
                    </w:rPr>
                  </w:pPr>
                </w:p>
              </w:tc>
              <w:tc>
                <w:tcPr>
                  <w:tcW w:w="3244" w:type="dxa"/>
                  <w:gridSpan w:val="2"/>
                  <w:vAlign w:val="center"/>
                </w:tcPr>
                <w:p w14:paraId="14905722">
                  <w:pPr>
                    <w:snapToGrid w:val="0"/>
                    <w:spacing w:line="280" w:lineRule="exact"/>
                    <w:jc w:val="center"/>
                    <w:rPr>
                      <w:color w:val="auto"/>
                      <w:szCs w:val="21"/>
                    </w:rPr>
                  </w:pPr>
                  <w:r>
                    <w:rPr>
                      <w:color w:val="auto"/>
                      <w:szCs w:val="21"/>
                    </w:rPr>
                    <w:t>临界温度（℃）：-</w:t>
                  </w:r>
                </w:p>
              </w:tc>
              <w:tc>
                <w:tcPr>
                  <w:tcW w:w="4337" w:type="dxa"/>
                  <w:vAlign w:val="center"/>
                </w:tcPr>
                <w:p w14:paraId="6D59F313">
                  <w:pPr>
                    <w:snapToGrid w:val="0"/>
                    <w:spacing w:line="280" w:lineRule="exact"/>
                    <w:jc w:val="center"/>
                    <w:rPr>
                      <w:color w:val="auto"/>
                      <w:szCs w:val="21"/>
                    </w:rPr>
                  </w:pPr>
                  <w:r>
                    <w:rPr>
                      <w:color w:val="auto"/>
                      <w:szCs w:val="21"/>
                    </w:rPr>
                    <w:t>临界压力（MPa）：-</w:t>
                  </w:r>
                </w:p>
              </w:tc>
            </w:tr>
            <w:tr w14:paraId="327E4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continue"/>
                  <w:vAlign w:val="center"/>
                </w:tcPr>
                <w:p w14:paraId="55C44A9B">
                  <w:pPr>
                    <w:snapToGrid w:val="0"/>
                    <w:spacing w:line="280" w:lineRule="exact"/>
                    <w:jc w:val="center"/>
                    <w:rPr>
                      <w:color w:val="auto"/>
                      <w:szCs w:val="21"/>
                    </w:rPr>
                  </w:pPr>
                </w:p>
              </w:tc>
              <w:tc>
                <w:tcPr>
                  <w:tcW w:w="3244" w:type="dxa"/>
                  <w:gridSpan w:val="2"/>
                  <w:vAlign w:val="center"/>
                </w:tcPr>
                <w:p w14:paraId="77B560B0">
                  <w:pPr>
                    <w:snapToGrid w:val="0"/>
                    <w:spacing w:line="280" w:lineRule="exact"/>
                    <w:jc w:val="center"/>
                    <w:rPr>
                      <w:color w:val="auto"/>
                      <w:szCs w:val="21"/>
                    </w:rPr>
                  </w:pPr>
                  <w:r>
                    <w:rPr>
                      <w:color w:val="auto"/>
                      <w:szCs w:val="21"/>
                    </w:rPr>
                    <w:t>饱和蒸气压（KPa）：-</w:t>
                  </w:r>
                </w:p>
              </w:tc>
              <w:tc>
                <w:tcPr>
                  <w:tcW w:w="4337" w:type="dxa"/>
                  <w:vAlign w:val="center"/>
                </w:tcPr>
                <w:p w14:paraId="5DE6A4C1">
                  <w:pPr>
                    <w:snapToGrid w:val="0"/>
                    <w:spacing w:line="280" w:lineRule="exact"/>
                    <w:jc w:val="center"/>
                    <w:rPr>
                      <w:color w:val="auto"/>
                      <w:szCs w:val="21"/>
                    </w:rPr>
                  </w:pPr>
                  <w:r>
                    <w:rPr>
                      <w:color w:val="auto"/>
                      <w:szCs w:val="21"/>
                    </w:rPr>
                    <w:t>燃烧热 （KJ／mol）：-</w:t>
                  </w:r>
                </w:p>
              </w:tc>
            </w:tr>
            <w:tr w14:paraId="15980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continue"/>
                  <w:vAlign w:val="center"/>
                </w:tcPr>
                <w:p w14:paraId="51EE207D">
                  <w:pPr>
                    <w:snapToGrid w:val="0"/>
                    <w:spacing w:line="280" w:lineRule="exact"/>
                    <w:jc w:val="center"/>
                    <w:rPr>
                      <w:color w:val="auto"/>
                      <w:szCs w:val="21"/>
                    </w:rPr>
                  </w:pPr>
                </w:p>
              </w:tc>
              <w:tc>
                <w:tcPr>
                  <w:tcW w:w="7581" w:type="dxa"/>
                  <w:gridSpan w:val="3"/>
                  <w:vAlign w:val="center"/>
                </w:tcPr>
                <w:p w14:paraId="04BE468A">
                  <w:pPr>
                    <w:snapToGrid w:val="0"/>
                    <w:spacing w:line="280" w:lineRule="exact"/>
                    <w:jc w:val="center"/>
                    <w:rPr>
                      <w:color w:val="auto"/>
                      <w:szCs w:val="21"/>
                    </w:rPr>
                  </w:pPr>
                  <w:r>
                    <w:rPr>
                      <w:color w:val="auto"/>
                      <w:szCs w:val="21"/>
                    </w:rPr>
                    <w:t>密度：0.85g/mLat 20°C</w:t>
                  </w:r>
                </w:p>
              </w:tc>
            </w:tr>
            <w:tr w14:paraId="20B091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continue"/>
                  <w:vAlign w:val="center"/>
                </w:tcPr>
                <w:p w14:paraId="57863DBE">
                  <w:pPr>
                    <w:snapToGrid w:val="0"/>
                    <w:spacing w:line="280" w:lineRule="exact"/>
                    <w:jc w:val="center"/>
                    <w:rPr>
                      <w:color w:val="auto"/>
                      <w:szCs w:val="21"/>
                    </w:rPr>
                  </w:pPr>
                </w:p>
              </w:tc>
              <w:tc>
                <w:tcPr>
                  <w:tcW w:w="7581" w:type="dxa"/>
                  <w:gridSpan w:val="3"/>
                  <w:vAlign w:val="center"/>
                </w:tcPr>
                <w:p w14:paraId="20988085">
                  <w:pPr>
                    <w:snapToGrid w:val="0"/>
                    <w:spacing w:line="280" w:lineRule="exact"/>
                    <w:jc w:val="center"/>
                    <w:rPr>
                      <w:color w:val="auto"/>
                      <w:szCs w:val="21"/>
                    </w:rPr>
                  </w:pPr>
                  <w:r>
                    <w:rPr>
                      <w:color w:val="auto"/>
                      <w:szCs w:val="21"/>
                    </w:rPr>
                    <w:t>溶解性：</w:t>
                  </w:r>
                  <w:r>
                    <w:rPr>
                      <w:color w:val="auto"/>
                      <w:szCs w:val="21"/>
                      <w:shd w:val="clear" w:color="auto" w:fill="FFFFFF"/>
                    </w:rPr>
                    <w:t>不溶于水、甘油、冷乙醇。溶于热乙醇、二硫化碳、乙醚、酯、氯仿、苯、石油醚。除蓖麻油外,与许多油脂和蜡都能混合</w:t>
                  </w:r>
                </w:p>
              </w:tc>
            </w:tr>
            <w:tr w14:paraId="1312C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restart"/>
                  <w:vAlign w:val="center"/>
                </w:tcPr>
                <w:p w14:paraId="663CD201">
                  <w:pPr>
                    <w:snapToGrid w:val="0"/>
                    <w:spacing w:line="280" w:lineRule="exact"/>
                    <w:jc w:val="center"/>
                    <w:rPr>
                      <w:color w:val="auto"/>
                      <w:szCs w:val="21"/>
                    </w:rPr>
                  </w:pPr>
                  <w:r>
                    <w:rPr>
                      <w:color w:val="auto"/>
                      <w:szCs w:val="21"/>
                    </w:rPr>
                    <w:t>燃烧爆炸危险性</w:t>
                  </w:r>
                </w:p>
              </w:tc>
              <w:tc>
                <w:tcPr>
                  <w:tcW w:w="7581" w:type="dxa"/>
                  <w:gridSpan w:val="3"/>
                  <w:vAlign w:val="center"/>
                </w:tcPr>
                <w:p w14:paraId="56586950">
                  <w:pPr>
                    <w:snapToGrid w:val="0"/>
                    <w:spacing w:line="280" w:lineRule="exact"/>
                    <w:jc w:val="center"/>
                    <w:rPr>
                      <w:color w:val="auto"/>
                      <w:szCs w:val="21"/>
                    </w:rPr>
                  </w:pPr>
                  <w:r>
                    <w:rPr>
                      <w:color w:val="auto"/>
                      <w:szCs w:val="21"/>
                    </w:rPr>
                    <w:t>燃烧性：本品可燃，具窒息性。</w:t>
                  </w:r>
                </w:p>
              </w:tc>
            </w:tr>
            <w:tr w14:paraId="78D50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continue"/>
                  <w:vAlign w:val="center"/>
                </w:tcPr>
                <w:p w14:paraId="40C93CA1">
                  <w:pPr>
                    <w:snapToGrid w:val="0"/>
                    <w:spacing w:line="280" w:lineRule="exact"/>
                    <w:jc w:val="center"/>
                    <w:rPr>
                      <w:color w:val="auto"/>
                      <w:szCs w:val="21"/>
                    </w:rPr>
                  </w:pPr>
                </w:p>
              </w:tc>
              <w:tc>
                <w:tcPr>
                  <w:tcW w:w="3244" w:type="dxa"/>
                  <w:gridSpan w:val="2"/>
                  <w:vAlign w:val="center"/>
                </w:tcPr>
                <w:p w14:paraId="00601071">
                  <w:pPr>
                    <w:snapToGrid w:val="0"/>
                    <w:spacing w:line="280" w:lineRule="exact"/>
                    <w:jc w:val="center"/>
                    <w:rPr>
                      <w:color w:val="auto"/>
                      <w:szCs w:val="21"/>
                    </w:rPr>
                  </w:pPr>
                  <w:r>
                    <w:rPr>
                      <w:color w:val="auto"/>
                      <w:szCs w:val="21"/>
                    </w:rPr>
                    <w:t>引燃温度（℃）：300</w:t>
                  </w:r>
                </w:p>
              </w:tc>
              <w:tc>
                <w:tcPr>
                  <w:tcW w:w="4337" w:type="dxa"/>
                  <w:vAlign w:val="center"/>
                </w:tcPr>
                <w:p w14:paraId="52722F95">
                  <w:pPr>
                    <w:snapToGrid w:val="0"/>
                    <w:spacing w:line="280" w:lineRule="exact"/>
                    <w:jc w:val="center"/>
                    <w:rPr>
                      <w:color w:val="auto"/>
                      <w:szCs w:val="21"/>
                    </w:rPr>
                  </w:pPr>
                  <w:r>
                    <w:rPr>
                      <w:color w:val="auto"/>
                      <w:szCs w:val="21"/>
                    </w:rPr>
                    <w:t>闪点（℃）：220</w:t>
                  </w:r>
                </w:p>
              </w:tc>
            </w:tr>
            <w:tr w14:paraId="1D23B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continue"/>
                  <w:vAlign w:val="center"/>
                </w:tcPr>
                <w:p w14:paraId="64452D73">
                  <w:pPr>
                    <w:snapToGrid w:val="0"/>
                    <w:spacing w:line="280" w:lineRule="exact"/>
                    <w:jc w:val="center"/>
                    <w:rPr>
                      <w:color w:val="auto"/>
                      <w:szCs w:val="21"/>
                    </w:rPr>
                  </w:pPr>
                </w:p>
              </w:tc>
              <w:tc>
                <w:tcPr>
                  <w:tcW w:w="3244" w:type="dxa"/>
                  <w:gridSpan w:val="2"/>
                  <w:vAlign w:val="center"/>
                </w:tcPr>
                <w:p w14:paraId="793BDC4B">
                  <w:pPr>
                    <w:snapToGrid w:val="0"/>
                    <w:spacing w:line="280" w:lineRule="exact"/>
                    <w:jc w:val="center"/>
                    <w:rPr>
                      <w:color w:val="auto"/>
                      <w:szCs w:val="21"/>
                    </w:rPr>
                  </w:pPr>
                  <w:r>
                    <w:rPr>
                      <w:color w:val="auto"/>
                      <w:szCs w:val="21"/>
                    </w:rPr>
                    <w:t>爆炸下限（%）：-</w:t>
                  </w:r>
                </w:p>
              </w:tc>
              <w:tc>
                <w:tcPr>
                  <w:tcW w:w="4337" w:type="dxa"/>
                  <w:vAlign w:val="center"/>
                </w:tcPr>
                <w:p w14:paraId="1FEBF820">
                  <w:pPr>
                    <w:snapToGrid w:val="0"/>
                    <w:spacing w:line="280" w:lineRule="exact"/>
                    <w:jc w:val="center"/>
                    <w:rPr>
                      <w:color w:val="auto"/>
                      <w:szCs w:val="21"/>
                    </w:rPr>
                  </w:pPr>
                  <w:r>
                    <w:rPr>
                      <w:color w:val="auto"/>
                      <w:szCs w:val="21"/>
                    </w:rPr>
                    <w:t>爆炸上限（%）：-</w:t>
                  </w:r>
                </w:p>
              </w:tc>
            </w:tr>
            <w:tr w14:paraId="2BAF0A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continue"/>
                  <w:vAlign w:val="center"/>
                </w:tcPr>
                <w:p w14:paraId="0D0A0756">
                  <w:pPr>
                    <w:snapToGrid w:val="0"/>
                    <w:spacing w:line="280" w:lineRule="exact"/>
                    <w:jc w:val="center"/>
                    <w:rPr>
                      <w:color w:val="auto"/>
                      <w:szCs w:val="21"/>
                    </w:rPr>
                  </w:pPr>
                </w:p>
              </w:tc>
              <w:tc>
                <w:tcPr>
                  <w:tcW w:w="3244" w:type="dxa"/>
                  <w:gridSpan w:val="2"/>
                  <w:vAlign w:val="center"/>
                </w:tcPr>
                <w:p w14:paraId="78E914EE">
                  <w:pPr>
                    <w:snapToGrid w:val="0"/>
                    <w:spacing w:line="280" w:lineRule="exact"/>
                    <w:jc w:val="center"/>
                    <w:rPr>
                      <w:color w:val="auto"/>
                      <w:szCs w:val="21"/>
                    </w:rPr>
                  </w:pPr>
                  <w:r>
                    <w:rPr>
                      <w:color w:val="auto"/>
                      <w:szCs w:val="21"/>
                    </w:rPr>
                    <w:t>最小点火能（mj）：-</w:t>
                  </w:r>
                </w:p>
              </w:tc>
              <w:tc>
                <w:tcPr>
                  <w:tcW w:w="4337" w:type="dxa"/>
                  <w:vAlign w:val="center"/>
                </w:tcPr>
                <w:p w14:paraId="07CF44E1">
                  <w:pPr>
                    <w:snapToGrid w:val="0"/>
                    <w:spacing w:line="280" w:lineRule="exact"/>
                    <w:jc w:val="center"/>
                    <w:rPr>
                      <w:color w:val="auto"/>
                      <w:szCs w:val="21"/>
                    </w:rPr>
                  </w:pPr>
                  <w:r>
                    <w:rPr>
                      <w:color w:val="auto"/>
                      <w:szCs w:val="21"/>
                    </w:rPr>
                    <w:t>最大爆炸压力（MPa）：-</w:t>
                  </w:r>
                </w:p>
              </w:tc>
            </w:tr>
            <w:tr w14:paraId="58334B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continue"/>
                  <w:vAlign w:val="center"/>
                </w:tcPr>
                <w:p w14:paraId="5224E8F3">
                  <w:pPr>
                    <w:snapToGrid w:val="0"/>
                    <w:spacing w:line="280" w:lineRule="exact"/>
                    <w:jc w:val="center"/>
                    <w:rPr>
                      <w:color w:val="auto"/>
                      <w:szCs w:val="21"/>
                    </w:rPr>
                  </w:pPr>
                </w:p>
              </w:tc>
              <w:tc>
                <w:tcPr>
                  <w:tcW w:w="789" w:type="dxa"/>
                  <w:vAlign w:val="center"/>
                </w:tcPr>
                <w:p w14:paraId="4A59C5EF">
                  <w:pPr>
                    <w:snapToGrid w:val="0"/>
                    <w:spacing w:line="280" w:lineRule="exact"/>
                    <w:jc w:val="center"/>
                    <w:rPr>
                      <w:color w:val="auto"/>
                      <w:szCs w:val="21"/>
                    </w:rPr>
                  </w:pPr>
                  <w:r>
                    <w:rPr>
                      <w:color w:val="auto"/>
                      <w:szCs w:val="21"/>
                    </w:rPr>
                    <w:t>危险</w:t>
                  </w:r>
                </w:p>
                <w:p w14:paraId="6A90D604">
                  <w:pPr>
                    <w:snapToGrid w:val="0"/>
                    <w:spacing w:line="280" w:lineRule="exact"/>
                    <w:jc w:val="center"/>
                    <w:rPr>
                      <w:color w:val="auto"/>
                      <w:szCs w:val="21"/>
                    </w:rPr>
                  </w:pPr>
                  <w:r>
                    <w:rPr>
                      <w:color w:val="auto"/>
                      <w:szCs w:val="21"/>
                    </w:rPr>
                    <w:t>特性</w:t>
                  </w:r>
                </w:p>
              </w:tc>
              <w:tc>
                <w:tcPr>
                  <w:tcW w:w="6792" w:type="dxa"/>
                  <w:gridSpan w:val="2"/>
                  <w:vAlign w:val="center"/>
                </w:tcPr>
                <w:p w14:paraId="64C9C2E5">
                  <w:pPr>
                    <w:snapToGrid w:val="0"/>
                    <w:spacing w:line="280" w:lineRule="exact"/>
                    <w:jc w:val="center"/>
                    <w:rPr>
                      <w:color w:val="auto"/>
                      <w:szCs w:val="21"/>
                    </w:rPr>
                  </w:pPr>
                  <w:r>
                    <w:rPr>
                      <w:color w:val="auto"/>
                      <w:szCs w:val="21"/>
                    </w:rPr>
                    <w:t>遇明火、高热可燃</w:t>
                  </w:r>
                </w:p>
              </w:tc>
            </w:tr>
            <w:tr w14:paraId="33173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continue"/>
                  <w:vAlign w:val="center"/>
                </w:tcPr>
                <w:p w14:paraId="1D9BBAA5">
                  <w:pPr>
                    <w:snapToGrid w:val="0"/>
                    <w:spacing w:line="280" w:lineRule="exact"/>
                    <w:jc w:val="center"/>
                    <w:rPr>
                      <w:color w:val="auto"/>
                      <w:szCs w:val="21"/>
                    </w:rPr>
                  </w:pPr>
                </w:p>
              </w:tc>
              <w:tc>
                <w:tcPr>
                  <w:tcW w:w="789" w:type="dxa"/>
                  <w:vAlign w:val="center"/>
                </w:tcPr>
                <w:p w14:paraId="59C66BEF">
                  <w:pPr>
                    <w:snapToGrid w:val="0"/>
                    <w:spacing w:line="280" w:lineRule="exact"/>
                    <w:jc w:val="center"/>
                    <w:rPr>
                      <w:color w:val="auto"/>
                      <w:szCs w:val="21"/>
                    </w:rPr>
                  </w:pPr>
                  <w:r>
                    <w:rPr>
                      <w:color w:val="auto"/>
                      <w:szCs w:val="21"/>
                    </w:rPr>
                    <w:t>禁配物</w:t>
                  </w:r>
                </w:p>
              </w:tc>
              <w:tc>
                <w:tcPr>
                  <w:tcW w:w="6792" w:type="dxa"/>
                  <w:gridSpan w:val="2"/>
                  <w:vAlign w:val="center"/>
                </w:tcPr>
                <w:p w14:paraId="7C108468">
                  <w:pPr>
                    <w:snapToGrid w:val="0"/>
                    <w:spacing w:line="280" w:lineRule="exact"/>
                    <w:jc w:val="center"/>
                    <w:rPr>
                      <w:color w:val="auto"/>
                      <w:szCs w:val="21"/>
                    </w:rPr>
                  </w:pPr>
                  <w:r>
                    <w:rPr>
                      <w:color w:val="auto"/>
                      <w:szCs w:val="21"/>
                    </w:rPr>
                    <w:t>/</w:t>
                  </w:r>
                </w:p>
              </w:tc>
            </w:tr>
            <w:tr w14:paraId="6FF85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continue"/>
                  <w:vAlign w:val="center"/>
                </w:tcPr>
                <w:p w14:paraId="51EC5E13">
                  <w:pPr>
                    <w:snapToGrid w:val="0"/>
                    <w:spacing w:line="280" w:lineRule="exact"/>
                    <w:jc w:val="center"/>
                    <w:rPr>
                      <w:color w:val="auto"/>
                      <w:szCs w:val="21"/>
                    </w:rPr>
                  </w:pPr>
                </w:p>
              </w:tc>
              <w:tc>
                <w:tcPr>
                  <w:tcW w:w="789" w:type="dxa"/>
                  <w:vAlign w:val="center"/>
                </w:tcPr>
                <w:p w14:paraId="08E88D64">
                  <w:pPr>
                    <w:snapToGrid w:val="0"/>
                    <w:spacing w:line="280" w:lineRule="exact"/>
                    <w:jc w:val="center"/>
                    <w:rPr>
                      <w:color w:val="auto"/>
                      <w:szCs w:val="21"/>
                    </w:rPr>
                  </w:pPr>
                  <w:r>
                    <w:rPr>
                      <w:color w:val="auto"/>
                      <w:szCs w:val="21"/>
                    </w:rPr>
                    <w:t>消防</w:t>
                  </w:r>
                </w:p>
                <w:p w14:paraId="62D0519E">
                  <w:pPr>
                    <w:snapToGrid w:val="0"/>
                    <w:spacing w:line="280" w:lineRule="exact"/>
                    <w:jc w:val="center"/>
                    <w:rPr>
                      <w:color w:val="auto"/>
                      <w:szCs w:val="21"/>
                    </w:rPr>
                  </w:pPr>
                  <w:r>
                    <w:rPr>
                      <w:color w:val="auto"/>
                      <w:szCs w:val="21"/>
                    </w:rPr>
                    <w:t>措施</w:t>
                  </w:r>
                </w:p>
              </w:tc>
              <w:tc>
                <w:tcPr>
                  <w:tcW w:w="6792" w:type="dxa"/>
                  <w:gridSpan w:val="2"/>
                  <w:vAlign w:val="center"/>
                </w:tcPr>
                <w:p w14:paraId="29903FF3">
                  <w:pPr>
                    <w:snapToGrid w:val="0"/>
                    <w:spacing w:line="280" w:lineRule="exact"/>
                    <w:jc w:val="center"/>
                    <w:rPr>
                      <w:color w:val="auto"/>
                    </w:rPr>
                  </w:pPr>
                  <w:r>
                    <w:rPr>
                      <w:color w:val="auto"/>
                    </w:rPr>
                    <w:t>消防人员须佩戴防毒面具、身穿全身消防服，在上风险灭活。尽可能将容器从火场移至空旷处。喷水保持火场容器冷却，直至灭活结束。处在火场中的容器若已变色或从安全泄压装置中产生声音，必须马上撤离。</w:t>
                  </w:r>
                </w:p>
                <w:p w14:paraId="367603C0">
                  <w:pPr>
                    <w:pStyle w:val="17"/>
                    <w:snapToGrid w:val="0"/>
                    <w:rPr>
                      <w:rFonts w:ascii="Times New Roman" w:hAnsi="Times New Roman"/>
                      <w:color w:val="auto"/>
                    </w:rPr>
                  </w:pPr>
                  <w:r>
                    <w:rPr>
                      <w:rFonts w:ascii="Times New Roman" w:hAnsi="Times New Roman"/>
                      <w:color w:val="auto"/>
                      <w:szCs w:val="21"/>
                    </w:rPr>
                    <w:t>灭火剂：雾状水、泡沫、干粉、二氧化碳、砂土。</w:t>
                  </w:r>
                </w:p>
              </w:tc>
            </w:tr>
            <w:tr w14:paraId="5E0C7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restart"/>
                  <w:vAlign w:val="center"/>
                </w:tcPr>
                <w:p w14:paraId="5E5CB30A">
                  <w:pPr>
                    <w:snapToGrid w:val="0"/>
                    <w:spacing w:line="280" w:lineRule="exact"/>
                    <w:jc w:val="center"/>
                    <w:rPr>
                      <w:color w:val="auto"/>
                      <w:szCs w:val="21"/>
                    </w:rPr>
                  </w:pPr>
                  <w:r>
                    <w:rPr>
                      <w:color w:val="auto"/>
                      <w:szCs w:val="21"/>
                    </w:rPr>
                    <w:t>毒性</w:t>
                  </w:r>
                </w:p>
              </w:tc>
              <w:tc>
                <w:tcPr>
                  <w:tcW w:w="789" w:type="dxa"/>
                  <w:vAlign w:val="center"/>
                </w:tcPr>
                <w:p w14:paraId="4EE7AA08">
                  <w:pPr>
                    <w:snapToGrid w:val="0"/>
                    <w:spacing w:line="280" w:lineRule="exact"/>
                    <w:jc w:val="center"/>
                    <w:rPr>
                      <w:color w:val="auto"/>
                      <w:szCs w:val="21"/>
                    </w:rPr>
                  </w:pPr>
                  <w:r>
                    <w:rPr>
                      <w:color w:val="auto"/>
                      <w:szCs w:val="21"/>
                    </w:rPr>
                    <w:t>急性</w:t>
                  </w:r>
                </w:p>
                <w:p w14:paraId="59A8ED79">
                  <w:pPr>
                    <w:snapToGrid w:val="0"/>
                    <w:spacing w:line="280" w:lineRule="exact"/>
                    <w:jc w:val="center"/>
                    <w:rPr>
                      <w:color w:val="auto"/>
                      <w:szCs w:val="21"/>
                    </w:rPr>
                  </w:pPr>
                  <w:r>
                    <w:rPr>
                      <w:color w:val="auto"/>
                      <w:szCs w:val="21"/>
                    </w:rPr>
                    <w:t>毒性</w:t>
                  </w:r>
                </w:p>
              </w:tc>
              <w:tc>
                <w:tcPr>
                  <w:tcW w:w="6792" w:type="dxa"/>
                  <w:gridSpan w:val="2"/>
                  <w:vAlign w:val="center"/>
                </w:tcPr>
                <w:p w14:paraId="457B7C13">
                  <w:pPr>
                    <w:snapToGrid w:val="0"/>
                    <w:spacing w:line="280" w:lineRule="exact"/>
                    <w:jc w:val="center"/>
                    <w:rPr>
                      <w:color w:val="auto"/>
                      <w:szCs w:val="21"/>
                    </w:rPr>
                  </w:pPr>
                  <w:r>
                    <w:rPr>
                      <w:color w:val="auto"/>
                      <w:szCs w:val="21"/>
                    </w:rPr>
                    <w:t>LD50 ：无资料。</w:t>
                  </w:r>
                </w:p>
                <w:p w14:paraId="50220689">
                  <w:pPr>
                    <w:snapToGrid w:val="0"/>
                    <w:spacing w:line="280" w:lineRule="exact"/>
                    <w:jc w:val="center"/>
                    <w:rPr>
                      <w:color w:val="auto"/>
                      <w:szCs w:val="21"/>
                    </w:rPr>
                  </w:pPr>
                  <w:r>
                    <w:rPr>
                      <w:color w:val="auto"/>
                      <w:szCs w:val="21"/>
                    </w:rPr>
                    <w:t>LC50 ：无资料</w:t>
                  </w:r>
                </w:p>
              </w:tc>
            </w:tr>
            <w:tr w14:paraId="42EDE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continue"/>
                  <w:vAlign w:val="center"/>
                </w:tcPr>
                <w:p w14:paraId="76145E41">
                  <w:pPr>
                    <w:snapToGrid w:val="0"/>
                    <w:spacing w:line="280" w:lineRule="exact"/>
                    <w:jc w:val="center"/>
                    <w:rPr>
                      <w:color w:val="auto"/>
                      <w:szCs w:val="21"/>
                    </w:rPr>
                  </w:pPr>
                </w:p>
              </w:tc>
              <w:tc>
                <w:tcPr>
                  <w:tcW w:w="789" w:type="dxa"/>
                  <w:vAlign w:val="center"/>
                </w:tcPr>
                <w:p w14:paraId="52A58FCE">
                  <w:pPr>
                    <w:snapToGrid w:val="0"/>
                    <w:spacing w:line="280" w:lineRule="exact"/>
                    <w:jc w:val="center"/>
                    <w:rPr>
                      <w:color w:val="auto"/>
                      <w:szCs w:val="21"/>
                    </w:rPr>
                  </w:pPr>
                  <w:r>
                    <w:rPr>
                      <w:color w:val="auto"/>
                      <w:szCs w:val="21"/>
                    </w:rPr>
                    <w:t>毒性</w:t>
                  </w:r>
                </w:p>
              </w:tc>
              <w:tc>
                <w:tcPr>
                  <w:tcW w:w="6792" w:type="dxa"/>
                  <w:gridSpan w:val="2"/>
                  <w:vAlign w:val="center"/>
                </w:tcPr>
                <w:p w14:paraId="607E8995">
                  <w:pPr>
                    <w:snapToGrid w:val="0"/>
                    <w:spacing w:line="280" w:lineRule="exact"/>
                    <w:jc w:val="center"/>
                    <w:rPr>
                      <w:color w:val="auto"/>
                      <w:szCs w:val="21"/>
                    </w:rPr>
                  </w:pPr>
                  <w:r>
                    <w:rPr>
                      <w:color w:val="auto"/>
                      <w:szCs w:val="21"/>
                    </w:rPr>
                    <w:t>无资料</w:t>
                  </w:r>
                </w:p>
              </w:tc>
            </w:tr>
            <w:tr w14:paraId="665A4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continue"/>
                  <w:vAlign w:val="center"/>
                </w:tcPr>
                <w:p w14:paraId="72C3AAB7">
                  <w:pPr>
                    <w:snapToGrid w:val="0"/>
                    <w:spacing w:line="280" w:lineRule="exact"/>
                    <w:jc w:val="center"/>
                    <w:rPr>
                      <w:color w:val="auto"/>
                      <w:szCs w:val="21"/>
                    </w:rPr>
                  </w:pPr>
                </w:p>
              </w:tc>
              <w:tc>
                <w:tcPr>
                  <w:tcW w:w="789" w:type="dxa"/>
                  <w:vAlign w:val="center"/>
                </w:tcPr>
                <w:p w14:paraId="74B157A3">
                  <w:pPr>
                    <w:snapToGrid w:val="0"/>
                    <w:spacing w:line="280" w:lineRule="exact"/>
                    <w:jc w:val="center"/>
                    <w:rPr>
                      <w:color w:val="auto"/>
                      <w:szCs w:val="21"/>
                    </w:rPr>
                  </w:pPr>
                  <w:r>
                    <w:rPr>
                      <w:color w:val="auto"/>
                      <w:szCs w:val="21"/>
                    </w:rPr>
                    <w:t>健康</w:t>
                  </w:r>
                </w:p>
                <w:p w14:paraId="0FA70BD3">
                  <w:pPr>
                    <w:snapToGrid w:val="0"/>
                    <w:spacing w:line="280" w:lineRule="exact"/>
                    <w:jc w:val="center"/>
                    <w:rPr>
                      <w:color w:val="auto"/>
                      <w:szCs w:val="21"/>
                    </w:rPr>
                  </w:pPr>
                  <w:r>
                    <w:rPr>
                      <w:color w:val="auto"/>
                      <w:szCs w:val="21"/>
                    </w:rPr>
                    <w:t>危害</w:t>
                  </w:r>
                </w:p>
              </w:tc>
              <w:tc>
                <w:tcPr>
                  <w:tcW w:w="6792" w:type="dxa"/>
                  <w:gridSpan w:val="2"/>
                  <w:vAlign w:val="center"/>
                </w:tcPr>
                <w:p w14:paraId="3C5F93EF">
                  <w:pPr>
                    <w:snapToGrid w:val="0"/>
                    <w:spacing w:line="280" w:lineRule="exact"/>
                    <w:rPr>
                      <w:color w:val="auto"/>
                    </w:rPr>
                  </w:pPr>
                  <w:r>
                    <w:rPr>
                      <w:color w:val="auto"/>
                    </w:rPr>
                    <w:t>侵入途径：吸入、食入；</w:t>
                  </w:r>
                </w:p>
                <w:p w14:paraId="3BE53E85">
                  <w:pPr>
                    <w:pStyle w:val="17"/>
                    <w:snapToGrid w:val="0"/>
                    <w:rPr>
                      <w:rFonts w:ascii="Times New Roman" w:hAnsi="Times New Roman"/>
                      <w:color w:val="auto"/>
                      <w:szCs w:val="21"/>
                    </w:rPr>
                  </w:pPr>
                  <w:r>
                    <w:rPr>
                      <w:rFonts w:ascii="Times New Roman" w:hAnsi="Times New Roman"/>
                      <w:color w:val="auto"/>
                      <w:szCs w:val="21"/>
                    </w:rPr>
                    <w:t>急性吸入，可出现乏力、头晕、头痛、恶心，严重者可引起油脂性肺炎。慢接触者，暴露部位可发生油性痤疮和接触性皮炎。可引起神经衰弱综合症，呼吸道和眼刺激症状及慢性油脂性肺炎。有资料报告，接触石油润滑油类的工人，有致癌的病例报告。</w:t>
                  </w:r>
                </w:p>
              </w:tc>
            </w:tr>
            <w:tr w14:paraId="6B8F9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continue"/>
                  <w:vAlign w:val="center"/>
                </w:tcPr>
                <w:p w14:paraId="07A32237">
                  <w:pPr>
                    <w:snapToGrid w:val="0"/>
                    <w:spacing w:line="280" w:lineRule="exact"/>
                    <w:jc w:val="center"/>
                    <w:rPr>
                      <w:color w:val="auto"/>
                      <w:szCs w:val="21"/>
                    </w:rPr>
                  </w:pPr>
                </w:p>
              </w:tc>
              <w:tc>
                <w:tcPr>
                  <w:tcW w:w="789" w:type="dxa"/>
                  <w:vAlign w:val="center"/>
                </w:tcPr>
                <w:p w14:paraId="168541D0">
                  <w:pPr>
                    <w:snapToGrid w:val="0"/>
                    <w:spacing w:line="280" w:lineRule="exact"/>
                    <w:jc w:val="center"/>
                    <w:rPr>
                      <w:color w:val="auto"/>
                      <w:szCs w:val="21"/>
                    </w:rPr>
                  </w:pPr>
                  <w:r>
                    <w:rPr>
                      <w:color w:val="auto"/>
                      <w:szCs w:val="21"/>
                    </w:rPr>
                    <w:t>防护</w:t>
                  </w:r>
                </w:p>
              </w:tc>
              <w:tc>
                <w:tcPr>
                  <w:tcW w:w="6792" w:type="dxa"/>
                  <w:gridSpan w:val="2"/>
                  <w:vAlign w:val="center"/>
                </w:tcPr>
                <w:p w14:paraId="33C9304E">
                  <w:pPr>
                    <w:pStyle w:val="17"/>
                    <w:snapToGrid w:val="0"/>
                    <w:rPr>
                      <w:rFonts w:ascii="Times New Roman" w:hAnsi="Times New Roman"/>
                      <w:color w:val="auto"/>
                    </w:rPr>
                  </w:pPr>
                  <w:r>
                    <w:rPr>
                      <w:rFonts w:ascii="Times New Roman" w:hAnsi="Times New Roman"/>
                      <w:color w:val="auto"/>
                    </w:rPr>
                    <w:t>工程控制：密闭操作，注意通风；</w:t>
                  </w:r>
                </w:p>
                <w:p w14:paraId="1FB81663">
                  <w:pPr>
                    <w:pStyle w:val="17"/>
                    <w:snapToGrid w:val="0"/>
                    <w:rPr>
                      <w:rFonts w:ascii="Times New Roman" w:hAnsi="Times New Roman"/>
                      <w:color w:val="auto"/>
                    </w:rPr>
                  </w:pPr>
                  <w:r>
                    <w:rPr>
                      <w:rFonts w:ascii="Times New Roman" w:hAnsi="Times New Roman"/>
                      <w:color w:val="auto"/>
                    </w:rPr>
                    <w:t>呼吸系统防护：空气中浓度超标时，建议佩戴自吸过滤式防毒面具（半面罩）。紧急事态抢救或撤离时，应该佩戴空气呼吸器。</w:t>
                  </w:r>
                </w:p>
                <w:p w14:paraId="6284FEB4">
                  <w:pPr>
                    <w:pStyle w:val="17"/>
                    <w:snapToGrid w:val="0"/>
                    <w:rPr>
                      <w:rFonts w:ascii="Times New Roman" w:hAnsi="Times New Roman"/>
                      <w:color w:val="auto"/>
                    </w:rPr>
                  </w:pPr>
                  <w:r>
                    <w:rPr>
                      <w:rFonts w:ascii="Times New Roman" w:hAnsi="Times New Roman"/>
                      <w:color w:val="auto"/>
                    </w:rPr>
                    <w:t>眼睛防护：戴化学安全防护眼镜。</w:t>
                  </w:r>
                </w:p>
                <w:p w14:paraId="237235AC">
                  <w:pPr>
                    <w:pStyle w:val="17"/>
                    <w:snapToGrid w:val="0"/>
                    <w:rPr>
                      <w:rFonts w:ascii="Times New Roman" w:hAnsi="Times New Roman"/>
                      <w:color w:val="auto"/>
                    </w:rPr>
                  </w:pPr>
                  <w:r>
                    <w:rPr>
                      <w:rFonts w:ascii="Times New Roman" w:hAnsi="Times New Roman"/>
                      <w:color w:val="auto"/>
                    </w:rPr>
                    <w:t>身体防护：穿防毒物渗透工作服；</w:t>
                  </w:r>
                </w:p>
                <w:p w14:paraId="037C6C6E">
                  <w:pPr>
                    <w:pStyle w:val="17"/>
                    <w:snapToGrid w:val="0"/>
                    <w:rPr>
                      <w:rFonts w:ascii="Times New Roman" w:hAnsi="Times New Roman"/>
                      <w:color w:val="auto"/>
                    </w:rPr>
                  </w:pPr>
                  <w:r>
                    <w:rPr>
                      <w:rFonts w:ascii="Times New Roman" w:hAnsi="Times New Roman"/>
                      <w:color w:val="auto"/>
                    </w:rPr>
                    <w:t>手防护：戴橡胶耐油手套；</w:t>
                  </w:r>
                </w:p>
                <w:p w14:paraId="79E8130F">
                  <w:pPr>
                    <w:pStyle w:val="17"/>
                    <w:snapToGrid w:val="0"/>
                    <w:rPr>
                      <w:rFonts w:ascii="Times New Roman" w:hAnsi="Times New Roman"/>
                      <w:color w:val="auto"/>
                    </w:rPr>
                  </w:pPr>
                  <w:r>
                    <w:rPr>
                      <w:rFonts w:ascii="Times New Roman" w:hAnsi="Times New Roman"/>
                      <w:color w:val="auto"/>
                    </w:rPr>
                    <w:t>其他：工作现场禁止吸烟。避免长期反复接触。</w:t>
                  </w:r>
                </w:p>
              </w:tc>
            </w:tr>
            <w:tr w14:paraId="7F1B4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Merge w:val="continue"/>
                  <w:vAlign w:val="center"/>
                </w:tcPr>
                <w:p w14:paraId="3B2CE007">
                  <w:pPr>
                    <w:snapToGrid w:val="0"/>
                    <w:spacing w:line="280" w:lineRule="exact"/>
                    <w:jc w:val="center"/>
                    <w:rPr>
                      <w:color w:val="auto"/>
                      <w:szCs w:val="21"/>
                    </w:rPr>
                  </w:pPr>
                </w:p>
              </w:tc>
              <w:tc>
                <w:tcPr>
                  <w:tcW w:w="789" w:type="dxa"/>
                  <w:vAlign w:val="center"/>
                </w:tcPr>
                <w:p w14:paraId="2AD01F3E">
                  <w:pPr>
                    <w:snapToGrid w:val="0"/>
                    <w:spacing w:line="280" w:lineRule="exact"/>
                    <w:jc w:val="center"/>
                    <w:rPr>
                      <w:color w:val="auto"/>
                      <w:szCs w:val="21"/>
                    </w:rPr>
                  </w:pPr>
                  <w:r>
                    <w:rPr>
                      <w:color w:val="auto"/>
                      <w:szCs w:val="21"/>
                    </w:rPr>
                    <w:t>急救</w:t>
                  </w:r>
                </w:p>
                <w:p w14:paraId="4631A5D1">
                  <w:pPr>
                    <w:snapToGrid w:val="0"/>
                    <w:spacing w:line="280" w:lineRule="exact"/>
                    <w:jc w:val="center"/>
                    <w:rPr>
                      <w:color w:val="auto"/>
                      <w:szCs w:val="21"/>
                    </w:rPr>
                  </w:pPr>
                  <w:r>
                    <w:rPr>
                      <w:color w:val="auto"/>
                      <w:szCs w:val="21"/>
                    </w:rPr>
                    <w:t>措施</w:t>
                  </w:r>
                </w:p>
              </w:tc>
              <w:tc>
                <w:tcPr>
                  <w:tcW w:w="6792" w:type="dxa"/>
                  <w:gridSpan w:val="2"/>
                  <w:vAlign w:val="center"/>
                </w:tcPr>
                <w:p w14:paraId="4C96ADD7">
                  <w:pPr>
                    <w:snapToGrid w:val="0"/>
                    <w:spacing w:line="280" w:lineRule="exact"/>
                    <w:rPr>
                      <w:color w:val="auto"/>
                    </w:rPr>
                  </w:pPr>
                  <w:r>
                    <w:rPr>
                      <w:color w:val="auto"/>
                    </w:rPr>
                    <w:t>皮肤接触：立即脱去被污染的衣着，用大量清水冲洗；</w:t>
                  </w:r>
                </w:p>
                <w:p w14:paraId="5A65696E">
                  <w:pPr>
                    <w:pStyle w:val="17"/>
                    <w:snapToGrid w:val="0"/>
                    <w:rPr>
                      <w:rFonts w:ascii="Times New Roman" w:hAnsi="Times New Roman"/>
                      <w:color w:val="auto"/>
                      <w:szCs w:val="21"/>
                    </w:rPr>
                  </w:pPr>
                  <w:r>
                    <w:rPr>
                      <w:rFonts w:ascii="Times New Roman" w:hAnsi="Times New Roman"/>
                      <w:color w:val="auto"/>
                      <w:szCs w:val="21"/>
                    </w:rPr>
                    <w:t>眼镜接触：立即提起眼睑，用大量流动清水或生理盐水冲洗，就医；</w:t>
                  </w:r>
                </w:p>
                <w:p w14:paraId="60E974D8">
                  <w:pPr>
                    <w:pStyle w:val="17"/>
                    <w:snapToGrid w:val="0"/>
                    <w:rPr>
                      <w:rFonts w:ascii="Times New Roman" w:hAnsi="Times New Roman"/>
                      <w:color w:val="auto"/>
                      <w:szCs w:val="21"/>
                    </w:rPr>
                  </w:pPr>
                  <w:r>
                    <w:rPr>
                      <w:rFonts w:ascii="Times New Roman" w:hAnsi="Times New Roman"/>
                      <w:color w:val="auto"/>
                      <w:szCs w:val="21"/>
                    </w:rPr>
                    <w:t>吸入：迅速脱离现场至空气新鲜处，保持呼吸道通畅，如呼吸困难，给输氧；如呼吸停止，立即进行人工呼吸，就医；</w:t>
                  </w:r>
                </w:p>
                <w:p w14:paraId="13D520B2">
                  <w:pPr>
                    <w:pStyle w:val="17"/>
                    <w:snapToGrid w:val="0"/>
                    <w:rPr>
                      <w:rFonts w:ascii="Times New Roman" w:hAnsi="Times New Roman"/>
                      <w:color w:val="auto"/>
                      <w:szCs w:val="21"/>
                    </w:rPr>
                  </w:pPr>
                  <w:r>
                    <w:rPr>
                      <w:rFonts w:ascii="Times New Roman" w:hAnsi="Times New Roman"/>
                      <w:color w:val="auto"/>
                      <w:szCs w:val="21"/>
                    </w:rPr>
                    <w:t>食入：饮足量温水，催吐，就医。</w:t>
                  </w:r>
                </w:p>
              </w:tc>
            </w:tr>
            <w:tr w14:paraId="65D20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Align w:val="center"/>
                </w:tcPr>
                <w:p w14:paraId="677670D0">
                  <w:pPr>
                    <w:snapToGrid w:val="0"/>
                    <w:spacing w:line="280" w:lineRule="exact"/>
                    <w:jc w:val="center"/>
                    <w:rPr>
                      <w:color w:val="auto"/>
                      <w:szCs w:val="21"/>
                    </w:rPr>
                  </w:pPr>
                  <w:r>
                    <w:rPr>
                      <w:color w:val="auto"/>
                      <w:szCs w:val="21"/>
                    </w:rPr>
                    <w:t>贮运条件</w:t>
                  </w:r>
                </w:p>
              </w:tc>
              <w:tc>
                <w:tcPr>
                  <w:tcW w:w="7581" w:type="dxa"/>
                  <w:gridSpan w:val="3"/>
                  <w:vAlign w:val="center"/>
                </w:tcPr>
                <w:p w14:paraId="7B26ADB3">
                  <w:pPr>
                    <w:snapToGrid w:val="0"/>
                    <w:spacing w:line="280" w:lineRule="exact"/>
                    <w:rPr>
                      <w:color w:val="auto"/>
                    </w:rPr>
                  </w:pPr>
                  <w:r>
                    <w:rPr>
                      <w:color w:val="auto"/>
                    </w:rPr>
                    <w:t>储存于阴凉、通风的库房。远离火种、热源。应与氧化剂分开存放，切记混储。配备相应品种和数量的消防器材。出去应备有泄漏应急处理设备和合适的收容材料。</w:t>
                  </w:r>
                </w:p>
                <w:p w14:paraId="7F1B1BBF">
                  <w:pPr>
                    <w:pStyle w:val="17"/>
                    <w:snapToGrid w:val="0"/>
                    <w:rPr>
                      <w:rFonts w:ascii="Times New Roman" w:hAnsi="Times New Roman"/>
                      <w:color w:val="auto"/>
                    </w:rPr>
                  </w:pPr>
                  <w:r>
                    <w:rPr>
                      <w:rFonts w:ascii="Times New Roman" w:hAnsi="Times New Roman"/>
                      <w:color w:val="auto"/>
                      <w:szCs w:val="21"/>
                    </w:rPr>
                    <w:t>运输前应先检查包装容器是否完整、密封，运输过程中要确保容器不泄漏、不倒塌、不坠落、不损坏。严禁与氧化剂、食用化学品等混装混运。运输车船必须彻底清洗、消毒，否则不得装运其他物品。船运时，配装位置应远离卧室、厨房，并与电源、火源等部位隔离。公路运输时要按规定路线行驶</w:t>
                  </w:r>
                </w:p>
              </w:tc>
            </w:tr>
            <w:tr w14:paraId="21A16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10" w:type="dxa"/>
                  <w:vAlign w:val="center"/>
                </w:tcPr>
                <w:p w14:paraId="7E298535">
                  <w:pPr>
                    <w:snapToGrid w:val="0"/>
                    <w:spacing w:line="280" w:lineRule="exact"/>
                    <w:jc w:val="center"/>
                    <w:rPr>
                      <w:color w:val="auto"/>
                      <w:szCs w:val="21"/>
                    </w:rPr>
                  </w:pPr>
                  <w:r>
                    <w:rPr>
                      <w:color w:val="auto"/>
                      <w:szCs w:val="21"/>
                    </w:rPr>
                    <w:t>泄漏应急处理</w:t>
                  </w:r>
                </w:p>
              </w:tc>
              <w:tc>
                <w:tcPr>
                  <w:tcW w:w="7581" w:type="dxa"/>
                  <w:gridSpan w:val="3"/>
                  <w:vAlign w:val="center"/>
                </w:tcPr>
                <w:p w14:paraId="6D60BBCE">
                  <w:pPr>
                    <w:snapToGrid w:val="0"/>
                    <w:spacing w:line="280" w:lineRule="exact"/>
                    <w:rPr>
                      <w:color w:val="auto"/>
                    </w:rPr>
                  </w:pPr>
                  <w:r>
                    <w:rPr>
                      <w:color w:val="auto"/>
                    </w:rPr>
                    <w:t>迅速撤离泄漏污染区人员至安全区，并进行隔离，严格限制出入。切断火源。建议应急处理人员戴自给正压式呼吸器，穿防毒服。尽可能切断泄漏源。防治流入下水道、排洪沟等限制性空间。</w:t>
                  </w:r>
                </w:p>
                <w:p w14:paraId="66348A06">
                  <w:pPr>
                    <w:pStyle w:val="17"/>
                    <w:snapToGrid w:val="0"/>
                    <w:rPr>
                      <w:rFonts w:ascii="Times New Roman" w:hAnsi="Times New Roman"/>
                      <w:color w:val="auto"/>
                      <w:szCs w:val="21"/>
                    </w:rPr>
                  </w:pPr>
                  <w:r>
                    <w:rPr>
                      <w:rFonts w:ascii="Times New Roman" w:hAnsi="Times New Roman"/>
                      <w:color w:val="auto"/>
                      <w:szCs w:val="21"/>
                    </w:rPr>
                    <w:t>小量泄漏：用砂土或其他不燃材料吸附或吸收。</w:t>
                  </w:r>
                </w:p>
                <w:p w14:paraId="41926850">
                  <w:pPr>
                    <w:pStyle w:val="17"/>
                    <w:snapToGrid w:val="0"/>
                    <w:rPr>
                      <w:rFonts w:ascii="Times New Roman" w:hAnsi="Times New Roman"/>
                      <w:color w:val="auto"/>
                      <w:szCs w:val="21"/>
                    </w:rPr>
                  </w:pPr>
                  <w:r>
                    <w:rPr>
                      <w:rFonts w:ascii="Times New Roman" w:hAnsi="Times New Roman"/>
                      <w:color w:val="auto"/>
                      <w:szCs w:val="21"/>
                    </w:rPr>
                    <w:t>大量泄漏：构筑位堤或挖坑收容。用泵转移至槽车或专用收集器内，回收或运至废物处理场所处置</w:t>
                  </w:r>
                </w:p>
              </w:tc>
            </w:tr>
          </w:tbl>
          <w:p w14:paraId="746F887F">
            <w:pPr>
              <w:autoSpaceDE w:val="0"/>
              <w:autoSpaceDN w:val="0"/>
              <w:adjustRightInd w:val="0"/>
              <w:snapToGrid w:val="0"/>
              <w:spacing w:line="360" w:lineRule="auto"/>
              <w:ind w:firstLine="482" w:firstLineChars="200"/>
              <w:jc w:val="left"/>
              <w:rPr>
                <w:b/>
                <w:color w:val="auto"/>
                <w:sz w:val="24"/>
              </w:rPr>
            </w:pPr>
            <w:r>
              <w:rPr>
                <w:b/>
                <w:color w:val="auto"/>
                <w:sz w:val="24"/>
              </w:rPr>
              <w:t>（2）环境风险识别</w:t>
            </w:r>
          </w:p>
          <w:p w14:paraId="7A96EA3F">
            <w:pPr>
              <w:pStyle w:val="14"/>
              <w:snapToGrid w:val="0"/>
              <w:spacing w:after="0" w:line="360" w:lineRule="auto"/>
              <w:ind w:firstLine="480" w:firstLineChars="200"/>
              <w:rPr>
                <w:color w:val="auto"/>
                <w:sz w:val="24"/>
              </w:rPr>
            </w:pPr>
            <w:r>
              <w:rPr>
                <w:color w:val="auto"/>
                <w:sz w:val="24"/>
              </w:rPr>
              <w:t>项目环境风险识别包括物质危险性识别，生产系统危险性识别，危险物质向环境转移的途径识别。</w:t>
            </w:r>
          </w:p>
          <w:p w14:paraId="1B89E883">
            <w:pPr>
              <w:pStyle w:val="14"/>
              <w:snapToGrid w:val="0"/>
              <w:spacing w:after="0" w:line="360" w:lineRule="auto"/>
              <w:ind w:firstLine="476" w:firstLineChars="200"/>
              <w:rPr>
                <w:color w:val="auto"/>
                <w:sz w:val="24"/>
              </w:rPr>
            </w:pPr>
            <w:r>
              <w:rPr>
                <w:color w:val="auto"/>
                <w:spacing w:val="-1"/>
                <w:sz w:val="24"/>
              </w:rPr>
              <w:t>物质危险识别包括：主要原辅材料、燃料、中间产品、副产品、最终产品、污染物、</w:t>
            </w:r>
            <w:r>
              <w:rPr>
                <w:color w:val="auto"/>
                <w:sz w:val="24"/>
              </w:rPr>
              <w:t>火灾和爆炸伴生/</w:t>
            </w:r>
            <w:r>
              <w:rPr>
                <w:color w:val="auto"/>
                <w:spacing w:val="-8"/>
                <w:sz w:val="24"/>
              </w:rPr>
              <w:t>次生物等。根据《建设项目环境风险评价技术导则》</w:t>
            </w:r>
            <w:r>
              <w:rPr>
                <w:color w:val="auto"/>
                <w:sz w:val="24"/>
              </w:rPr>
              <w:t>（HJ169-2018）附录B，对其按有毒有害、易燃易爆物质逐个分类识别判定。本项目建成后风险物质主要为废矿物油（废机油）。</w:t>
            </w:r>
          </w:p>
          <w:p w14:paraId="4EE9CB0A">
            <w:pPr>
              <w:pStyle w:val="14"/>
              <w:snapToGrid w:val="0"/>
              <w:spacing w:after="0" w:line="360" w:lineRule="auto"/>
              <w:ind w:firstLine="480" w:firstLineChars="200"/>
              <w:rPr>
                <w:color w:val="auto"/>
                <w:sz w:val="24"/>
              </w:rPr>
            </w:pPr>
            <w:r>
              <w:rPr>
                <w:color w:val="auto"/>
                <w:sz w:val="24"/>
              </w:rPr>
              <w:t>皮肤接触油类物质可引起接触性皮炎、油性痤疮，吸入可引起吸入性肺炎，能经胎盘进入胎儿血中。废矿物油废气可引起眼、鼻刺激症状，头晕及头痛。</w:t>
            </w:r>
          </w:p>
          <w:p w14:paraId="4EA37EA0">
            <w:pPr>
              <w:pStyle w:val="14"/>
              <w:keepNext w:val="0"/>
              <w:keepLines w:val="0"/>
              <w:pageBreakBefore w:val="0"/>
              <w:kinsoku/>
              <w:wordWrap/>
              <w:overflowPunct/>
              <w:topLinePunct w:val="0"/>
              <w:bidi w:val="0"/>
              <w:snapToGrid w:val="0"/>
              <w:spacing w:before="0" w:after="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本项目生产系统风险源主要为</w:t>
            </w:r>
            <w:r>
              <w:rPr>
                <w:rFonts w:hint="default" w:ascii="Times New Roman" w:hAnsi="Times New Roman" w:eastAsia="宋体" w:cs="Times New Roman"/>
                <w:color w:val="auto"/>
                <w:sz w:val="24"/>
                <w:szCs w:val="24"/>
                <w:highlight w:val="none"/>
                <w:lang w:val="en-US" w:eastAsia="zh-CN"/>
              </w:rPr>
              <w:t>废矿物油</w:t>
            </w:r>
            <w:r>
              <w:rPr>
                <w:rFonts w:hint="default" w:ascii="Times New Roman" w:hAnsi="Times New Roman" w:eastAsia="宋体" w:cs="Times New Roman"/>
                <w:color w:val="auto"/>
                <w:sz w:val="24"/>
                <w:szCs w:val="24"/>
                <w:highlight w:val="none"/>
              </w:rPr>
              <w:t>发生火灾、爆炸事故；</w:t>
            </w:r>
            <w:r>
              <w:rPr>
                <w:rFonts w:hint="eastAsia" w:cs="Times New Roman"/>
                <w:color w:val="auto"/>
                <w:sz w:val="24"/>
                <w:szCs w:val="24"/>
                <w:highlight w:val="none"/>
                <w:lang w:eastAsia="zh-CN"/>
              </w:rPr>
              <w:t>原辅材料及产品发生火灾；</w:t>
            </w:r>
            <w:r>
              <w:rPr>
                <w:rFonts w:hint="default" w:ascii="Times New Roman" w:hAnsi="Times New Roman" w:eastAsia="宋体" w:cs="Times New Roman"/>
                <w:color w:val="auto"/>
                <w:sz w:val="24"/>
                <w:szCs w:val="24"/>
                <w:highlight w:val="none"/>
                <w:lang w:val="en-US" w:eastAsia="zh-CN"/>
              </w:rPr>
              <w:t>废矿物油</w:t>
            </w:r>
            <w:r>
              <w:rPr>
                <w:rFonts w:hint="default" w:ascii="Times New Roman" w:hAnsi="Times New Roman" w:eastAsia="宋体" w:cs="Times New Roman"/>
                <w:color w:val="auto"/>
                <w:sz w:val="24"/>
                <w:szCs w:val="24"/>
                <w:highlight w:val="none"/>
              </w:rPr>
              <w:t>属易燃、易爆液体，如果在储存、输送过程发生跑、冒、滴、漏，油料蒸发出来的可燃气体在一定的浓度范围内，能够与空气形成爆炸性混合物，遇明火、静电及高温或与氧化剂接触等易引起燃烧或爆炸；同时其蒸汽比空气重，能在较低处扩散到相当远的地方，遇明火会引着回燃，也会造成火灾爆炸事故。</w:t>
            </w:r>
            <w:r>
              <w:rPr>
                <w:rFonts w:hint="default" w:ascii="Times New Roman" w:hAnsi="Times New Roman" w:eastAsia="宋体" w:cs="Times New Roman"/>
                <w:color w:val="auto"/>
                <w:sz w:val="24"/>
              </w:rPr>
              <w:t>塑料原料及产品塑料</w:t>
            </w:r>
            <w:r>
              <w:rPr>
                <w:rFonts w:hint="default" w:ascii="Times New Roman" w:hAnsi="Times New Roman" w:eastAsia="宋体" w:cs="Times New Roman"/>
                <w:color w:val="auto"/>
                <w:sz w:val="24"/>
                <w:lang w:val="en-US" w:eastAsia="zh-CN"/>
              </w:rPr>
              <w:t>制品</w:t>
            </w:r>
            <w:r>
              <w:rPr>
                <w:rFonts w:hint="default" w:ascii="Times New Roman" w:hAnsi="Times New Roman" w:eastAsia="宋体" w:cs="Times New Roman"/>
                <w:color w:val="auto"/>
                <w:sz w:val="24"/>
              </w:rPr>
              <w:t>遇高温明火可发生燃烧。如营运期安全措施不到位，极易引发火灾事故和污染事故。一般火灾事故会造成较大的人身财产安全，在物料燃烧过程中会造成大气环境污染。燃烧过程中会产生如CO、烟尘等有毒有害气体。CO在大气中比较稳定，不易与其他物质产生化学反应，但当CO浓度过高时，人在这种环境下待的时间较长，就会出现晕眩、头痛、怠倦的现象，CO对人的主要危害就是引起组织缺氧，导致急性或者慢性中毒甚至有死亡的威胁。此外，CO还可能造成听力与视力的损害，比如视野的减小或者听力的丧失。二氧化碳对环境影响主要为温室效应。</w:t>
            </w:r>
          </w:p>
          <w:p w14:paraId="4F9A74CE">
            <w:pPr>
              <w:pStyle w:val="14"/>
              <w:keepNext w:val="0"/>
              <w:keepLines w:val="0"/>
              <w:pageBreakBefore w:val="0"/>
              <w:kinsoku/>
              <w:wordWrap/>
              <w:overflowPunct/>
              <w:topLinePunct w:val="0"/>
              <w:bidi w:val="0"/>
              <w:snapToGrid w:val="0"/>
              <w:spacing w:before="0" w:after="0" w:line="360" w:lineRule="auto"/>
              <w:ind w:left="0" w:right="0" w:firstLine="480" w:firstLineChars="200"/>
              <w:textAlignment w:val="auto"/>
              <w:rPr>
                <w:b/>
                <w:bCs/>
                <w:color w:val="auto"/>
                <w:sz w:val="24"/>
              </w:rPr>
            </w:pPr>
            <w:r>
              <w:rPr>
                <w:rFonts w:hint="default" w:ascii="Times New Roman" w:hAnsi="Times New Roman" w:eastAsia="宋体" w:cs="Times New Roman"/>
                <w:color w:val="auto"/>
                <w:sz w:val="24"/>
                <w:szCs w:val="24"/>
                <w:highlight w:val="none"/>
              </w:rPr>
              <w:t>危险物质向环境转移的途径识别包括：物质泄漏，以及火灾、爆炸等引发的伴生次生污染物排放。本项目环境风险类型主要为</w:t>
            </w:r>
            <w:r>
              <w:rPr>
                <w:rFonts w:hint="default" w:ascii="Times New Roman" w:hAnsi="Times New Roman" w:eastAsia="宋体" w:cs="Times New Roman"/>
                <w:color w:val="auto"/>
                <w:sz w:val="24"/>
                <w:szCs w:val="24"/>
                <w:highlight w:val="none"/>
                <w:lang w:val="en-US" w:eastAsia="zh-CN"/>
              </w:rPr>
              <w:t>废矿物油</w:t>
            </w:r>
            <w:r>
              <w:rPr>
                <w:rFonts w:hint="default" w:ascii="Times New Roman" w:hAnsi="Times New Roman" w:eastAsia="宋体" w:cs="Times New Roman"/>
                <w:color w:val="auto"/>
                <w:sz w:val="24"/>
                <w:szCs w:val="24"/>
                <w:highlight w:val="none"/>
              </w:rPr>
              <w:t>发生泄漏、火灾、爆炸</w:t>
            </w:r>
            <w:r>
              <w:rPr>
                <w:rFonts w:hint="eastAsia" w:cs="Times New Roman"/>
                <w:color w:val="auto"/>
                <w:sz w:val="24"/>
                <w:szCs w:val="24"/>
                <w:highlight w:val="none"/>
                <w:lang w:eastAsia="zh-CN"/>
              </w:rPr>
              <w:t>；原辅料及产品发生火灾</w:t>
            </w:r>
            <w:r>
              <w:rPr>
                <w:rFonts w:hint="default" w:ascii="Times New Roman" w:hAnsi="Times New Roman" w:eastAsia="宋体" w:cs="Times New Roman"/>
                <w:color w:val="auto"/>
                <w:sz w:val="24"/>
                <w:szCs w:val="24"/>
                <w:highlight w:val="none"/>
              </w:rPr>
              <w:t>引发的伴生/次生污染物排放对大气、地表水、地下水的影响。</w:t>
            </w:r>
          </w:p>
          <w:p w14:paraId="1F076DFE">
            <w:pPr>
              <w:adjustRightInd w:val="0"/>
              <w:snapToGrid w:val="0"/>
              <w:spacing w:line="360" w:lineRule="auto"/>
              <w:ind w:firstLine="482" w:firstLineChars="200"/>
              <w:rPr>
                <w:b/>
                <w:bCs/>
                <w:color w:val="auto"/>
                <w:sz w:val="24"/>
              </w:rPr>
            </w:pPr>
            <w:r>
              <w:rPr>
                <w:b/>
                <w:bCs/>
                <w:color w:val="auto"/>
                <w:sz w:val="24"/>
              </w:rPr>
              <w:t>3、风险潜势初判</w:t>
            </w:r>
          </w:p>
          <w:p w14:paraId="41FA5F39">
            <w:pPr>
              <w:adjustRightInd w:val="0"/>
              <w:snapToGrid w:val="0"/>
              <w:spacing w:line="360" w:lineRule="auto"/>
              <w:ind w:firstLine="480" w:firstLineChars="200"/>
              <w:rPr>
                <w:color w:val="auto"/>
                <w:sz w:val="24"/>
              </w:rPr>
            </w:pPr>
            <w:r>
              <w:rPr>
                <w:color w:val="auto"/>
                <w:sz w:val="24"/>
              </w:rPr>
              <w:t>建设项目潜势划分为I、II、III、IV/IV+级。</w:t>
            </w:r>
          </w:p>
          <w:p w14:paraId="007D5144">
            <w:pPr>
              <w:adjustRightInd w:val="0"/>
              <w:snapToGrid w:val="0"/>
              <w:spacing w:line="360" w:lineRule="auto"/>
              <w:ind w:firstLine="480" w:firstLineChars="200"/>
              <w:rPr>
                <w:color w:val="auto"/>
              </w:rPr>
            </w:pPr>
            <w:r>
              <w:rPr>
                <w:color w:val="auto"/>
                <w:sz w:val="24"/>
              </w:rPr>
              <w:t>根据建设项目涉及的物质和工艺系统的危险性及其所在地的环境敏感程度，结合事故情形下环境影响途径，对建设项目潜在环境危害程度进行概化分析，按照下表确定环境风险潜势。</w:t>
            </w:r>
          </w:p>
          <w:p w14:paraId="63F6C91A">
            <w:pPr>
              <w:adjustRightInd w:val="0"/>
              <w:snapToGrid w:val="0"/>
              <w:jc w:val="center"/>
              <w:rPr>
                <w:b/>
                <w:snapToGrid w:val="0"/>
                <w:color w:val="auto"/>
                <w:kern w:val="0"/>
                <w:szCs w:val="21"/>
              </w:rPr>
            </w:pPr>
            <w:r>
              <w:rPr>
                <w:b/>
                <w:snapToGrid w:val="0"/>
                <w:color w:val="auto"/>
                <w:kern w:val="0"/>
                <w:szCs w:val="21"/>
              </w:rPr>
              <w:t>表4-</w:t>
            </w:r>
            <w:r>
              <w:rPr>
                <w:rFonts w:hint="eastAsia"/>
                <w:b/>
                <w:snapToGrid w:val="0"/>
                <w:color w:val="auto"/>
                <w:kern w:val="0"/>
                <w:szCs w:val="21"/>
              </w:rPr>
              <w:t>2</w:t>
            </w:r>
            <w:r>
              <w:rPr>
                <w:rFonts w:hint="eastAsia"/>
                <w:b/>
                <w:snapToGrid w:val="0"/>
                <w:color w:val="auto"/>
                <w:kern w:val="0"/>
                <w:szCs w:val="21"/>
                <w:lang w:val="en-US" w:eastAsia="zh-CN"/>
              </w:rPr>
              <w:t>7</w:t>
            </w:r>
            <w:r>
              <w:rPr>
                <w:b/>
                <w:snapToGrid w:val="0"/>
                <w:color w:val="auto"/>
                <w:kern w:val="0"/>
                <w:szCs w:val="21"/>
              </w:rPr>
              <w:t xml:space="preserve">   建设项目环境风险潜势划分</w:t>
            </w:r>
          </w:p>
          <w:tbl>
            <w:tblPr>
              <w:tblStyle w:val="31"/>
              <w:tblW w:w="84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2"/>
              <w:gridCol w:w="1460"/>
              <w:gridCol w:w="1687"/>
              <w:gridCol w:w="1541"/>
              <w:gridCol w:w="1646"/>
            </w:tblGrid>
            <w:tr w14:paraId="1A2E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2" w:type="dxa"/>
                  <w:vMerge w:val="restart"/>
                  <w:tcBorders>
                    <w:tl2br w:val="nil"/>
                    <w:tr2bl w:val="nil"/>
                  </w:tcBorders>
                  <w:vAlign w:val="center"/>
                </w:tcPr>
                <w:p w14:paraId="6D7BCADA">
                  <w:pPr>
                    <w:adjustRightInd w:val="0"/>
                    <w:snapToGrid w:val="0"/>
                    <w:jc w:val="center"/>
                    <w:rPr>
                      <w:b/>
                      <w:bCs/>
                      <w:snapToGrid w:val="0"/>
                      <w:color w:val="auto"/>
                      <w:kern w:val="0"/>
                      <w:szCs w:val="21"/>
                    </w:rPr>
                  </w:pPr>
                  <w:r>
                    <w:rPr>
                      <w:b/>
                      <w:bCs/>
                      <w:snapToGrid w:val="0"/>
                      <w:color w:val="auto"/>
                      <w:kern w:val="0"/>
                      <w:szCs w:val="21"/>
                    </w:rPr>
                    <w:t>环境敏感程度（E）</w:t>
                  </w:r>
                </w:p>
              </w:tc>
              <w:tc>
                <w:tcPr>
                  <w:tcW w:w="6334" w:type="dxa"/>
                  <w:gridSpan w:val="4"/>
                  <w:tcBorders>
                    <w:tl2br w:val="nil"/>
                    <w:tr2bl w:val="nil"/>
                  </w:tcBorders>
                  <w:vAlign w:val="center"/>
                </w:tcPr>
                <w:p w14:paraId="44724D9C">
                  <w:pPr>
                    <w:adjustRightInd w:val="0"/>
                    <w:snapToGrid w:val="0"/>
                    <w:jc w:val="center"/>
                    <w:rPr>
                      <w:b/>
                      <w:bCs/>
                      <w:snapToGrid w:val="0"/>
                      <w:color w:val="auto"/>
                      <w:kern w:val="0"/>
                      <w:szCs w:val="21"/>
                    </w:rPr>
                  </w:pPr>
                  <w:r>
                    <w:rPr>
                      <w:b/>
                      <w:bCs/>
                      <w:snapToGrid w:val="0"/>
                      <w:color w:val="auto"/>
                      <w:kern w:val="0"/>
                      <w:szCs w:val="21"/>
                      <w:lang w:val="zh-CN"/>
                    </w:rPr>
                    <w:t>危险物质及工艺系统危险性（</w:t>
                  </w:r>
                  <w:r>
                    <w:rPr>
                      <w:b/>
                      <w:bCs/>
                      <w:snapToGrid w:val="0"/>
                      <w:color w:val="auto"/>
                      <w:kern w:val="0"/>
                      <w:szCs w:val="21"/>
                    </w:rPr>
                    <w:t>P</w:t>
                  </w:r>
                  <w:r>
                    <w:rPr>
                      <w:b/>
                      <w:bCs/>
                      <w:snapToGrid w:val="0"/>
                      <w:color w:val="auto"/>
                      <w:kern w:val="0"/>
                      <w:szCs w:val="21"/>
                      <w:lang w:val="zh-CN"/>
                    </w:rPr>
                    <w:t>）</w:t>
                  </w:r>
                </w:p>
              </w:tc>
            </w:tr>
            <w:tr w14:paraId="5EFD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52" w:type="dxa"/>
                  <w:vMerge w:val="continue"/>
                  <w:tcBorders>
                    <w:tl2br w:val="nil"/>
                    <w:tr2bl w:val="nil"/>
                  </w:tcBorders>
                  <w:vAlign w:val="center"/>
                </w:tcPr>
                <w:p w14:paraId="3920DBDB">
                  <w:pPr>
                    <w:adjustRightInd w:val="0"/>
                    <w:snapToGrid w:val="0"/>
                    <w:jc w:val="center"/>
                    <w:rPr>
                      <w:b/>
                      <w:bCs/>
                      <w:snapToGrid w:val="0"/>
                      <w:color w:val="auto"/>
                      <w:kern w:val="0"/>
                      <w:szCs w:val="21"/>
                    </w:rPr>
                  </w:pPr>
                </w:p>
              </w:tc>
              <w:tc>
                <w:tcPr>
                  <w:tcW w:w="1460" w:type="dxa"/>
                  <w:tcBorders>
                    <w:tl2br w:val="nil"/>
                    <w:tr2bl w:val="nil"/>
                  </w:tcBorders>
                  <w:vAlign w:val="center"/>
                </w:tcPr>
                <w:p w14:paraId="61D15998">
                  <w:pPr>
                    <w:adjustRightInd w:val="0"/>
                    <w:snapToGrid w:val="0"/>
                    <w:jc w:val="center"/>
                    <w:rPr>
                      <w:b/>
                      <w:bCs/>
                      <w:snapToGrid w:val="0"/>
                      <w:color w:val="auto"/>
                      <w:kern w:val="0"/>
                      <w:szCs w:val="21"/>
                    </w:rPr>
                  </w:pPr>
                  <w:r>
                    <w:rPr>
                      <w:b/>
                      <w:bCs/>
                      <w:snapToGrid w:val="0"/>
                      <w:color w:val="auto"/>
                      <w:kern w:val="0"/>
                      <w:szCs w:val="21"/>
                    </w:rPr>
                    <w:t>极高危害（P1）</w:t>
                  </w:r>
                </w:p>
              </w:tc>
              <w:tc>
                <w:tcPr>
                  <w:tcW w:w="1687" w:type="dxa"/>
                  <w:tcBorders>
                    <w:tl2br w:val="nil"/>
                    <w:tr2bl w:val="nil"/>
                  </w:tcBorders>
                  <w:vAlign w:val="center"/>
                </w:tcPr>
                <w:p w14:paraId="1AC56238">
                  <w:pPr>
                    <w:adjustRightInd w:val="0"/>
                    <w:snapToGrid w:val="0"/>
                    <w:jc w:val="center"/>
                    <w:rPr>
                      <w:b/>
                      <w:bCs/>
                      <w:snapToGrid w:val="0"/>
                      <w:color w:val="auto"/>
                      <w:kern w:val="0"/>
                      <w:szCs w:val="21"/>
                    </w:rPr>
                  </w:pPr>
                  <w:r>
                    <w:rPr>
                      <w:b/>
                      <w:bCs/>
                      <w:snapToGrid w:val="0"/>
                      <w:color w:val="auto"/>
                      <w:kern w:val="0"/>
                      <w:szCs w:val="21"/>
                    </w:rPr>
                    <w:t>高度危害（P2）</w:t>
                  </w:r>
                </w:p>
              </w:tc>
              <w:tc>
                <w:tcPr>
                  <w:tcW w:w="1541" w:type="dxa"/>
                  <w:tcBorders>
                    <w:tl2br w:val="nil"/>
                    <w:tr2bl w:val="nil"/>
                  </w:tcBorders>
                  <w:vAlign w:val="center"/>
                </w:tcPr>
                <w:p w14:paraId="59216964">
                  <w:pPr>
                    <w:adjustRightInd w:val="0"/>
                    <w:snapToGrid w:val="0"/>
                    <w:jc w:val="center"/>
                    <w:rPr>
                      <w:b/>
                      <w:bCs/>
                      <w:snapToGrid w:val="0"/>
                      <w:color w:val="auto"/>
                      <w:kern w:val="0"/>
                      <w:szCs w:val="21"/>
                    </w:rPr>
                  </w:pPr>
                  <w:r>
                    <w:rPr>
                      <w:b/>
                      <w:bCs/>
                      <w:snapToGrid w:val="0"/>
                      <w:color w:val="auto"/>
                      <w:kern w:val="0"/>
                      <w:szCs w:val="21"/>
                    </w:rPr>
                    <w:t>中度危害（P3）</w:t>
                  </w:r>
                </w:p>
              </w:tc>
              <w:tc>
                <w:tcPr>
                  <w:tcW w:w="1646" w:type="dxa"/>
                  <w:tcBorders>
                    <w:tl2br w:val="nil"/>
                    <w:tr2bl w:val="nil"/>
                  </w:tcBorders>
                  <w:vAlign w:val="center"/>
                </w:tcPr>
                <w:p w14:paraId="3F8626E3">
                  <w:pPr>
                    <w:adjustRightInd w:val="0"/>
                    <w:snapToGrid w:val="0"/>
                    <w:jc w:val="center"/>
                    <w:rPr>
                      <w:b/>
                      <w:bCs/>
                      <w:snapToGrid w:val="0"/>
                      <w:color w:val="auto"/>
                      <w:kern w:val="0"/>
                      <w:szCs w:val="21"/>
                    </w:rPr>
                  </w:pPr>
                  <w:r>
                    <w:rPr>
                      <w:b/>
                      <w:bCs/>
                      <w:snapToGrid w:val="0"/>
                      <w:color w:val="auto"/>
                      <w:kern w:val="0"/>
                      <w:szCs w:val="21"/>
                    </w:rPr>
                    <w:t>轻度危害（P4）</w:t>
                  </w:r>
                </w:p>
              </w:tc>
            </w:tr>
            <w:tr w14:paraId="0B6BD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2" w:type="dxa"/>
                  <w:tcBorders>
                    <w:tl2br w:val="nil"/>
                    <w:tr2bl w:val="nil"/>
                  </w:tcBorders>
                  <w:vAlign w:val="center"/>
                </w:tcPr>
                <w:p w14:paraId="03E3C6BC">
                  <w:pPr>
                    <w:adjustRightInd w:val="0"/>
                    <w:snapToGrid w:val="0"/>
                    <w:jc w:val="center"/>
                    <w:rPr>
                      <w:snapToGrid w:val="0"/>
                      <w:color w:val="auto"/>
                      <w:kern w:val="0"/>
                      <w:szCs w:val="21"/>
                    </w:rPr>
                  </w:pPr>
                  <w:r>
                    <w:rPr>
                      <w:snapToGrid w:val="0"/>
                      <w:color w:val="auto"/>
                      <w:kern w:val="0"/>
                      <w:szCs w:val="21"/>
                    </w:rPr>
                    <w:t>环境高度敏感区（E1）</w:t>
                  </w:r>
                </w:p>
              </w:tc>
              <w:tc>
                <w:tcPr>
                  <w:tcW w:w="1460" w:type="dxa"/>
                  <w:tcBorders>
                    <w:tl2br w:val="nil"/>
                    <w:tr2bl w:val="nil"/>
                  </w:tcBorders>
                  <w:vAlign w:val="center"/>
                </w:tcPr>
                <w:p w14:paraId="7508AB28">
                  <w:pPr>
                    <w:adjustRightInd w:val="0"/>
                    <w:snapToGrid w:val="0"/>
                    <w:jc w:val="center"/>
                    <w:rPr>
                      <w:snapToGrid w:val="0"/>
                      <w:color w:val="auto"/>
                      <w:kern w:val="0"/>
                      <w:szCs w:val="21"/>
                    </w:rPr>
                  </w:pPr>
                  <w:r>
                    <w:rPr>
                      <w:snapToGrid w:val="0"/>
                      <w:color w:val="auto"/>
                      <w:kern w:val="0"/>
                      <w:szCs w:val="21"/>
                    </w:rPr>
                    <w:t>Ⅳ+</w:t>
                  </w:r>
                </w:p>
              </w:tc>
              <w:tc>
                <w:tcPr>
                  <w:tcW w:w="1687" w:type="dxa"/>
                  <w:tcBorders>
                    <w:tl2br w:val="nil"/>
                    <w:tr2bl w:val="nil"/>
                  </w:tcBorders>
                  <w:vAlign w:val="center"/>
                </w:tcPr>
                <w:p w14:paraId="723ACD5D">
                  <w:pPr>
                    <w:adjustRightInd w:val="0"/>
                    <w:snapToGrid w:val="0"/>
                    <w:jc w:val="center"/>
                    <w:rPr>
                      <w:snapToGrid w:val="0"/>
                      <w:color w:val="auto"/>
                      <w:kern w:val="0"/>
                      <w:szCs w:val="21"/>
                    </w:rPr>
                  </w:pPr>
                  <w:r>
                    <w:rPr>
                      <w:snapToGrid w:val="0"/>
                      <w:color w:val="auto"/>
                      <w:kern w:val="0"/>
                      <w:szCs w:val="21"/>
                    </w:rPr>
                    <w:t>Ⅳ</w:t>
                  </w:r>
                </w:p>
              </w:tc>
              <w:tc>
                <w:tcPr>
                  <w:tcW w:w="1541" w:type="dxa"/>
                  <w:tcBorders>
                    <w:tl2br w:val="nil"/>
                    <w:tr2bl w:val="nil"/>
                  </w:tcBorders>
                  <w:vAlign w:val="center"/>
                </w:tcPr>
                <w:p w14:paraId="5FC275A0">
                  <w:pPr>
                    <w:adjustRightInd w:val="0"/>
                    <w:snapToGrid w:val="0"/>
                    <w:jc w:val="center"/>
                    <w:rPr>
                      <w:snapToGrid w:val="0"/>
                      <w:color w:val="auto"/>
                      <w:kern w:val="0"/>
                      <w:szCs w:val="21"/>
                    </w:rPr>
                  </w:pPr>
                  <w:r>
                    <w:rPr>
                      <w:snapToGrid w:val="0"/>
                      <w:color w:val="auto"/>
                      <w:kern w:val="0"/>
                      <w:szCs w:val="21"/>
                    </w:rPr>
                    <w:t>Ⅲ</w:t>
                  </w:r>
                </w:p>
              </w:tc>
              <w:tc>
                <w:tcPr>
                  <w:tcW w:w="1646" w:type="dxa"/>
                  <w:tcBorders>
                    <w:tl2br w:val="nil"/>
                    <w:tr2bl w:val="nil"/>
                  </w:tcBorders>
                  <w:vAlign w:val="center"/>
                </w:tcPr>
                <w:p w14:paraId="42FBAF61">
                  <w:pPr>
                    <w:adjustRightInd w:val="0"/>
                    <w:snapToGrid w:val="0"/>
                    <w:jc w:val="center"/>
                    <w:rPr>
                      <w:snapToGrid w:val="0"/>
                      <w:color w:val="auto"/>
                      <w:kern w:val="0"/>
                      <w:szCs w:val="21"/>
                    </w:rPr>
                  </w:pPr>
                  <w:r>
                    <w:rPr>
                      <w:snapToGrid w:val="0"/>
                      <w:color w:val="auto"/>
                      <w:kern w:val="0"/>
                      <w:szCs w:val="21"/>
                    </w:rPr>
                    <w:t>Ⅲ</w:t>
                  </w:r>
                </w:p>
              </w:tc>
            </w:tr>
            <w:tr w14:paraId="4B682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2" w:type="dxa"/>
                  <w:tcBorders>
                    <w:tl2br w:val="nil"/>
                    <w:tr2bl w:val="nil"/>
                  </w:tcBorders>
                  <w:vAlign w:val="center"/>
                </w:tcPr>
                <w:p w14:paraId="2E5149AB">
                  <w:pPr>
                    <w:adjustRightInd w:val="0"/>
                    <w:snapToGrid w:val="0"/>
                    <w:jc w:val="center"/>
                    <w:rPr>
                      <w:snapToGrid w:val="0"/>
                      <w:color w:val="auto"/>
                      <w:kern w:val="0"/>
                      <w:szCs w:val="21"/>
                    </w:rPr>
                  </w:pPr>
                  <w:r>
                    <w:rPr>
                      <w:snapToGrid w:val="0"/>
                      <w:color w:val="auto"/>
                      <w:kern w:val="0"/>
                      <w:szCs w:val="21"/>
                    </w:rPr>
                    <w:t>环境中度敏感区（E2）</w:t>
                  </w:r>
                </w:p>
              </w:tc>
              <w:tc>
                <w:tcPr>
                  <w:tcW w:w="1460" w:type="dxa"/>
                  <w:tcBorders>
                    <w:tl2br w:val="nil"/>
                    <w:tr2bl w:val="nil"/>
                  </w:tcBorders>
                  <w:vAlign w:val="center"/>
                </w:tcPr>
                <w:p w14:paraId="19CA5D57">
                  <w:pPr>
                    <w:adjustRightInd w:val="0"/>
                    <w:snapToGrid w:val="0"/>
                    <w:jc w:val="center"/>
                    <w:rPr>
                      <w:snapToGrid w:val="0"/>
                      <w:color w:val="auto"/>
                      <w:kern w:val="0"/>
                      <w:szCs w:val="21"/>
                    </w:rPr>
                  </w:pPr>
                  <w:r>
                    <w:rPr>
                      <w:snapToGrid w:val="0"/>
                      <w:color w:val="auto"/>
                      <w:kern w:val="0"/>
                      <w:szCs w:val="21"/>
                    </w:rPr>
                    <w:t>Ⅳ</w:t>
                  </w:r>
                </w:p>
              </w:tc>
              <w:tc>
                <w:tcPr>
                  <w:tcW w:w="1687" w:type="dxa"/>
                  <w:tcBorders>
                    <w:tl2br w:val="nil"/>
                    <w:tr2bl w:val="nil"/>
                  </w:tcBorders>
                  <w:vAlign w:val="center"/>
                </w:tcPr>
                <w:p w14:paraId="4EC6FF6C">
                  <w:pPr>
                    <w:adjustRightInd w:val="0"/>
                    <w:snapToGrid w:val="0"/>
                    <w:jc w:val="center"/>
                    <w:rPr>
                      <w:snapToGrid w:val="0"/>
                      <w:color w:val="auto"/>
                      <w:kern w:val="0"/>
                      <w:szCs w:val="21"/>
                    </w:rPr>
                  </w:pPr>
                  <w:r>
                    <w:rPr>
                      <w:snapToGrid w:val="0"/>
                      <w:color w:val="auto"/>
                      <w:kern w:val="0"/>
                      <w:szCs w:val="21"/>
                    </w:rPr>
                    <w:t>Ⅲ</w:t>
                  </w:r>
                </w:p>
              </w:tc>
              <w:tc>
                <w:tcPr>
                  <w:tcW w:w="1541" w:type="dxa"/>
                  <w:tcBorders>
                    <w:tl2br w:val="nil"/>
                    <w:tr2bl w:val="nil"/>
                  </w:tcBorders>
                  <w:vAlign w:val="center"/>
                </w:tcPr>
                <w:p w14:paraId="6EDF702E">
                  <w:pPr>
                    <w:adjustRightInd w:val="0"/>
                    <w:snapToGrid w:val="0"/>
                    <w:jc w:val="center"/>
                    <w:rPr>
                      <w:snapToGrid w:val="0"/>
                      <w:color w:val="auto"/>
                      <w:kern w:val="0"/>
                      <w:szCs w:val="21"/>
                    </w:rPr>
                  </w:pPr>
                  <w:r>
                    <w:rPr>
                      <w:snapToGrid w:val="0"/>
                      <w:color w:val="auto"/>
                      <w:kern w:val="0"/>
                      <w:szCs w:val="21"/>
                    </w:rPr>
                    <w:t>Ⅲ</w:t>
                  </w:r>
                </w:p>
              </w:tc>
              <w:tc>
                <w:tcPr>
                  <w:tcW w:w="1646" w:type="dxa"/>
                  <w:tcBorders>
                    <w:tl2br w:val="nil"/>
                    <w:tr2bl w:val="nil"/>
                  </w:tcBorders>
                  <w:vAlign w:val="center"/>
                </w:tcPr>
                <w:p w14:paraId="6B9763C0">
                  <w:pPr>
                    <w:adjustRightInd w:val="0"/>
                    <w:snapToGrid w:val="0"/>
                    <w:jc w:val="center"/>
                    <w:rPr>
                      <w:snapToGrid w:val="0"/>
                      <w:color w:val="auto"/>
                      <w:kern w:val="0"/>
                      <w:szCs w:val="21"/>
                    </w:rPr>
                  </w:pPr>
                  <w:r>
                    <w:rPr>
                      <w:snapToGrid w:val="0"/>
                      <w:color w:val="auto"/>
                      <w:kern w:val="0"/>
                      <w:szCs w:val="21"/>
                    </w:rPr>
                    <w:t>Ⅱ</w:t>
                  </w:r>
                </w:p>
              </w:tc>
            </w:tr>
            <w:tr w14:paraId="4313C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2" w:type="dxa"/>
                  <w:tcBorders>
                    <w:tl2br w:val="nil"/>
                    <w:tr2bl w:val="nil"/>
                  </w:tcBorders>
                  <w:vAlign w:val="center"/>
                </w:tcPr>
                <w:p w14:paraId="5B1F2480">
                  <w:pPr>
                    <w:adjustRightInd w:val="0"/>
                    <w:snapToGrid w:val="0"/>
                    <w:jc w:val="center"/>
                    <w:rPr>
                      <w:snapToGrid w:val="0"/>
                      <w:color w:val="auto"/>
                      <w:kern w:val="0"/>
                      <w:szCs w:val="21"/>
                    </w:rPr>
                  </w:pPr>
                  <w:r>
                    <w:rPr>
                      <w:snapToGrid w:val="0"/>
                      <w:color w:val="auto"/>
                      <w:kern w:val="0"/>
                      <w:szCs w:val="21"/>
                    </w:rPr>
                    <w:t>环境低度敏感区（E3）</w:t>
                  </w:r>
                </w:p>
              </w:tc>
              <w:tc>
                <w:tcPr>
                  <w:tcW w:w="1460" w:type="dxa"/>
                  <w:tcBorders>
                    <w:tl2br w:val="nil"/>
                    <w:tr2bl w:val="nil"/>
                  </w:tcBorders>
                  <w:vAlign w:val="center"/>
                </w:tcPr>
                <w:p w14:paraId="300F011F">
                  <w:pPr>
                    <w:adjustRightInd w:val="0"/>
                    <w:snapToGrid w:val="0"/>
                    <w:jc w:val="center"/>
                    <w:rPr>
                      <w:snapToGrid w:val="0"/>
                      <w:color w:val="auto"/>
                      <w:kern w:val="0"/>
                      <w:szCs w:val="21"/>
                    </w:rPr>
                  </w:pPr>
                  <w:r>
                    <w:rPr>
                      <w:snapToGrid w:val="0"/>
                      <w:color w:val="auto"/>
                      <w:kern w:val="0"/>
                      <w:szCs w:val="21"/>
                    </w:rPr>
                    <w:t>Ⅲ</w:t>
                  </w:r>
                </w:p>
              </w:tc>
              <w:tc>
                <w:tcPr>
                  <w:tcW w:w="1687" w:type="dxa"/>
                  <w:tcBorders>
                    <w:tl2br w:val="nil"/>
                    <w:tr2bl w:val="nil"/>
                  </w:tcBorders>
                  <w:vAlign w:val="center"/>
                </w:tcPr>
                <w:p w14:paraId="43AD69BD">
                  <w:pPr>
                    <w:adjustRightInd w:val="0"/>
                    <w:snapToGrid w:val="0"/>
                    <w:jc w:val="center"/>
                    <w:rPr>
                      <w:snapToGrid w:val="0"/>
                      <w:color w:val="auto"/>
                      <w:kern w:val="0"/>
                      <w:szCs w:val="21"/>
                    </w:rPr>
                  </w:pPr>
                  <w:r>
                    <w:rPr>
                      <w:snapToGrid w:val="0"/>
                      <w:color w:val="auto"/>
                      <w:kern w:val="0"/>
                      <w:szCs w:val="21"/>
                    </w:rPr>
                    <w:t>Ⅲ</w:t>
                  </w:r>
                </w:p>
              </w:tc>
              <w:tc>
                <w:tcPr>
                  <w:tcW w:w="1541" w:type="dxa"/>
                  <w:tcBorders>
                    <w:tl2br w:val="nil"/>
                    <w:tr2bl w:val="nil"/>
                  </w:tcBorders>
                  <w:vAlign w:val="center"/>
                </w:tcPr>
                <w:p w14:paraId="720716E5">
                  <w:pPr>
                    <w:adjustRightInd w:val="0"/>
                    <w:snapToGrid w:val="0"/>
                    <w:jc w:val="center"/>
                    <w:rPr>
                      <w:snapToGrid w:val="0"/>
                      <w:color w:val="auto"/>
                      <w:kern w:val="0"/>
                      <w:szCs w:val="21"/>
                    </w:rPr>
                  </w:pPr>
                  <w:r>
                    <w:rPr>
                      <w:snapToGrid w:val="0"/>
                      <w:color w:val="auto"/>
                      <w:kern w:val="0"/>
                      <w:szCs w:val="21"/>
                    </w:rPr>
                    <w:t>Ⅱ</w:t>
                  </w:r>
                </w:p>
              </w:tc>
              <w:tc>
                <w:tcPr>
                  <w:tcW w:w="1646" w:type="dxa"/>
                  <w:tcBorders>
                    <w:tl2br w:val="nil"/>
                    <w:tr2bl w:val="nil"/>
                  </w:tcBorders>
                  <w:vAlign w:val="center"/>
                </w:tcPr>
                <w:p w14:paraId="69201791">
                  <w:pPr>
                    <w:adjustRightInd w:val="0"/>
                    <w:snapToGrid w:val="0"/>
                    <w:jc w:val="center"/>
                    <w:rPr>
                      <w:snapToGrid w:val="0"/>
                      <w:color w:val="auto"/>
                      <w:kern w:val="0"/>
                      <w:szCs w:val="21"/>
                    </w:rPr>
                  </w:pPr>
                  <w:r>
                    <w:rPr>
                      <w:snapToGrid w:val="0"/>
                      <w:color w:val="auto"/>
                      <w:kern w:val="0"/>
                      <w:szCs w:val="21"/>
                    </w:rPr>
                    <w:t>Ⅰ</w:t>
                  </w:r>
                </w:p>
              </w:tc>
            </w:tr>
            <w:tr w14:paraId="61E9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86" w:type="dxa"/>
                  <w:gridSpan w:val="5"/>
                  <w:tcBorders>
                    <w:tl2br w:val="nil"/>
                    <w:tr2bl w:val="nil"/>
                  </w:tcBorders>
                  <w:vAlign w:val="center"/>
                </w:tcPr>
                <w:p w14:paraId="5DF8D19B">
                  <w:pPr>
                    <w:adjustRightInd w:val="0"/>
                    <w:snapToGrid w:val="0"/>
                    <w:jc w:val="center"/>
                    <w:rPr>
                      <w:snapToGrid w:val="0"/>
                      <w:color w:val="auto"/>
                      <w:kern w:val="0"/>
                      <w:szCs w:val="21"/>
                    </w:rPr>
                  </w:pPr>
                  <w:r>
                    <w:rPr>
                      <w:snapToGrid w:val="0"/>
                      <w:color w:val="auto"/>
                      <w:kern w:val="0"/>
                      <w:szCs w:val="21"/>
                    </w:rPr>
                    <w:t>注：Ⅳ+为极高环境风险</w:t>
                  </w:r>
                </w:p>
              </w:tc>
            </w:tr>
          </w:tbl>
          <w:p w14:paraId="0144DA2C">
            <w:pPr>
              <w:adjustRightInd w:val="0"/>
              <w:snapToGrid w:val="0"/>
              <w:spacing w:line="351" w:lineRule="auto"/>
              <w:ind w:firstLine="480" w:firstLineChars="200"/>
              <w:rPr>
                <w:color w:val="auto"/>
                <w:sz w:val="24"/>
                <w:lang w:val="zh-CN"/>
              </w:rPr>
            </w:pPr>
            <w:r>
              <w:rPr>
                <w:color w:val="auto"/>
                <w:sz w:val="24"/>
                <w:lang w:val="zh-CN"/>
              </w:rPr>
              <w:t>危险物质及工艺系统危险性（P）由危险物质数量与临界量的比值（Q）和所属行业及生产工艺特点（M）判定。</w:t>
            </w:r>
          </w:p>
          <w:p w14:paraId="7EA89171">
            <w:pPr>
              <w:adjustRightInd w:val="0"/>
              <w:snapToGrid w:val="0"/>
              <w:spacing w:line="351" w:lineRule="auto"/>
              <w:ind w:firstLine="480" w:firstLineChars="200"/>
              <w:rPr>
                <w:color w:val="auto"/>
                <w:sz w:val="24"/>
                <w:lang w:val="zh-CN"/>
              </w:rPr>
            </w:pPr>
            <w:r>
              <w:rPr>
                <w:color w:val="auto"/>
                <w:sz w:val="24"/>
              </w:rPr>
              <w:t>首先</w:t>
            </w:r>
            <w:r>
              <w:rPr>
                <w:color w:val="auto"/>
                <w:sz w:val="24"/>
                <w:lang w:val="zh-CN"/>
              </w:rPr>
              <w:t>确定危险物质数量与临界量的比值（Q）</w:t>
            </w:r>
          </w:p>
          <w:p w14:paraId="0E3EE344">
            <w:pPr>
              <w:adjustRightInd w:val="0"/>
              <w:snapToGrid w:val="0"/>
              <w:spacing w:line="351" w:lineRule="auto"/>
              <w:ind w:firstLine="480" w:firstLineChars="200"/>
              <w:rPr>
                <w:color w:val="auto"/>
                <w:sz w:val="24"/>
                <w:lang w:val="zh-CN"/>
              </w:rPr>
            </w:pPr>
            <w:r>
              <w:rPr>
                <w:color w:val="auto"/>
                <w:sz w:val="24"/>
                <w:lang w:val="zh-CN"/>
              </w:rPr>
              <w:t>根据该技术导则附录B中表B.1突发环境事件风险物质及临界点，附录C中C1.1危险物质数量与临界量比值（Q）的计算有两种情况：</w:t>
            </w:r>
          </w:p>
          <w:p w14:paraId="3A835FA1">
            <w:pPr>
              <w:adjustRightInd w:val="0"/>
              <w:snapToGrid w:val="0"/>
              <w:spacing w:line="351" w:lineRule="auto"/>
              <w:ind w:firstLine="480" w:firstLineChars="200"/>
              <w:rPr>
                <w:color w:val="auto"/>
                <w:sz w:val="24"/>
                <w:lang w:val="zh-CN"/>
              </w:rPr>
            </w:pPr>
            <w:r>
              <w:rPr>
                <w:color w:val="auto"/>
                <w:sz w:val="24"/>
                <w:lang w:val="zh-CN"/>
              </w:rPr>
              <w:t>a、当只涉及一种危险物质时，计算该物质的总量与其临界量比值，即为 Q；</w:t>
            </w:r>
          </w:p>
          <w:p w14:paraId="1B8721F8">
            <w:pPr>
              <w:adjustRightInd w:val="0"/>
              <w:snapToGrid w:val="0"/>
              <w:spacing w:line="351" w:lineRule="auto"/>
              <w:ind w:firstLine="480" w:firstLineChars="200"/>
              <w:rPr>
                <w:color w:val="auto"/>
                <w:sz w:val="24"/>
                <w:lang w:val="zh-CN"/>
              </w:rPr>
            </w:pPr>
            <w:r>
              <w:rPr>
                <w:color w:val="auto"/>
                <w:sz w:val="24"/>
                <w:lang w:val="zh-CN"/>
              </w:rPr>
              <w:t>b、当存在多种危险物质时，则按下式计算物质总量与其临界量的比值（Q）：</w:t>
            </w:r>
          </w:p>
          <w:p w14:paraId="35624F82">
            <w:pPr>
              <w:adjustRightInd w:val="0"/>
              <w:snapToGrid w:val="0"/>
              <w:spacing w:line="351" w:lineRule="auto"/>
              <w:jc w:val="center"/>
              <w:rPr>
                <w:color w:val="auto"/>
                <w:sz w:val="24"/>
              </w:rPr>
            </w:pPr>
            <w:r>
              <w:rPr>
                <w:color w:val="auto"/>
                <w:position w:val="-28"/>
                <w:sz w:val="24"/>
                <w:vertAlign w:val="subscript"/>
              </w:rPr>
              <w:object>
                <v:shape id="_x0000_i1028" o:spt="75" type="#_x0000_t75" style="height:33pt;width:105.8pt;" o:ole="t" filled="f" o:preferrelative="t" stroked="f" coordsize="21600,21600">
                  <v:path/>
                  <v:fill on="f" focussize="0,0"/>
                  <v:stroke on="f" joinstyle="miter"/>
                  <v:imagedata r:id="rId24" o:title=""/>
                  <o:lock v:ext="edit" aspectratio="t"/>
                  <w10:wrap type="none"/>
                  <w10:anchorlock/>
                </v:shape>
                <o:OLEObject Type="Embed" ProgID="Equation.3" ShapeID="_x0000_i1028" DrawAspect="Content" ObjectID="_1468075731" r:id="rId23">
                  <o:LockedField>false</o:LockedField>
                </o:OLEObject>
              </w:object>
            </w:r>
          </w:p>
          <w:p w14:paraId="71903CC3">
            <w:pPr>
              <w:adjustRightInd w:val="0"/>
              <w:snapToGrid w:val="0"/>
              <w:spacing w:line="351" w:lineRule="auto"/>
              <w:ind w:firstLine="480" w:firstLineChars="200"/>
              <w:rPr>
                <w:color w:val="auto"/>
                <w:sz w:val="24"/>
                <w:lang w:val="zh-CN"/>
              </w:rPr>
            </w:pPr>
            <w:r>
              <w:rPr>
                <w:snapToGrid w:val="0"/>
                <w:color w:val="auto"/>
                <w:kern w:val="0"/>
                <w:sz w:val="24"/>
              </w:rPr>
              <w:t>式中：</w:t>
            </w:r>
            <w:r>
              <w:rPr>
                <w:color w:val="auto"/>
                <w:sz w:val="24"/>
              </w:rPr>
              <w:t>q</w:t>
            </w:r>
            <w:r>
              <w:rPr>
                <w:color w:val="auto"/>
                <w:sz w:val="24"/>
                <w:vertAlign w:val="subscript"/>
              </w:rPr>
              <w:t>1</w:t>
            </w:r>
            <w:r>
              <w:rPr>
                <w:color w:val="auto"/>
                <w:sz w:val="24"/>
                <w:lang w:val="zh-CN"/>
              </w:rPr>
              <w:t>，q</w:t>
            </w:r>
            <w:r>
              <w:rPr>
                <w:color w:val="auto"/>
                <w:sz w:val="24"/>
                <w:vertAlign w:val="subscript"/>
                <w:lang w:val="zh-CN"/>
              </w:rPr>
              <w:t>2</w:t>
            </w:r>
            <w:r>
              <w:rPr>
                <w:color w:val="auto"/>
                <w:sz w:val="24"/>
                <w:lang w:val="zh-CN"/>
              </w:rPr>
              <w:t>，</w:t>
            </w:r>
            <w:r>
              <w:rPr>
                <w:color w:val="auto"/>
                <w:sz w:val="24"/>
              </w:rPr>
              <w:t>q</w:t>
            </w:r>
            <w:r>
              <w:rPr>
                <w:color w:val="auto"/>
                <w:sz w:val="24"/>
                <w:vertAlign w:val="subscript"/>
                <w:lang w:val="zh-CN"/>
              </w:rPr>
              <w:t>n</w:t>
            </w:r>
            <w:r>
              <w:rPr>
                <w:color w:val="auto"/>
                <w:sz w:val="24"/>
                <w:lang w:val="zh-CN"/>
              </w:rPr>
              <w:t>——每种危险物质的最大存在总量，t；</w:t>
            </w:r>
          </w:p>
          <w:p w14:paraId="5F0EC269">
            <w:pPr>
              <w:adjustRightInd w:val="0"/>
              <w:snapToGrid w:val="0"/>
              <w:spacing w:line="351" w:lineRule="auto"/>
              <w:ind w:firstLine="1200" w:firstLineChars="500"/>
              <w:rPr>
                <w:color w:val="auto"/>
                <w:sz w:val="24"/>
                <w:lang w:val="zh-CN"/>
              </w:rPr>
            </w:pPr>
            <w:r>
              <w:rPr>
                <w:color w:val="auto"/>
                <w:sz w:val="24"/>
              </w:rPr>
              <w:t>Q</w:t>
            </w:r>
            <w:r>
              <w:rPr>
                <w:color w:val="auto"/>
                <w:sz w:val="24"/>
                <w:vertAlign w:val="subscript"/>
                <w:lang w:val="zh-CN"/>
              </w:rPr>
              <w:t>1</w:t>
            </w:r>
            <w:r>
              <w:rPr>
                <w:color w:val="auto"/>
                <w:sz w:val="24"/>
                <w:lang w:val="zh-CN"/>
              </w:rPr>
              <w:t>，Q</w:t>
            </w:r>
            <w:r>
              <w:rPr>
                <w:color w:val="auto"/>
                <w:sz w:val="24"/>
                <w:vertAlign w:val="subscript"/>
                <w:lang w:val="zh-CN"/>
              </w:rPr>
              <w:t>2</w:t>
            </w:r>
            <w:r>
              <w:rPr>
                <w:color w:val="auto"/>
                <w:sz w:val="24"/>
                <w:lang w:val="zh-CN"/>
              </w:rPr>
              <w:t>，</w:t>
            </w:r>
            <w:r>
              <w:rPr>
                <w:color w:val="auto"/>
                <w:sz w:val="24"/>
              </w:rPr>
              <w:t>Q</w:t>
            </w:r>
            <w:r>
              <w:rPr>
                <w:color w:val="auto"/>
                <w:sz w:val="24"/>
                <w:vertAlign w:val="subscript"/>
              </w:rPr>
              <w:t>n</w:t>
            </w:r>
            <w:r>
              <w:rPr>
                <w:color w:val="auto"/>
                <w:sz w:val="24"/>
                <w:lang w:val="zh-CN"/>
              </w:rPr>
              <w:t>——每种危险物质的临界量，t。</w:t>
            </w:r>
          </w:p>
          <w:p w14:paraId="0651BF88">
            <w:pPr>
              <w:adjustRightInd w:val="0"/>
              <w:snapToGrid w:val="0"/>
              <w:spacing w:line="351" w:lineRule="auto"/>
              <w:ind w:firstLine="480" w:firstLineChars="200"/>
              <w:rPr>
                <w:color w:val="auto"/>
                <w:sz w:val="24"/>
                <w:lang w:val="zh-CN"/>
              </w:rPr>
            </w:pPr>
            <w:r>
              <w:rPr>
                <w:color w:val="auto"/>
                <w:sz w:val="24"/>
                <w:lang w:val="zh-CN"/>
              </w:rPr>
              <w:t>当Q&lt;1时，该项目环境风险潜势为I。</w:t>
            </w:r>
          </w:p>
          <w:p w14:paraId="4806A2F6">
            <w:pPr>
              <w:adjustRightInd w:val="0"/>
              <w:snapToGrid w:val="0"/>
              <w:spacing w:line="351" w:lineRule="auto"/>
              <w:ind w:firstLine="480" w:firstLineChars="200"/>
              <w:rPr>
                <w:color w:val="auto"/>
                <w:sz w:val="24"/>
                <w:lang w:val="zh-CN"/>
              </w:rPr>
            </w:pPr>
            <w:r>
              <w:rPr>
                <w:color w:val="auto"/>
                <w:sz w:val="24"/>
                <w:lang w:val="zh-CN"/>
              </w:rPr>
              <w:t>当Q≥1时，将Q值划分为：（1）1≤Q&lt;10；（2）10≤Q&lt;100；（3）Q≥100。再综合所属行业及生产工艺特点（M）另行判定。</w:t>
            </w:r>
          </w:p>
          <w:p w14:paraId="4AE2EF65">
            <w:pPr>
              <w:adjustRightInd w:val="0"/>
              <w:snapToGrid w:val="0"/>
              <w:spacing w:line="351" w:lineRule="auto"/>
              <w:ind w:firstLine="480" w:firstLineChars="200"/>
              <w:rPr>
                <w:bCs/>
                <w:color w:val="auto"/>
                <w:kern w:val="0"/>
                <w:sz w:val="24"/>
              </w:rPr>
            </w:pPr>
            <w:r>
              <w:rPr>
                <w:bCs/>
                <w:color w:val="auto"/>
                <w:kern w:val="0"/>
                <w:sz w:val="24"/>
              </w:rPr>
              <w:t>对照《建设项目环境风险评价技术导则》（HJ/T169-2018），本项目涉及的突发环境事件风险物质、临界量及Q值，见下表。</w:t>
            </w:r>
          </w:p>
          <w:p w14:paraId="25BE2358">
            <w:pPr>
              <w:adjustRightInd w:val="0"/>
              <w:snapToGrid w:val="0"/>
              <w:jc w:val="center"/>
              <w:rPr>
                <w:b/>
                <w:bCs/>
                <w:color w:val="auto"/>
                <w:kern w:val="0"/>
              </w:rPr>
            </w:pPr>
            <w:r>
              <w:rPr>
                <w:b/>
                <w:bCs/>
                <w:color w:val="auto"/>
                <w:kern w:val="0"/>
              </w:rPr>
              <w:t>表4-</w:t>
            </w:r>
            <w:r>
              <w:rPr>
                <w:rFonts w:hint="eastAsia"/>
                <w:b/>
                <w:bCs/>
                <w:color w:val="auto"/>
                <w:kern w:val="0"/>
              </w:rPr>
              <w:t>2</w:t>
            </w:r>
            <w:r>
              <w:rPr>
                <w:rFonts w:hint="eastAsia"/>
                <w:b/>
                <w:bCs/>
                <w:color w:val="auto"/>
                <w:kern w:val="0"/>
                <w:lang w:val="en-US" w:eastAsia="zh-CN"/>
              </w:rPr>
              <w:t>8</w:t>
            </w:r>
            <w:r>
              <w:rPr>
                <w:b/>
                <w:bCs/>
                <w:color w:val="auto"/>
                <w:kern w:val="0"/>
              </w:rPr>
              <w:t xml:space="preserve">   环境风险物质数量、临界量及其比值(Q)</w:t>
            </w:r>
          </w:p>
          <w:tbl>
            <w:tblPr>
              <w:tblStyle w:val="30"/>
              <w:tblW w:w="85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1793"/>
              <w:gridCol w:w="1500"/>
              <w:gridCol w:w="1086"/>
              <w:gridCol w:w="1546"/>
              <w:gridCol w:w="1997"/>
            </w:tblGrid>
            <w:tr w14:paraId="25B8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2" w:type="dxa"/>
                  <w:vAlign w:val="center"/>
                </w:tcPr>
                <w:p w14:paraId="27CDE42B">
                  <w:pPr>
                    <w:adjustRightInd w:val="0"/>
                    <w:snapToGrid w:val="0"/>
                    <w:jc w:val="center"/>
                    <w:rPr>
                      <w:b/>
                      <w:color w:val="auto"/>
                      <w:kern w:val="0"/>
                      <w:szCs w:val="21"/>
                    </w:rPr>
                  </w:pPr>
                  <w:r>
                    <w:rPr>
                      <w:b/>
                      <w:color w:val="auto"/>
                      <w:kern w:val="0"/>
                      <w:szCs w:val="21"/>
                    </w:rPr>
                    <w:t>序号</w:t>
                  </w:r>
                </w:p>
              </w:tc>
              <w:tc>
                <w:tcPr>
                  <w:tcW w:w="1793" w:type="dxa"/>
                  <w:vAlign w:val="center"/>
                </w:tcPr>
                <w:p w14:paraId="6AC5F00E">
                  <w:pPr>
                    <w:adjustRightInd w:val="0"/>
                    <w:snapToGrid w:val="0"/>
                    <w:jc w:val="center"/>
                    <w:rPr>
                      <w:b/>
                      <w:color w:val="auto"/>
                      <w:kern w:val="0"/>
                      <w:szCs w:val="21"/>
                    </w:rPr>
                  </w:pPr>
                  <w:r>
                    <w:rPr>
                      <w:b/>
                      <w:color w:val="auto"/>
                      <w:kern w:val="0"/>
                      <w:szCs w:val="21"/>
                    </w:rPr>
                    <w:t>名称</w:t>
                  </w:r>
                </w:p>
              </w:tc>
              <w:tc>
                <w:tcPr>
                  <w:tcW w:w="1500" w:type="dxa"/>
                  <w:vAlign w:val="center"/>
                </w:tcPr>
                <w:p w14:paraId="071FCF49">
                  <w:pPr>
                    <w:pStyle w:val="83"/>
                    <w:jc w:val="center"/>
                    <w:rPr>
                      <w:b/>
                      <w:color w:val="auto"/>
                      <w:kern w:val="0"/>
                      <w:szCs w:val="21"/>
                    </w:rPr>
                  </w:pPr>
                  <w:r>
                    <w:rPr>
                      <w:b/>
                      <w:bCs/>
                      <w:color w:val="auto"/>
                      <w:sz w:val="21"/>
                    </w:rPr>
                    <w:t>最大储存量/在线量/t</w:t>
                  </w:r>
                </w:p>
              </w:tc>
              <w:tc>
                <w:tcPr>
                  <w:tcW w:w="1086" w:type="dxa"/>
                  <w:vAlign w:val="center"/>
                </w:tcPr>
                <w:p w14:paraId="554A8A41">
                  <w:pPr>
                    <w:adjustRightInd w:val="0"/>
                    <w:snapToGrid w:val="0"/>
                    <w:jc w:val="center"/>
                    <w:rPr>
                      <w:b/>
                      <w:color w:val="auto"/>
                      <w:kern w:val="0"/>
                      <w:szCs w:val="21"/>
                    </w:rPr>
                  </w:pPr>
                  <w:r>
                    <w:rPr>
                      <w:b/>
                      <w:color w:val="auto"/>
                      <w:kern w:val="0"/>
                      <w:szCs w:val="21"/>
                    </w:rPr>
                    <w:t>是否为风险物质</w:t>
                  </w:r>
                </w:p>
              </w:tc>
              <w:tc>
                <w:tcPr>
                  <w:tcW w:w="1546" w:type="dxa"/>
                  <w:vAlign w:val="center"/>
                </w:tcPr>
                <w:p w14:paraId="3CDC00CF">
                  <w:pPr>
                    <w:adjustRightInd w:val="0"/>
                    <w:snapToGrid w:val="0"/>
                    <w:jc w:val="center"/>
                    <w:rPr>
                      <w:b/>
                      <w:color w:val="auto"/>
                      <w:kern w:val="0"/>
                      <w:szCs w:val="21"/>
                    </w:rPr>
                  </w:pPr>
                  <w:r>
                    <w:rPr>
                      <w:b/>
                      <w:color w:val="auto"/>
                      <w:kern w:val="0"/>
                      <w:szCs w:val="21"/>
                    </w:rPr>
                    <w:t>生产场所临界量（t）</w:t>
                  </w:r>
                </w:p>
              </w:tc>
              <w:tc>
                <w:tcPr>
                  <w:tcW w:w="1997" w:type="dxa"/>
                  <w:vAlign w:val="center"/>
                </w:tcPr>
                <w:p w14:paraId="725650C9">
                  <w:pPr>
                    <w:adjustRightInd w:val="0"/>
                    <w:snapToGrid w:val="0"/>
                    <w:jc w:val="center"/>
                    <w:rPr>
                      <w:b/>
                      <w:color w:val="auto"/>
                      <w:kern w:val="0"/>
                      <w:szCs w:val="21"/>
                    </w:rPr>
                  </w:pPr>
                  <w:r>
                    <w:rPr>
                      <w:b/>
                      <w:color w:val="auto"/>
                      <w:kern w:val="0"/>
                      <w:szCs w:val="21"/>
                    </w:rPr>
                    <w:t>Q（危险物质数量与临界量比值）</w:t>
                  </w:r>
                </w:p>
              </w:tc>
            </w:tr>
            <w:tr w14:paraId="10DF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2" w:type="dxa"/>
                  <w:vAlign w:val="center"/>
                </w:tcPr>
                <w:p w14:paraId="1D456B02">
                  <w:pPr>
                    <w:adjustRightInd w:val="0"/>
                    <w:snapToGrid w:val="0"/>
                    <w:jc w:val="center"/>
                    <w:rPr>
                      <w:bCs/>
                      <w:color w:val="auto"/>
                      <w:kern w:val="0"/>
                      <w:szCs w:val="21"/>
                    </w:rPr>
                  </w:pPr>
                  <w:r>
                    <w:rPr>
                      <w:bCs/>
                      <w:color w:val="auto"/>
                      <w:kern w:val="0"/>
                      <w:szCs w:val="21"/>
                    </w:rPr>
                    <w:t>1</w:t>
                  </w:r>
                </w:p>
              </w:tc>
              <w:tc>
                <w:tcPr>
                  <w:tcW w:w="1793" w:type="dxa"/>
                  <w:vAlign w:val="center"/>
                </w:tcPr>
                <w:p w14:paraId="39459002">
                  <w:pPr>
                    <w:jc w:val="center"/>
                    <w:rPr>
                      <w:color w:val="auto"/>
                      <w:szCs w:val="21"/>
                    </w:rPr>
                  </w:pPr>
                  <w:r>
                    <w:rPr>
                      <w:color w:val="auto"/>
                      <w:szCs w:val="21"/>
                    </w:rPr>
                    <w:t>废机油</w:t>
                  </w:r>
                </w:p>
              </w:tc>
              <w:tc>
                <w:tcPr>
                  <w:tcW w:w="1500" w:type="dxa"/>
                  <w:vAlign w:val="center"/>
                </w:tcPr>
                <w:p w14:paraId="7CE0334A">
                  <w:pPr>
                    <w:jc w:val="center"/>
                    <w:rPr>
                      <w:rFonts w:hint="eastAsia" w:eastAsia="宋体"/>
                      <w:color w:val="auto"/>
                      <w:szCs w:val="21"/>
                      <w:lang w:val="en-US" w:eastAsia="zh-CN"/>
                    </w:rPr>
                  </w:pPr>
                  <w:r>
                    <w:rPr>
                      <w:rFonts w:hint="eastAsia"/>
                      <w:color w:val="auto"/>
                      <w:szCs w:val="21"/>
                    </w:rPr>
                    <w:t>0.</w:t>
                  </w:r>
                  <w:r>
                    <w:rPr>
                      <w:rFonts w:hint="eastAsia"/>
                      <w:color w:val="auto"/>
                      <w:szCs w:val="21"/>
                      <w:lang w:val="en-US" w:eastAsia="zh-CN"/>
                    </w:rPr>
                    <w:t>4</w:t>
                  </w:r>
                </w:p>
              </w:tc>
              <w:tc>
                <w:tcPr>
                  <w:tcW w:w="1086" w:type="dxa"/>
                  <w:vAlign w:val="center"/>
                </w:tcPr>
                <w:p w14:paraId="6ADEC974">
                  <w:pPr>
                    <w:adjustRightInd w:val="0"/>
                    <w:snapToGrid w:val="0"/>
                    <w:jc w:val="center"/>
                    <w:rPr>
                      <w:bCs/>
                      <w:color w:val="auto"/>
                      <w:kern w:val="0"/>
                      <w:szCs w:val="21"/>
                    </w:rPr>
                  </w:pPr>
                  <w:r>
                    <w:rPr>
                      <w:bCs/>
                      <w:color w:val="auto"/>
                      <w:kern w:val="0"/>
                      <w:szCs w:val="21"/>
                    </w:rPr>
                    <w:t>是</w:t>
                  </w:r>
                </w:p>
              </w:tc>
              <w:tc>
                <w:tcPr>
                  <w:tcW w:w="1546" w:type="dxa"/>
                  <w:vAlign w:val="center"/>
                </w:tcPr>
                <w:p w14:paraId="1CF7C5B0">
                  <w:pPr>
                    <w:adjustRightInd w:val="0"/>
                    <w:snapToGrid w:val="0"/>
                    <w:jc w:val="center"/>
                    <w:rPr>
                      <w:bCs/>
                      <w:color w:val="auto"/>
                      <w:kern w:val="0"/>
                      <w:szCs w:val="21"/>
                    </w:rPr>
                  </w:pPr>
                  <w:r>
                    <w:rPr>
                      <w:bCs/>
                      <w:color w:val="auto"/>
                      <w:kern w:val="0"/>
                      <w:szCs w:val="21"/>
                    </w:rPr>
                    <w:t>2500t</w:t>
                  </w:r>
                </w:p>
              </w:tc>
              <w:tc>
                <w:tcPr>
                  <w:tcW w:w="1997" w:type="dxa"/>
                  <w:vAlign w:val="center"/>
                </w:tcPr>
                <w:p w14:paraId="3A5C3364">
                  <w:pPr>
                    <w:jc w:val="center"/>
                    <w:rPr>
                      <w:rFonts w:hint="default" w:eastAsia="宋体"/>
                      <w:color w:val="auto"/>
                      <w:szCs w:val="21"/>
                      <w:lang w:val="en-US" w:eastAsia="zh-CN"/>
                    </w:rPr>
                  </w:pPr>
                  <w:r>
                    <w:rPr>
                      <w:rFonts w:hint="eastAsia"/>
                      <w:color w:val="auto"/>
                      <w:szCs w:val="21"/>
                    </w:rPr>
                    <w:t>0.000</w:t>
                  </w:r>
                  <w:r>
                    <w:rPr>
                      <w:rFonts w:hint="eastAsia"/>
                      <w:color w:val="auto"/>
                      <w:szCs w:val="21"/>
                      <w:lang w:val="en-US" w:eastAsia="zh-CN"/>
                    </w:rPr>
                    <w:t>16</w:t>
                  </w:r>
                </w:p>
              </w:tc>
            </w:tr>
            <w:tr w14:paraId="5B262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67" w:type="dxa"/>
                  <w:gridSpan w:val="5"/>
                  <w:vAlign w:val="center"/>
                </w:tcPr>
                <w:p w14:paraId="2B09B5C9">
                  <w:pPr>
                    <w:adjustRightInd w:val="0"/>
                    <w:snapToGrid w:val="0"/>
                    <w:jc w:val="center"/>
                    <w:rPr>
                      <w:bCs/>
                      <w:color w:val="auto"/>
                      <w:kern w:val="0"/>
                      <w:szCs w:val="21"/>
                    </w:rPr>
                  </w:pPr>
                  <w:r>
                    <w:rPr>
                      <w:bCs/>
                      <w:color w:val="auto"/>
                      <w:kern w:val="0"/>
                      <w:szCs w:val="21"/>
                    </w:rPr>
                    <w:t>合计</w:t>
                  </w:r>
                </w:p>
              </w:tc>
              <w:tc>
                <w:tcPr>
                  <w:tcW w:w="1997" w:type="dxa"/>
                  <w:vAlign w:val="center"/>
                </w:tcPr>
                <w:p w14:paraId="45A18E62">
                  <w:pPr>
                    <w:jc w:val="center"/>
                    <w:rPr>
                      <w:rFonts w:hint="default"/>
                      <w:color w:val="auto"/>
                      <w:szCs w:val="21"/>
                      <w:highlight w:val="none"/>
                      <w:lang w:val="en-US"/>
                    </w:rPr>
                  </w:pPr>
                  <w:r>
                    <w:rPr>
                      <w:rFonts w:hint="eastAsia"/>
                      <w:color w:val="auto"/>
                      <w:szCs w:val="21"/>
                      <w:highlight w:val="none"/>
                    </w:rPr>
                    <w:t>0.</w:t>
                  </w:r>
                  <w:r>
                    <w:rPr>
                      <w:rFonts w:hint="eastAsia"/>
                      <w:color w:val="auto"/>
                      <w:szCs w:val="21"/>
                      <w:highlight w:val="none"/>
                      <w:lang w:val="en-US" w:eastAsia="zh-CN"/>
                    </w:rPr>
                    <w:t>00016</w:t>
                  </w:r>
                </w:p>
              </w:tc>
            </w:tr>
          </w:tbl>
          <w:p w14:paraId="30E78372">
            <w:pPr>
              <w:adjustRightInd w:val="0"/>
              <w:snapToGrid w:val="0"/>
              <w:spacing w:line="360" w:lineRule="auto"/>
              <w:ind w:firstLine="480" w:firstLineChars="200"/>
              <w:rPr>
                <w:color w:val="auto"/>
                <w:sz w:val="24"/>
              </w:rPr>
            </w:pPr>
            <w:r>
              <w:rPr>
                <w:color w:val="auto"/>
                <w:sz w:val="24"/>
              </w:rPr>
              <w:t>综上，本项目</w:t>
            </w:r>
            <w:r>
              <w:rPr>
                <w:color w:val="auto"/>
                <w:sz w:val="24"/>
                <w:highlight w:val="none"/>
              </w:rPr>
              <w:t>Q=</w:t>
            </w:r>
            <w:r>
              <w:rPr>
                <w:rFonts w:hint="eastAsia"/>
                <w:color w:val="auto"/>
                <w:sz w:val="24"/>
                <w:highlight w:val="none"/>
              </w:rPr>
              <w:t>0.</w:t>
            </w:r>
            <w:r>
              <w:rPr>
                <w:rFonts w:hint="eastAsia"/>
                <w:color w:val="auto"/>
                <w:sz w:val="24"/>
                <w:highlight w:val="none"/>
                <w:lang w:val="en-US" w:eastAsia="zh-CN"/>
              </w:rPr>
              <w:t>00016</w:t>
            </w:r>
            <w:r>
              <w:rPr>
                <w:color w:val="auto"/>
                <w:kern w:val="1"/>
                <w:sz w:val="24"/>
                <w:highlight w:val="none"/>
              </w:rPr>
              <w:t>&lt;1</w:t>
            </w:r>
            <w:r>
              <w:rPr>
                <w:color w:val="auto"/>
                <w:kern w:val="1"/>
                <w:sz w:val="24"/>
              </w:rPr>
              <w:t>，</w:t>
            </w:r>
            <w:r>
              <w:rPr>
                <w:color w:val="auto"/>
                <w:sz w:val="24"/>
              </w:rPr>
              <w:t>项目环境风险潜势为I，故不设专项评价。</w:t>
            </w:r>
          </w:p>
          <w:p w14:paraId="65C9D393">
            <w:pPr>
              <w:autoSpaceDE w:val="0"/>
              <w:autoSpaceDN w:val="0"/>
              <w:adjustRightInd w:val="0"/>
              <w:snapToGrid w:val="0"/>
              <w:spacing w:line="360" w:lineRule="auto"/>
              <w:ind w:firstLine="482" w:firstLineChars="200"/>
              <w:jc w:val="left"/>
              <w:rPr>
                <w:b/>
                <w:color w:val="auto"/>
                <w:sz w:val="24"/>
              </w:rPr>
            </w:pPr>
            <w:r>
              <w:rPr>
                <w:b/>
                <w:color w:val="auto"/>
                <w:sz w:val="24"/>
              </w:rPr>
              <w:t>4、环境风险分析</w:t>
            </w:r>
          </w:p>
          <w:p w14:paraId="5D7C9B29">
            <w:pPr>
              <w:pStyle w:val="70"/>
              <w:tabs>
                <w:tab w:val="left" w:pos="1330"/>
              </w:tabs>
              <w:adjustRightInd w:val="0"/>
              <w:snapToGrid w:val="0"/>
              <w:spacing w:line="360" w:lineRule="auto"/>
              <w:ind w:left="420" w:leftChars="200" w:firstLine="0" w:firstLineChars="0"/>
              <w:jc w:val="left"/>
              <w:rPr>
                <w:b/>
                <w:bCs/>
                <w:color w:val="auto"/>
                <w:sz w:val="24"/>
                <w:szCs w:val="24"/>
              </w:rPr>
            </w:pPr>
            <w:r>
              <w:rPr>
                <w:rFonts w:hint="eastAsia"/>
                <w:b/>
                <w:bCs/>
                <w:color w:val="auto"/>
                <w:sz w:val="24"/>
                <w:szCs w:val="24"/>
              </w:rPr>
              <w:t>（1）</w:t>
            </w:r>
            <w:r>
              <w:rPr>
                <w:b/>
                <w:bCs/>
                <w:color w:val="auto"/>
                <w:sz w:val="24"/>
                <w:szCs w:val="24"/>
              </w:rPr>
              <w:t>事故源项分析</w:t>
            </w:r>
          </w:p>
          <w:p w14:paraId="2E3702B1">
            <w:pPr>
              <w:pStyle w:val="70"/>
              <w:tabs>
                <w:tab w:val="left" w:pos="1090"/>
              </w:tabs>
              <w:adjustRightInd w:val="0"/>
              <w:snapToGrid w:val="0"/>
              <w:spacing w:line="360" w:lineRule="auto"/>
              <w:ind w:firstLine="480"/>
              <w:jc w:val="left"/>
              <w:rPr>
                <w:color w:val="auto"/>
                <w:sz w:val="24"/>
                <w:szCs w:val="24"/>
              </w:rPr>
            </w:pPr>
            <w:r>
              <w:rPr>
                <w:color w:val="auto"/>
                <w:sz w:val="24"/>
                <w:szCs w:val="24"/>
              </w:rPr>
              <w:t>根据《建设项目环境风险评价技术导则》（HJ/T169-2018），</w:t>
            </w:r>
            <w:r>
              <w:rPr>
                <w:color w:val="auto"/>
                <w:spacing w:val="-2"/>
                <w:sz w:val="24"/>
                <w:szCs w:val="24"/>
              </w:rPr>
              <w:t>环境风险潜势为Ⅰ。本</w:t>
            </w:r>
            <w:r>
              <w:rPr>
                <w:color w:val="auto"/>
                <w:spacing w:val="-3"/>
                <w:sz w:val="24"/>
                <w:szCs w:val="24"/>
              </w:rPr>
              <w:t>评价主要对项目营运期间可能存在的危险、有害因素进行分析，并对可能发生的突发性</w:t>
            </w:r>
            <w:r>
              <w:rPr>
                <w:color w:val="auto"/>
                <w:sz w:val="24"/>
                <w:szCs w:val="24"/>
              </w:rPr>
              <w:t>事件及事故所造成的人身安全与环境影响和损害程度，提出合理的可行的防范、应急与减缓措施。</w:t>
            </w:r>
          </w:p>
          <w:p w14:paraId="089CFE24">
            <w:pPr>
              <w:pStyle w:val="70"/>
              <w:keepNext w:val="0"/>
              <w:keepLines w:val="0"/>
              <w:pageBreakBefore w:val="0"/>
              <w:widowControl w:val="0"/>
              <w:tabs>
                <w:tab w:val="left" w:pos="1090"/>
              </w:tabs>
              <w:kinsoku/>
              <w:wordWrap/>
              <w:overflowPunct/>
              <w:topLinePunct w:val="0"/>
              <w:autoSpaceDE/>
              <w:autoSpaceDN/>
              <w:bidi w:val="0"/>
              <w:adjustRightInd w:val="0"/>
              <w:snapToGrid w:val="0"/>
              <w:spacing w:line="360" w:lineRule="auto"/>
              <w:ind w:firstLine="480"/>
              <w:jc w:val="left"/>
              <w:textAlignment w:val="auto"/>
              <w:rPr>
                <w:color w:val="auto"/>
                <w:sz w:val="24"/>
                <w:szCs w:val="24"/>
              </w:rPr>
            </w:pPr>
            <w:r>
              <w:rPr>
                <w:color w:val="auto"/>
                <w:sz w:val="24"/>
                <w:szCs w:val="24"/>
              </w:rPr>
              <w:t>本项目主要存在的事故类型有：</w:t>
            </w:r>
          </w:p>
          <w:p w14:paraId="0BCEB98B">
            <w:pPr>
              <w:pStyle w:val="128"/>
              <w:keepNext w:val="0"/>
              <w:keepLines w:val="0"/>
              <w:pageBreakBefore w:val="0"/>
              <w:widowControl w:val="0"/>
              <w:numPr>
                <w:ilvl w:val="0"/>
                <w:numId w:val="0"/>
              </w:numPr>
              <w:tabs>
                <w:tab w:val="left" w:pos="1090"/>
              </w:tabs>
              <w:kinsoku/>
              <w:wordWrap/>
              <w:overflowPunct/>
              <w:topLinePunct w:val="0"/>
              <w:autoSpaceDE/>
              <w:autoSpaceDN/>
              <w:bidi w:val="0"/>
              <w:adjustRightInd w:val="0"/>
              <w:snapToGrid w:val="0"/>
              <w:spacing w:line="360" w:lineRule="auto"/>
              <w:ind w:leftChars="0" w:right="0" w:rightChars="0" w:firstLine="480" w:firstLineChars="200"/>
              <w:jc w:val="left"/>
              <w:textAlignment w:val="auto"/>
              <w:rPr>
                <w:rFonts w:hint="default" w:ascii="Times New Roman" w:hAnsi="Times New Roman" w:eastAsia="宋体" w:cs="Times New Roman"/>
                <w:color w:val="auto"/>
                <w:sz w:val="24"/>
                <w:szCs w:val="24"/>
                <w:highlight w:val="none"/>
                <w:vertAlign w:val="baseline"/>
              </w:rPr>
            </w:pPr>
            <w:r>
              <w:rPr>
                <w:rFonts w:hint="default" w:ascii="Times New Roman" w:hAnsi="Times New Roman" w:eastAsia="宋体" w:cs="Times New Roman"/>
                <w:color w:val="auto"/>
                <w:sz w:val="24"/>
                <w:szCs w:val="24"/>
                <w:highlight w:val="none"/>
                <w:vertAlign w:val="baseline"/>
                <w:lang w:val="en-US" w:eastAsia="zh-CN"/>
              </w:rPr>
              <w:t>①</w:t>
            </w:r>
            <w:r>
              <w:rPr>
                <w:rFonts w:hint="default" w:ascii="Times New Roman" w:hAnsi="Times New Roman" w:eastAsia="宋体" w:cs="Times New Roman"/>
                <w:color w:val="auto"/>
                <w:sz w:val="24"/>
                <w:szCs w:val="24"/>
                <w:highlight w:val="none"/>
                <w:vertAlign w:val="baseline"/>
              </w:rPr>
              <w:t>储</w:t>
            </w:r>
            <w:r>
              <w:rPr>
                <w:rFonts w:hint="default" w:ascii="Times New Roman" w:hAnsi="Times New Roman" w:eastAsia="宋体" w:cs="Times New Roman"/>
                <w:color w:val="auto"/>
                <w:sz w:val="24"/>
                <w:szCs w:val="24"/>
                <w:highlight w:val="none"/>
                <w:vertAlign w:val="baseline"/>
                <w:lang w:val="en-US" w:eastAsia="zh-CN"/>
              </w:rPr>
              <w:t>油桶</w:t>
            </w:r>
            <w:r>
              <w:rPr>
                <w:rFonts w:hint="default" w:ascii="Times New Roman" w:hAnsi="Times New Roman" w:eastAsia="宋体" w:cs="Times New Roman"/>
                <w:color w:val="auto"/>
                <w:sz w:val="24"/>
                <w:szCs w:val="24"/>
                <w:highlight w:val="none"/>
                <w:vertAlign w:val="baseline"/>
              </w:rPr>
              <w:t>破损油品渗漏引起土壤及地下水的污染；</w:t>
            </w:r>
          </w:p>
          <w:p w14:paraId="54D9FE48">
            <w:pPr>
              <w:pStyle w:val="128"/>
              <w:keepNext w:val="0"/>
              <w:keepLines w:val="0"/>
              <w:pageBreakBefore w:val="0"/>
              <w:widowControl w:val="0"/>
              <w:numPr>
                <w:ilvl w:val="0"/>
                <w:numId w:val="0"/>
              </w:numPr>
              <w:tabs>
                <w:tab w:val="left" w:pos="1090"/>
              </w:tabs>
              <w:kinsoku/>
              <w:wordWrap/>
              <w:overflowPunct/>
              <w:topLinePunct w:val="0"/>
              <w:autoSpaceDE/>
              <w:autoSpaceDN/>
              <w:bidi w:val="0"/>
              <w:adjustRightInd w:val="0"/>
              <w:snapToGrid w:val="0"/>
              <w:spacing w:line="360" w:lineRule="auto"/>
              <w:ind w:leftChars="0" w:right="0" w:rightChars="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vertAlign w:val="baseline"/>
                <w:lang w:val="en-US" w:eastAsia="zh-CN"/>
              </w:rPr>
              <w:t>②</w:t>
            </w:r>
            <w:r>
              <w:rPr>
                <w:rFonts w:hint="default" w:ascii="Times New Roman" w:hAnsi="Times New Roman" w:eastAsia="宋体" w:cs="Times New Roman"/>
                <w:color w:val="auto"/>
                <w:sz w:val="24"/>
                <w:szCs w:val="24"/>
                <w:highlight w:val="none"/>
                <w:vertAlign w:val="baseline"/>
              </w:rPr>
              <w:t>油品溢出或</w:t>
            </w:r>
            <w:r>
              <w:rPr>
                <w:rFonts w:hint="default" w:ascii="Times New Roman" w:hAnsi="Times New Roman" w:eastAsia="宋体" w:cs="Times New Roman"/>
                <w:color w:val="auto"/>
                <w:spacing w:val="-1"/>
                <w:sz w:val="24"/>
                <w:szCs w:val="24"/>
                <w:highlight w:val="none"/>
              </w:rPr>
              <w:t>泄漏后遇明火发生火灾、爆炸事故；</w:t>
            </w:r>
          </w:p>
          <w:p w14:paraId="184177F5">
            <w:pPr>
              <w:pStyle w:val="70"/>
              <w:keepNext w:val="0"/>
              <w:keepLines w:val="0"/>
              <w:pageBreakBefore w:val="0"/>
              <w:widowControl w:val="0"/>
              <w:tabs>
                <w:tab w:val="left" w:pos="1090"/>
              </w:tabs>
              <w:kinsoku/>
              <w:wordWrap/>
              <w:overflowPunct/>
              <w:topLinePunct w:val="0"/>
              <w:autoSpaceDE/>
              <w:autoSpaceDN/>
              <w:bidi w:val="0"/>
              <w:adjustRightInd w:val="0"/>
              <w:snapToGrid w:val="0"/>
              <w:spacing w:line="360" w:lineRule="auto"/>
              <w:ind w:firstLine="476"/>
              <w:jc w:val="left"/>
              <w:textAlignment w:val="auto"/>
              <w:rPr>
                <w:rFonts w:hint="default" w:ascii="Times New Roman" w:hAnsi="Times New Roman" w:eastAsia="宋体" w:cs="Times New Roman"/>
                <w:color w:val="auto"/>
                <w:spacing w:val="-1"/>
                <w:sz w:val="24"/>
                <w:szCs w:val="24"/>
                <w:highlight w:val="none"/>
              </w:rPr>
            </w:pPr>
            <w:r>
              <w:rPr>
                <w:rFonts w:hint="eastAsia" w:ascii="Times New Roman" w:hAnsi="Times New Roman" w:eastAsia="宋体" w:cs="Times New Roman"/>
                <w:color w:val="auto"/>
                <w:sz w:val="24"/>
                <w:szCs w:val="24"/>
                <w:highlight w:val="none"/>
                <w:vertAlign w:val="baseline"/>
                <w:lang w:val="en-US" w:eastAsia="zh-CN"/>
              </w:rPr>
              <w:t>③原辅料及产品</w:t>
            </w:r>
            <w:r>
              <w:rPr>
                <w:rFonts w:hint="default" w:ascii="Times New Roman" w:hAnsi="Times New Roman" w:eastAsia="宋体" w:cs="Times New Roman"/>
                <w:color w:val="auto"/>
                <w:spacing w:val="-1"/>
                <w:sz w:val="24"/>
                <w:szCs w:val="24"/>
                <w:highlight w:val="none"/>
              </w:rPr>
              <w:t>遇明火发生火灾事故；</w:t>
            </w:r>
          </w:p>
          <w:p w14:paraId="112C00CC">
            <w:pPr>
              <w:pStyle w:val="70"/>
              <w:keepNext w:val="0"/>
              <w:keepLines w:val="0"/>
              <w:pageBreakBefore w:val="0"/>
              <w:widowControl w:val="0"/>
              <w:tabs>
                <w:tab w:val="left" w:pos="1090"/>
              </w:tabs>
              <w:kinsoku/>
              <w:wordWrap/>
              <w:overflowPunct/>
              <w:topLinePunct w:val="0"/>
              <w:autoSpaceDE/>
              <w:autoSpaceDN/>
              <w:bidi w:val="0"/>
              <w:adjustRightInd w:val="0"/>
              <w:snapToGrid w:val="0"/>
              <w:spacing w:line="360" w:lineRule="auto"/>
              <w:ind w:firstLine="476"/>
              <w:jc w:val="left"/>
              <w:textAlignment w:val="auto"/>
              <w:rPr>
                <w:color w:val="auto"/>
                <w:spacing w:val="-1"/>
                <w:sz w:val="24"/>
                <w:szCs w:val="24"/>
              </w:rPr>
            </w:pPr>
            <w:r>
              <w:rPr>
                <w:rFonts w:hint="eastAsia"/>
                <w:color w:val="auto"/>
                <w:spacing w:val="-1"/>
                <w:sz w:val="24"/>
                <w:szCs w:val="24"/>
              </w:rPr>
              <w:t>④污染治理设施异常衍生污染事件。</w:t>
            </w:r>
          </w:p>
          <w:p w14:paraId="36399DBF">
            <w:pPr>
              <w:pStyle w:val="70"/>
              <w:tabs>
                <w:tab w:val="left" w:pos="1330"/>
              </w:tabs>
              <w:adjustRightInd w:val="0"/>
              <w:snapToGrid w:val="0"/>
              <w:spacing w:line="360" w:lineRule="auto"/>
              <w:ind w:left="420" w:leftChars="200" w:firstLine="0" w:firstLineChars="0"/>
              <w:jc w:val="left"/>
              <w:rPr>
                <w:b/>
                <w:bCs/>
                <w:color w:val="auto"/>
                <w:sz w:val="24"/>
                <w:szCs w:val="24"/>
              </w:rPr>
            </w:pPr>
            <w:r>
              <w:rPr>
                <w:rFonts w:hint="eastAsia"/>
                <w:b/>
                <w:bCs/>
                <w:color w:val="auto"/>
                <w:sz w:val="24"/>
                <w:szCs w:val="24"/>
              </w:rPr>
              <w:t>（2）</w:t>
            </w:r>
            <w:r>
              <w:rPr>
                <w:b/>
                <w:bCs/>
                <w:color w:val="auto"/>
                <w:sz w:val="24"/>
                <w:szCs w:val="24"/>
              </w:rPr>
              <w:t>事故后果分析</w:t>
            </w:r>
          </w:p>
          <w:p w14:paraId="4E6FA77C">
            <w:pPr>
              <w:pStyle w:val="128"/>
              <w:keepNext w:val="0"/>
              <w:keepLines w:val="0"/>
              <w:pageBreakBefore w:val="0"/>
              <w:widowControl w:val="0"/>
              <w:numPr>
                <w:ilvl w:val="0"/>
                <w:numId w:val="0"/>
              </w:numPr>
              <w:tabs>
                <w:tab w:val="left" w:pos="1090"/>
              </w:tabs>
              <w:kinsoku/>
              <w:wordWrap/>
              <w:overflowPunct/>
              <w:topLinePunct w:val="0"/>
              <w:autoSpaceDE/>
              <w:autoSpaceDN/>
              <w:bidi w:val="0"/>
              <w:adjustRightInd/>
              <w:snapToGrid/>
              <w:spacing w:line="360" w:lineRule="auto"/>
              <w:ind w:leftChars="0" w:right="0" w:rightChars="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废机油</w:t>
            </w:r>
            <w:r>
              <w:rPr>
                <w:rFonts w:hint="default" w:ascii="Times New Roman" w:hAnsi="Times New Roman" w:eastAsia="宋体" w:cs="Times New Roman"/>
                <w:color w:val="auto"/>
                <w:sz w:val="24"/>
                <w:szCs w:val="24"/>
                <w:highlight w:val="none"/>
              </w:rPr>
              <w:t>发生火灾、爆炸事故</w:t>
            </w:r>
            <w:r>
              <w:rPr>
                <w:rFonts w:hint="eastAsia" w:cs="Times New Roman"/>
                <w:color w:val="auto"/>
                <w:sz w:val="24"/>
                <w:szCs w:val="24"/>
                <w:highlight w:val="none"/>
                <w:lang w:eastAsia="zh-CN"/>
              </w:rPr>
              <w:t>，原辅料及产品发生火灾事故</w:t>
            </w:r>
            <w:r>
              <w:rPr>
                <w:rFonts w:hint="default" w:ascii="Times New Roman" w:hAnsi="Times New Roman" w:eastAsia="宋体" w:cs="Times New Roman"/>
                <w:color w:val="auto"/>
                <w:sz w:val="24"/>
                <w:szCs w:val="24"/>
                <w:highlight w:val="none"/>
              </w:rPr>
              <w:t>引发的次生伴生影响主要体现在火灾或爆炸过程产生的燃烧产物和灭火过程产生的固废，燃烧产物为CO2、CO和H</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O。</w:t>
            </w:r>
          </w:p>
          <w:p w14:paraId="6461A7F0">
            <w:pPr>
              <w:pStyle w:val="128"/>
              <w:keepNext w:val="0"/>
              <w:keepLines w:val="0"/>
              <w:pageBreakBefore w:val="0"/>
              <w:widowControl w:val="0"/>
              <w:numPr>
                <w:ilvl w:val="0"/>
                <w:numId w:val="0"/>
              </w:numPr>
              <w:tabs>
                <w:tab w:val="left" w:pos="1090"/>
              </w:tabs>
              <w:kinsoku/>
              <w:wordWrap/>
              <w:overflowPunct/>
              <w:topLinePunct w:val="0"/>
              <w:autoSpaceDE/>
              <w:autoSpaceDN/>
              <w:bidi w:val="0"/>
              <w:adjustRightInd/>
              <w:snapToGrid/>
              <w:spacing w:line="360" w:lineRule="auto"/>
              <w:ind w:leftChars="0" w:right="0" w:rightChars="0" w:firstLine="480" w:firstLineChars="200"/>
              <w:jc w:val="left"/>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1）对地</w:t>
            </w:r>
            <w:r>
              <w:rPr>
                <w:rFonts w:hint="default" w:ascii="Times New Roman" w:hAnsi="Times New Roman" w:eastAsia="宋体" w:cs="Times New Roman"/>
                <w:color w:val="auto"/>
                <w:sz w:val="24"/>
                <w:szCs w:val="24"/>
                <w:highlight w:val="none"/>
                <w:vertAlign w:val="baseline"/>
              </w:rPr>
              <w:t>表水环境影响分析</w:t>
            </w:r>
          </w:p>
          <w:p w14:paraId="0BA0D4D8">
            <w:pPr>
              <w:pStyle w:val="14"/>
              <w:keepNext w:val="0"/>
              <w:keepLines w:val="0"/>
              <w:pageBreakBefore w:val="0"/>
              <w:widowControl w:val="0"/>
              <w:kinsoku/>
              <w:wordWrap/>
              <w:overflowPunct/>
              <w:topLinePunct w:val="0"/>
              <w:bidi w:val="0"/>
              <w:spacing w:after="0" w:line="360" w:lineRule="auto"/>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①</w:t>
            </w:r>
            <w:r>
              <w:rPr>
                <w:rFonts w:hint="default" w:ascii="Times New Roman" w:hAnsi="Times New Roman" w:eastAsia="宋体" w:cs="Times New Roman"/>
                <w:color w:val="auto"/>
                <w:sz w:val="24"/>
                <w:szCs w:val="24"/>
                <w:highlight w:val="none"/>
              </w:rPr>
              <w:t>泄漏影响分析</w:t>
            </w:r>
          </w:p>
          <w:p w14:paraId="0948DD10">
            <w:pPr>
              <w:pStyle w:val="14"/>
              <w:keepNext w:val="0"/>
              <w:keepLines w:val="0"/>
              <w:pageBreakBefore w:val="0"/>
              <w:widowControl w:val="0"/>
              <w:kinsoku/>
              <w:wordWrap/>
              <w:overflowPunct/>
              <w:topLinePunct w:val="0"/>
              <w:bidi w:val="0"/>
              <w:spacing w:after="0" w:line="360" w:lineRule="auto"/>
              <w:ind w:left="0" w:leftChars="0" w:right="0" w:firstLine="472" w:firstLineChars="200"/>
              <w:jc w:val="both"/>
              <w:textAlignment w:val="auto"/>
              <w:rPr>
                <w:rFonts w:hint="default" w:ascii="Times New Roman" w:hAnsi="Times New Roman" w:eastAsia="宋体" w:cs="Times New Roman"/>
                <w:color w:val="auto"/>
                <w:spacing w:val="-3"/>
                <w:sz w:val="24"/>
                <w:szCs w:val="24"/>
                <w:highlight w:val="none"/>
              </w:rPr>
            </w:pPr>
            <w:r>
              <w:rPr>
                <w:rFonts w:hint="default" w:ascii="Times New Roman" w:hAnsi="Times New Roman" w:eastAsia="宋体" w:cs="Times New Roman"/>
                <w:color w:val="auto"/>
                <w:spacing w:val="-2"/>
                <w:sz w:val="24"/>
                <w:szCs w:val="24"/>
                <w:highlight w:val="none"/>
              </w:rPr>
              <w:t>泄漏或渗漏的</w:t>
            </w:r>
            <w:r>
              <w:rPr>
                <w:rFonts w:hint="default" w:ascii="Times New Roman" w:hAnsi="Times New Roman" w:eastAsia="宋体" w:cs="Times New Roman"/>
                <w:color w:val="auto"/>
                <w:spacing w:val="-2"/>
                <w:sz w:val="24"/>
                <w:szCs w:val="24"/>
                <w:highlight w:val="none"/>
                <w:lang w:val="en-US" w:eastAsia="zh-CN"/>
              </w:rPr>
              <w:t>油类物质</w:t>
            </w:r>
            <w:r>
              <w:rPr>
                <w:rFonts w:hint="default" w:ascii="Times New Roman" w:hAnsi="Times New Roman" w:eastAsia="宋体" w:cs="Times New Roman"/>
                <w:color w:val="auto"/>
                <w:spacing w:val="-2"/>
                <w:sz w:val="24"/>
                <w:szCs w:val="24"/>
                <w:highlight w:val="none"/>
              </w:rPr>
              <w:t>一旦进入地表河流，将造成地表河流的污染</w:t>
            </w:r>
            <w:r>
              <w:rPr>
                <w:rFonts w:hint="default" w:ascii="Times New Roman" w:hAnsi="Times New Roman" w:eastAsia="宋体" w:cs="Times New Roman"/>
                <w:color w:val="auto"/>
                <w:spacing w:val="-3"/>
                <w:sz w:val="24"/>
                <w:szCs w:val="24"/>
                <w:highlight w:val="none"/>
              </w:rPr>
              <w:t>。污染首先将造成地表河流的景观破坏，产生严重的刺鼻性气味；其次，由于有机烃类物质难溶于水，大部分上浮在水层表面，形成一层油膜使空气隔离，造成水</w:t>
            </w:r>
            <w:r>
              <w:rPr>
                <w:rFonts w:hint="default" w:ascii="Times New Roman" w:hAnsi="Times New Roman" w:eastAsia="宋体" w:cs="Times New Roman"/>
                <w:color w:val="auto"/>
                <w:spacing w:val="-13"/>
                <w:sz w:val="24"/>
                <w:szCs w:val="24"/>
                <w:highlight w:val="none"/>
              </w:rPr>
              <w:t>中溶解氧浓度降低，逐渐形成死水，致使水中生物死亡；再次，成品油的主要成分是</w:t>
            </w:r>
            <w:r>
              <w:rPr>
                <w:rFonts w:hint="default" w:ascii="Times New Roman" w:hAnsi="Times New Roman" w:eastAsia="宋体" w:cs="Times New Roman"/>
                <w:color w:val="auto"/>
                <w:sz w:val="24"/>
                <w:szCs w:val="24"/>
                <w:highlight w:val="none"/>
              </w:rPr>
              <w:t>C4～C9的烃类、芳烃类、醇酮类以及卤代烃类有机物，一旦进入水体环境，由于可生化性较差，造成被污染水体长</w:t>
            </w:r>
            <w:r>
              <w:rPr>
                <w:rFonts w:hint="default" w:ascii="Times New Roman" w:hAnsi="Times New Roman" w:eastAsia="宋体" w:cs="Times New Roman"/>
                <w:color w:val="auto"/>
                <w:spacing w:val="-3"/>
                <w:sz w:val="24"/>
                <w:szCs w:val="24"/>
                <w:highlight w:val="none"/>
              </w:rPr>
              <w:t>时间得不到净化，完全恢复则需十几年、甚至几十年时间。</w:t>
            </w:r>
          </w:p>
          <w:p w14:paraId="401A1AB7">
            <w:pPr>
              <w:pStyle w:val="14"/>
              <w:keepNext w:val="0"/>
              <w:keepLines w:val="0"/>
              <w:pageBreakBefore w:val="0"/>
              <w:widowControl w:val="0"/>
              <w:kinsoku/>
              <w:wordWrap/>
              <w:overflowPunct/>
              <w:topLinePunct w:val="0"/>
              <w:bidi w:val="0"/>
              <w:spacing w:after="0" w:line="360" w:lineRule="auto"/>
              <w:ind w:left="0" w:leftChars="0" w:right="0" w:firstLine="468" w:firstLineChars="200"/>
              <w:jc w:val="both"/>
              <w:textAlignment w:val="auto"/>
              <w:rPr>
                <w:rFonts w:hint="default" w:ascii="Times New Roman" w:hAnsi="Times New Roman" w:eastAsia="宋体" w:cs="Times New Roman"/>
                <w:color w:val="auto"/>
                <w:spacing w:val="-3"/>
                <w:sz w:val="24"/>
                <w:szCs w:val="24"/>
                <w:highlight w:val="none"/>
              </w:rPr>
            </w:pPr>
            <w:r>
              <w:rPr>
                <w:rFonts w:hint="default" w:ascii="Times New Roman" w:hAnsi="Times New Roman" w:eastAsia="宋体" w:cs="Times New Roman"/>
                <w:color w:val="auto"/>
                <w:spacing w:val="-3"/>
                <w:sz w:val="24"/>
                <w:szCs w:val="24"/>
                <w:highlight w:val="none"/>
                <w:lang w:val="en-US" w:eastAsia="zh-CN"/>
              </w:rPr>
              <w:t>②</w:t>
            </w:r>
            <w:r>
              <w:rPr>
                <w:rFonts w:hint="default" w:ascii="Times New Roman" w:hAnsi="Times New Roman" w:eastAsia="宋体" w:cs="Times New Roman"/>
                <w:color w:val="auto"/>
                <w:spacing w:val="-3"/>
                <w:sz w:val="24"/>
                <w:szCs w:val="24"/>
                <w:highlight w:val="none"/>
              </w:rPr>
              <w:t>火灾、爆炸影响分析</w:t>
            </w:r>
          </w:p>
          <w:p w14:paraId="7209E73F">
            <w:pPr>
              <w:pStyle w:val="14"/>
              <w:keepNext w:val="0"/>
              <w:keepLines w:val="0"/>
              <w:pageBreakBefore w:val="0"/>
              <w:widowControl w:val="0"/>
              <w:kinsoku/>
              <w:wordWrap/>
              <w:overflowPunct/>
              <w:topLinePunct w:val="0"/>
              <w:bidi w:val="0"/>
              <w:spacing w:after="0" w:line="360" w:lineRule="auto"/>
              <w:ind w:left="0" w:leftChars="0" w:right="0" w:firstLine="468" w:firstLineChars="200"/>
              <w:jc w:val="both"/>
              <w:textAlignment w:val="auto"/>
              <w:rPr>
                <w:rFonts w:hint="default" w:ascii="Times New Roman" w:hAnsi="Times New Roman" w:eastAsia="宋体" w:cs="Times New Roman"/>
                <w:color w:val="auto"/>
                <w:spacing w:val="-3"/>
                <w:sz w:val="24"/>
                <w:szCs w:val="24"/>
                <w:highlight w:val="none"/>
              </w:rPr>
            </w:pPr>
            <w:r>
              <w:rPr>
                <w:rFonts w:hint="default" w:ascii="Times New Roman" w:hAnsi="Times New Roman" w:eastAsia="宋体" w:cs="Times New Roman"/>
                <w:color w:val="auto"/>
                <w:spacing w:val="-3"/>
                <w:sz w:val="24"/>
                <w:szCs w:val="24"/>
                <w:highlight w:val="none"/>
                <w:lang w:val="en-US" w:eastAsia="zh-CN"/>
              </w:rPr>
              <w:t>油类物质</w:t>
            </w:r>
            <w:r>
              <w:rPr>
                <w:rFonts w:hint="default" w:ascii="Times New Roman" w:hAnsi="Times New Roman" w:eastAsia="宋体" w:cs="Times New Roman"/>
                <w:color w:val="auto"/>
                <w:spacing w:val="-3"/>
                <w:sz w:val="24"/>
                <w:szCs w:val="24"/>
                <w:highlight w:val="none"/>
              </w:rPr>
              <w:t>燃烧、爆炸</w:t>
            </w:r>
            <w:r>
              <w:rPr>
                <w:rFonts w:hint="eastAsia" w:cs="Times New Roman"/>
                <w:color w:val="auto"/>
                <w:spacing w:val="-3"/>
                <w:sz w:val="24"/>
                <w:szCs w:val="24"/>
                <w:highlight w:val="none"/>
                <w:lang w:eastAsia="zh-CN"/>
              </w:rPr>
              <w:t>，原辅料及产品燃烧</w:t>
            </w:r>
            <w:r>
              <w:rPr>
                <w:rFonts w:hint="default" w:ascii="Times New Roman" w:hAnsi="Times New Roman" w:eastAsia="宋体" w:cs="Times New Roman"/>
                <w:color w:val="auto"/>
                <w:spacing w:val="-3"/>
                <w:sz w:val="24"/>
                <w:szCs w:val="24"/>
                <w:highlight w:val="none"/>
              </w:rPr>
              <w:t>产生污染物主要为CO和CO</w:t>
            </w:r>
            <w:r>
              <w:rPr>
                <w:rFonts w:hint="default" w:ascii="Times New Roman" w:hAnsi="Times New Roman" w:eastAsia="宋体" w:cs="Times New Roman"/>
                <w:color w:val="auto"/>
                <w:spacing w:val="-3"/>
                <w:sz w:val="24"/>
                <w:szCs w:val="24"/>
                <w:highlight w:val="none"/>
                <w:vertAlign w:val="subscript"/>
              </w:rPr>
              <w:t>2</w:t>
            </w:r>
            <w:r>
              <w:rPr>
                <w:rFonts w:hint="default" w:ascii="Times New Roman" w:hAnsi="Times New Roman" w:eastAsia="宋体" w:cs="Times New Roman"/>
                <w:color w:val="auto"/>
                <w:spacing w:val="-3"/>
                <w:sz w:val="24"/>
                <w:szCs w:val="24"/>
                <w:highlight w:val="none"/>
              </w:rPr>
              <w:t>，两种物质均不溶于水。项目内布设灭火器为干粉灭火器、消防沙等，发生火灾及灭火过程中项目内不会产生废水。因此项目发生火灾、爆炸事故后对周围水环境影响不大。</w:t>
            </w:r>
          </w:p>
          <w:p w14:paraId="337E4D0C">
            <w:pPr>
              <w:pStyle w:val="14"/>
              <w:keepNext w:val="0"/>
              <w:keepLines w:val="0"/>
              <w:pageBreakBefore w:val="0"/>
              <w:widowControl w:val="0"/>
              <w:kinsoku/>
              <w:wordWrap/>
              <w:overflowPunct/>
              <w:topLinePunct w:val="0"/>
              <w:bidi w:val="0"/>
              <w:spacing w:after="0" w:line="360" w:lineRule="auto"/>
              <w:ind w:left="0" w:leftChars="0" w:right="0" w:firstLine="468"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3"/>
                <w:sz w:val="24"/>
                <w:szCs w:val="24"/>
                <w:highlight w:val="none"/>
                <w:lang w:val="en-US" w:eastAsia="zh-CN"/>
              </w:rPr>
              <w:t>2）</w:t>
            </w:r>
            <w:r>
              <w:rPr>
                <w:rFonts w:hint="default" w:ascii="Times New Roman" w:hAnsi="Times New Roman" w:eastAsia="宋体" w:cs="Times New Roman"/>
                <w:color w:val="auto"/>
                <w:spacing w:val="-3"/>
                <w:sz w:val="24"/>
                <w:szCs w:val="24"/>
                <w:highlight w:val="none"/>
              </w:rPr>
              <w:t>对地下水环境</w:t>
            </w:r>
            <w:r>
              <w:rPr>
                <w:rFonts w:hint="default" w:ascii="Times New Roman" w:hAnsi="Times New Roman" w:eastAsia="宋体" w:cs="Times New Roman"/>
                <w:color w:val="auto"/>
                <w:sz w:val="24"/>
                <w:szCs w:val="24"/>
                <w:highlight w:val="none"/>
              </w:rPr>
              <w:t>的影响分析</w:t>
            </w:r>
          </w:p>
          <w:p w14:paraId="3E594570">
            <w:pPr>
              <w:pStyle w:val="14"/>
              <w:keepNext w:val="0"/>
              <w:keepLines w:val="0"/>
              <w:pageBreakBefore w:val="0"/>
              <w:widowControl w:val="0"/>
              <w:kinsoku/>
              <w:wordWrap/>
              <w:overflowPunct/>
              <w:topLinePunct w:val="0"/>
              <w:bidi w:val="0"/>
              <w:spacing w:after="0" w:line="360" w:lineRule="auto"/>
              <w:ind w:left="0" w:leftChars="0" w:right="0" w:firstLine="468"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3"/>
                <w:sz w:val="24"/>
                <w:szCs w:val="24"/>
                <w:highlight w:val="none"/>
              </w:rPr>
              <w:t>储油</w:t>
            </w:r>
            <w:r>
              <w:rPr>
                <w:rFonts w:hint="default" w:ascii="Times New Roman" w:hAnsi="Times New Roman" w:eastAsia="宋体" w:cs="Times New Roman"/>
                <w:color w:val="auto"/>
                <w:spacing w:val="-3"/>
                <w:sz w:val="24"/>
                <w:szCs w:val="24"/>
                <w:highlight w:val="none"/>
                <w:lang w:val="en-US" w:eastAsia="zh-CN"/>
              </w:rPr>
              <w:t>桶</w:t>
            </w:r>
            <w:r>
              <w:rPr>
                <w:rFonts w:hint="default" w:ascii="Times New Roman" w:hAnsi="Times New Roman" w:eastAsia="宋体" w:cs="Times New Roman"/>
                <w:color w:val="auto"/>
                <w:spacing w:val="-3"/>
                <w:sz w:val="24"/>
                <w:szCs w:val="24"/>
                <w:highlight w:val="none"/>
              </w:rPr>
              <w:t>的泄漏或渗漏对地下水的污染较为严重，地下水一旦遭到成品油的污染，将使</w:t>
            </w:r>
            <w:r>
              <w:rPr>
                <w:rFonts w:hint="default" w:ascii="Times New Roman" w:hAnsi="Times New Roman" w:eastAsia="宋体" w:cs="Times New Roman"/>
                <w:color w:val="auto"/>
                <w:spacing w:val="-5"/>
                <w:sz w:val="24"/>
                <w:szCs w:val="24"/>
                <w:highlight w:val="none"/>
              </w:rPr>
              <w:t>地下水产生严重异味，并具有较强的致畸致癌性，无法饮用，又由于这种渗漏必然穿过较</w:t>
            </w:r>
            <w:r>
              <w:rPr>
                <w:rFonts w:hint="default" w:ascii="Times New Roman" w:hAnsi="Times New Roman" w:eastAsia="宋体" w:cs="Times New Roman"/>
                <w:color w:val="auto"/>
                <w:spacing w:val="-6"/>
                <w:sz w:val="24"/>
                <w:szCs w:val="24"/>
                <w:highlight w:val="none"/>
              </w:rPr>
              <w:t>厚的土层，使土壤层中吸附有大量的燃油料，土壤层吸附的燃料油不仅会造成植物生物的死亡，而且土壤层吸附的燃料还会随着地表水的下渗对土壤层的冲刷补充到地下水，这样</w:t>
            </w:r>
            <w:r>
              <w:rPr>
                <w:rFonts w:hint="default" w:ascii="Times New Roman" w:hAnsi="Times New Roman" w:eastAsia="宋体" w:cs="Times New Roman"/>
                <w:color w:val="auto"/>
                <w:sz w:val="24"/>
                <w:szCs w:val="24"/>
                <w:highlight w:val="none"/>
              </w:rPr>
              <w:t>即便污染源得到及时控制，地下水要完全恢复也需几十年甚至上百年的时间。</w:t>
            </w:r>
          </w:p>
          <w:p w14:paraId="3562DC38">
            <w:pPr>
              <w:pStyle w:val="128"/>
              <w:keepNext w:val="0"/>
              <w:keepLines w:val="0"/>
              <w:pageBreakBefore w:val="0"/>
              <w:widowControl w:val="0"/>
              <w:numPr>
                <w:ilvl w:val="0"/>
                <w:numId w:val="0"/>
              </w:numPr>
              <w:tabs>
                <w:tab w:val="left" w:pos="1090"/>
              </w:tabs>
              <w:kinsoku/>
              <w:wordWrap/>
              <w:overflowPunct/>
              <w:topLinePunct w:val="0"/>
              <w:autoSpaceDE/>
              <w:autoSpaceDN/>
              <w:bidi w:val="0"/>
              <w:adjustRightInd/>
              <w:snapToGrid/>
              <w:spacing w:line="360" w:lineRule="auto"/>
              <w:ind w:leftChars="0" w:right="0" w:rightChars="0" w:firstLine="472"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2"/>
                <w:sz w:val="24"/>
                <w:szCs w:val="24"/>
                <w:highlight w:val="none"/>
                <w:lang w:val="en-US" w:eastAsia="zh-CN"/>
              </w:rPr>
              <w:t>3）</w:t>
            </w:r>
            <w:r>
              <w:rPr>
                <w:rFonts w:hint="default" w:ascii="Times New Roman" w:hAnsi="Times New Roman" w:eastAsia="宋体" w:cs="Times New Roman"/>
                <w:color w:val="auto"/>
                <w:spacing w:val="-2"/>
                <w:sz w:val="24"/>
                <w:szCs w:val="24"/>
                <w:highlight w:val="none"/>
              </w:rPr>
              <w:t>对大气环境影响分析</w:t>
            </w:r>
          </w:p>
          <w:p w14:paraId="59EB0933">
            <w:pPr>
              <w:pStyle w:val="128"/>
              <w:keepNext w:val="0"/>
              <w:keepLines w:val="0"/>
              <w:pageBreakBefore w:val="0"/>
              <w:widowControl w:val="0"/>
              <w:numPr>
                <w:ilvl w:val="0"/>
                <w:numId w:val="0"/>
              </w:numPr>
              <w:tabs>
                <w:tab w:val="left" w:pos="1090"/>
              </w:tabs>
              <w:kinsoku/>
              <w:wordWrap/>
              <w:overflowPunct/>
              <w:topLinePunct w:val="0"/>
              <w:autoSpaceDE/>
              <w:autoSpaceDN/>
              <w:bidi w:val="0"/>
              <w:adjustRightInd/>
              <w:snapToGrid/>
              <w:spacing w:line="360" w:lineRule="auto"/>
              <w:ind w:leftChars="0" w:right="0" w:rightChars="0" w:firstLine="456" w:firstLineChars="200"/>
              <w:jc w:val="left"/>
              <w:textAlignment w:val="auto"/>
              <w:rPr>
                <w:rFonts w:hint="default" w:ascii="Times New Roman" w:hAnsi="Times New Roman" w:eastAsia="宋体" w:cs="Times New Roman"/>
                <w:color w:val="auto"/>
                <w:spacing w:val="-6"/>
                <w:kern w:val="2"/>
                <w:sz w:val="24"/>
                <w:szCs w:val="24"/>
                <w:highlight w:val="none"/>
                <w:lang w:val="en-US" w:eastAsia="zh-CN" w:bidi="ar-SA"/>
              </w:rPr>
            </w:pPr>
            <w:r>
              <w:rPr>
                <w:rFonts w:hint="default" w:ascii="Times New Roman" w:hAnsi="Times New Roman" w:eastAsia="宋体" w:cs="Times New Roman"/>
                <w:color w:val="auto"/>
                <w:spacing w:val="-6"/>
                <w:kern w:val="2"/>
                <w:sz w:val="24"/>
                <w:szCs w:val="24"/>
                <w:highlight w:val="none"/>
                <w:lang w:val="en-US" w:eastAsia="zh-CN" w:bidi="ar-SA"/>
              </w:rPr>
              <w:t>①泄漏影响分析</w:t>
            </w:r>
          </w:p>
          <w:p w14:paraId="04A9CF85">
            <w:pPr>
              <w:pStyle w:val="128"/>
              <w:keepNext w:val="0"/>
              <w:keepLines w:val="0"/>
              <w:pageBreakBefore w:val="0"/>
              <w:widowControl w:val="0"/>
              <w:numPr>
                <w:ilvl w:val="0"/>
                <w:numId w:val="0"/>
              </w:numPr>
              <w:tabs>
                <w:tab w:val="left" w:pos="1090"/>
              </w:tabs>
              <w:kinsoku/>
              <w:wordWrap/>
              <w:overflowPunct/>
              <w:topLinePunct w:val="0"/>
              <w:autoSpaceDE/>
              <w:autoSpaceDN/>
              <w:bidi w:val="0"/>
              <w:adjustRightInd/>
              <w:snapToGrid/>
              <w:spacing w:line="360" w:lineRule="auto"/>
              <w:ind w:leftChars="0" w:right="0" w:rightChars="0" w:firstLine="456"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6"/>
                <w:kern w:val="2"/>
                <w:sz w:val="24"/>
                <w:szCs w:val="24"/>
                <w:highlight w:val="none"/>
                <w:lang w:val="en-US" w:eastAsia="zh-CN" w:bidi="ar-SA"/>
              </w:rPr>
              <w:t>根据国内外的研究，对于突发性的事故溢油，油品溢出后在地面呈不规则的面源分布，油品的挥发速度重要影响因素为油品蒸汽压、现场风速、油品溢出面积、油品蒸汽分子平均重度。本项目设</w:t>
            </w:r>
            <w:r>
              <w:rPr>
                <w:rFonts w:hint="default" w:ascii="Times New Roman" w:hAnsi="Times New Roman" w:eastAsia="宋体" w:cs="Times New Roman"/>
                <w:color w:val="auto"/>
                <w:spacing w:val="-7"/>
                <w:sz w:val="24"/>
                <w:szCs w:val="24"/>
                <w:highlight w:val="none"/>
              </w:rPr>
              <w:t>置</w:t>
            </w:r>
            <w:r>
              <w:rPr>
                <w:rFonts w:hint="default" w:ascii="Times New Roman" w:hAnsi="Times New Roman" w:eastAsia="宋体" w:cs="Times New Roman"/>
                <w:color w:val="auto"/>
                <w:spacing w:val="-7"/>
                <w:sz w:val="24"/>
                <w:szCs w:val="24"/>
                <w:highlight w:val="none"/>
                <w:lang w:val="en-US" w:eastAsia="zh-CN"/>
              </w:rPr>
              <w:t>废矿物油储存</w:t>
            </w:r>
            <w:r>
              <w:rPr>
                <w:rFonts w:hint="default" w:ascii="Times New Roman" w:hAnsi="Times New Roman" w:eastAsia="宋体" w:cs="Times New Roman"/>
                <w:color w:val="auto"/>
                <w:spacing w:val="-7"/>
                <w:sz w:val="24"/>
                <w:szCs w:val="24"/>
                <w:highlight w:val="none"/>
              </w:rPr>
              <w:t>，油品将主要通过储油区通气管非密封处挥发，不会造成大</w:t>
            </w:r>
            <w:r>
              <w:rPr>
                <w:rFonts w:hint="default" w:ascii="Times New Roman" w:hAnsi="Times New Roman" w:eastAsia="宋体" w:cs="Times New Roman"/>
                <w:color w:val="auto"/>
                <w:sz w:val="24"/>
                <w:szCs w:val="24"/>
                <w:highlight w:val="none"/>
              </w:rPr>
              <w:t>面积的扩散，对大气环境影响较小。</w:t>
            </w:r>
          </w:p>
          <w:p w14:paraId="2F701853">
            <w:pPr>
              <w:pStyle w:val="128"/>
              <w:keepNext w:val="0"/>
              <w:keepLines w:val="0"/>
              <w:pageBreakBefore w:val="0"/>
              <w:widowControl w:val="0"/>
              <w:numPr>
                <w:ilvl w:val="0"/>
                <w:numId w:val="0"/>
              </w:numPr>
              <w:tabs>
                <w:tab w:val="left" w:pos="1090"/>
              </w:tabs>
              <w:kinsoku/>
              <w:wordWrap/>
              <w:overflowPunct/>
              <w:topLinePunct w:val="0"/>
              <w:autoSpaceDE/>
              <w:autoSpaceDN/>
              <w:bidi w:val="0"/>
              <w:adjustRightInd/>
              <w:snapToGrid/>
              <w:spacing w:line="360" w:lineRule="auto"/>
              <w:ind w:leftChars="0" w:right="0" w:rightChars="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②</w:t>
            </w:r>
            <w:r>
              <w:rPr>
                <w:rFonts w:hint="default" w:ascii="Times New Roman" w:hAnsi="Times New Roman" w:eastAsia="宋体" w:cs="Times New Roman"/>
                <w:color w:val="auto"/>
                <w:sz w:val="24"/>
                <w:szCs w:val="24"/>
                <w:highlight w:val="none"/>
              </w:rPr>
              <w:t>火灾、爆炸产生的污染物对人和环境的影响分析</w:t>
            </w:r>
          </w:p>
          <w:p w14:paraId="19853046">
            <w:pPr>
              <w:pStyle w:val="128"/>
              <w:keepNext w:val="0"/>
              <w:keepLines w:val="0"/>
              <w:pageBreakBefore w:val="0"/>
              <w:widowControl w:val="0"/>
              <w:numPr>
                <w:ilvl w:val="0"/>
                <w:numId w:val="0"/>
              </w:numPr>
              <w:tabs>
                <w:tab w:val="left" w:pos="1090"/>
              </w:tabs>
              <w:kinsoku/>
              <w:wordWrap/>
              <w:overflowPunct/>
              <w:topLinePunct w:val="0"/>
              <w:autoSpaceDE/>
              <w:autoSpaceDN/>
              <w:bidi w:val="0"/>
              <w:adjustRightInd/>
              <w:snapToGrid/>
              <w:spacing w:line="360" w:lineRule="auto"/>
              <w:ind w:leftChars="0" w:right="0" w:rightChars="0" w:firstLine="480" w:firstLineChars="200"/>
              <w:jc w:val="left"/>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矿物油</w:t>
            </w:r>
            <w:r>
              <w:rPr>
                <w:rFonts w:hint="default" w:ascii="Times New Roman" w:hAnsi="Times New Roman" w:eastAsia="宋体" w:cs="Times New Roman"/>
                <w:color w:val="auto"/>
                <w:sz w:val="24"/>
                <w:szCs w:val="24"/>
                <w:highlight w:val="none"/>
              </w:rPr>
              <w:t>为碳氢</w:t>
            </w:r>
            <w:r>
              <w:rPr>
                <w:rFonts w:hint="default" w:ascii="Times New Roman" w:hAnsi="Times New Roman" w:eastAsia="宋体" w:cs="Times New Roman"/>
                <w:color w:val="auto"/>
                <w:spacing w:val="-5"/>
                <w:sz w:val="24"/>
                <w:szCs w:val="24"/>
                <w:highlight w:val="none"/>
              </w:rPr>
              <w:t>化合物，分解产物为一氧化碳、二氧化碳及水，其中完全燃烧时产生二氧</w:t>
            </w:r>
            <w:r>
              <w:rPr>
                <w:rFonts w:hint="default" w:ascii="Times New Roman" w:hAnsi="Times New Roman" w:eastAsia="宋体" w:cs="Times New Roman"/>
                <w:color w:val="auto"/>
                <w:spacing w:val="-10"/>
                <w:sz w:val="24"/>
                <w:szCs w:val="24"/>
                <w:highlight w:val="none"/>
              </w:rPr>
              <w:t>化碳，不完全燃烧时产生</w:t>
            </w:r>
            <w:r>
              <w:rPr>
                <w:rFonts w:hint="default" w:ascii="Times New Roman" w:hAnsi="Times New Roman" w:eastAsia="宋体" w:cs="Times New Roman"/>
                <w:color w:val="auto"/>
                <w:sz w:val="24"/>
                <w:szCs w:val="24"/>
                <w:highlight w:val="none"/>
              </w:rPr>
              <w:t>CO</w:t>
            </w:r>
            <w:r>
              <w:rPr>
                <w:rFonts w:hint="default" w:ascii="Times New Roman" w:hAnsi="Times New Roman" w:eastAsia="宋体" w:cs="Times New Roman"/>
                <w:color w:val="auto"/>
                <w:spacing w:val="-27"/>
                <w:sz w:val="24"/>
                <w:szCs w:val="24"/>
                <w:highlight w:val="none"/>
              </w:rPr>
              <w:t>。</w:t>
            </w:r>
            <w:r>
              <w:rPr>
                <w:rFonts w:hint="default" w:ascii="Times New Roman" w:hAnsi="Times New Roman" w:eastAsia="宋体" w:cs="Times New Roman"/>
                <w:color w:val="auto"/>
                <w:sz w:val="24"/>
                <w:szCs w:val="24"/>
                <w:highlight w:val="none"/>
              </w:rPr>
              <w:t>CO</w:t>
            </w:r>
            <w:r>
              <w:rPr>
                <w:rFonts w:hint="default" w:ascii="Times New Roman" w:hAnsi="Times New Roman" w:eastAsia="宋体" w:cs="Times New Roman"/>
                <w:color w:val="auto"/>
                <w:spacing w:val="-6"/>
                <w:sz w:val="24"/>
                <w:szCs w:val="24"/>
                <w:highlight w:val="none"/>
              </w:rPr>
              <w:t>在大气中比较稳定，不易与其他物质产生化学反应，其</w:t>
            </w:r>
            <w:r>
              <w:rPr>
                <w:rFonts w:hint="default" w:ascii="Times New Roman" w:hAnsi="Times New Roman" w:eastAsia="宋体" w:cs="Times New Roman"/>
                <w:color w:val="auto"/>
                <w:spacing w:val="-5"/>
                <w:sz w:val="24"/>
                <w:szCs w:val="24"/>
                <w:highlight w:val="none"/>
              </w:rPr>
              <w:t>在进入大气后，由于大气的扩散稀释作用和氧化作用，一般不会造成危害，所以吸入时不为人们所察觉，是室内外空气中常见的污染物。当其浓度过高时，人在这种环境下待的时</w:t>
            </w:r>
            <w:r>
              <w:rPr>
                <w:rFonts w:hint="default" w:ascii="Times New Roman" w:hAnsi="Times New Roman" w:eastAsia="宋体" w:cs="Times New Roman"/>
                <w:color w:val="auto"/>
                <w:sz w:val="24"/>
                <w:szCs w:val="24"/>
                <w:highlight w:val="none"/>
              </w:rPr>
              <w:t>间较长，就会出现晕眩、头痛、怠倦的现象，CO对人的主要危害就是引起组织缺氧，导致急性或者慢性中毒甚至有死亡的威胁。此外，CO还可能造成听力与视力的损害，比如</w:t>
            </w:r>
            <w:r>
              <w:rPr>
                <w:rFonts w:hint="default" w:ascii="Times New Roman" w:hAnsi="Times New Roman" w:eastAsia="宋体" w:cs="Times New Roman"/>
                <w:color w:val="auto"/>
                <w:spacing w:val="-4"/>
                <w:sz w:val="24"/>
                <w:szCs w:val="24"/>
                <w:highlight w:val="none"/>
              </w:rPr>
              <w:t>视野的减小或者听力的丧失。二氧化碳对环境影响主要为温室效应。根据前面分析，项目</w:t>
            </w:r>
            <w:r>
              <w:rPr>
                <w:rFonts w:hint="default" w:ascii="Times New Roman" w:hAnsi="Times New Roman" w:eastAsia="宋体" w:cs="Times New Roman"/>
                <w:color w:val="auto"/>
                <w:spacing w:val="-6"/>
                <w:sz w:val="24"/>
                <w:szCs w:val="24"/>
                <w:highlight w:val="none"/>
              </w:rPr>
              <w:t>出现火灾、爆炸事故概率较小，排放的一氧化碳、二氧化碳经大气稀释、扩散后对周边大</w:t>
            </w:r>
            <w:r>
              <w:rPr>
                <w:rFonts w:hint="default" w:ascii="Times New Roman" w:hAnsi="Times New Roman" w:eastAsia="宋体" w:cs="Times New Roman"/>
                <w:color w:val="auto"/>
                <w:sz w:val="24"/>
                <w:szCs w:val="24"/>
                <w:highlight w:val="none"/>
              </w:rPr>
              <w:t>气环境影响较小。</w:t>
            </w:r>
          </w:p>
          <w:p w14:paraId="096CD6FB">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56" w:firstLineChars="200"/>
              <w:jc w:val="left"/>
              <w:textAlignment w:val="auto"/>
              <w:rPr>
                <w:rFonts w:hint="eastAsia" w:ascii="Times New Roman" w:hAnsi="Times New Roman" w:eastAsia="宋体" w:cs="Times New Roman"/>
                <w:color w:val="auto"/>
                <w:spacing w:val="-6"/>
                <w:kern w:val="2"/>
                <w:sz w:val="24"/>
                <w:szCs w:val="24"/>
                <w:highlight w:val="none"/>
                <w:lang w:val="en-US" w:eastAsia="zh-CN" w:bidi="ar-SA"/>
              </w:rPr>
            </w:pPr>
            <w:r>
              <w:rPr>
                <w:rFonts w:hint="eastAsia" w:ascii="Times New Roman" w:hAnsi="Times New Roman" w:eastAsia="宋体" w:cs="Times New Roman"/>
                <w:color w:val="auto"/>
                <w:spacing w:val="-6"/>
                <w:kern w:val="2"/>
                <w:sz w:val="24"/>
                <w:szCs w:val="24"/>
                <w:highlight w:val="none"/>
                <w:lang w:val="en-US" w:eastAsia="zh-CN" w:bidi="ar-SA"/>
              </w:rPr>
              <w:t>4）</w:t>
            </w:r>
            <w:r>
              <w:rPr>
                <w:rFonts w:hint="eastAsia"/>
                <w:color w:val="auto"/>
                <w:spacing w:val="-6"/>
                <w:sz w:val="24"/>
                <w:szCs w:val="24"/>
              </w:rPr>
              <w:t>污染治理设施异常</w:t>
            </w:r>
            <w:r>
              <w:rPr>
                <w:rFonts w:hint="eastAsia" w:ascii="Times New Roman" w:hAnsi="Times New Roman" w:eastAsia="宋体" w:cs="Times New Roman"/>
                <w:color w:val="auto"/>
                <w:spacing w:val="-6"/>
                <w:kern w:val="2"/>
                <w:sz w:val="24"/>
                <w:szCs w:val="24"/>
                <w:highlight w:val="none"/>
                <w:lang w:val="en-US" w:eastAsia="zh-CN" w:bidi="ar-SA"/>
              </w:rPr>
              <w:t>影响分析</w:t>
            </w:r>
          </w:p>
          <w:p w14:paraId="497B7183">
            <w:pPr>
              <w:pStyle w:val="83"/>
              <w:keepNext w:val="0"/>
              <w:keepLines w:val="0"/>
              <w:pageBreakBefore w:val="0"/>
              <w:widowControl w:val="0"/>
              <w:kinsoku/>
              <w:wordWrap/>
              <w:overflowPunct/>
              <w:topLinePunct w:val="0"/>
              <w:autoSpaceDE/>
              <w:autoSpaceDN/>
              <w:bidi w:val="0"/>
              <w:spacing w:beforeLines="0" w:afterLines="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项目</w:t>
            </w:r>
            <w:r>
              <w:rPr>
                <w:rFonts w:hint="default" w:ascii="Times New Roman" w:hAnsi="Times New Roman" w:eastAsia="宋体" w:cs="Times New Roman"/>
                <w:color w:val="auto"/>
                <w:sz w:val="24"/>
                <w:highlight w:val="none"/>
              </w:rPr>
              <w:t>冷却水</w:t>
            </w:r>
            <w:r>
              <w:rPr>
                <w:rFonts w:hint="default" w:ascii="Times New Roman" w:hAnsi="Times New Roman" w:eastAsia="宋体" w:cs="Times New Roman"/>
                <w:color w:val="auto"/>
                <w:sz w:val="24"/>
              </w:rPr>
              <w:t>经循环水冷却</w:t>
            </w:r>
            <w:r>
              <w:rPr>
                <w:rFonts w:hint="eastAsia" w:ascii="Times New Roman" w:hAnsi="Times New Roman" w:cs="Times New Roman"/>
                <w:color w:val="auto"/>
                <w:sz w:val="24"/>
                <w:lang w:val="en-US" w:eastAsia="zh-CN"/>
              </w:rPr>
              <w:t>箱</w:t>
            </w:r>
            <w:r>
              <w:rPr>
                <w:rFonts w:hint="default" w:ascii="Times New Roman" w:hAnsi="Times New Roman" w:eastAsia="宋体" w:cs="Times New Roman"/>
                <w:color w:val="auto"/>
                <w:sz w:val="24"/>
              </w:rPr>
              <w:t>冷却后循环使用，不外排</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b w:val="0"/>
                <w:bCs w:val="0"/>
                <w:color w:val="auto"/>
                <w:sz w:val="24"/>
                <w:szCs w:val="24"/>
                <w:highlight w:val="none"/>
                <w:lang w:val="en-US" w:eastAsia="zh-CN"/>
              </w:rPr>
              <w:t>食堂含油废水经隔油池预处理后与其他办公生活污水一并进入</w:t>
            </w:r>
            <w:r>
              <w:rPr>
                <w:rFonts w:hint="eastAsia" w:cs="Times New Roman"/>
                <w:b w:val="0"/>
                <w:bCs w:val="0"/>
                <w:color w:val="auto"/>
                <w:sz w:val="24"/>
                <w:szCs w:val="24"/>
                <w:highlight w:val="none"/>
                <w:lang w:val="en-US" w:eastAsia="zh-CN"/>
              </w:rPr>
              <w:t>依托的</w:t>
            </w:r>
            <w:r>
              <w:rPr>
                <w:rFonts w:hint="default" w:ascii="Times New Roman" w:hAnsi="Times New Roman" w:eastAsia="宋体" w:cs="Times New Roman"/>
                <w:b w:val="0"/>
                <w:bCs w:val="0"/>
                <w:color w:val="auto"/>
                <w:sz w:val="24"/>
                <w:szCs w:val="24"/>
                <w:highlight w:val="none"/>
                <w:lang w:val="en-US" w:eastAsia="zh-CN"/>
              </w:rPr>
              <w:t>化粪池</w:t>
            </w:r>
            <w:r>
              <w:rPr>
                <w:rFonts w:hint="eastAsia" w:cs="Times New Roman"/>
                <w:b w:val="0"/>
                <w:bCs w:val="0"/>
                <w:color w:val="auto"/>
                <w:sz w:val="24"/>
                <w:szCs w:val="24"/>
                <w:highlight w:val="none"/>
                <w:lang w:val="en-US" w:eastAsia="zh-CN"/>
              </w:rPr>
              <w:t>处理</w:t>
            </w:r>
            <w:r>
              <w:rPr>
                <w:rFonts w:hint="eastAsia" w:ascii="Times New Roman" w:hAnsi="Times New Roman" w:eastAsia="宋体" w:cs="Times New Roman"/>
                <w:color w:val="auto"/>
                <w:sz w:val="24"/>
                <w:szCs w:val="24"/>
                <w:highlight w:val="none"/>
                <w:lang w:val="en-US" w:eastAsia="zh-CN"/>
              </w:rPr>
              <w:t>后</w:t>
            </w:r>
            <w:r>
              <w:rPr>
                <w:rFonts w:hint="default" w:ascii="Times New Roman" w:hAnsi="Times New Roman" w:eastAsia="宋体" w:cs="Times New Roman"/>
                <w:color w:val="auto"/>
                <w:sz w:val="24"/>
                <w:szCs w:val="24"/>
                <w:highlight w:val="none"/>
                <w:lang w:val="en-US" w:eastAsia="zh-CN"/>
              </w:rPr>
              <w:t>再进入到</w:t>
            </w:r>
            <w:r>
              <w:rPr>
                <w:rFonts w:hint="eastAsia" w:ascii="Times New Roman" w:hAnsi="Times New Roman" w:eastAsia="宋体" w:cs="Times New Roman"/>
                <w:color w:val="auto"/>
                <w:sz w:val="24"/>
                <w:szCs w:val="24"/>
                <w:highlight w:val="none"/>
                <w:lang w:val="en-US" w:eastAsia="zh-CN"/>
              </w:rPr>
              <w:t>依托的一体化污水处理站</w:t>
            </w:r>
            <w:r>
              <w:rPr>
                <w:rFonts w:hint="default" w:ascii="Times New Roman" w:hAnsi="Times New Roman" w:eastAsia="宋体" w:cs="Times New Roman"/>
                <w:color w:val="auto"/>
                <w:sz w:val="24"/>
                <w:szCs w:val="24"/>
                <w:highlight w:val="none"/>
                <w:lang w:val="en-US" w:eastAsia="zh-CN"/>
              </w:rPr>
              <w:t>处理</w:t>
            </w:r>
            <w:r>
              <w:rPr>
                <w:rFonts w:hint="eastAsia" w:ascii="Times New Roman" w:hAnsi="Times New Roman" w:eastAsia="宋体" w:cs="Times New Roman"/>
                <w:color w:val="auto"/>
                <w:sz w:val="24"/>
                <w:szCs w:val="24"/>
                <w:highlight w:val="none"/>
                <w:lang w:val="en-US" w:eastAsia="zh-CN"/>
              </w:rPr>
              <w:t>达</w:t>
            </w:r>
            <w:r>
              <w:rPr>
                <w:rFonts w:hint="default" w:ascii="Times New Roman" w:hAnsi="Times New Roman" w:eastAsia="宋体" w:cs="Times New Roman"/>
                <w:b w:val="0"/>
                <w:bCs w:val="0"/>
                <w:color w:val="auto"/>
                <w:sz w:val="24"/>
                <w:szCs w:val="24"/>
                <w:highlight w:val="none"/>
                <w:lang w:val="en-US" w:eastAsia="zh-CN"/>
              </w:rPr>
              <w:t>标后，用于</w:t>
            </w:r>
            <w:r>
              <w:rPr>
                <w:rFonts w:hint="eastAsia" w:cs="Times New Roman"/>
                <w:b w:val="0"/>
                <w:bCs w:val="0"/>
                <w:color w:val="auto"/>
                <w:sz w:val="24"/>
                <w:szCs w:val="24"/>
                <w:highlight w:val="none"/>
                <w:lang w:val="en-US" w:eastAsia="zh-CN"/>
              </w:rPr>
              <w:t>本</w:t>
            </w:r>
            <w:r>
              <w:rPr>
                <w:rFonts w:hint="default" w:ascii="Times New Roman" w:hAnsi="Times New Roman" w:eastAsia="宋体" w:cs="Times New Roman"/>
                <w:b w:val="0"/>
                <w:bCs w:val="0"/>
                <w:color w:val="auto"/>
                <w:sz w:val="24"/>
                <w:szCs w:val="24"/>
                <w:highlight w:val="none"/>
                <w:lang w:val="en-US" w:eastAsia="zh-CN"/>
              </w:rPr>
              <w:t>项目区</w:t>
            </w:r>
            <w:r>
              <w:rPr>
                <w:rFonts w:hint="eastAsia" w:cs="Times New Roman"/>
                <w:b w:val="0"/>
                <w:bCs w:val="0"/>
                <w:color w:val="auto"/>
                <w:sz w:val="24"/>
                <w:szCs w:val="24"/>
                <w:highlight w:val="none"/>
                <w:lang w:val="en-US" w:eastAsia="zh-CN"/>
              </w:rPr>
              <w:t>及</w:t>
            </w:r>
            <w:r>
              <w:rPr>
                <w:rFonts w:hint="eastAsia"/>
                <w:bCs/>
                <w:color w:val="auto"/>
                <w:sz w:val="24"/>
                <w:highlight w:val="none"/>
                <w:lang w:eastAsia="zh-CN"/>
              </w:rPr>
              <w:t>云</w:t>
            </w:r>
            <w:r>
              <w:rPr>
                <w:rFonts w:hint="eastAsia"/>
                <w:color w:val="auto"/>
                <w:sz w:val="24"/>
                <w:highlight w:val="none"/>
                <w:lang w:val="en-US" w:eastAsia="zh-CN"/>
              </w:rPr>
              <w:t>南宝泰轻化机械</w:t>
            </w:r>
            <w:r>
              <w:rPr>
                <w:rFonts w:hint="eastAsia"/>
                <w:color w:val="auto"/>
                <w:sz w:val="24"/>
                <w:highlight w:val="none"/>
                <w:lang w:eastAsia="zh-CN"/>
              </w:rPr>
              <w:t>有限公司</w:t>
            </w:r>
            <w:r>
              <w:rPr>
                <w:rFonts w:hint="default" w:ascii="Times New Roman" w:hAnsi="Times New Roman" w:eastAsia="宋体" w:cs="Times New Roman"/>
                <w:b w:val="0"/>
                <w:bCs w:val="0"/>
                <w:color w:val="auto"/>
                <w:sz w:val="24"/>
                <w:szCs w:val="24"/>
                <w:highlight w:val="none"/>
                <w:lang w:val="en-US" w:eastAsia="zh-CN"/>
              </w:rPr>
              <w:t>内绿化及道路场地洒水降尘，不外排。</w:t>
            </w:r>
            <w:r>
              <w:rPr>
                <w:rFonts w:hint="eastAsia" w:ascii="Times New Roman" w:hAnsi="Times New Roman" w:eastAsia="宋体" w:cs="Times New Roman"/>
                <w:color w:val="auto"/>
                <w:kern w:val="2"/>
                <w:sz w:val="24"/>
                <w:szCs w:val="24"/>
                <w:highlight w:val="none"/>
                <w:lang w:val="en-US" w:eastAsia="zh-CN" w:bidi="ar-SA"/>
              </w:rPr>
              <w:t>项目</w:t>
            </w:r>
            <w:r>
              <w:rPr>
                <w:rFonts w:hint="default" w:ascii="Times New Roman" w:hAnsi="Times New Roman" w:eastAsia="宋体" w:cs="Times New Roman"/>
                <w:color w:val="auto"/>
                <w:kern w:val="2"/>
                <w:sz w:val="24"/>
                <w:szCs w:val="24"/>
                <w:highlight w:val="none"/>
                <w:lang w:val="en-US" w:eastAsia="zh-CN" w:bidi="ar-SA"/>
              </w:rPr>
              <w:t>内的污水管道破损，将引发未处理的废水泄漏，从而影响区域水环境</w:t>
            </w:r>
            <w:r>
              <w:rPr>
                <w:rFonts w:hint="default" w:ascii="Times New Roman" w:hAnsi="Times New Roman" w:eastAsia="宋体" w:cs="Times New Roman"/>
                <w:b w:val="0"/>
                <w:bCs w:val="0"/>
                <w:color w:val="auto"/>
                <w:sz w:val="24"/>
                <w:szCs w:val="24"/>
                <w:highlight w:val="none"/>
                <w:lang w:val="en-US" w:eastAsia="zh-CN"/>
              </w:rPr>
              <w:t>以及土壤环境。</w:t>
            </w:r>
          </w:p>
          <w:p w14:paraId="2195BDF9">
            <w:pPr>
              <w:adjustRightInd w:val="0"/>
              <w:snapToGrid w:val="0"/>
              <w:spacing w:line="360" w:lineRule="auto"/>
              <w:ind w:firstLine="480" w:firstLineChars="200"/>
              <w:rPr>
                <w:rFonts w:hint="default"/>
                <w:color w:val="auto"/>
                <w:lang w:val="en-US" w:eastAsia="zh-CN"/>
              </w:rPr>
            </w:pPr>
            <w:r>
              <w:rPr>
                <w:rFonts w:hint="default" w:ascii="Times New Roman" w:hAnsi="Times New Roman" w:eastAsia="宋体" w:cs="Times New Roman"/>
                <w:b w:val="0"/>
                <w:bCs w:val="0"/>
                <w:color w:val="auto"/>
                <w:sz w:val="24"/>
                <w:szCs w:val="24"/>
                <w:highlight w:val="none"/>
                <w:lang w:val="en-US" w:eastAsia="zh-CN"/>
              </w:rPr>
              <w:t>项目采用</w:t>
            </w:r>
            <w:r>
              <w:rPr>
                <w:rFonts w:hint="eastAsia" w:ascii="Times New Roman" w:hAnsi="Times New Roman" w:eastAsia="宋体" w:cs="Times New Roman"/>
                <w:b w:val="0"/>
                <w:bCs w:val="0"/>
                <w:color w:val="auto"/>
                <w:sz w:val="24"/>
                <w:szCs w:val="24"/>
                <w:highlight w:val="none"/>
                <w:lang w:val="en-US" w:eastAsia="zh-CN"/>
              </w:rPr>
              <w:t>三级活性炭</w:t>
            </w:r>
            <w:r>
              <w:rPr>
                <w:rFonts w:hint="eastAsia" w:ascii="Times New Roman" w:hAnsi="Times New Roman" w:cs="Times New Roman"/>
                <w:b w:val="0"/>
                <w:bCs w:val="0"/>
                <w:color w:val="auto"/>
                <w:sz w:val="24"/>
                <w:szCs w:val="24"/>
                <w:highlight w:val="none"/>
                <w:lang w:val="en-US" w:eastAsia="zh-CN"/>
              </w:rPr>
              <w:t>吸附</w:t>
            </w:r>
            <w:r>
              <w:rPr>
                <w:rFonts w:hint="eastAsia" w:ascii="Times New Roman" w:hAnsi="Times New Roman" w:eastAsia="宋体" w:cs="Times New Roman"/>
                <w:b w:val="0"/>
                <w:bCs w:val="0"/>
                <w:color w:val="auto"/>
                <w:sz w:val="24"/>
                <w:szCs w:val="24"/>
                <w:highlight w:val="none"/>
                <w:lang w:val="en-US" w:eastAsia="zh-CN"/>
              </w:rPr>
              <w:t>装置来处理废气</w:t>
            </w:r>
            <w:r>
              <w:rPr>
                <w:rFonts w:hint="default" w:ascii="Times New Roman" w:hAnsi="Times New Roman" w:eastAsia="宋体" w:cs="Times New Roman"/>
                <w:b w:val="0"/>
                <w:bCs w:val="0"/>
                <w:color w:val="auto"/>
                <w:sz w:val="24"/>
                <w:szCs w:val="24"/>
                <w:highlight w:val="none"/>
                <w:lang w:val="en-US" w:eastAsia="zh-CN"/>
              </w:rPr>
              <w:t>，若运营过程中</w:t>
            </w:r>
            <w:r>
              <w:rPr>
                <w:rFonts w:hint="eastAsia" w:ascii="Times New Roman" w:hAnsi="Times New Roman" w:eastAsia="宋体" w:cs="Times New Roman"/>
                <w:b w:val="0"/>
                <w:bCs w:val="0"/>
                <w:color w:val="auto"/>
                <w:sz w:val="24"/>
                <w:szCs w:val="24"/>
                <w:highlight w:val="none"/>
                <w:lang w:val="en-US" w:eastAsia="zh-CN"/>
              </w:rPr>
              <w:t>三级活性炭</w:t>
            </w:r>
            <w:r>
              <w:rPr>
                <w:rFonts w:hint="eastAsia" w:ascii="Times New Roman" w:hAnsi="Times New Roman" w:cs="Times New Roman"/>
                <w:b w:val="0"/>
                <w:bCs w:val="0"/>
                <w:color w:val="auto"/>
                <w:sz w:val="24"/>
                <w:szCs w:val="24"/>
                <w:highlight w:val="none"/>
                <w:lang w:val="en-US" w:eastAsia="zh-CN"/>
              </w:rPr>
              <w:t>吸附</w:t>
            </w:r>
            <w:r>
              <w:rPr>
                <w:rFonts w:hint="eastAsia" w:ascii="Times New Roman" w:hAnsi="Times New Roman" w:eastAsia="宋体" w:cs="Times New Roman"/>
                <w:b w:val="0"/>
                <w:bCs w:val="0"/>
                <w:color w:val="auto"/>
                <w:sz w:val="24"/>
                <w:szCs w:val="24"/>
                <w:highlight w:val="none"/>
                <w:lang w:val="en-US" w:eastAsia="zh-CN"/>
              </w:rPr>
              <w:t>装置发生故障，</w:t>
            </w:r>
            <w:r>
              <w:rPr>
                <w:rFonts w:hint="default" w:ascii="Times New Roman" w:hAnsi="Times New Roman" w:eastAsia="宋体" w:cs="Times New Roman"/>
                <w:b w:val="0"/>
                <w:bCs w:val="0"/>
                <w:color w:val="auto"/>
                <w:sz w:val="24"/>
                <w:szCs w:val="24"/>
                <w:highlight w:val="none"/>
                <w:lang w:val="en-US" w:eastAsia="zh-CN"/>
              </w:rPr>
              <w:t>将导致废气</w:t>
            </w:r>
            <w:r>
              <w:rPr>
                <w:rFonts w:hint="eastAsia" w:ascii="Times New Roman" w:hAnsi="Times New Roman" w:eastAsia="宋体" w:cs="Times New Roman"/>
                <w:b w:val="0"/>
                <w:bCs w:val="0"/>
                <w:color w:val="auto"/>
                <w:sz w:val="24"/>
                <w:szCs w:val="24"/>
                <w:highlight w:val="none"/>
                <w:lang w:val="en-US" w:eastAsia="zh-CN"/>
              </w:rPr>
              <w:t>不能达标</w:t>
            </w:r>
            <w:r>
              <w:rPr>
                <w:rFonts w:hint="default" w:ascii="Times New Roman" w:hAnsi="Times New Roman" w:eastAsia="宋体" w:cs="Times New Roman"/>
                <w:b w:val="0"/>
                <w:bCs w:val="0"/>
                <w:color w:val="auto"/>
                <w:sz w:val="24"/>
                <w:szCs w:val="24"/>
                <w:highlight w:val="none"/>
                <w:lang w:val="en-US" w:eastAsia="zh-CN"/>
              </w:rPr>
              <w:t>排</w:t>
            </w:r>
            <w:r>
              <w:rPr>
                <w:rFonts w:hint="eastAsia" w:ascii="Times New Roman" w:hAnsi="Times New Roman" w:eastAsia="宋体" w:cs="Times New Roman"/>
                <w:b w:val="0"/>
                <w:bCs w:val="0"/>
                <w:color w:val="auto"/>
                <w:sz w:val="24"/>
                <w:szCs w:val="24"/>
                <w:highlight w:val="none"/>
                <w:lang w:val="en-US" w:eastAsia="zh-CN"/>
              </w:rPr>
              <w:t>放</w:t>
            </w:r>
            <w:r>
              <w:rPr>
                <w:rFonts w:hint="default" w:ascii="Times New Roman" w:hAnsi="Times New Roman" w:eastAsia="宋体" w:cs="Times New Roman"/>
                <w:b w:val="0"/>
                <w:bCs w:val="0"/>
                <w:color w:val="auto"/>
                <w:sz w:val="24"/>
                <w:szCs w:val="24"/>
                <w:highlight w:val="none"/>
                <w:lang w:val="en-US" w:eastAsia="zh-CN"/>
              </w:rPr>
              <w:t>，发生污染事故。</w:t>
            </w:r>
          </w:p>
          <w:p w14:paraId="4A1F9967">
            <w:pPr>
              <w:pStyle w:val="70"/>
              <w:tabs>
                <w:tab w:val="left" w:pos="1090"/>
              </w:tabs>
              <w:adjustRightInd w:val="0"/>
              <w:snapToGrid w:val="0"/>
              <w:spacing w:line="360" w:lineRule="auto"/>
              <w:ind w:firstLine="456"/>
              <w:jc w:val="left"/>
              <w:rPr>
                <w:b/>
                <w:color w:val="auto"/>
                <w:sz w:val="24"/>
                <w:szCs w:val="24"/>
              </w:rPr>
            </w:pPr>
            <w:r>
              <w:rPr>
                <w:color w:val="auto"/>
                <w:spacing w:val="-6"/>
                <w:sz w:val="24"/>
                <w:szCs w:val="24"/>
              </w:rPr>
              <w:t>项目定期对</w:t>
            </w:r>
            <w:r>
              <w:rPr>
                <w:rFonts w:hint="eastAsia"/>
                <w:color w:val="auto"/>
                <w:spacing w:val="-6"/>
                <w:sz w:val="24"/>
                <w:szCs w:val="24"/>
                <w:lang w:val="en-US" w:eastAsia="zh-CN"/>
              </w:rPr>
              <w:t>废气排气口</w:t>
            </w:r>
            <w:r>
              <w:rPr>
                <w:color w:val="auto"/>
                <w:spacing w:val="-6"/>
                <w:sz w:val="24"/>
                <w:szCs w:val="24"/>
                <w:highlight w:val="none"/>
              </w:rPr>
              <w:t>进行监测</w:t>
            </w:r>
            <w:r>
              <w:rPr>
                <w:color w:val="auto"/>
                <w:spacing w:val="-6"/>
                <w:sz w:val="24"/>
                <w:szCs w:val="24"/>
              </w:rPr>
              <w:t>，一</w:t>
            </w:r>
            <w:r>
              <w:rPr>
                <w:color w:val="auto"/>
                <w:sz w:val="24"/>
              </w:rPr>
              <w:t>旦发生泄漏或治理设施故障，立即对治理设施进行检修，未经治理的</w:t>
            </w:r>
            <w:r>
              <w:rPr>
                <w:rFonts w:hint="eastAsia"/>
                <w:color w:val="auto"/>
                <w:sz w:val="24"/>
                <w:lang w:val="en-US" w:eastAsia="zh-CN"/>
              </w:rPr>
              <w:t>废气</w:t>
            </w:r>
            <w:r>
              <w:rPr>
                <w:rFonts w:hint="eastAsia"/>
                <w:color w:val="auto"/>
                <w:sz w:val="24"/>
              </w:rPr>
              <w:t>不得排放</w:t>
            </w:r>
            <w:r>
              <w:rPr>
                <w:rFonts w:hint="eastAsia"/>
                <w:color w:val="auto"/>
                <w:sz w:val="24"/>
                <w:lang w:eastAsia="zh-CN"/>
              </w:rPr>
              <w:t>，未经处理的</w:t>
            </w:r>
            <w:r>
              <w:rPr>
                <w:rFonts w:hint="eastAsia"/>
                <w:color w:val="auto"/>
                <w:sz w:val="24"/>
                <w:highlight w:val="none"/>
                <w:lang w:val="en-US" w:eastAsia="zh-CN"/>
              </w:rPr>
              <w:t>废水不得</w:t>
            </w:r>
            <w:r>
              <w:rPr>
                <w:rFonts w:hint="default" w:ascii="Times New Roman" w:hAnsi="Times New Roman" w:eastAsia="宋体" w:cs="Times New Roman"/>
                <w:b w:val="0"/>
                <w:bCs w:val="0"/>
                <w:color w:val="auto"/>
                <w:sz w:val="24"/>
                <w:szCs w:val="24"/>
                <w:highlight w:val="none"/>
                <w:lang w:val="en-US" w:eastAsia="zh-CN"/>
              </w:rPr>
              <w:t>用于绿化及道路场地洒水降尘</w:t>
            </w:r>
            <w:r>
              <w:rPr>
                <w:rFonts w:hint="eastAsia"/>
                <w:color w:val="auto"/>
                <w:sz w:val="24"/>
                <w:highlight w:val="none"/>
              </w:rPr>
              <w:t>及灌溉</w:t>
            </w:r>
            <w:r>
              <w:rPr>
                <w:rFonts w:hint="eastAsia"/>
                <w:color w:val="auto"/>
                <w:sz w:val="24"/>
                <w:szCs w:val="24"/>
                <w:highlight w:val="none"/>
              </w:rPr>
              <w:t>。</w:t>
            </w:r>
          </w:p>
          <w:p w14:paraId="2FB61396">
            <w:pPr>
              <w:autoSpaceDE w:val="0"/>
              <w:autoSpaceDN w:val="0"/>
              <w:adjustRightInd w:val="0"/>
              <w:snapToGrid w:val="0"/>
              <w:spacing w:line="360" w:lineRule="auto"/>
              <w:ind w:firstLine="482" w:firstLineChars="200"/>
              <w:jc w:val="left"/>
              <w:rPr>
                <w:b/>
                <w:color w:val="auto"/>
                <w:sz w:val="24"/>
              </w:rPr>
            </w:pPr>
            <w:r>
              <w:rPr>
                <w:b/>
                <w:color w:val="auto"/>
                <w:sz w:val="24"/>
              </w:rPr>
              <w:t>5、环境风险防范措施及应急要求</w:t>
            </w:r>
          </w:p>
          <w:p w14:paraId="671B24D1">
            <w:pPr>
              <w:pStyle w:val="83"/>
              <w:adjustRightInd w:val="0"/>
              <w:snapToGrid w:val="0"/>
              <w:spacing w:line="360" w:lineRule="auto"/>
              <w:ind w:firstLine="480" w:firstLineChars="200"/>
              <w:rPr>
                <w:color w:val="auto"/>
              </w:rPr>
            </w:pPr>
            <w:r>
              <w:rPr>
                <w:color w:val="auto"/>
              </w:rPr>
              <w:t>（1）风险防范措施</w:t>
            </w:r>
          </w:p>
          <w:p w14:paraId="4C91DB67">
            <w:pPr>
              <w:adjustRightInd w:val="0"/>
              <w:snapToGrid w:val="0"/>
              <w:spacing w:line="360" w:lineRule="auto"/>
              <w:ind w:firstLine="480" w:firstLineChars="200"/>
              <w:jc w:val="left"/>
              <w:rPr>
                <w:color w:val="auto"/>
                <w:sz w:val="24"/>
              </w:rPr>
            </w:pPr>
            <w:r>
              <w:rPr>
                <w:color w:val="auto"/>
                <w:sz w:val="24"/>
              </w:rPr>
              <w:t>1）火灾爆炸风险防范措施：</w:t>
            </w:r>
          </w:p>
          <w:p w14:paraId="724D0B17">
            <w:pPr>
              <w:pStyle w:val="83"/>
              <w:tabs>
                <w:tab w:val="left" w:pos="949"/>
              </w:tabs>
              <w:adjustRightInd w:val="0"/>
              <w:snapToGrid w:val="0"/>
              <w:spacing w:line="360" w:lineRule="auto"/>
              <w:ind w:firstLine="480" w:firstLineChars="200"/>
              <w:jc w:val="left"/>
              <w:rPr>
                <w:color w:val="auto"/>
              </w:rPr>
            </w:pPr>
            <w:r>
              <w:rPr>
                <w:color w:val="auto"/>
              </w:rPr>
              <w:t>①生产车间按规范配置灭火器材和消防装备；</w:t>
            </w:r>
          </w:p>
          <w:p w14:paraId="3AD07FDB">
            <w:pPr>
              <w:adjustRightInd w:val="0"/>
              <w:snapToGrid w:val="0"/>
              <w:spacing w:line="360" w:lineRule="auto"/>
              <w:ind w:firstLine="480" w:firstLineChars="200"/>
              <w:jc w:val="left"/>
              <w:rPr>
                <w:color w:val="auto"/>
                <w:sz w:val="24"/>
              </w:rPr>
            </w:pPr>
            <w:r>
              <w:rPr>
                <w:color w:val="auto"/>
                <w:sz w:val="24"/>
              </w:rPr>
              <w:t>②在生产区域明显位置张贴禁用明火的告示，加强油类物质存放区域的巡查。</w:t>
            </w:r>
          </w:p>
          <w:p w14:paraId="64ED6015">
            <w:pPr>
              <w:adjustRightInd w:val="0"/>
              <w:snapToGrid w:val="0"/>
              <w:spacing w:line="360" w:lineRule="auto"/>
              <w:ind w:firstLine="480" w:firstLineChars="200"/>
              <w:jc w:val="left"/>
              <w:rPr>
                <w:color w:val="auto"/>
                <w:sz w:val="24"/>
              </w:rPr>
            </w:pPr>
            <w:r>
              <w:rPr>
                <w:color w:val="auto"/>
                <w:sz w:val="24"/>
              </w:rPr>
              <w:t>③工作人员要熟练掌握操作技术和防火安全管理规定；</w:t>
            </w:r>
          </w:p>
          <w:p w14:paraId="65871032">
            <w:pPr>
              <w:pStyle w:val="83"/>
              <w:keepNext w:val="0"/>
              <w:keepLines w:val="0"/>
              <w:pageBreakBefore w:val="0"/>
              <w:widowControl w:val="0"/>
              <w:tabs>
                <w:tab w:val="left" w:pos="949"/>
              </w:tabs>
              <w:kinsoku/>
              <w:wordWrap/>
              <w:overflowPunct/>
              <w:topLinePunct w:val="0"/>
              <w:autoSpaceDE/>
              <w:autoSpaceDN/>
              <w:bidi w:val="0"/>
              <w:adjustRightInd w:val="0"/>
              <w:snapToGrid w:val="0"/>
              <w:spacing w:line="360" w:lineRule="auto"/>
              <w:ind w:firstLine="480" w:firstLineChars="200"/>
              <w:jc w:val="left"/>
              <w:textAlignment w:val="auto"/>
              <w:rPr>
                <w:color w:val="auto"/>
              </w:rPr>
            </w:pPr>
            <w:r>
              <w:rPr>
                <w:color w:val="auto"/>
              </w:rPr>
              <w:t>④定期检查材料存储</w:t>
            </w:r>
            <w:r>
              <w:rPr>
                <w:rFonts w:hint="eastAsia"/>
                <w:color w:val="auto"/>
              </w:rPr>
              <w:t>、废机油储存桶</w:t>
            </w:r>
            <w:r>
              <w:rPr>
                <w:color w:val="auto"/>
              </w:rPr>
              <w:t>的安全状态，以防止泄漏引发火灾、爆炸。</w:t>
            </w:r>
          </w:p>
          <w:p w14:paraId="3D25327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Cs/>
                <w:color w:val="auto"/>
                <w:sz w:val="24"/>
              </w:rPr>
            </w:pPr>
            <w:r>
              <w:rPr>
                <w:rFonts w:hint="eastAsia" w:ascii="Times New Roman" w:hAnsi="Times New Roman" w:cs="Times New Roman"/>
                <w:bCs/>
                <w:color w:val="auto"/>
                <w:sz w:val="24"/>
                <w:lang w:eastAsia="zh-CN"/>
              </w:rPr>
              <w:t>⑤</w:t>
            </w:r>
            <w:r>
              <w:rPr>
                <w:rFonts w:hint="default" w:ascii="Times New Roman" w:hAnsi="Times New Roman" w:eastAsia="宋体" w:cs="Times New Roman"/>
                <w:bCs/>
                <w:color w:val="auto"/>
                <w:sz w:val="24"/>
              </w:rPr>
              <w:t>塑料原料、产品贮存区设置明确禁止烟火标识</w:t>
            </w:r>
            <w:r>
              <w:rPr>
                <w:rFonts w:hint="default" w:ascii="Times New Roman" w:hAnsi="Times New Roman" w:eastAsia="宋体" w:cs="Times New Roman"/>
                <w:bCs/>
                <w:color w:val="auto"/>
                <w:sz w:val="24"/>
                <w:lang w:eastAsia="zh-CN"/>
              </w:rPr>
              <w:t>。</w:t>
            </w:r>
          </w:p>
          <w:p w14:paraId="48840106">
            <w:pPr>
              <w:pStyle w:val="83"/>
              <w:keepNext w:val="0"/>
              <w:keepLines w:val="0"/>
              <w:pageBreakBefore w:val="0"/>
              <w:widowControl w:val="0"/>
              <w:tabs>
                <w:tab w:val="left" w:pos="949"/>
              </w:tabs>
              <w:kinsoku/>
              <w:wordWrap/>
              <w:overflowPunct/>
              <w:topLinePunct w:val="0"/>
              <w:autoSpaceDE/>
              <w:autoSpaceDN/>
              <w:bidi w:val="0"/>
              <w:adjustRightInd w:val="0"/>
              <w:snapToGrid w:val="0"/>
              <w:spacing w:line="360" w:lineRule="auto"/>
              <w:ind w:firstLine="480" w:firstLineChars="200"/>
              <w:jc w:val="left"/>
              <w:textAlignment w:val="auto"/>
              <w:rPr>
                <w:color w:val="auto"/>
              </w:rPr>
            </w:pPr>
            <w:r>
              <w:rPr>
                <w:rFonts w:hint="eastAsia" w:ascii="Times New Roman" w:hAnsi="Times New Roman" w:cs="Times New Roman"/>
                <w:bCs/>
                <w:color w:val="auto"/>
                <w:sz w:val="24"/>
                <w:lang w:eastAsia="zh-CN"/>
              </w:rPr>
              <w:t>⑥</w:t>
            </w:r>
            <w:r>
              <w:rPr>
                <w:rFonts w:hint="default" w:ascii="Times New Roman" w:hAnsi="Times New Roman" w:eastAsia="宋体" w:cs="Times New Roman"/>
                <w:bCs/>
                <w:color w:val="auto"/>
                <w:sz w:val="24"/>
              </w:rPr>
              <w:t>严格控制原料、产品在场内的贮存量。</w:t>
            </w:r>
          </w:p>
          <w:p w14:paraId="4E6BDB98">
            <w:pPr>
              <w:adjustRightInd w:val="0"/>
              <w:snapToGrid w:val="0"/>
              <w:spacing w:line="360" w:lineRule="auto"/>
              <w:ind w:firstLine="480" w:firstLineChars="200"/>
              <w:jc w:val="left"/>
              <w:rPr>
                <w:color w:val="auto"/>
                <w:sz w:val="24"/>
              </w:rPr>
            </w:pPr>
            <w:r>
              <w:rPr>
                <w:color w:val="auto"/>
                <w:sz w:val="24"/>
              </w:rPr>
              <w:t>2）危险物质泄漏防范措施</w:t>
            </w:r>
          </w:p>
          <w:p w14:paraId="3B84A180">
            <w:pPr>
              <w:adjustRightInd w:val="0"/>
              <w:snapToGrid w:val="0"/>
              <w:spacing w:line="360" w:lineRule="auto"/>
              <w:ind w:firstLine="480" w:firstLineChars="200"/>
              <w:jc w:val="left"/>
              <w:rPr>
                <w:color w:val="auto"/>
                <w:sz w:val="24"/>
              </w:rPr>
            </w:pPr>
            <w:r>
              <w:rPr>
                <w:color w:val="auto"/>
                <w:sz w:val="24"/>
              </w:rPr>
              <w:t>①仓库应做好防渗防腐处理，危险废物</w:t>
            </w:r>
            <w:r>
              <w:rPr>
                <w:rFonts w:hint="eastAsia" w:eastAsia="宋体"/>
                <w:color w:val="auto"/>
                <w:sz w:val="24"/>
                <w:szCs w:val="24"/>
                <w:lang w:val="en-US" w:eastAsia="zh-CN"/>
              </w:rPr>
              <w:t>贮存库</w:t>
            </w:r>
            <w:r>
              <w:rPr>
                <w:color w:val="auto"/>
                <w:sz w:val="24"/>
              </w:rPr>
              <w:t>进行重点防渗；</w:t>
            </w:r>
          </w:p>
          <w:p w14:paraId="2E09DE4B">
            <w:pPr>
              <w:adjustRightInd w:val="0"/>
              <w:snapToGrid w:val="0"/>
              <w:spacing w:line="360" w:lineRule="auto"/>
              <w:ind w:firstLine="480" w:firstLineChars="200"/>
              <w:jc w:val="left"/>
              <w:rPr>
                <w:color w:val="auto"/>
                <w:sz w:val="24"/>
              </w:rPr>
            </w:pPr>
            <w:r>
              <w:rPr>
                <w:color w:val="auto"/>
                <w:sz w:val="24"/>
              </w:rPr>
              <w:t>②生产车间应做好周边防护措施，如设置一定高度围堰，防范危险物质泄漏蔓延到周边区域；</w:t>
            </w:r>
          </w:p>
          <w:p w14:paraId="3AC445D0">
            <w:pPr>
              <w:adjustRightInd w:val="0"/>
              <w:snapToGrid w:val="0"/>
              <w:spacing w:line="360" w:lineRule="auto"/>
              <w:ind w:firstLine="480" w:firstLineChars="200"/>
              <w:jc w:val="left"/>
              <w:rPr>
                <w:color w:val="auto"/>
                <w:sz w:val="24"/>
              </w:rPr>
            </w:pPr>
            <w:r>
              <w:rPr>
                <w:color w:val="auto"/>
                <w:sz w:val="24"/>
              </w:rPr>
              <w:t>③定期检查危险物质存储的安全状态，检查其包装有无破损，以防止泄漏。</w:t>
            </w:r>
          </w:p>
          <w:p w14:paraId="65720015">
            <w:pPr>
              <w:pStyle w:val="83"/>
              <w:adjustRightInd w:val="0"/>
              <w:snapToGrid w:val="0"/>
              <w:spacing w:line="360" w:lineRule="auto"/>
              <w:ind w:firstLine="480" w:firstLineChars="200"/>
              <w:rPr>
                <w:color w:val="auto"/>
              </w:rPr>
            </w:pPr>
            <w:r>
              <w:rPr>
                <w:bCs/>
                <w:color w:val="auto"/>
              </w:rPr>
              <w:t>④</w:t>
            </w:r>
            <w:r>
              <w:rPr>
                <w:bCs/>
                <w:color w:val="auto"/>
                <w:lang w:val="zh-CN"/>
              </w:rPr>
              <w:t>建立健全安全、环境管理体系及高效的安全生产机构，一旦发生事故，要做到快速、高效、安全处置。</w:t>
            </w:r>
          </w:p>
          <w:p w14:paraId="428845AF">
            <w:pPr>
              <w:pStyle w:val="83"/>
              <w:adjustRightInd w:val="0"/>
              <w:snapToGrid w:val="0"/>
              <w:spacing w:line="360" w:lineRule="auto"/>
              <w:ind w:firstLine="480" w:firstLineChars="200"/>
              <w:rPr>
                <w:bCs/>
                <w:color w:val="auto"/>
              </w:rPr>
            </w:pPr>
            <w:r>
              <w:rPr>
                <w:rFonts w:hint="eastAsia"/>
                <w:bCs/>
                <w:color w:val="auto"/>
              </w:rPr>
              <w:t>3）</w:t>
            </w:r>
            <w:r>
              <w:rPr>
                <w:rFonts w:hint="eastAsia"/>
                <w:bCs/>
                <w:color w:val="auto"/>
                <w:lang w:val="en-US" w:eastAsia="zh-CN"/>
              </w:rPr>
              <w:t>废气、</w:t>
            </w:r>
            <w:r>
              <w:rPr>
                <w:rFonts w:hint="eastAsia"/>
                <w:bCs/>
                <w:color w:val="auto"/>
                <w:highlight w:val="none"/>
              </w:rPr>
              <w:t>废水</w:t>
            </w:r>
            <w:r>
              <w:rPr>
                <w:bCs/>
                <w:color w:val="auto"/>
                <w:lang w:val="zh-CN"/>
              </w:rPr>
              <w:t>污染治理设施异常的</w:t>
            </w:r>
            <w:r>
              <w:rPr>
                <w:rFonts w:hint="eastAsia"/>
                <w:bCs/>
                <w:color w:val="auto"/>
                <w:lang w:val="en-US" w:eastAsia="zh-CN"/>
              </w:rPr>
              <w:t>风险</w:t>
            </w:r>
            <w:r>
              <w:rPr>
                <w:bCs/>
                <w:color w:val="auto"/>
              </w:rPr>
              <w:t>防范措施</w:t>
            </w:r>
          </w:p>
          <w:p w14:paraId="3BE65BFF">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textAlignment w:val="auto"/>
              <w:rPr>
                <w:rFonts w:hint="default"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①</w:t>
            </w:r>
            <w:r>
              <w:rPr>
                <w:rFonts w:hint="default" w:ascii="Times New Roman" w:hAnsi="Times New Roman" w:eastAsia="宋体" w:cs="Times New Roman"/>
                <w:bCs/>
                <w:color w:val="auto"/>
                <w:kern w:val="2"/>
                <w:sz w:val="24"/>
                <w:szCs w:val="24"/>
                <w:highlight w:val="none"/>
                <w:lang w:val="en-US" w:eastAsia="zh-CN" w:bidi="ar-SA"/>
              </w:rPr>
              <w:t>污水输送管道采用不易腐蚀、不易受损</w:t>
            </w:r>
            <w:r>
              <w:rPr>
                <w:rFonts w:hint="eastAsia" w:ascii="Times New Roman" w:hAnsi="Times New Roman" w:eastAsia="宋体" w:cs="Times New Roman"/>
                <w:bCs/>
                <w:color w:val="auto"/>
                <w:kern w:val="2"/>
                <w:sz w:val="24"/>
                <w:szCs w:val="24"/>
                <w:highlight w:val="none"/>
                <w:lang w:val="en-US" w:eastAsia="zh-CN" w:bidi="ar-SA"/>
              </w:rPr>
              <w:t>的材质，按时检修且做好防渗措施</w:t>
            </w:r>
            <w:r>
              <w:rPr>
                <w:rFonts w:hint="default" w:ascii="Times New Roman" w:hAnsi="Times New Roman" w:eastAsia="宋体" w:cs="Times New Roman"/>
                <w:bCs/>
                <w:color w:val="auto"/>
                <w:kern w:val="2"/>
                <w:sz w:val="24"/>
                <w:szCs w:val="24"/>
                <w:highlight w:val="none"/>
                <w:lang w:val="en-US" w:eastAsia="zh-CN" w:bidi="ar-SA"/>
              </w:rPr>
              <w:t>，降低了事故发生的概率；</w:t>
            </w:r>
          </w:p>
          <w:p w14:paraId="7B6C4106">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textAlignment w:val="auto"/>
              <w:rPr>
                <w:rFonts w:hint="default"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②</w:t>
            </w:r>
            <w:r>
              <w:rPr>
                <w:rFonts w:hint="default" w:ascii="Times New Roman" w:hAnsi="Times New Roman" w:eastAsia="宋体" w:cs="Times New Roman"/>
                <w:bCs/>
                <w:color w:val="auto"/>
                <w:kern w:val="2"/>
                <w:sz w:val="24"/>
                <w:szCs w:val="24"/>
                <w:highlight w:val="none"/>
                <w:lang w:val="en-US" w:eastAsia="zh-CN" w:bidi="ar-SA"/>
              </w:rPr>
              <w:t>污水输送管道及处理设施已安排专人负责，保证设备的正常运行。</w:t>
            </w:r>
          </w:p>
          <w:p w14:paraId="4894E052">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textAlignment w:val="auto"/>
              <w:rPr>
                <w:rFonts w:hint="default"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③</w:t>
            </w:r>
            <w:r>
              <w:rPr>
                <w:rFonts w:hint="default" w:ascii="Times New Roman" w:hAnsi="Times New Roman" w:eastAsia="宋体" w:cs="Times New Roman"/>
                <w:bCs/>
                <w:color w:val="auto"/>
                <w:kern w:val="2"/>
                <w:sz w:val="24"/>
                <w:szCs w:val="24"/>
                <w:highlight w:val="none"/>
                <w:lang w:val="en-US" w:eastAsia="zh-CN" w:bidi="ar-SA"/>
              </w:rPr>
              <w:t>设置专职环保管理人员，负责全厂的废气</w:t>
            </w:r>
            <w:r>
              <w:rPr>
                <w:rFonts w:hint="eastAsia" w:ascii="Times New Roman" w:hAnsi="Times New Roman" w:eastAsia="宋体" w:cs="Times New Roman"/>
                <w:bCs/>
                <w:color w:val="auto"/>
                <w:kern w:val="2"/>
                <w:sz w:val="24"/>
                <w:szCs w:val="24"/>
                <w:highlight w:val="none"/>
                <w:lang w:val="en-US" w:eastAsia="zh-CN" w:bidi="ar-SA"/>
              </w:rPr>
              <w:t>、废水</w:t>
            </w:r>
            <w:r>
              <w:rPr>
                <w:rFonts w:hint="default" w:ascii="Times New Roman" w:hAnsi="Times New Roman" w:eastAsia="宋体" w:cs="Times New Roman"/>
                <w:bCs/>
                <w:color w:val="auto"/>
                <w:kern w:val="2"/>
                <w:sz w:val="24"/>
                <w:szCs w:val="24"/>
                <w:highlight w:val="none"/>
                <w:lang w:val="en-US" w:eastAsia="zh-CN" w:bidi="ar-SA"/>
              </w:rPr>
              <w:t>环保管理工作，建立健全环境保护管理制度，应确保环保设施的正常运转。</w:t>
            </w:r>
          </w:p>
          <w:p w14:paraId="018B2A32">
            <w:pPr>
              <w:keepNext w:val="0"/>
              <w:keepLines w:val="0"/>
              <w:pageBreakBefore w:val="0"/>
              <w:widowControl w:val="0"/>
              <w:kinsoku/>
              <w:wordWrap/>
              <w:overflowPunct/>
              <w:topLinePunct w:val="0"/>
              <w:autoSpaceDE/>
              <w:autoSpaceDN/>
              <w:bidi w:val="0"/>
              <w:adjustRightInd/>
              <w:snapToGrid/>
              <w:spacing w:line="360" w:lineRule="auto"/>
              <w:ind w:leftChars="0" w:firstLine="480" w:firstLineChars="200"/>
              <w:jc w:val="left"/>
              <w:textAlignment w:val="auto"/>
              <w:rPr>
                <w:rFonts w:hint="default" w:ascii="Times New Roman" w:hAnsi="Times New Roman" w:eastAsia="宋体" w:cs="Times New Roman"/>
                <w:color w:val="auto"/>
                <w:sz w:val="24"/>
                <w:highlight w:val="none"/>
              </w:rPr>
            </w:pPr>
            <w:r>
              <w:rPr>
                <w:rFonts w:hint="eastAsia" w:ascii="Times New Roman" w:hAnsi="Times New Roman" w:eastAsia="宋体" w:cs="Times New Roman"/>
                <w:bCs/>
                <w:color w:val="auto"/>
                <w:kern w:val="2"/>
                <w:sz w:val="24"/>
                <w:szCs w:val="24"/>
                <w:highlight w:val="none"/>
                <w:lang w:val="en-US" w:eastAsia="zh-CN" w:bidi="ar-SA"/>
              </w:rPr>
              <w:t>④</w:t>
            </w:r>
            <w:r>
              <w:rPr>
                <w:rFonts w:hint="default" w:ascii="Times New Roman" w:hAnsi="Times New Roman" w:eastAsia="宋体" w:cs="Times New Roman"/>
                <w:bCs/>
                <w:color w:val="auto"/>
                <w:kern w:val="2"/>
                <w:sz w:val="24"/>
                <w:szCs w:val="24"/>
                <w:highlight w:val="none"/>
                <w:lang w:val="en-US" w:eastAsia="zh-CN" w:bidi="ar-SA"/>
              </w:rPr>
              <w:t>健全各项规章制度，制定各种操作规程。定期对设备及其附件进行检查、维护和保养。</w:t>
            </w:r>
          </w:p>
          <w:p w14:paraId="44FF6C46">
            <w:pPr>
              <w:pStyle w:val="83"/>
              <w:adjustRightInd w:val="0"/>
              <w:snapToGrid w:val="0"/>
              <w:spacing w:line="360" w:lineRule="auto"/>
              <w:ind w:firstLine="480" w:firstLineChars="200"/>
              <w:rPr>
                <w:color w:val="auto"/>
              </w:rPr>
            </w:pPr>
            <w:r>
              <w:rPr>
                <w:color w:val="auto"/>
              </w:rPr>
              <w:t>（2）应急要求</w:t>
            </w:r>
          </w:p>
          <w:p w14:paraId="3FA183F5">
            <w:pPr>
              <w:pStyle w:val="14"/>
              <w:adjustRightInd w:val="0"/>
              <w:snapToGrid w:val="0"/>
              <w:spacing w:after="0" w:line="360" w:lineRule="auto"/>
              <w:ind w:firstLine="468" w:firstLineChars="200"/>
              <w:rPr>
                <w:color w:val="auto"/>
                <w:kern w:val="0"/>
                <w:sz w:val="24"/>
                <w:lang w:bidi="en-US"/>
              </w:rPr>
            </w:pPr>
            <w:r>
              <w:rPr>
                <w:color w:val="auto"/>
                <w:spacing w:val="-3"/>
                <w:sz w:val="24"/>
              </w:rPr>
              <w:t>企业应按国家有关规定要求，编制突发环境事故应急预案，并经当地生态环境行政主</w:t>
            </w:r>
            <w:r>
              <w:rPr>
                <w:color w:val="auto"/>
                <w:spacing w:val="-13"/>
                <w:sz w:val="24"/>
              </w:rPr>
              <w:t>管部门审查备案。当发生环境风险事故时，按应急预案要求，认真落实各项事故应急措施，</w:t>
            </w:r>
            <w:r>
              <w:rPr>
                <w:color w:val="auto"/>
                <w:sz w:val="24"/>
              </w:rPr>
              <w:t>做到责任到位、落实到人、常备不懈。</w:t>
            </w:r>
          </w:p>
          <w:p w14:paraId="2DC6BD1A">
            <w:pPr>
              <w:adjustRightInd w:val="0"/>
              <w:snapToGrid w:val="0"/>
              <w:spacing w:line="360" w:lineRule="auto"/>
              <w:ind w:firstLine="482" w:firstLineChars="200"/>
              <w:rPr>
                <w:b/>
                <w:bCs/>
                <w:color w:val="auto"/>
                <w:sz w:val="24"/>
              </w:rPr>
            </w:pPr>
            <w:r>
              <w:rPr>
                <w:b/>
                <w:bCs/>
                <w:color w:val="auto"/>
                <w:sz w:val="24"/>
              </w:rPr>
              <w:t>6、结论</w:t>
            </w:r>
          </w:p>
          <w:p w14:paraId="4B4B9B19">
            <w:pPr>
              <w:adjustRightInd w:val="0"/>
              <w:snapToGrid w:val="0"/>
              <w:spacing w:line="360" w:lineRule="auto"/>
              <w:ind w:firstLine="480" w:firstLineChars="200"/>
              <w:rPr>
                <w:b/>
                <w:color w:val="auto"/>
                <w:sz w:val="24"/>
              </w:rPr>
            </w:pPr>
            <w:r>
              <w:rPr>
                <w:color w:val="auto"/>
                <w:sz w:val="24"/>
                <w:lang w:val="zh-CN"/>
              </w:rPr>
              <w:t>综上分析，通过采用严格的防火设计标准、加强原辅料储存管理、严格按有关规章制度进行生产操作等措施后，火灾发生的可能性很小。通过对废机油泄漏的事故分析发现，废机油属于易燃性物质</w:t>
            </w:r>
            <w:r>
              <w:rPr>
                <w:rFonts w:hint="eastAsia"/>
                <w:color w:val="auto"/>
                <w:sz w:val="24"/>
                <w:lang w:val="zh-CN"/>
              </w:rPr>
              <w:t>，</w:t>
            </w:r>
            <w:r>
              <w:rPr>
                <w:rFonts w:hint="eastAsia"/>
                <w:color w:val="auto"/>
                <w:sz w:val="24"/>
              </w:rPr>
              <w:t>项目</w:t>
            </w:r>
            <w:r>
              <w:rPr>
                <w:color w:val="auto"/>
                <w:sz w:val="24"/>
                <w:lang w:val="zh-CN"/>
              </w:rPr>
              <w:t>采取了有效的预防措施，减少废机油发生泄漏的概率</w:t>
            </w:r>
            <w:r>
              <w:rPr>
                <w:rFonts w:hint="eastAsia"/>
                <w:color w:val="auto"/>
                <w:sz w:val="24"/>
                <w:lang w:val="zh-CN"/>
              </w:rPr>
              <w:t>，</w:t>
            </w:r>
            <w:r>
              <w:rPr>
                <w:color w:val="auto"/>
                <w:sz w:val="24"/>
                <w:lang w:val="zh-CN"/>
              </w:rPr>
              <w:t>制定风险应急预案，一旦发生事故将可迅速响应，采取措施将影响降到最小。项目环境风险在可接受范围内，且采取措施后风险可控。</w:t>
            </w:r>
          </w:p>
          <w:p w14:paraId="65475854">
            <w:pPr>
              <w:adjustRightInd w:val="0"/>
              <w:snapToGrid w:val="0"/>
              <w:spacing w:line="360" w:lineRule="auto"/>
              <w:ind w:firstLine="480" w:firstLineChars="200"/>
              <w:rPr>
                <w:b/>
                <w:color w:val="auto"/>
                <w:sz w:val="24"/>
              </w:rPr>
            </w:pPr>
            <w:r>
              <w:rPr>
                <w:color w:val="auto"/>
                <w:sz w:val="24"/>
                <w:lang w:val="zh-CN"/>
              </w:rPr>
              <w:t>综上所述，本项目风险处于可接受的水平，其风险管理措施有效、可靠，从防范风险角度分析是可行的</w:t>
            </w:r>
            <w:r>
              <w:rPr>
                <w:color w:val="auto"/>
                <w:sz w:val="24"/>
              </w:rPr>
              <w:t>。</w:t>
            </w:r>
          </w:p>
          <w:p w14:paraId="66CB3236">
            <w:pPr>
              <w:adjustRightInd w:val="0"/>
              <w:snapToGrid w:val="0"/>
              <w:spacing w:line="360" w:lineRule="auto"/>
              <w:ind w:firstLine="480" w:firstLineChars="200"/>
              <w:rPr>
                <w:color w:val="auto"/>
                <w:sz w:val="24"/>
              </w:rPr>
            </w:pPr>
            <w:r>
              <w:rPr>
                <w:color w:val="auto"/>
                <w:sz w:val="24"/>
              </w:rPr>
              <w:t>项目环境风险简单分析内容表如下</w:t>
            </w:r>
            <w:r>
              <w:rPr>
                <w:rFonts w:hint="eastAsia"/>
                <w:color w:val="auto"/>
                <w:sz w:val="24"/>
              </w:rPr>
              <w:t>：</w:t>
            </w:r>
          </w:p>
          <w:p w14:paraId="181C7286">
            <w:pPr>
              <w:adjustRightInd w:val="0"/>
              <w:snapToGrid w:val="0"/>
              <w:jc w:val="center"/>
              <w:rPr>
                <w:b/>
                <w:color w:val="auto"/>
                <w:kern w:val="1"/>
                <w:szCs w:val="21"/>
              </w:rPr>
            </w:pPr>
            <w:r>
              <w:rPr>
                <w:b/>
                <w:color w:val="auto"/>
                <w:kern w:val="1"/>
                <w:szCs w:val="21"/>
              </w:rPr>
              <w:t>表</w:t>
            </w:r>
            <w:r>
              <w:rPr>
                <w:rFonts w:hint="eastAsia"/>
                <w:b/>
                <w:color w:val="auto"/>
                <w:kern w:val="1"/>
                <w:szCs w:val="21"/>
              </w:rPr>
              <w:t>4-2</w:t>
            </w:r>
            <w:r>
              <w:rPr>
                <w:rFonts w:hint="eastAsia"/>
                <w:b/>
                <w:color w:val="auto"/>
                <w:kern w:val="1"/>
                <w:szCs w:val="21"/>
                <w:lang w:val="en-US" w:eastAsia="zh-CN"/>
              </w:rPr>
              <w:t>9</w:t>
            </w:r>
            <w:r>
              <w:rPr>
                <w:b/>
                <w:color w:val="auto"/>
                <w:kern w:val="1"/>
                <w:szCs w:val="21"/>
              </w:rPr>
              <w:t xml:space="preserve">  项目环境风险简单分析内容表</w:t>
            </w:r>
          </w:p>
          <w:tbl>
            <w:tblPr>
              <w:tblStyle w:val="30"/>
              <w:tblW w:w="81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3208"/>
              <w:gridCol w:w="3386"/>
            </w:tblGrid>
            <w:tr w14:paraId="7A5E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Align w:val="center"/>
                </w:tcPr>
                <w:p w14:paraId="6CF6034F">
                  <w:pPr>
                    <w:adjustRightInd w:val="0"/>
                    <w:snapToGrid w:val="0"/>
                    <w:jc w:val="center"/>
                    <w:rPr>
                      <w:b/>
                      <w:color w:val="auto"/>
                      <w:kern w:val="1"/>
                      <w:szCs w:val="21"/>
                    </w:rPr>
                  </w:pPr>
                  <w:r>
                    <w:rPr>
                      <w:b/>
                      <w:color w:val="auto"/>
                      <w:kern w:val="1"/>
                      <w:szCs w:val="21"/>
                    </w:rPr>
                    <w:t>建设项目名称</w:t>
                  </w:r>
                </w:p>
              </w:tc>
              <w:tc>
                <w:tcPr>
                  <w:tcW w:w="6594" w:type="dxa"/>
                  <w:gridSpan w:val="2"/>
                  <w:vAlign w:val="center"/>
                </w:tcPr>
                <w:p w14:paraId="12702AD6">
                  <w:pPr>
                    <w:adjustRightInd w:val="0"/>
                    <w:snapToGrid w:val="0"/>
                    <w:jc w:val="center"/>
                    <w:rPr>
                      <w:rFonts w:ascii="Times New Roman" w:hAnsi="Times New Roman" w:eastAsia="宋体" w:cs="Times New Roman"/>
                      <w:color w:val="auto"/>
                      <w:kern w:val="1"/>
                      <w:szCs w:val="21"/>
                    </w:rPr>
                  </w:pPr>
                  <w:r>
                    <w:rPr>
                      <w:rFonts w:hint="eastAsia" w:ascii="Times New Roman" w:hAnsi="Times New Roman" w:eastAsia="宋体" w:cs="Times New Roman"/>
                      <w:color w:val="auto"/>
                      <w:kern w:val="1"/>
                      <w:szCs w:val="21"/>
                    </w:rPr>
                    <w:t>塑料制品深加工新建项目</w:t>
                  </w:r>
                </w:p>
              </w:tc>
            </w:tr>
            <w:tr w14:paraId="3C732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Align w:val="center"/>
                </w:tcPr>
                <w:p w14:paraId="7482E775">
                  <w:pPr>
                    <w:adjustRightInd w:val="0"/>
                    <w:snapToGrid w:val="0"/>
                    <w:jc w:val="center"/>
                    <w:rPr>
                      <w:color w:val="auto"/>
                      <w:kern w:val="1"/>
                      <w:szCs w:val="21"/>
                    </w:rPr>
                  </w:pPr>
                  <w:r>
                    <w:rPr>
                      <w:color w:val="auto"/>
                      <w:kern w:val="1"/>
                      <w:szCs w:val="21"/>
                    </w:rPr>
                    <w:t>建设地点</w:t>
                  </w:r>
                </w:p>
              </w:tc>
              <w:tc>
                <w:tcPr>
                  <w:tcW w:w="6594" w:type="dxa"/>
                  <w:gridSpan w:val="2"/>
                  <w:vAlign w:val="center"/>
                </w:tcPr>
                <w:p w14:paraId="387DA64A">
                  <w:pPr>
                    <w:adjustRightInd w:val="0"/>
                    <w:snapToGrid w:val="0"/>
                    <w:jc w:val="center"/>
                    <w:rPr>
                      <w:rFonts w:ascii="Times New Roman" w:hAnsi="Times New Roman" w:eastAsia="宋体" w:cs="Times New Roman"/>
                      <w:color w:val="auto"/>
                      <w:kern w:val="1"/>
                      <w:szCs w:val="21"/>
                    </w:rPr>
                  </w:pPr>
                  <w:r>
                    <w:rPr>
                      <w:rFonts w:hint="eastAsia" w:ascii="Times New Roman" w:hAnsi="Times New Roman" w:eastAsia="宋体" w:cs="Times New Roman"/>
                      <w:color w:val="auto"/>
                      <w:kern w:val="1"/>
                      <w:szCs w:val="21"/>
                      <w:lang w:val="en-US" w:eastAsia="zh-CN"/>
                    </w:rPr>
                    <w:t>云南省玉溪市澄江市产业园区提古片区</w:t>
                  </w:r>
                </w:p>
              </w:tc>
            </w:tr>
            <w:tr w14:paraId="6052E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Align w:val="center"/>
                </w:tcPr>
                <w:p w14:paraId="35B99920">
                  <w:pPr>
                    <w:adjustRightInd w:val="0"/>
                    <w:snapToGrid w:val="0"/>
                    <w:jc w:val="center"/>
                    <w:rPr>
                      <w:color w:val="auto"/>
                      <w:kern w:val="1"/>
                      <w:szCs w:val="21"/>
                    </w:rPr>
                  </w:pPr>
                  <w:r>
                    <w:rPr>
                      <w:color w:val="auto"/>
                      <w:kern w:val="1"/>
                      <w:szCs w:val="21"/>
                    </w:rPr>
                    <w:t>地理坐标</w:t>
                  </w:r>
                </w:p>
              </w:tc>
              <w:tc>
                <w:tcPr>
                  <w:tcW w:w="3208" w:type="dxa"/>
                  <w:vAlign w:val="center"/>
                </w:tcPr>
                <w:p w14:paraId="69964844">
                  <w:pPr>
                    <w:adjustRightInd w:val="0"/>
                    <w:snapToGrid w:val="0"/>
                    <w:jc w:val="center"/>
                    <w:rPr>
                      <w:rFonts w:hint="eastAsia" w:ascii="Times New Roman" w:hAnsi="Times New Roman" w:eastAsia="宋体" w:cs="Times New Roman"/>
                      <w:color w:val="auto"/>
                      <w:kern w:val="1"/>
                      <w:szCs w:val="21"/>
                      <w:lang w:val="en-US" w:eastAsia="zh-CN"/>
                    </w:rPr>
                  </w:pPr>
                  <w:r>
                    <w:rPr>
                      <w:rFonts w:hint="eastAsia" w:ascii="Times New Roman" w:hAnsi="Times New Roman" w:eastAsia="宋体" w:cs="Times New Roman"/>
                      <w:color w:val="auto"/>
                      <w:kern w:val="1"/>
                      <w:szCs w:val="21"/>
                      <w:lang w:val="en-US" w:eastAsia="zh-CN"/>
                    </w:rPr>
                    <w:t>东经102°51′14.116″</w:t>
                  </w:r>
                </w:p>
              </w:tc>
              <w:tc>
                <w:tcPr>
                  <w:tcW w:w="3386" w:type="dxa"/>
                  <w:vAlign w:val="center"/>
                </w:tcPr>
                <w:p w14:paraId="79902EEA">
                  <w:pPr>
                    <w:adjustRightInd w:val="0"/>
                    <w:snapToGrid w:val="0"/>
                    <w:jc w:val="center"/>
                    <w:rPr>
                      <w:rFonts w:hint="eastAsia" w:ascii="Times New Roman" w:hAnsi="Times New Roman" w:eastAsia="宋体" w:cs="Times New Roman"/>
                      <w:color w:val="auto"/>
                      <w:kern w:val="1"/>
                      <w:szCs w:val="21"/>
                      <w:lang w:val="en-US" w:eastAsia="zh-CN"/>
                    </w:rPr>
                  </w:pPr>
                  <w:r>
                    <w:rPr>
                      <w:rFonts w:hint="eastAsia" w:ascii="Times New Roman" w:hAnsi="Times New Roman" w:eastAsia="宋体" w:cs="Times New Roman"/>
                      <w:color w:val="auto"/>
                      <w:kern w:val="1"/>
                      <w:szCs w:val="21"/>
                      <w:lang w:val="en-US" w:eastAsia="zh-CN"/>
                    </w:rPr>
                    <w:t>北纬24°44′27.610″</w:t>
                  </w:r>
                </w:p>
              </w:tc>
            </w:tr>
            <w:tr w14:paraId="4A6BF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Align w:val="center"/>
                </w:tcPr>
                <w:p w14:paraId="59E9D142">
                  <w:pPr>
                    <w:adjustRightInd w:val="0"/>
                    <w:snapToGrid w:val="0"/>
                    <w:jc w:val="center"/>
                    <w:rPr>
                      <w:color w:val="auto"/>
                      <w:kern w:val="1"/>
                      <w:szCs w:val="21"/>
                    </w:rPr>
                  </w:pPr>
                  <w:r>
                    <w:rPr>
                      <w:color w:val="auto"/>
                      <w:kern w:val="1"/>
                      <w:szCs w:val="21"/>
                    </w:rPr>
                    <w:t>主要危险物质及分布</w:t>
                  </w:r>
                </w:p>
              </w:tc>
              <w:tc>
                <w:tcPr>
                  <w:tcW w:w="6594" w:type="dxa"/>
                  <w:gridSpan w:val="2"/>
                  <w:vAlign w:val="center"/>
                </w:tcPr>
                <w:p w14:paraId="43D30CAA">
                  <w:pPr>
                    <w:adjustRightInd w:val="0"/>
                    <w:snapToGrid w:val="0"/>
                    <w:jc w:val="center"/>
                    <w:rPr>
                      <w:color w:val="auto"/>
                      <w:kern w:val="1"/>
                      <w:szCs w:val="21"/>
                    </w:rPr>
                  </w:pPr>
                  <w:r>
                    <w:rPr>
                      <w:color w:val="auto"/>
                      <w:kern w:val="1"/>
                      <w:szCs w:val="21"/>
                    </w:rPr>
                    <w:t>废机油，主要暂存在</w:t>
                  </w:r>
                  <w:r>
                    <w:rPr>
                      <w:rFonts w:hint="eastAsia"/>
                      <w:color w:val="auto"/>
                      <w:szCs w:val="21"/>
                      <w:lang w:val="en-US" w:eastAsia="zh-CN"/>
                    </w:rPr>
                    <w:t>危险废物贮存库</w:t>
                  </w:r>
                  <w:r>
                    <w:rPr>
                      <w:color w:val="auto"/>
                      <w:kern w:val="1"/>
                      <w:szCs w:val="21"/>
                    </w:rPr>
                    <w:t>内</w:t>
                  </w:r>
                  <w:r>
                    <w:rPr>
                      <w:rFonts w:hint="eastAsia"/>
                      <w:color w:val="auto"/>
                      <w:kern w:val="1"/>
                      <w:szCs w:val="21"/>
                    </w:rPr>
                    <w:t>。</w:t>
                  </w:r>
                </w:p>
              </w:tc>
            </w:tr>
            <w:tr w14:paraId="66A1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Align w:val="center"/>
                </w:tcPr>
                <w:p w14:paraId="19E73C0F">
                  <w:pPr>
                    <w:adjustRightInd w:val="0"/>
                    <w:snapToGrid w:val="0"/>
                    <w:jc w:val="center"/>
                    <w:rPr>
                      <w:color w:val="auto"/>
                      <w:kern w:val="1"/>
                      <w:szCs w:val="21"/>
                    </w:rPr>
                  </w:pPr>
                  <w:r>
                    <w:rPr>
                      <w:color w:val="auto"/>
                      <w:kern w:val="1"/>
                      <w:szCs w:val="21"/>
                    </w:rPr>
                    <w:t>环境影响途径及影响后果</w:t>
                  </w:r>
                </w:p>
              </w:tc>
              <w:tc>
                <w:tcPr>
                  <w:tcW w:w="6594" w:type="dxa"/>
                  <w:gridSpan w:val="2"/>
                  <w:vAlign w:val="center"/>
                </w:tcPr>
                <w:p w14:paraId="3119BBE5">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color w:val="auto"/>
                      <w:kern w:val="24"/>
                      <w:sz w:val="21"/>
                      <w:szCs w:val="21"/>
                      <w:lang w:val="en-US" w:eastAsia="zh-CN" w:bidi="ar-SA"/>
                    </w:rPr>
                  </w:pPr>
                  <w:r>
                    <w:rPr>
                      <w:rFonts w:hint="eastAsia" w:ascii="Times New Roman" w:hAnsi="Times New Roman" w:eastAsia="宋体" w:cs="Times New Roman"/>
                      <w:color w:val="auto"/>
                      <w:kern w:val="24"/>
                      <w:sz w:val="21"/>
                      <w:szCs w:val="21"/>
                      <w:lang w:val="en-US" w:eastAsia="zh-CN" w:bidi="ar-SA"/>
                    </w:rPr>
                    <w:t>①地表水、地下水、土壤环境风险分析</w:t>
                  </w:r>
                </w:p>
                <w:p w14:paraId="3289C98E">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both"/>
                    <w:textAlignment w:val="auto"/>
                    <w:rPr>
                      <w:rFonts w:hint="eastAsia" w:ascii="Times New Roman" w:hAnsi="Times New Roman" w:eastAsia="宋体" w:cs="Times New Roman"/>
                      <w:color w:val="auto"/>
                      <w:kern w:val="24"/>
                      <w:sz w:val="21"/>
                      <w:szCs w:val="21"/>
                      <w:lang w:val="en-US" w:eastAsia="zh-CN" w:bidi="ar-SA"/>
                    </w:rPr>
                  </w:pPr>
                  <w:r>
                    <w:rPr>
                      <w:rFonts w:hint="eastAsia" w:ascii="Times New Roman" w:hAnsi="Times New Roman" w:eastAsia="宋体" w:cs="Times New Roman"/>
                      <w:color w:val="auto"/>
                      <w:kern w:val="24"/>
                      <w:sz w:val="21"/>
                      <w:szCs w:val="21"/>
                      <w:lang w:val="en-US" w:eastAsia="zh-CN" w:bidi="ar-SA"/>
                    </w:rPr>
                    <w:t>项目对地表水、地下水、土壤环境的风险影响主要是废机油储存及</w:t>
                  </w:r>
                  <w:r>
                    <w:rPr>
                      <w:rFonts w:hint="eastAsia" w:cs="Times New Roman"/>
                      <w:color w:val="auto"/>
                      <w:kern w:val="24"/>
                      <w:sz w:val="21"/>
                      <w:szCs w:val="21"/>
                      <w:lang w:val="en-US" w:eastAsia="zh-CN" w:bidi="ar-SA"/>
                    </w:rPr>
                    <w:t>原辅料、污水、产品</w:t>
                  </w:r>
                  <w:r>
                    <w:rPr>
                      <w:rFonts w:hint="eastAsia" w:ascii="Times New Roman" w:hAnsi="Times New Roman" w:eastAsia="宋体" w:cs="Times New Roman"/>
                      <w:color w:val="auto"/>
                      <w:kern w:val="24"/>
                      <w:sz w:val="21"/>
                      <w:szCs w:val="21"/>
                      <w:lang w:val="en-US" w:eastAsia="zh-CN" w:bidi="ar-SA"/>
                    </w:rPr>
                    <w:t>火灾爆炸产生的次生污染物。当发生泄露后，会通过项目区地表入渗，随着时间的推移，造成区域土壤和地下水的污染。</w:t>
                  </w:r>
                </w:p>
                <w:p w14:paraId="1EB992F4">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color w:val="auto"/>
                      <w:kern w:val="24"/>
                      <w:sz w:val="21"/>
                      <w:szCs w:val="21"/>
                      <w:lang w:val="en-US" w:eastAsia="zh-CN" w:bidi="ar-SA"/>
                    </w:rPr>
                  </w:pPr>
                  <w:r>
                    <w:rPr>
                      <w:rFonts w:hint="eastAsia" w:ascii="Times New Roman" w:hAnsi="Times New Roman" w:eastAsia="宋体" w:cs="Times New Roman"/>
                      <w:color w:val="auto"/>
                      <w:kern w:val="24"/>
                      <w:sz w:val="21"/>
                      <w:szCs w:val="21"/>
                      <w:lang w:val="en-US" w:eastAsia="zh-CN" w:bidi="ar-SA"/>
                    </w:rPr>
                    <w:t>②大气环境风险分析</w:t>
                  </w:r>
                </w:p>
                <w:p w14:paraId="626CA17C">
                  <w:pPr>
                    <w:pStyle w:val="73"/>
                    <w:keepNext w:val="0"/>
                    <w:keepLines w:val="0"/>
                    <w:pageBreakBefore w:val="0"/>
                    <w:widowControl w:val="0"/>
                    <w:kinsoku/>
                    <w:wordWrap/>
                    <w:overflowPunct/>
                    <w:topLinePunct w:val="0"/>
                    <w:bidi w:val="0"/>
                    <w:adjustRightInd w:val="0"/>
                    <w:snapToGrid w:val="0"/>
                    <w:spacing w:line="240" w:lineRule="auto"/>
                    <w:rPr>
                      <w:rFonts w:hint="eastAsia" w:ascii="Times New Roman" w:hAnsi="Times New Roman" w:cs="Times New Roman"/>
                      <w:color w:val="auto"/>
                      <w:kern w:val="24"/>
                      <w:sz w:val="21"/>
                      <w:szCs w:val="21"/>
                      <w:lang w:val="en-US" w:eastAsia="zh-CN" w:bidi="ar-SA"/>
                    </w:rPr>
                  </w:pPr>
                  <w:r>
                    <w:rPr>
                      <w:rFonts w:hint="eastAsia" w:ascii="Times New Roman" w:hAnsi="Times New Roman" w:eastAsia="宋体" w:cs="Times New Roman"/>
                      <w:color w:val="auto"/>
                      <w:kern w:val="24"/>
                      <w:sz w:val="21"/>
                      <w:szCs w:val="21"/>
                      <w:lang w:val="en-US" w:eastAsia="zh-CN" w:bidi="ar-SA"/>
                    </w:rPr>
                    <w:t xml:space="preserve">   项目对大气环境的风险影响主要是火灾爆炸产生的次生污染物</w:t>
                  </w:r>
                  <w:r>
                    <w:rPr>
                      <w:rFonts w:hint="eastAsia" w:ascii="Times New Roman" w:hAnsi="Times New Roman" w:cs="Times New Roman"/>
                      <w:color w:val="auto"/>
                      <w:kern w:val="24"/>
                      <w:sz w:val="21"/>
                      <w:szCs w:val="21"/>
                      <w:lang w:val="en-US" w:eastAsia="zh-CN" w:bidi="ar-SA"/>
                    </w:rPr>
                    <w:t>、废</w:t>
                  </w:r>
                </w:p>
                <w:p w14:paraId="34548671">
                  <w:pPr>
                    <w:pStyle w:val="73"/>
                    <w:keepNext w:val="0"/>
                    <w:keepLines w:val="0"/>
                    <w:pageBreakBefore w:val="0"/>
                    <w:widowControl w:val="0"/>
                    <w:kinsoku/>
                    <w:wordWrap/>
                    <w:overflowPunct/>
                    <w:topLinePunct w:val="0"/>
                    <w:bidi w:val="0"/>
                    <w:adjustRightInd w:val="0"/>
                    <w:snapToGrid w:val="0"/>
                    <w:spacing w:line="240" w:lineRule="auto"/>
                    <w:jc w:val="both"/>
                    <w:rPr>
                      <w:color w:val="auto"/>
                      <w:kern w:val="1"/>
                      <w:szCs w:val="21"/>
                    </w:rPr>
                  </w:pPr>
                  <w:r>
                    <w:rPr>
                      <w:rFonts w:hint="eastAsia" w:ascii="Times New Roman" w:hAnsi="Times New Roman" w:cs="Times New Roman"/>
                      <w:color w:val="auto"/>
                      <w:kern w:val="24"/>
                      <w:sz w:val="21"/>
                      <w:szCs w:val="21"/>
                      <w:lang w:val="en-US" w:eastAsia="zh-CN" w:bidi="ar-SA"/>
                    </w:rPr>
                    <w:t>气处理设施故障排放</w:t>
                  </w:r>
                  <w:r>
                    <w:rPr>
                      <w:rFonts w:hint="eastAsia" w:ascii="Times New Roman" w:hAnsi="Times New Roman" w:eastAsia="宋体" w:cs="Times New Roman"/>
                      <w:color w:val="auto"/>
                      <w:kern w:val="24"/>
                      <w:sz w:val="21"/>
                      <w:szCs w:val="21"/>
                      <w:lang w:val="en-US" w:eastAsia="zh-CN" w:bidi="ar-SA"/>
                    </w:rPr>
                    <w:t>。次生污染物</w:t>
                  </w:r>
                  <w:r>
                    <w:rPr>
                      <w:rFonts w:hint="eastAsia" w:ascii="Times New Roman" w:hAnsi="Times New Roman" w:cs="Times New Roman"/>
                      <w:color w:val="auto"/>
                      <w:kern w:val="24"/>
                      <w:sz w:val="21"/>
                      <w:szCs w:val="21"/>
                      <w:lang w:val="en-US" w:eastAsia="zh-CN" w:bidi="ar-SA"/>
                    </w:rPr>
                    <w:t>、废气</w:t>
                  </w:r>
                  <w:r>
                    <w:rPr>
                      <w:rFonts w:hint="eastAsia" w:ascii="Times New Roman" w:hAnsi="Times New Roman" w:eastAsia="宋体" w:cs="Times New Roman"/>
                      <w:color w:val="auto"/>
                      <w:kern w:val="24"/>
                      <w:sz w:val="21"/>
                      <w:szCs w:val="21"/>
                      <w:lang w:val="en-US" w:eastAsia="zh-CN" w:bidi="ar-SA"/>
                    </w:rPr>
                    <w:t>通过空气扩散至大气环境中污染大气环境。</w:t>
                  </w:r>
                </w:p>
              </w:tc>
            </w:tr>
            <w:tr w14:paraId="188E4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Align w:val="center"/>
                </w:tcPr>
                <w:p w14:paraId="0B3D8642">
                  <w:pPr>
                    <w:adjustRightInd w:val="0"/>
                    <w:snapToGrid w:val="0"/>
                    <w:jc w:val="center"/>
                    <w:rPr>
                      <w:color w:val="auto"/>
                      <w:kern w:val="1"/>
                      <w:szCs w:val="21"/>
                    </w:rPr>
                  </w:pPr>
                  <w:r>
                    <w:rPr>
                      <w:color w:val="auto"/>
                      <w:kern w:val="1"/>
                      <w:szCs w:val="21"/>
                    </w:rPr>
                    <w:t>风险防范措施要求</w:t>
                  </w:r>
                </w:p>
              </w:tc>
              <w:tc>
                <w:tcPr>
                  <w:tcW w:w="6594" w:type="dxa"/>
                  <w:gridSpan w:val="2"/>
                  <w:vAlign w:val="center"/>
                </w:tcPr>
                <w:p w14:paraId="6FEAE3FD">
                  <w:pPr>
                    <w:pStyle w:val="83"/>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color w:val="auto"/>
                      <w:sz w:val="21"/>
                      <w:szCs w:val="21"/>
                    </w:rPr>
                  </w:pPr>
                  <w:r>
                    <w:rPr>
                      <w:color w:val="auto"/>
                      <w:sz w:val="21"/>
                      <w:szCs w:val="21"/>
                    </w:rPr>
                    <w:t>（1）风险防范措施</w:t>
                  </w:r>
                </w:p>
                <w:p w14:paraId="3C89137E">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1）火灾爆炸风险防范措施：</w:t>
                  </w:r>
                </w:p>
                <w:p w14:paraId="660B6718">
                  <w:pPr>
                    <w:pStyle w:val="83"/>
                    <w:keepNext w:val="0"/>
                    <w:keepLines w:val="0"/>
                    <w:pageBreakBefore w:val="0"/>
                    <w:widowControl w:val="0"/>
                    <w:tabs>
                      <w:tab w:val="left" w:pos="949"/>
                    </w:tabs>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①生产车间按规范配置灭火器材和消防装备；</w:t>
                  </w:r>
                </w:p>
                <w:p w14:paraId="6A06EB12">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②在生产区域明显位置张贴禁用明火的告示，加强油类物质存放区域的巡查。</w:t>
                  </w:r>
                </w:p>
                <w:p w14:paraId="57294F92">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③工作人员要熟练掌握操作技术和防火安全管理规定；</w:t>
                  </w:r>
                </w:p>
                <w:p w14:paraId="7143B4D6">
                  <w:pPr>
                    <w:pStyle w:val="83"/>
                    <w:keepNext w:val="0"/>
                    <w:keepLines w:val="0"/>
                    <w:pageBreakBefore w:val="0"/>
                    <w:widowControl w:val="0"/>
                    <w:tabs>
                      <w:tab w:val="left" w:pos="949"/>
                    </w:tabs>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④定期检查材料存储</w:t>
                  </w:r>
                  <w:r>
                    <w:rPr>
                      <w:rFonts w:hint="eastAsia"/>
                      <w:color w:val="auto"/>
                      <w:sz w:val="21"/>
                      <w:szCs w:val="21"/>
                    </w:rPr>
                    <w:t>、废机油储存桶</w:t>
                  </w:r>
                  <w:r>
                    <w:rPr>
                      <w:color w:val="auto"/>
                      <w:sz w:val="21"/>
                      <w:szCs w:val="21"/>
                    </w:rPr>
                    <w:t>的安全状态，以防止泄漏引发火灾、爆炸。</w:t>
                  </w:r>
                </w:p>
                <w:p w14:paraId="4CF3BFD7">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ascii="Times New Roman" w:hAnsi="Times New Roman" w:eastAsia="宋体" w:cs="Times New Roman"/>
                      <w:bCs/>
                      <w:color w:val="auto"/>
                      <w:sz w:val="21"/>
                      <w:szCs w:val="21"/>
                    </w:rPr>
                  </w:pPr>
                  <w:r>
                    <w:rPr>
                      <w:rFonts w:hint="eastAsia" w:ascii="Times New Roman" w:hAnsi="Times New Roman" w:cs="Times New Roman"/>
                      <w:bCs/>
                      <w:color w:val="auto"/>
                      <w:sz w:val="21"/>
                      <w:szCs w:val="21"/>
                      <w:lang w:eastAsia="zh-CN"/>
                    </w:rPr>
                    <w:t>⑤</w:t>
                  </w:r>
                  <w:r>
                    <w:rPr>
                      <w:rFonts w:hint="default" w:ascii="Times New Roman" w:hAnsi="Times New Roman" w:eastAsia="宋体" w:cs="Times New Roman"/>
                      <w:bCs/>
                      <w:color w:val="auto"/>
                      <w:sz w:val="21"/>
                      <w:szCs w:val="21"/>
                    </w:rPr>
                    <w:t>塑料原料、产品贮存区设置明确禁止烟火标识</w:t>
                  </w:r>
                  <w:r>
                    <w:rPr>
                      <w:rFonts w:hint="default" w:ascii="Times New Roman" w:hAnsi="Times New Roman" w:eastAsia="宋体" w:cs="Times New Roman"/>
                      <w:bCs/>
                      <w:color w:val="auto"/>
                      <w:sz w:val="21"/>
                      <w:szCs w:val="21"/>
                      <w:lang w:eastAsia="zh-CN"/>
                    </w:rPr>
                    <w:t>。</w:t>
                  </w:r>
                </w:p>
                <w:p w14:paraId="37240F06">
                  <w:pPr>
                    <w:pStyle w:val="83"/>
                    <w:keepNext w:val="0"/>
                    <w:keepLines w:val="0"/>
                    <w:pageBreakBefore w:val="0"/>
                    <w:widowControl w:val="0"/>
                    <w:tabs>
                      <w:tab w:val="left" w:pos="949"/>
                    </w:tabs>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rFonts w:hint="eastAsia" w:ascii="Times New Roman" w:hAnsi="Times New Roman" w:cs="Times New Roman"/>
                      <w:bCs/>
                      <w:color w:val="auto"/>
                      <w:sz w:val="21"/>
                      <w:szCs w:val="21"/>
                      <w:lang w:eastAsia="zh-CN"/>
                    </w:rPr>
                    <w:t>⑥</w:t>
                  </w:r>
                  <w:r>
                    <w:rPr>
                      <w:rFonts w:hint="default" w:ascii="Times New Roman" w:hAnsi="Times New Roman" w:eastAsia="宋体" w:cs="Times New Roman"/>
                      <w:bCs/>
                      <w:color w:val="auto"/>
                      <w:sz w:val="21"/>
                      <w:szCs w:val="21"/>
                    </w:rPr>
                    <w:t>严格控制原料、产品在场内的贮存量。</w:t>
                  </w:r>
                </w:p>
                <w:p w14:paraId="1ED12BB7">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2）危险物质泄漏防范措施</w:t>
                  </w:r>
                </w:p>
                <w:p w14:paraId="36168659">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①仓库应做好防渗防腐处理，危险废物</w:t>
                  </w:r>
                  <w:r>
                    <w:rPr>
                      <w:rFonts w:hint="eastAsia" w:eastAsia="宋体"/>
                      <w:color w:val="auto"/>
                      <w:sz w:val="21"/>
                      <w:szCs w:val="21"/>
                      <w:lang w:val="en-US" w:eastAsia="zh-CN"/>
                    </w:rPr>
                    <w:t>贮存库</w:t>
                  </w:r>
                  <w:r>
                    <w:rPr>
                      <w:color w:val="auto"/>
                      <w:sz w:val="21"/>
                      <w:szCs w:val="21"/>
                    </w:rPr>
                    <w:t>进行重点防渗；</w:t>
                  </w:r>
                </w:p>
                <w:p w14:paraId="054F0277">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②生产车间应做好周边防护措施，如设置一定高度围堰，防范危险物质泄漏蔓延到周边区域；</w:t>
                  </w:r>
                </w:p>
                <w:p w14:paraId="7DDED384">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③定期检查危险物质存储的安全状态，检查其包装有无破损，以防止泄漏。</w:t>
                  </w:r>
                </w:p>
                <w:p w14:paraId="264BF3CD">
                  <w:pPr>
                    <w:pStyle w:val="83"/>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color w:val="auto"/>
                      <w:sz w:val="21"/>
                      <w:szCs w:val="21"/>
                    </w:rPr>
                  </w:pPr>
                  <w:r>
                    <w:rPr>
                      <w:bCs/>
                      <w:color w:val="auto"/>
                      <w:sz w:val="21"/>
                      <w:szCs w:val="21"/>
                    </w:rPr>
                    <w:t>④</w:t>
                  </w:r>
                  <w:r>
                    <w:rPr>
                      <w:bCs/>
                      <w:color w:val="auto"/>
                      <w:sz w:val="21"/>
                      <w:szCs w:val="21"/>
                      <w:lang w:val="zh-CN"/>
                    </w:rPr>
                    <w:t>建立健全安全、环境管理体系及高效的安全生产机构，一旦发生事故，要做到快速、高效、安全处置。</w:t>
                  </w:r>
                </w:p>
                <w:p w14:paraId="0ECC0227">
                  <w:pPr>
                    <w:pStyle w:val="83"/>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bCs/>
                      <w:color w:val="auto"/>
                      <w:sz w:val="21"/>
                      <w:szCs w:val="21"/>
                      <w:highlight w:val="none"/>
                    </w:rPr>
                  </w:pPr>
                  <w:r>
                    <w:rPr>
                      <w:rFonts w:hint="eastAsia"/>
                      <w:bCs/>
                      <w:color w:val="auto"/>
                      <w:sz w:val="21"/>
                      <w:szCs w:val="21"/>
                      <w:highlight w:val="none"/>
                    </w:rPr>
                    <w:t>3）</w:t>
                  </w:r>
                  <w:r>
                    <w:rPr>
                      <w:rFonts w:hint="eastAsia"/>
                      <w:bCs/>
                      <w:color w:val="auto"/>
                      <w:sz w:val="21"/>
                      <w:szCs w:val="21"/>
                      <w:highlight w:val="none"/>
                      <w:lang w:val="en-US" w:eastAsia="zh-CN"/>
                    </w:rPr>
                    <w:t>废气、</w:t>
                  </w:r>
                  <w:r>
                    <w:rPr>
                      <w:rFonts w:hint="eastAsia"/>
                      <w:bCs/>
                      <w:color w:val="auto"/>
                      <w:sz w:val="21"/>
                      <w:szCs w:val="21"/>
                      <w:highlight w:val="none"/>
                    </w:rPr>
                    <w:t>废水</w:t>
                  </w:r>
                  <w:r>
                    <w:rPr>
                      <w:bCs/>
                      <w:color w:val="auto"/>
                      <w:sz w:val="21"/>
                      <w:szCs w:val="21"/>
                      <w:highlight w:val="none"/>
                      <w:lang w:val="zh-CN"/>
                    </w:rPr>
                    <w:t>污染治理设施异常的</w:t>
                  </w:r>
                  <w:r>
                    <w:rPr>
                      <w:rFonts w:hint="eastAsia"/>
                      <w:bCs/>
                      <w:color w:val="auto"/>
                      <w:sz w:val="21"/>
                      <w:szCs w:val="21"/>
                      <w:highlight w:val="none"/>
                      <w:lang w:val="en-US" w:eastAsia="zh-CN"/>
                    </w:rPr>
                    <w:t>风险</w:t>
                  </w:r>
                  <w:r>
                    <w:rPr>
                      <w:bCs/>
                      <w:color w:val="auto"/>
                      <w:sz w:val="21"/>
                      <w:szCs w:val="21"/>
                      <w:highlight w:val="none"/>
                    </w:rPr>
                    <w:t>防范措施</w:t>
                  </w:r>
                </w:p>
                <w:p w14:paraId="4C77059C">
                  <w:pPr>
                    <w:keepNext w:val="0"/>
                    <w:keepLines w:val="0"/>
                    <w:pageBreakBefore w:val="0"/>
                    <w:widowControl w:val="0"/>
                    <w:kinsoku/>
                    <w:wordWrap/>
                    <w:overflowPunct/>
                    <w:topLinePunct w:val="0"/>
                    <w:autoSpaceDE/>
                    <w:autoSpaceDN/>
                    <w:bidi w:val="0"/>
                    <w:adjustRightInd/>
                    <w:snapToGrid/>
                    <w:spacing w:line="240" w:lineRule="auto"/>
                    <w:ind w:leftChars="0" w:firstLine="420" w:firstLineChars="200"/>
                    <w:jc w:val="left"/>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①</w:t>
                  </w:r>
                  <w:r>
                    <w:rPr>
                      <w:rFonts w:hint="default" w:ascii="Times New Roman" w:hAnsi="Times New Roman" w:eastAsia="宋体" w:cs="Times New Roman"/>
                      <w:bCs/>
                      <w:color w:val="auto"/>
                      <w:kern w:val="2"/>
                      <w:sz w:val="21"/>
                      <w:szCs w:val="21"/>
                      <w:highlight w:val="none"/>
                      <w:lang w:val="en-US" w:eastAsia="zh-CN" w:bidi="ar-SA"/>
                    </w:rPr>
                    <w:t>污水输送管道采用不易腐蚀、不易受损</w:t>
                  </w:r>
                  <w:r>
                    <w:rPr>
                      <w:rFonts w:hint="eastAsia" w:ascii="Times New Roman" w:hAnsi="Times New Roman" w:eastAsia="宋体" w:cs="Times New Roman"/>
                      <w:bCs/>
                      <w:color w:val="auto"/>
                      <w:kern w:val="2"/>
                      <w:sz w:val="21"/>
                      <w:szCs w:val="21"/>
                      <w:highlight w:val="none"/>
                      <w:lang w:val="en-US" w:eastAsia="zh-CN" w:bidi="ar-SA"/>
                    </w:rPr>
                    <w:t>的材质，废水池按时检修且做好防渗措施</w:t>
                  </w:r>
                  <w:r>
                    <w:rPr>
                      <w:rFonts w:hint="default" w:ascii="Times New Roman" w:hAnsi="Times New Roman" w:eastAsia="宋体" w:cs="Times New Roman"/>
                      <w:bCs/>
                      <w:color w:val="auto"/>
                      <w:kern w:val="2"/>
                      <w:sz w:val="21"/>
                      <w:szCs w:val="21"/>
                      <w:highlight w:val="none"/>
                      <w:lang w:val="en-US" w:eastAsia="zh-CN" w:bidi="ar-SA"/>
                    </w:rPr>
                    <w:t>，降低了事故发生的概率；</w:t>
                  </w:r>
                </w:p>
                <w:p w14:paraId="5AB226E8">
                  <w:pPr>
                    <w:keepNext w:val="0"/>
                    <w:keepLines w:val="0"/>
                    <w:pageBreakBefore w:val="0"/>
                    <w:widowControl w:val="0"/>
                    <w:kinsoku/>
                    <w:wordWrap/>
                    <w:overflowPunct/>
                    <w:topLinePunct w:val="0"/>
                    <w:autoSpaceDE/>
                    <w:autoSpaceDN/>
                    <w:bidi w:val="0"/>
                    <w:adjustRightInd/>
                    <w:snapToGrid/>
                    <w:spacing w:line="240" w:lineRule="auto"/>
                    <w:ind w:leftChars="0" w:firstLine="420" w:firstLineChars="200"/>
                    <w:jc w:val="left"/>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②</w:t>
                  </w:r>
                  <w:r>
                    <w:rPr>
                      <w:rFonts w:hint="default" w:ascii="Times New Roman" w:hAnsi="Times New Roman" w:eastAsia="宋体" w:cs="Times New Roman"/>
                      <w:bCs/>
                      <w:color w:val="auto"/>
                      <w:kern w:val="2"/>
                      <w:sz w:val="21"/>
                      <w:szCs w:val="21"/>
                      <w:highlight w:val="none"/>
                      <w:lang w:val="en-US" w:eastAsia="zh-CN" w:bidi="ar-SA"/>
                    </w:rPr>
                    <w:t>污水输送管道及处理设施已安排专人负责，保证设备的正常运行。</w:t>
                  </w:r>
                </w:p>
                <w:p w14:paraId="2C19CF78">
                  <w:pPr>
                    <w:keepNext w:val="0"/>
                    <w:keepLines w:val="0"/>
                    <w:pageBreakBefore w:val="0"/>
                    <w:widowControl w:val="0"/>
                    <w:kinsoku/>
                    <w:wordWrap/>
                    <w:overflowPunct/>
                    <w:topLinePunct w:val="0"/>
                    <w:autoSpaceDE/>
                    <w:autoSpaceDN/>
                    <w:bidi w:val="0"/>
                    <w:adjustRightInd/>
                    <w:snapToGrid/>
                    <w:spacing w:line="240" w:lineRule="auto"/>
                    <w:ind w:leftChars="0" w:firstLine="420" w:firstLineChars="200"/>
                    <w:jc w:val="left"/>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③</w:t>
                  </w:r>
                  <w:r>
                    <w:rPr>
                      <w:rFonts w:hint="default" w:ascii="Times New Roman" w:hAnsi="Times New Roman" w:eastAsia="宋体" w:cs="Times New Roman"/>
                      <w:bCs/>
                      <w:color w:val="auto"/>
                      <w:kern w:val="2"/>
                      <w:sz w:val="21"/>
                      <w:szCs w:val="21"/>
                      <w:highlight w:val="none"/>
                      <w:lang w:val="en-US" w:eastAsia="zh-CN" w:bidi="ar-SA"/>
                    </w:rPr>
                    <w:t>设置专职环保管理人员，负责全厂的废气</w:t>
                  </w:r>
                  <w:r>
                    <w:rPr>
                      <w:rFonts w:hint="eastAsia" w:ascii="Times New Roman" w:hAnsi="Times New Roman" w:eastAsia="宋体" w:cs="Times New Roman"/>
                      <w:bCs/>
                      <w:color w:val="auto"/>
                      <w:kern w:val="2"/>
                      <w:sz w:val="21"/>
                      <w:szCs w:val="21"/>
                      <w:highlight w:val="none"/>
                      <w:lang w:val="en-US" w:eastAsia="zh-CN" w:bidi="ar-SA"/>
                    </w:rPr>
                    <w:t>、废水</w:t>
                  </w:r>
                  <w:r>
                    <w:rPr>
                      <w:rFonts w:hint="default" w:ascii="Times New Roman" w:hAnsi="Times New Roman" w:eastAsia="宋体" w:cs="Times New Roman"/>
                      <w:bCs/>
                      <w:color w:val="auto"/>
                      <w:kern w:val="2"/>
                      <w:sz w:val="21"/>
                      <w:szCs w:val="21"/>
                      <w:highlight w:val="none"/>
                      <w:lang w:val="en-US" w:eastAsia="zh-CN" w:bidi="ar-SA"/>
                    </w:rPr>
                    <w:t>环保管理工作，建立健全环境保护管理制度，应确保环保设施的正常运转。</w:t>
                  </w:r>
                </w:p>
                <w:p w14:paraId="25631563">
                  <w:pPr>
                    <w:keepNext w:val="0"/>
                    <w:keepLines w:val="0"/>
                    <w:pageBreakBefore w:val="0"/>
                    <w:widowControl w:val="0"/>
                    <w:kinsoku/>
                    <w:wordWrap/>
                    <w:overflowPunct/>
                    <w:topLinePunct w:val="0"/>
                    <w:autoSpaceDE/>
                    <w:autoSpaceDN/>
                    <w:bidi w:val="0"/>
                    <w:adjustRightInd/>
                    <w:snapToGrid/>
                    <w:spacing w:line="240" w:lineRule="auto"/>
                    <w:ind w:leftChars="0" w:firstLine="420" w:firstLineChars="200"/>
                    <w:jc w:val="left"/>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kern w:val="2"/>
                      <w:sz w:val="21"/>
                      <w:szCs w:val="21"/>
                      <w:highlight w:val="none"/>
                      <w:lang w:val="en-US" w:eastAsia="zh-CN" w:bidi="ar-SA"/>
                    </w:rPr>
                    <w:t>④</w:t>
                  </w:r>
                  <w:r>
                    <w:rPr>
                      <w:rFonts w:hint="default" w:ascii="Times New Roman" w:hAnsi="Times New Roman" w:eastAsia="宋体" w:cs="Times New Roman"/>
                      <w:bCs/>
                      <w:color w:val="auto"/>
                      <w:kern w:val="2"/>
                      <w:sz w:val="21"/>
                      <w:szCs w:val="21"/>
                      <w:highlight w:val="none"/>
                      <w:lang w:val="en-US" w:eastAsia="zh-CN" w:bidi="ar-SA"/>
                    </w:rPr>
                    <w:t>健全各项规章制度，制定各种操作规程。定期对设备及其附件进行检查、维护和保养。</w:t>
                  </w:r>
                </w:p>
                <w:p w14:paraId="49D873CA">
                  <w:pPr>
                    <w:pStyle w:val="83"/>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color w:val="auto"/>
                      <w:sz w:val="21"/>
                      <w:szCs w:val="21"/>
                    </w:rPr>
                  </w:pPr>
                  <w:r>
                    <w:rPr>
                      <w:color w:val="auto"/>
                      <w:sz w:val="21"/>
                      <w:szCs w:val="21"/>
                    </w:rPr>
                    <w:t>（2）应急要求</w:t>
                  </w:r>
                </w:p>
                <w:p w14:paraId="68BAFE92">
                  <w:pPr>
                    <w:pStyle w:val="14"/>
                    <w:keepNext w:val="0"/>
                    <w:keepLines w:val="0"/>
                    <w:pageBreakBefore w:val="0"/>
                    <w:widowControl w:val="0"/>
                    <w:kinsoku/>
                    <w:wordWrap/>
                    <w:overflowPunct/>
                    <w:topLinePunct w:val="0"/>
                    <w:autoSpaceDE/>
                    <w:autoSpaceDN/>
                    <w:bidi w:val="0"/>
                    <w:adjustRightInd w:val="0"/>
                    <w:snapToGrid w:val="0"/>
                    <w:spacing w:after="0" w:line="240" w:lineRule="auto"/>
                    <w:ind w:firstLine="408" w:firstLineChars="200"/>
                    <w:textAlignment w:val="auto"/>
                    <w:rPr>
                      <w:color w:val="auto"/>
                      <w:kern w:val="1"/>
                      <w:szCs w:val="21"/>
                    </w:rPr>
                  </w:pPr>
                  <w:r>
                    <w:rPr>
                      <w:color w:val="auto"/>
                      <w:spacing w:val="-3"/>
                      <w:sz w:val="21"/>
                      <w:szCs w:val="21"/>
                    </w:rPr>
                    <w:t>企业应按国家有关规定要求，编制突发环境事故应急预案，并经当地生态环境行政主</w:t>
                  </w:r>
                  <w:r>
                    <w:rPr>
                      <w:color w:val="auto"/>
                      <w:spacing w:val="-13"/>
                      <w:sz w:val="21"/>
                      <w:szCs w:val="21"/>
                    </w:rPr>
                    <w:t>管部门审查备案。当发生环境风险事故时，按应急预案要求，认真落实各项事故应急措施，</w:t>
                  </w:r>
                  <w:r>
                    <w:rPr>
                      <w:color w:val="auto"/>
                      <w:sz w:val="21"/>
                      <w:szCs w:val="21"/>
                    </w:rPr>
                    <w:t>做到责任到位、落实到人、常备不懈。</w:t>
                  </w:r>
                </w:p>
              </w:tc>
            </w:tr>
            <w:tr w14:paraId="0C9AC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vAlign w:val="center"/>
                </w:tcPr>
                <w:p w14:paraId="55A43CBE">
                  <w:pPr>
                    <w:adjustRightInd w:val="0"/>
                    <w:snapToGrid w:val="0"/>
                    <w:jc w:val="center"/>
                    <w:rPr>
                      <w:color w:val="auto"/>
                      <w:kern w:val="1"/>
                      <w:szCs w:val="21"/>
                    </w:rPr>
                  </w:pPr>
                  <w:r>
                    <w:rPr>
                      <w:color w:val="auto"/>
                      <w:kern w:val="1"/>
                      <w:szCs w:val="21"/>
                    </w:rPr>
                    <w:t>填表说明</w:t>
                  </w:r>
                </w:p>
              </w:tc>
              <w:tc>
                <w:tcPr>
                  <w:tcW w:w="6594" w:type="dxa"/>
                  <w:gridSpan w:val="2"/>
                  <w:vAlign w:val="center"/>
                </w:tcPr>
                <w:p w14:paraId="79FFA064">
                  <w:pPr>
                    <w:adjustRightInd w:val="0"/>
                    <w:snapToGrid w:val="0"/>
                    <w:jc w:val="left"/>
                    <w:rPr>
                      <w:color w:val="auto"/>
                      <w:kern w:val="1"/>
                      <w:szCs w:val="21"/>
                    </w:rPr>
                  </w:pPr>
                  <w:r>
                    <w:rPr>
                      <w:color w:val="auto"/>
                      <w:kern w:val="1"/>
                      <w:szCs w:val="21"/>
                    </w:rPr>
                    <w:t>根据《建设项目环境风险评价技术导则》（HJ 169-2018），</w:t>
                  </w:r>
                  <w:r>
                    <w:rPr>
                      <w:rFonts w:hint="eastAsia"/>
                      <w:color w:val="auto"/>
                      <w:kern w:val="1"/>
                      <w:szCs w:val="21"/>
                    </w:rPr>
                    <w:t>项目</w:t>
                  </w:r>
                  <w:r>
                    <w:rPr>
                      <w:color w:val="auto"/>
                      <w:kern w:val="1"/>
                      <w:szCs w:val="21"/>
                    </w:rPr>
                    <w:t>Q＜1，项目环境风险潜势为Ⅰ，项目环境风险直接判定为进行简单分析。</w:t>
                  </w:r>
                </w:p>
              </w:tc>
            </w:tr>
          </w:tbl>
          <w:p w14:paraId="4C0EDD6F">
            <w:pPr>
              <w:pStyle w:val="17"/>
              <w:rPr>
                <w:rFonts w:ascii="Times New Roman" w:hAnsi="Times New Roman"/>
                <w:bCs/>
                <w:color w:val="auto"/>
                <w:spacing w:val="-10"/>
                <w:sz w:val="24"/>
              </w:rPr>
            </w:pPr>
          </w:p>
          <w:p w14:paraId="7578F053">
            <w:pPr>
              <w:pStyle w:val="17"/>
              <w:rPr>
                <w:rFonts w:ascii="Times New Roman" w:hAnsi="Times New Roman"/>
                <w:bCs/>
                <w:color w:val="auto"/>
                <w:spacing w:val="-10"/>
                <w:sz w:val="24"/>
              </w:rPr>
            </w:pPr>
          </w:p>
          <w:p w14:paraId="4EABEF71">
            <w:pPr>
              <w:pStyle w:val="17"/>
              <w:rPr>
                <w:rFonts w:ascii="Times New Roman" w:hAnsi="Times New Roman"/>
                <w:bCs/>
                <w:color w:val="auto"/>
                <w:spacing w:val="-10"/>
                <w:sz w:val="24"/>
              </w:rPr>
            </w:pPr>
          </w:p>
          <w:p w14:paraId="188622BE">
            <w:pPr>
              <w:pStyle w:val="17"/>
              <w:rPr>
                <w:rFonts w:ascii="Times New Roman" w:hAnsi="Times New Roman"/>
                <w:bCs/>
                <w:color w:val="auto"/>
                <w:spacing w:val="-10"/>
                <w:sz w:val="24"/>
              </w:rPr>
            </w:pPr>
          </w:p>
          <w:p w14:paraId="0211665C">
            <w:pPr>
              <w:rPr>
                <w:rFonts w:ascii="Times New Roman" w:hAnsi="Times New Roman"/>
                <w:bCs/>
                <w:color w:val="auto"/>
                <w:spacing w:val="-10"/>
                <w:sz w:val="24"/>
              </w:rPr>
            </w:pPr>
          </w:p>
        </w:tc>
      </w:tr>
    </w:tbl>
    <w:p w14:paraId="389D8992">
      <w:pPr>
        <w:jc w:val="center"/>
        <w:outlineLvl w:val="0"/>
        <w:rPr>
          <w:rFonts w:ascii="Times New Roman" w:hAnsi="Times New Roman"/>
          <w:snapToGrid w:val="0"/>
          <w:color w:val="auto"/>
          <w:sz w:val="30"/>
          <w:szCs w:val="30"/>
        </w:rPr>
      </w:pPr>
      <w:bookmarkStart w:id="26" w:name="_Toc6939"/>
      <w:r>
        <w:rPr>
          <w:b/>
          <w:bCs/>
          <w:snapToGrid w:val="0"/>
          <w:color w:val="auto"/>
          <w:sz w:val="30"/>
          <w:szCs w:val="30"/>
        </w:rPr>
        <w:br w:type="page"/>
      </w:r>
      <w:r>
        <w:rPr>
          <w:rFonts w:ascii="Times New Roman" w:hAnsi="Times New Roman"/>
          <w:b/>
          <w:bCs/>
          <w:snapToGrid w:val="0"/>
          <w:color w:val="auto"/>
          <w:sz w:val="30"/>
          <w:szCs w:val="30"/>
        </w:rPr>
        <w:t>五、</w:t>
      </w:r>
      <w:bookmarkStart w:id="27" w:name="_Hlk54167917"/>
      <w:r>
        <w:rPr>
          <w:rFonts w:ascii="Times New Roman" w:hAnsi="Times New Roman"/>
          <w:b/>
          <w:bCs/>
          <w:snapToGrid w:val="0"/>
          <w:color w:val="auto"/>
          <w:sz w:val="30"/>
          <w:szCs w:val="30"/>
        </w:rPr>
        <w:t>环境保护措施监督检查清单</w:t>
      </w:r>
      <w:bookmarkEnd w:id="25"/>
      <w:bookmarkEnd w:id="26"/>
      <w:bookmarkEnd w:id="27"/>
    </w:p>
    <w:tbl>
      <w:tblPr>
        <w:tblStyle w:val="30"/>
        <w:tblW w:w="887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375"/>
        <w:gridCol w:w="1242"/>
        <w:gridCol w:w="3403"/>
        <w:gridCol w:w="2154"/>
      </w:tblGrid>
      <w:tr w14:paraId="4A9ABD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Borders>
              <w:tl2br w:val="single" w:color="auto" w:sz="4" w:space="0"/>
            </w:tcBorders>
          </w:tcPr>
          <w:p w14:paraId="2E9CE60F">
            <w:pPr>
              <w:adjustRightInd w:val="0"/>
              <w:snapToGrid w:val="0"/>
              <w:jc w:val="center"/>
              <w:rPr>
                <w:b/>
                <w:bCs/>
                <w:color w:val="auto"/>
                <w:szCs w:val="21"/>
              </w:rPr>
            </w:pPr>
            <w:r>
              <w:rPr>
                <w:b/>
                <w:bCs/>
                <w:color w:val="auto"/>
                <w:szCs w:val="21"/>
              </w:rPr>
              <w:t>内容</w:t>
            </w:r>
          </w:p>
          <w:p w14:paraId="0E1CA08E">
            <w:pPr>
              <w:adjustRightInd w:val="0"/>
              <w:snapToGrid w:val="0"/>
              <w:jc w:val="center"/>
              <w:rPr>
                <w:b/>
                <w:bCs/>
                <w:color w:val="auto"/>
                <w:szCs w:val="21"/>
              </w:rPr>
            </w:pPr>
          </w:p>
          <w:p w14:paraId="6AB1AC27">
            <w:pPr>
              <w:adjustRightInd w:val="0"/>
              <w:snapToGrid w:val="0"/>
              <w:jc w:val="center"/>
              <w:rPr>
                <w:b/>
                <w:bCs/>
                <w:color w:val="auto"/>
                <w:szCs w:val="21"/>
              </w:rPr>
            </w:pPr>
            <w:r>
              <w:rPr>
                <w:b/>
                <w:bCs/>
                <w:color w:val="auto"/>
                <w:szCs w:val="21"/>
              </w:rPr>
              <w:t>要素</w:t>
            </w:r>
          </w:p>
        </w:tc>
        <w:tc>
          <w:tcPr>
            <w:tcW w:w="1375" w:type="dxa"/>
            <w:vAlign w:val="center"/>
          </w:tcPr>
          <w:p w14:paraId="39595019">
            <w:pPr>
              <w:adjustRightInd w:val="0"/>
              <w:snapToGrid w:val="0"/>
              <w:jc w:val="center"/>
              <w:rPr>
                <w:b/>
                <w:bCs/>
                <w:color w:val="auto"/>
                <w:szCs w:val="21"/>
              </w:rPr>
            </w:pPr>
            <w:r>
              <w:rPr>
                <w:b/>
                <w:bCs/>
                <w:color w:val="auto"/>
                <w:szCs w:val="21"/>
              </w:rPr>
              <w:t>排放口（编号、名称）/污染源</w:t>
            </w:r>
          </w:p>
        </w:tc>
        <w:tc>
          <w:tcPr>
            <w:tcW w:w="1242" w:type="dxa"/>
            <w:vAlign w:val="center"/>
          </w:tcPr>
          <w:p w14:paraId="76D70756">
            <w:pPr>
              <w:adjustRightInd w:val="0"/>
              <w:snapToGrid w:val="0"/>
              <w:jc w:val="center"/>
              <w:rPr>
                <w:b/>
                <w:bCs/>
                <w:color w:val="auto"/>
                <w:szCs w:val="21"/>
              </w:rPr>
            </w:pPr>
            <w:r>
              <w:rPr>
                <w:b/>
                <w:bCs/>
                <w:color w:val="auto"/>
                <w:szCs w:val="21"/>
              </w:rPr>
              <w:t>污染物项目</w:t>
            </w:r>
          </w:p>
        </w:tc>
        <w:tc>
          <w:tcPr>
            <w:tcW w:w="3403" w:type="dxa"/>
            <w:vAlign w:val="center"/>
          </w:tcPr>
          <w:p w14:paraId="7F2EE627">
            <w:pPr>
              <w:adjustRightInd w:val="0"/>
              <w:snapToGrid w:val="0"/>
              <w:jc w:val="center"/>
              <w:rPr>
                <w:b/>
                <w:bCs/>
                <w:color w:val="auto"/>
                <w:szCs w:val="21"/>
              </w:rPr>
            </w:pPr>
            <w:r>
              <w:rPr>
                <w:b/>
                <w:bCs/>
                <w:color w:val="auto"/>
                <w:szCs w:val="21"/>
              </w:rPr>
              <w:t>环境保护措施</w:t>
            </w:r>
          </w:p>
        </w:tc>
        <w:tc>
          <w:tcPr>
            <w:tcW w:w="2154" w:type="dxa"/>
            <w:vAlign w:val="center"/>
          </w:tcPr>
          <w:p w14:paraId="07BA14D6">
            <w:pPr>
              <w:adjustRightInd w:val="0"/>
              <w:snapToGrid w:val="0"/>
              <w:jc w:val="center"/>
              <w:rPr>
                <w:b/>
                <w:bCs/>
                <w:color w:val="auto"/>
                <w:szCs w:val="21"/>
              </w:rPr>
            </w:pPr>
            <w:r>
              <w:rPr>
                <w:b/>
                <w:bCs/>
                <w:color w:val="auto"/>
                <w:szCs w:val="21"/>
              </w:rPr>
              <w:t>执行标准</w:t>
            </w:r>
          </w:p>
        </w:tc>
      </w:tr>
      <w:tr w14:paraId="157456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704" w:type="dxa"/>
            <w:vMerge w:val="restart"/>
            <w:vAlign w:val="center"/>
          </w:tcPr>
          <w:p w14:paraId="4FE6FC08">
            <w:pPr>
              <w:adjustRightInd w:val="0"/>
              <w:snapToGrid w:val="0"/>
              <w:jc w:val="center"/>
              <w:rPr>
                <w:color w:val="auto"/>
                <w:szCs w:val="21"/>
              </w:rPr>
            </w:pPr>
            <w:r>
              <w:rPr>
                <w:color w:val="auto"/>
                <w:szCs w:val="21"/>
              </w:rPr>
              <w:t>大气环境</w:t>
            </w:r>
          </w:p>
        </w:tc>
        <w:tc>
          <w:tcPr>
            <w:tcW w:w="1375" w:type="dxa"/>
            <w:vAlign w:val="center"/>
          </w:tcPr>
          <w:p w14:paraId="59D49221">
            <w:pPr>
              <w:jc w:val="center"/>
              <w:rPr>
                <w:rFonts w:hint="default"/>
                <w:color w:val="auto"/>
                <w:szCs w:val="21"/>
                <w:lang w:val="en-US" w:eastAsia="zh-CN"/>
              </w:rPr>
            </w:pPr>
            <w:r>
              <w:rPr>
                <w:rFonts w:hint="eastAsia"/>
                <w:color w:val="auto"/>
                <w:szCs w:val="21"/>
                <w:lang w:val="en-US" w:eastAsia="zh-CN"/>
              </w:rPr>
              <w:t>投料废气</w:t>
            </w:r>
          </w:p>
        </w:tc>
        <w:tc>
          <w:tcPr>
            <w:tcW w:w="1242" w:type="dxa"/>
            <w:vAlign w:val="center"/>
          </w:tcPr>
          <w:p w14:paraId="605E2506">
            <w:pPr>
              <w:adjustRightInd w:val="0"/>
              <w:snapToGrid w:val="0"/>
              <w:spacing w:line="0" w:lineRule="atLeast"/>
              <w:jc w:val="center"/>
              <w:rPr>
                <w:rFonts w:hint="eastAsia" w:eastAsia="宋体"/>
                <w:color w:val="auto"/>
                <w:szCs w:val="21"/>
                <w:lang w:val="en-US" w:eastAsia="zh-CN"/>
              </w:rPr>
            </w:pPr>
            <w:r>
              <w:rPr>
                <w:rFonts w:hint="eastAsia"/>
                <w:color w:val="auto"/>
                <w:szCs w:val="21"/>
                <w:lang w:val="en-US" w:eastAsia="zh-CN"/>
              </w:rPr>
              <w:t>颗粒物</w:t>
            </w:r>
          </w:p>
        </w:tc>
        <w:tc>
          <w:tcPr>
            <w:tcW w:w="3403" w:type="dxa"/>
            <w:vAlign w:val="center"/>
          </w:tcPr>
          <w:p w14:paraId="52D73CED">
            <w:pPr>
              <w:adjustRightInd w:val="0"/>
              <w:snapToGrid w:val="0"/>
              <w:spacing w:line="0" w:lineRule="atLeast"/>
              <w:jc w:val="center"/>
              <w:rPr>
                <w:rFonts w:hint="eastAsia" w:eastAsia="宋体"/>
                <w:color w:val="auto"/>
                <w:szCs w:val="21"/>
                <w:lang w:val="en-US" w:eastAsia="zh-CN"/>
              </w:rPr>
            </w:pPr>
            <w:r>
              <w:rPr>
                <w:rFonts w:hint="eastAsia"/>
                <w:color w:val="auto"/>
                <w:szCs w:val="21"/>
              </w:rPr>
              <w:t>厂房阻隔、</w:t>
            </w:r>
            <w:r>
              <w:rPr>
                <w:rFonts w:hint="eastAsia"/>
                <w:color w:val="auto"/>
                <w:szCs w:val="21"/>
                <w:lang w:val="en-US" w:eastAsia="zh-CN"/>
              </w:rPr>
              <w:t>自然</w:t>
            </w:r>
            <w:r>
              <w:rPr>
                <w:rFonts w:hint="eastAsia"/>
                <w:color w:val="auto"/>
                <w:szCs w:val="21"/>
              </w:rPr>
              <w:t>沉降</w:t>
            </w:r>
            <w:r>
              <w:rPr>
                <w:rFonts w:hint="eastAsia"/>
                <w:color w:val="auto"/>
                <w:szCs w:val="21"/>
                <w:lang w:eastAsia="zh-CN"/>
              </w:rPr>
              <w:t>。</w:t>
            </w:r>
          </w:p>
        </w:tc>
        <w:tc>
          <w:tcPr>
            <w:tcW w:w="2154" w:type="dxa"/>
            <w:vAlign w:val="center"/>
          </w:tcPr>
          <w:p w14:paraId="74FDA86F">
            <w:pPr>
              <w:adjustRightInd w:val="0"/>
              <w:snapToGrid w:val="0"/>
              <w:jc w:val="center"/>
              <w:rPr>
                <w:color w:val="auto"/>
                <w:szCs w:val="21"/>
              </w:rPr>
            </w:pPr>
            <w:r>
              <w:rPr>
                <w:rFonts w:hint="default" w:ascii="Times New Roman" w:hAnsi="Times New Roman" w:eastAsia="宋体" w:cs="Times New Roman"/>
                <w:color w:val="auto"/>
                <w:sz w:val="21"/>
                <w:szCs w:val="21"/>
                <w:highlight w:val="none"/>
                <w:lang w:val="en-US" w:eastAsia="zh-CN"/>
              </w:rPr>
              <w:t>《合成树脂工业污染物排放标准》（GB31572-2015）及2024年修改单中表9企业边界大气污染物浓度限值</w:t>
            </w:r>
          </w:p>
        </w:tc>
      </w:tr>
      <w:tr w14:paraId="40F33F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704" w:type="dxa"/>
            <w:vMerge w:val="continue"/>
            <w:vAlign w:val="center"/>
          </w:tcPr>
          <w:p w14:paraId="3D169D5C">
            <w:pPr>
              <w:adjustRightInd w:val="0"/>
              <w:snapToGrid w:val="0"/>
              <w:jc w:val="center"/>
              <w:rPr>
                <w:color w:val="auto"/>
                <w:szCs w:val="21"/>
              </w:rPr>
            </w:pPr>
          </w:p>
        </w:tc>
        <w:tc>
          <w:tcPr>
            <w:tcW w:w="1375" w:type="dxa"/>
            <w:vAlign w:val="center"/>
          </w:tcPr>
          <w:p w14:paraId="36D45BCE">
            <w:pPr>
              <w:jc w:val="center"/>
              <w:rPr>
                <w:rFonts w:hint="default" w:eastAsia="宋体"/>
                <w:color w:val="auto"/>
                <w:szCs w:val="21"/>
                <w:lang w:val="en-US" w:eastAsia="zh-CN"/>
              </w:rPr>
            </w:pPr>
            <w:r>
              <w:rPr>
                <w:rFonts w:hint="eastAsia"/>
                <w:color w:val="auto"/>
                <w:szCs w:val="21"/>
                <w:lang w:eastAsia="zh-CN"/>
              </w:rPr>
              <w:t>注塑</w:t>
            </w:r>
            <w:r>
              <w:rPr>
                <w:rFonts w:hint="eastAsia"/>
                <w:color w:val="auto"/>
                <w:szCs w:val="21"/>
              </w:rPr>
              <w:t>废气</w:t>
            </w:r>
            <w:r>
              <w:rPr>
                <w:rFonts w:hint="eastAsia"/>
                <w:color w:val="auto"/>
                <w:szCs w:val="21"/>
                <w:lang w:val="en-US" w:eastAsia="zh-CN"/>
              </w:rPr>
              <w:t>/DA001</w:t>
            </w:r>
          </w:p>
        </w:tc>
        <w:tc>
          <w:tcPr>
            <w:tcW w:w="1242" w:type="dxa"/>
            <w:vAlign w:val="center"/>
          </w:tcPr>
          <w:p w14:paraId="36826083">
            <w:pPr>
              <w:adjustRightInd w:val="0"/>
              <w:snapToGrid w:val="0"/>
              <w:spacing w:line="0" w:lineRule="atLeast"/>
              <w:jc w:val="center"/>
              <w:rPr>
                <w:color w:val="auto"/>
                <w:szCs w:val="21"/>
              </w:rPr>
            </w:pPr>
            <w:r>
              <w:rPr>
                <w:color w:val="auto"/>
                <w:szCs w:val="21"/>
              </w:rPr>
              <w:t>非甲烷总烃</w:t>
            </w:r>
            <w:r>
              <w:rPr>
                <w:rFonts w:hint="eastAsia"/>
                <w:color w:val="auto"/>
                <w:szCs w:val="21"/>
              </w:rPr>
              <w:t>、臭气浓度</w:t>
            </w:r>
          </w:p>
        </w:tc>
        <w:tc>
          <w:tcPr>
            <w:tcW w:w="3403" w:type="dxa"/>
            <w:vAlign w:val="center"/>
          </w:tcPr>
          <w:p w14:paraId="5D480263">
            <w:pPr>
              <w:adjustRightInd w:val="0"/>
              <w:snapToGrid w:val="0"/>
              <w:spacing w:line="0" w:lineRule="atLeast"/>
              <w:jc w:val="center"/>
              <w:rPr>
                <w:color w:val="auto"/>
                <w:szCs w:val="21"/>
              </w:rPr>
            </w:pPr>
            <w:r>
              <w:rPr>
                <w:color w:val="auto"/>
                <w:szCs w:val="21"/>
              </w:rPr>
              <w:t>本项目在</w:t>
            </w:r>
            <w:r>
              <w:rPr>
                <w:rFonts w:hint="eastAsia"/>
                <w:color w:val="auto"/>
                <w:szCs w:val="21"/>
                <w:lang w:eastAsia="zh-CN"/>
              </w:rPr>
              <w:t>注塑</w:t>
            </w:r>
            <w:r>
              <w:rPr>
                <w:rFonts w:hint="eastAsia"/>
                <w:color w:val="auto"/>
                <w:szCs w:val="21"/>
              </w:rPr>
              <w:t>机</w:t>
            </w:r>
            <w:r>
              <w:rPr>
                <w:rFonts w:hint="eastAsia"/>
                <w:color w:val="auto"/>
                <w:szCs w:val="21"/>
                <w:lang w:eastAsia="zh-CN"/>
              </w:rPr>
              <w:t>上方</w:t>
            </w:r>
            <w:r>
              <w:rPr>
                <w:color w:val="auto"/>
                <w:szCs w:val="21"/>
              </w:rPr>
              <w:t>分别设置集气罩，共设置</w:t>
            </w:r>
            <w:r>
              <w:rPr>
                <w:rFonts w:hint="eastAsia"/>
                <w:color w:val="auto"/>
                <w:szCs w:val="21"/>
              </w:rPr>
              <w:t>“</w:t>
            </w:r>
            <w:r>
              <w:rPr>
                <w:rFonts w:hint="eastAsia"/>
                <w:color w:val="auto"/>
                <w:szCs w:val="21"/>
                <w:lang w:val="en-US" w:eastAsia="zh-CN"/>
              </w:rPr>
              <w:t>20</w:t>
            </w:r>
            <w:r>
              <w:rPr>
                <w:color w:val="auto"/>
                <w:szCs w:val="21"/>
              </w:rPr>
              <w:t>个集气罩将废气统一收集进入</w:t>
            </w:r>
            <w:r>
              <w:rPr>
                <w:rFonts w:hint="eastAsia"/>
                <w:color w:val="auto"/>
                <w:szCs w:val="21"/>
              </w:rPr>
              <w:t>1</w:t>
            </w:r>
            <w:r>
              <w:rPr>
                <w:color w:val="auto"/>
                <w:szCs w:val="21"/>
              </w:rPr>
              <w:t>套“</w:t>
            </w:r>
            <w:r>
              <w:rPr>
                <w:rFonts w:hint="eastAsia"/>
                <w:color w:val="auto"/>
                <w:kern w:val="0"/>
                <w:szCs w:val="21"/>
                <w:lang w:val="zh-CN" w:bidi="ar"/>
              </w:rPr>
              <w:t>三级活性炭吸附装置</w:t>
            </w:r>
            <w:r>
              <w:rPr>
                <w:color w:val="auto"/>
                <w:szCs w:val="21"/>
              </w:rPr>
              <w:t>”处理达标后由1根15m高排气筒（DA00</w:t>
            </w:r>
            <w:r>
              <w:rPr>
                <w:rFonts w:hint="eastAsia"/>
                <w:color w:val="auto"/>
                <w:szCs w:val="21"/>
                <w:lang w:val="en-US" w:eastAsia="zh-CN"/>
              </w:rPr>
              <w:t>1</w:t>
            </w:r>
            <w:r>
              <w:rPr>
                <w:color w:val="auto"/>
                <w:szCs w:val="21"/>
              </w:rPr>
              <w:t>）排放，配套</w:t>
            </w:r>
            <w:r>
              <w:rPr>
                <w:bCs/>
                <w:color w:val="auto"/>
                <w:szCs w:val="21"/>
              </w:rPr>
              <w:t>风量为</w:t>
            </w:r>
            <w:r>
              <w:rPr>
                <w:rFonts w:hint="eastAsia"/>
                <w:color w:val="auto"/>
                <w:kern w:val="0"/>
                <w:szCs w:val="21"/>
                <w:highlight w:val="none"/>
                <w:lang w:val="en-US" w:eastAsia="zh-CN" w:bidi="ar"/>
              </w:rPr>
              <w:t>20000</w:t>
            </w:r>
            <w:r>
              <w:rPr>
                <w:color w:val="auto"/>
                <w:kern w:val="0"/>
                <w:szCs w:val="21"/>
                <w:highlight w:val="none"/>
                <w:lang w:bidi="ar"/>
              </w:rPr>
              <w:t>m</w:t>
            </w:r>
            <w:r>
              <w:rPr>
                <w:color w:val="auto"/>
                <w:kern w:val="0"/>
                <w:szCs w:val="21"/>
                <w:highlight w:val="none"/>
                <w:vertAlign w:val="superscript"/>
                <w:lang w:bidi="ar"/>
              </w:rPr>
              <w:t>3</w:t>
            </w:r>
            <w:r>
              <w:rPr>
                <w:color w:val="auto"/>
                <w:kern w:val="0"/>
                <w:szCs w:val="21"/>
                <w:highlight w:val="none"/>
                <w:lang w:bidi="ar"/>
              </w:rPr>
              <w:t>/h</w:t>
            </w:r>
            <w:r>
              <w:rPr>
                <w:color w:val="auto"/>
                <w:szCs w:val="21"/>
              </w:rPr>
              <w:t>。废气收集效率为</w:t>
            </w:r>
            <w:r>
              <w:rPr>
                <w:rFonts w:hint="eastAsia"/>
                <w:color w:val="auto"/>
                <w:szCs w:val="21"/>
              </w:rPr>
              <w:t>8</w:t>
            </w:r>
            <w:r>
              <w:rPr>
                <w:color w:val="auto"/>
                <w:szCs w:val="21"/>
              </w:rPr>
              <w:t>0%，</w:t>
            </w:r>
            <w:r>
              <w:rPr>
                <w:bCs/>
                <w:color w:val="auto"/>
                <w:szCs w:val="21"/>
              </w:rPr>
              <w:t>去除效率</w:t>
            </w:r>
            <w:r>
              <w:rPr>
                <w:rFonts w:hint="eastAsia"/>
                <w:bCs/>
                <w:color w:val="auto"/>
                <w:szCs w:val="21"/>
              </w:rPr>
              <w:t>80</w:t>
            </w:r>
            <w:r>
              <w:rPr>
                <w:bCs/>
                <w:color w:val="auto"/>
                <w:szCs w:val="21"/>
              </w:rPr>
              <w:t>%，排气筒内径</w:t>
            </w:r>
            <w:r>
              <w:rPr>
                <w:rFonts w:hint="eastAsia"/>
                <w:bCs/>
                <w:color w:val="auto"/>
                <w:szCs w:val="21"/>
                <w:highlight w:val="none"/>
              </w:rPr>
              <w:t>0.</w:t>
            </w:r>
            <w:r>
              <w:rPr>
                <w:rFonts w:hint="eastAsia"/>
                <w:bCs/>
                <w:color w:val="auto"/>
                <w:szCs w:val="21"/>
                <w:highlight w:val="none"/>
                <w:lang w:val="en-US" w:eastAsia="zh-CN"/>
              </w:rPr>
              <w:t>6</w:t>
            </w:r>
            <w:r>
              <w:rPr>
                <w:bCs/>
                <w:color w:val="auto"/>
                <w:szCs w:val="21"/>
                <w:highlight w:val="none"/>
              </w:rPr>
              <w:t>m</w:t>
            </w:r>
            <w:r>
              <w:rPr>
                <w:color w:val="auto"/>
                <w:szCs w:val="21"/>
              </w:rPr>
              <w:t>。</w:t>
            </w:r>
          </w:p>
        </w:tc>
        <w:tc>
          <w:tcPr>
            <w:tcW w:w="2154" w:type="dxa"/>
            <w:vMerge w:val="restart"/>
            <w:vAlign w:val="center"/>
          </w:tcPr>
          <w:p w14:paraId="6300F546">
            <w:pPr>
              <w:adjustRightInd w:val="0"/>
              <w:snapToGrid w:val="0"/>
              <w:jc w:val="center"/>
              <w:rPr>
                <w:color w:val="auto"/>
                <w:szCs w:val="21"/>
              </w:rPr>
            </w:pPr>
            <w:r>
              <w:rPr>
                <w:color w:val="auto"/>
                <w:szCs w:val="21"/>
              </w:rPr>
              <w:t>《合成树脂工业污染物排放标准》（GB31572-2015）</w:t>
            </w:r>
            <w:r>
              <w:rPr>
                <w:rFonts w:hint="default" w:ascii="Times New Roman" w:hAnsi="Times New Roman" w:eastAsia="宋体" w:cs="Times New Roman"/>
                <w:color w:val="auto"/>
                <w:sz w:val="21"/>
                <w:szCs w:val="21"/>
                <w:highlight w:val="none"/>
                <w:lang w:val="en-US" w:eastAsia="zh-CN"/>
              </w:rPr>
              <w:t>及2024年修改单</w:t>
            </w:r>
            <w:r>
              <w:rPr>
                <w:rFonts w:hint="default" w:ascii="Times New Roman" w:hAnsi="Times New Roman" w:eastAsia="宋体" w:cs="Times New Roman"/>
                <w:color w:val="auto"/>
                <w:sz w:val="21"/>
                <w:szCs w:val="21"/>
                <w:highlight w:val="none"/>
                <w:lang w:eastAsia="zh-CN"/>
              </w:rPr>
              <w:t>中</w:t>
            </w:r>
            <w:r>
              <w:rPr>
                <w:rFonts w:hint="default" w:ascii="Times New Roman" w:hAnsi="Times New Roman" w:eastAsia="宋体" w:cs="Times New Roman"/>
                <w:color w:val="auto"/>
                <w:sz w:val="21"/>
                <w:szCs w:val="21"/>
                <w:highlight w:val="none"/>
                <w:lang w:val="en-US" w:eastAsia="zh-CN"/>
              </w:rPr>
              <w:t>表4大气污染物排放限值</w:t>
            </w:r>
            <w:r>
              <w:rPr>
                <w:rFonts w:hint="eastAsia"/>
                <w:color w:val="auto"/>
                <w:sz w:val="21"/>
                <w:szCs w:val="21"/>
              </w:rPr>
              <w:t>。</w:t>
            </w:r>
          </w:p>
        </w:tc>
      </w:tr>
      <w:tr w14:paraId="07999D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704" w:type="dxa"/>
            <w:vMerge w:val="continue"/>
            <w:vAlign w:val="center"/>
          </w:tcPr>
          <w:p w14:paraId="6E43895E">
            <w:pPr>
              <w:adjustRightInd w:val="0"/>
              <w:snapToGrid w:val="0"/>
              <w:jc w:val="center"/>
              <w:rPr>
                <w:color w:val="auto"/>
              </w:rPr>
            </w:pPr>
          </w:p>
        </w:tc>
        <w:tc>
          <w:tcPr>
            <w:tcW w:w="1375" w:type="dxa"/>
            <w:vAlign w:val="center"/>
          </w:tcPr>
          <w:p w14:paraId="769F6D5A">
            <w:pPr>
              <w:jc w:val="center"/>
              <w:rPr>
                <w:rFonts w:hint="default" w:eastAsia="宋体"/>
                <w:color w:val="auto"/>
                <w:szCs w:val="21"/>
                <w:lang w:val="en-US" w:eastAsia="zh-CN"/>
              </w:rPr>
            </w:pPr>
            <w:r>
              <w:rPr>
                <w:rFonts w:hint="eastAsia"/>
                <w:color w:val="auto"/>
                <w:szCs w:val="21"/>
                <w:lang w:eastAsia="zh-CN"/>
              </w:rPr>
              <w:t>破碎</w:t>
            </w:r>
            <w:r>
              <w:rPr>
                <w:rFonts w:hint="eastAsia"/>
                <w:color w:val="auto"/>
                <w:szCs w:val="21"/>
              </w:rPr>
              <w:t>废气</w:t>
            </w:r>
            <w:r>
              <w:rPr>
                <w:rFonts w:hint="eastAsia"/>
                <w:color w:val="auto"/>
                <w:szCs w:val="21"/>
                <w:lang w:val="en-US" w:eastAsia="zh-CN"/>
              </w:rPr>
              <w:t>/DA002</w:t>
            </w:r>
          </w:p>
          <w:p w14:paraId="484A1DF9">
            <w:pPr>
              <w:jc w:val="center"/>
              <w:rPr>
                <w:color w:val="auto"/>
                <w:szCs w:val="21"/>
              </w:rPr>
            </w:pPr>
          </w:p>
        </w:tc>
        <w:tc>
          <w:tcPr>
            <w:tcW w:w="1242" w:type="dxa"/>
            <w:vAlign w:val="center"/>
          </w:tcPr>
          <w:p w14:paraId="76103498">
            <w:pPr>
              <w:adjustRightInd w:val="0"/>
              <w:snapToGrid w:val="0"/>
              <w:spacing w:line="0" w:lineRule="atLeast"/>
              <w:jc w:val="center"/>
              <w:rPr>
                <w:color w:val="auto"/>
                <w:szCs w:val="21"/>
              </w:rPr>
            </w:pPr>
            <w:r>
              <w:rPr>
                <w:rFonts w:hint="eastAsia"/>
                <w:color w:val="auto"/>
                <w:szCs w:val="21"/>
              </w:rPr>
              <w:t>颗粒物</w:t>
            </w:r>
          </w:p>
        </w:tc>
        <w:tc>
          <w:tcPr>
            <w:tcW w:w="3403" w:type="dxa"/>
            <w:vAlign w:val="center"/>
          </w:tcPr>
          <w:p w14:paraId="529B5D11">
            <w:pPr>
              <w:adjustRightInd w:val="0"/>
              <w:snapToGrid w:val="0"/>
              <w:spacing w:line="0" w:lineRule="atLeast"/>
              <w:jc w:val="center"/>
              <w:rPr>
                <w:color w:val="auto"/>
                <w:szCs w:val="21"/>
              </w:rPr>
            </w:pPr>
            <w:r>
              <w:rPr>
                <w:color w:val="auto"/>
                <w:szCs w:val="21"/>
              </w:rPr>
              <w:t>本项目在</w:t>
            </w:r>
            <w:r>
              <w:rPr>
                <w:rFonts w:hint="eastAsia"/>
                <w:color w:val="auto"/>
                <w:szCs w:val="21"/>
                <w:lang w:val="en-US" w:eastAsia="zh-CN"/>
              </w:rPr>
              <w:t>破碎</w:t>
            </w:r>
            <w:r>
              <w:rPr>
                <w:rFonts w:hint="eastAsia"/>
                <w:color w:val="auto"/>
                <w:szCs w:val="21"/>
              </w:rPr>
              <w:t>机</w:t>
            </w:r>
            <w:r>
              <w:rPr>
                <w:rFonts w:hint="eastAsia"/>
                <w:color w:val="auto"/>
                <w:szCs w:val="21"/>
                <w:lang w:eastAsia="zh-CN"/>
              </w:rPr>
              <w:t>上方</w:t>
            </w:r>
            <w:r>
              <w:rPr>
                <w:color w:val="auto"/>
                <w:szCs w:val="21"/>
              </w:rPr>
              <w:t>分别设置集气罩，共设置</w:t>
            </w:r>
            <w:r>
              <w:rPr>
                <w:rFonts w:hint="eastAsia"/>
                <w:color w:val="auto"/>
                <w:szCs w:val="21"/>
              </w:rPr>
              <w:t>“</w:t>
            </w:r>
            <w:r>
              <w:rPr>
                <w:rFonts w:hint="eastAsia"/>
                <w:color w:val="auto"/>
                <w:szCs w:val="21"/>
                <w:lang w:val="en-US" w:eastAsia="zh-CN"/>
              </w:rPr>
              <w:t>2</w:t>
            </w:r>
            <w:r>
              <w:rPr>
                <w:color w:val="auto"/>
                <w:szCs w:val="21"/>
              </w:rPr>
              <w:t>个集气罩将废气统一收集进入</w:t>
            </w:r>
            <w:r>
              <w:rPr>
                <w:rFonts w:hint="eastAsia"/>
                <w:color w:val="auto"/>
                <w:szCs w:val="21"/>
              </w:rPr>
              <w:t>1</w:t>
            </w:r>
            <w:r>
              <w:rPr>
                <w:color w:val="auto"/>
                <w:szCs w:val="21"/>
              </w:rPr>
              <w:t>套“</w:t>
            </w:r>
            <w:r>
              <w:rPr>
                <w:rFonts w:hint="eastAsia"/>
                <w:color w:val="auto"/>
                <w:kern w:val="0"/>
                <w:szCs w:val="21"/>
                <w:lang w:val="en-US" w:eastAsia="zh-CN" w:bidi="ar"/>
              </w:rPr>
              <w:t>布袋除尘器</w:t>
            </w:r>
            <w:r>
              <w:rPr>
                <w:color w:val="auto"/>
                <w:szCs w:val="21"/>
              </w:rPr>
              <w:t>”处理达标后由1根15m高排气筒（DA00</w:t>
            </w:r>
            <w:r>
              <w:rPr>
                <w:rFonts w:hint="eastAsia"/>
                <w:color w:val="auto"/>
                <w:szCs w:val="21"/>
                <w:lang w:val="en-US" w:eastAsia="zh-CN"/>
              </w:rPr>
              <w:t>2</w:t>
            </w:r>
            <w:r>
              <w:rPr>
                <w:color w:val="auto"/>
                <w:szCs w:val="21"/>
              </w:rPr>
              <w:t>）排放，配套</w:t>
            </w:r>
            <w:r>
              <w:rPr>
                <w:bCs/>
                <w:color w:val="auto"/>
                <w:szCs w:val="21"/>
              </w:rPr>
              <w:t>风量为</w:t>
            </w:r>
            <w:r>
              <w:rPr>
                <w:rFonts w:hint="eastAsia"/>
                <w:bCs/>
                <w:color w:val="auto"/>
                <w:szCs w:val="21"/>
                <w:lang w:val="en-US" w:eastAsia="zh-CN"/>
              </w:rPr>
              <w:t>1000</w:t>
            </w:r>
            <w:r>
              <w:rPr>
                <w:color w:val="auto"/>
                <w:kern w:val="0"/>
                <w:szCs w:val="21"/>
                <w:highlight w:val="none"/>
                <w:lang w:bidi="ar"/>
              </w:rPr>
              <w:t>m</w:t>
            </w:r>
            <w:r>
              <w:rPr>
                <w:color w:val="auto"/>
                <w:kern w:val="0"/>
                <w:szCs w:val="21"/>
                <w:highlight w:val="none"/>
                <w:vertAlign w:val="superscript"/>
                <w:lang w:bidi="ar"/>
              </w:rPr>
              <w:t>3</w:t>
            </w:r>
            <w:r>
              <w:rPr>
                <w:color w:val="auto"/>
                <w:kern w:val="0"/>
                <w:szCs w:val="21"/>
                <w:highlight w:val="none"/>
                <w:lang w:bidi="ar"/>
              </w:rPr>
              <w:t>/h</w:t>
            </w:r>
            <w:r>
              <w:rPr>
                <w:color w:val="auto"/>
                <w:szCs w:val="21"/>
                <w:highlight w:val="none"/>
              </w:rPr>
              <w:t>。废气收集效率为</w:t>
            </w:r>
            <w:r>
              <w:rPr>
                <w:rFonts w:hint="eastAsia"/>
                <w:color w:val="auto"/>
                <w:szCs w:val="21"/>
                <w:highlight w:val="none"/>
              </w:rPr>
              <w:t>8</w:t>
            </w:r>
            <w:r>
              <w:rPr>
                <w:color w:val="auto"/>
                <w:szCs w:val="21"/>
                <w:highlight w:val="none"/>
              </w:rPr>
              <w:t>0%，</w:t>
            </w:r>
            <w:r>
              <w:rPr>
                <w:bCs/>
                <w:color w:val="auto"/>
                <w:szCs w:val="21"/>
                <w:highlight w:val="none"/>
              </w:rPr>
              <w:t>去除效率</w:t>
            </w:r>
            <w:r>
              <w:rPr>
                <w:rFonts w:hint="eastAsia"/>
                <w:bCs/>
                <w:color w:val="auto"/>
                <w:szCs w:val="21"/>
                <w:highlight w:val="none"/>
                <w:lang w:val="en-US" w:eastAsia="zh-CN"/>
              </w:rPr>
              <w:t>99</w:t>
            </w:r>
            <w:r>
              <w:rPr>
                <w:bCs/>
                <w:color w:val="auto"/>
                <w:szCs w:val="21"/>
                <w:highlight w:val="none"/>
              </w:rPr>
              <w:t>%，排气筒内径</w:t>
            </w:r>
            <w:r>
              <w:rPr>
                <w:rFonts w:hint="eastAsia"/>
                <w:bCs/>
                <w:color w:val="auto"/>
                <w:szCs w:val="21"/>
                <w:highlight w:val="none"/>
              </w:rPr>
              <w:t>0.</w:t>
            </w:r>
            <w:r>
              <w:rPr>
                <w:rFonts w:hint="eastAsia"/>
                <w:bCs/>
                <w:color w:val="auto"/>
                <w:szCs w:val="21"/>
                <w:highlight w:val="none"/>
                <w:lang w:val="en-US" w:eastAsia="zh-CN"/>
              </w:rPr>
              <w:t>15</w:t>
            </w:r>
            <w:r>
              <w:rPr>
                <w:bCs/>
                <w:color w:val="auto"/>
                <w:szCs w:val="21"/>
                <w:highlight w:val="none"/>
              </w:rPr>
              <w:t>m</w:t>
            </w:r>
            <w:r>
              <w:rPr>
                <w:color w:val="auto"/>
                <w:szCs w:val="21"/>
                <w:highlight w:val="none"/>
              </w:rPr>
              <w:t>。</w:t>
            </w:r>
          </w:p>
        </w:tc>
        <w:tc>
          <w:tcPr>
            <w:tcW w:w="2154" w:type="dxa"/>
            <w:vMerge w:val="continue"/>
            <w:vAlign w:val="center"/>
          </w:tcPr>
          <w:p w14:paraId="43A2CE95">
            <w:pPr>
              <w:adjustRightInd w:val="0"/>
              <w:snapToGrid w:val="0"/>
              <w:jc w:val="center"/>
              <w:rPr>
                <w:color w:val="auto"/>
                <w:szCs w:val="21"/>
              </w:rPr>
            </w:pPr>
          </w:p>
        </w:tc>
      </w:tr>
      <w:tr w14:paraId="336F52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10" w:hRule="atLeast"/>
          <w:jc w:val="center"/>
        </w:trPr>
        <w:tc>
          <w:tcPr>
            <w:tcW w:w="704" w:type="dxa"/>
            <w:vMerge w:val="continue"/>
            <w:vAlign w:val="center"/>
          </w:tcPr>
          <w:p w14:paraId="68542E01">
            <w:pPr>
              <w:adjustRightInd w:val="0"/>
              <w:snapToGrid w:val="0"/>
              <w:jc w:val="center"/>
              <w:rPr>
                <w:color w:val="auto"/>
              </w:rPr>
            </w:pPr>
          </w:p>
        </w:tc>
        <w:tc>
          <w:tcPr>
            <w:tcW w:w="1375" w:type="dxa"/>
            <w:vAlign w:val="center"/>
          </w:tcPr>
          <w:p w14:paraId="13F66479">
            <w:pPr>
              <w:shd w:val="clear"/>
              <w:adjustRightInd w:val="0"/>
              <w:snapToGrid w:val="0"/>
              <w:jc w:val="center"/>
              <w:rPr>
                <w:color w:val="auto"/>
                <w:szCs w:val="21"/>
              </w:rPr>
            </w:pPr>
            <w:r>
              <w:rPr>
                <w:rFonts w:hint="default" w:ascii="Times New Roman" w:hAnsi="Times New Roman" w:eastAsia="宋体" w:cs="Times New Roman"/>
                <w:color w:val="auto"/>
                <w:sz w:val="21"/>
                <w:szCs w:val="21"/>
                <w:highlight w:val="none"/>
                <w:lang w:val="en-US" w:eastAsia="zh-CN"/>
              </w:rPr>
              <w:t>生产车间</w:t>
            </w:r>
            <w:r>
              <w:rPr>
                <w:rFonts w:hint="eastAsia" w:ascii="Times New Roman" w:hAnsi="Times New Roman" w:eastAsia="宋体" w:cs="Times New Roman"/>
                <w:color w:val="auto"/>
                <w:sz w:val="21"/>
                <w:szCs w:val="21"/>
                <w:highlight w:val="none"/>
                <w:lang w:val="en-US" w:eastAsia="zh-CN"/>
              </w:rPr>
              <w:t>注塑</w:t>
            </w:r>
            <w:r>
              <w:rPr>
                <w:rFonts w:hint="default" w:ascii="Times New Roman" w:hAnsi="Times New Roman" w:eastAsia="宋体" w:cs="Times New Roman"/>
                <w:color w:val="auto"/>
                <w:sz w:val="21"/>
                <w:szCs w:val="21"/>
                <w:highlight w:val="none"/>
                <w:lang w:val="en-US" w:eastAsia="zh-CN"/>
              </w:rPr>
              <w:t>过程未收集无组织废气</w:t>
            </w:r>
            <w:r>
              <w:rPr>
                <w:rFonts w:hint="eastAsia" w:ascii="Times New Roman" w:hAnsi="Times New Roman" w:eastAsia="宋体" w:cs="Times New Roman"/>
                <w:color w:val="auto"/>
                <w:sz w:val="21"/>
                <w:szCs w:val="21"/>
                <w:highlight w:val="none"/>
                <w:lang w:val="en-US" w:eastAsia="zh-CN"/>
              </w:rPr>
              <w:t>及破碎工段无组织废气</w:t>
            </w:r>
          </w:p>
        </w:tc>
        <w:tc>
          <w:tcPr>
            <w:tcW w:w="1242" w:type="dxa"/>
            <w:vAlign w:val="center"/>
          </w:tcPr>
          <w:p w14:paraId="75C7592D">
            <w:pPr>
              <w:shd w:val="clear"/>
              <w:adjustRightInd w:val="0"/>
              <w:snapToGrid w:val="0"/>
              <w:jc w:val="center"/>
              <w:rPr>
                <w:rFonts w:hint="eastAsia"/>
                <w:color w:val="auto"/>
                <w:szCs w:val="21"/>
              </w:rPr>
            </w:pPr>
            <w:r>
              <w:rPr>
                <w:rFonts w:hint="eastAsia" w:ascii="Times New Roman" w:hAnsi="Times New Roman" w:eastAsia="宋体" w:cs="Times New Roman"/>
                <w:color w:val="auto"/>
                <w:sz w:val="21"/>
                <w:szCs w:val="21"/>
                <w:highlight w:val="none"/>
                <w:lang w:val="en-US" w:eastAsia="zh-CN"/>
              </w:rPr>
              <w:t>颗粒物、</w:t>
            </w:r>
            <w:r>
              <w:rPr>
                <w:rFonts w:hint="default" w:ascii="Times New Roman" w:hAnsi="Times New Roman" w:eastAsia="宋体" w:cs="Times New Roman"/>
                <w:color w:val="auto"/>
                <w:sz w:val="21"/>
                <w:szCs w:val="21"/>
                <w:highlight w:val="none"/>
                <w:lang w:val="en-US" w:eastAsia="zh-CN"/>
              </w:rPr>
              <w:t>非甲烷总烃、臭气浓度</w:t>
            </w:r>
          </w:p>
        </w:tc>
        <w:tc>
          <w:tcPr>
            <w:tcW w:w="3403" w:type="dxa"/>
            <w:vAlign w:val="center"/>
          </w:tcPr>
          <w:p w14:paraId="35BAC573">
            <w:pPr>
              <w:adjustRightInd w:val="0"/>
              <w:snapToGrid w:val="0"/>
              <w:spacing w:line="0" w:lineRule="atLeast"/>
              <w:jc w:val="center"/>
              <w:rPr>
                <w:rFonts w:hint="eastAsia" w:eastAsia="宋体"/>
                <w:color w:val="auto"/>
                <w:szCs w:val="21"/>
                <w:lang w:eastAsia="zh-CN"/>
              </w:rPr>
            </w:pPr>
            <w:r>
              <w:rPr>
                <w:rFonts w:hint="eastAsia"/>
                <w:color w:val="auto"/>
                <w:szCs w:val="21"/>
                <w:lang w:eastAsia="zh-CN"/>
              </w:rPr>
              <w:t>加强通风及管理</w:t>
            </w:r>
          </w:p>
        </w:tc>
        <w:tc>
          <w:tcPr>
            <w:tcW w:w="2154" w:type="dxa"/>
            <w:vAlign w:val="center"/>
          </w:tcPr>
          <w:p w14:paraId="64331447">
            <w:pPr>
              <w:adjustRightInd w:val="0"/>
              <w:snapToGrid w:val="0"/>
              <w:jc w:val="center"/>
              <w:rPr>
                <w:color w:val="auto"/>
                <w:szCs w:val="21"/>
              </w:rPr>
            </w:pPr>
            <w:r>
              <w:rPr>
                <w:rFonts w:hint="eastAsia" w:ascii="Times New Roman" w:hAnsi="Times New Roman" w:eastAsia="宋体" w:cs="Times New Roman"/>
                <w:color w:val="auto"/>
                <w:sz w:val="21"/>
                <w:szCs w:val="21"/>
                <w:highlight w:val="none"/>
                <w:lang w:val="en-US" w:eastAsia="zh-CN"/>
              </w:rPr>
              <w:t>颗粒物、</w:t>
            </w:r>
            <w:r>
              <w:rPr>
                <w:rFonts w:hint="default" w:ascii="Times New Roman" w:hAnsi="Times New Roman" w:eastAsia="宋体" w:cs="Times New Roman"/>
                <w:color w:val="auto"/>
                <w:sz w:val="21"/>
                <w:szCs w:val="21"/>
                <w:highlight w:val="none"/>
                <w:lang w:val="en-US" w:eastAsia="zh-CN"/>
              </w:rPr>
              <w:t>非甲烷总烃执行《合成树脂工业污染物排放标准》（GB31572-2015）及2024年修改单中表9企业边界大气污染物浓度限值，臭气浓度执行</w:t>
            </w:r>
            <w:r>
              <w:rPr>
                <w:rFonts w:hint="default" w:ascii="Times New Roman" w:hAnsi="Times New Roman" w:eastAsia="宋体" w:cs="Times New Roman"/>
                <w:color w:val="auto"/>
                <w:sz w:val="21"/>
                <w:szCs w:val="21"/>
                <w:highlight w:val="none"/>
                <w:lang w:val="zh-CN"/>
              </w:rPr>
              <w:t>《恶臭污染物排放标准》（GB14554-93）表1</w:t>
            </w:r>
            <w:r>
              <w:rPr>
                <w:rFonts w:hint="default" w:ascii="Times New Roman" w:hAnsi="Times New Roman" w:eastAsia="宋体" w:cs="Times New Roman"/>
                <w:color w:val="auto"/>
                <w:sz w:val="21"/>
                <w:szCs w:val="21"/>
                <w:highlight w:val="none"/>
              </w:rPr>
              <w:t>中二级新建</w:t>
            </w:r>
            <w:r>
              <w:rPr>
                <w:rFonts w:hint="default" w:ascii="Times New Roman" w:hAnsi="Times New Roman" w:eastAsia="宋体" w:cs="Times New Roman"/>
                <w:color w:val="auto"/>
                <w:sz w:val="21"/>
                <w:szCs w:val="21"/>
                <w:highlight w:val="none"/>
                <w:lang w:val="zh-CN"/>
              </w:rPr>
              <w:t>企业厂界排放标准要求；厂内无组织VOCs排放浓度限值执行</w:t>
            </w:r>
            <w:r>
              <w:rPr>
                <w:rFonts w:hint="default" w:ascii="Times New Roman" w:hAnsi="Times New Roman" w:eastAsia="宋体" w:cs="Times New Roman"/>
                <w:color w:val="auto"/>
                <w:sz w:val="21"/>
                <w:szCs w:val="21"/>
                <w:highlight w:val="none"/>
              </w:rPr>
              <w:t>《挥发性有机物无组织排放控制标准》</w:t>
            </w:r>
            <w:r>
              <w:rPr>
                <w:rFonts w:hint="default" w:ascii="Times New Roman" w:hAnsi="Times New Roman" w:eastAsia="宋体" w:cs="Times New Roman"/>
                <w:color w:val="auto"/>
                <w:sz w:val="21"/>
                <w:szCs w:val="21"/>
                <w:highlight w:val="none"/>
                <w:lang w:val="zh-CN"/>
              </w:rPr>
              <w:t>（GB</w:t>
            </w:r>
            <w:r>
              <w:rPr>
                <w:rFonts w:hint="default" w:ascii="Times New Roman" w:hAnsi="Times New Roman" w:eastAsia="宋体" w:cs="Times New Roman"/>
                <w:color w:val="auto"/>
                <w:sz w:val="21"/>
                <w:szCs w:val="21"/>
                <w:highlight w:val="none"/>
              </w:rPr>
              <w:t>37822</w:t>
            </w:r>
            <w:r>
              <w:rPr>
                <w:rFonts w:hint="default" w:ascii="Times New Roman" w:hAnsi="Times New Roman" w:eastAsia="宋体" w:cs="Times New Roman"/>
                <w:color w:val="auto"/>
                <w:sz w:val="21"/>
                <w:szCs w:val="21"/>
                <w:highlight w:val="none"/>
                <w:lang w:val="zh-CN"/>
              </w:rPr>
              <w:t>-</w:t>
            </w:r>
            <w:r>
              <w:rPr>
                <w:rFonts w:hint="default" w:ascii="Times New Roman" w:hAnsi="Times New Roman" w:eastAsia="宋体" w:cs="Times New Roman"/>
                <w:color w:val="auto"/>
                <w:sz w:val="21"/>
                <w:szCs w:val="21"/>
                <w:highlight w:val="none"/>
              </w:rPr>
              <w:t>2019</w:t>
            </w:r>
            <w:r>
              <w:rPr>
                <w:rFonts w:hint="default" w:ascii="Times New Roman" w:hAnsi="Times New Roman" w:eastAsia="宋体" w:cs="Times New Roman"/>
                <w:color w:val="auto"/>
                <w:sz w:val="21"/>
                <w:szCs w:val="21"/>
                <w:highlight w:val="none"/>
                <w:lang w:val="zh-CN"/>
              </w:rPr>
              <w:t>）</w:t>
            </w:r>
            <w:r>
              <w:rPr>
                <w:rFonts w:hint="default" w:ascii="Times New Roman" w:hAnsi="Times New Roman" w:eastAsia="宋体" w:cs="Times New Roman"/>
                <w:color w:val="auto"/>
                <w:sz w:val="21"/>
                <w:szCs w:val="21"/>
                <w:highlight w:val="none"/>
              </w:rPr>
              <w:t>中的要求</w:t>
            </w:r>
            <w:r>
              <w:rPr>
                <w:rFonts w:hint="default" w:ascii="Times New Roman" w:hAnsi="Times New Roman" w:eastAsia="宋体" w:cs="Times New Roman"/>
                <w:color w:val="auto"/>
                <w:sz w:val="21"/>
                <w:szCs w:val="21"/>
                <w:highlight w:val="none"/>
                <w:lang w:eastAsia="zh-CN"/>
              </w:rPr>
              <w:t>。</w:t>
            </w:r>
          </w:p>
        </w:tc>
      </w:tr>
      <w:tr w14:paraId="2D8824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704" w:type="dxa"/>
            <w:vMerge w:val="continue"/>
            <w:vAlign w:val="center"/>
          </w:tcPr>
          <w:p w14:paraId="378B5B57">
            <w:pPr>
              <w:adjustRightInd w:val="0"/>
              <w:snapToGrid w:val="0"/>
              <w:jc w:val="center"/>
              <w:rPr>
                <w:color w:val="auto"/>
                <w:szCs w:val="21"/>
              </w:rPr>
            </w:pPr>
          </w:p>
        </w:tc>
        <w:tc>
          <w:tcPr>
            <w:tcW w:w="1375" w:type="dxa"/>
            <w:vAlign w:val="center"/>
          </w:tcPr>
          <w:p w14:paraId="174C96FF">
            <w:pPr>
              <w:pStyle w:val="28"/>
              <w:shd w:val="clear"/>
              <w:spacing w:after="0"/>
              <w:ind w:firstLine="0" w:firstLineChars="0"/>
              <w:jc w:val="center"/>
              <w:rPr>
                <w:color w:val="auto"/>
                <w:szCs w:val="21"/>
              </w:rPr>
            </w:pPr>
            <w:r>
              <w:rPr>
                <w:rFonts w:hint="default" w:ascii="Times New Roman" w:hAnsi="Times New Roman" w:eastAsia="宋体" w:cs="Times New Roman"/>
                <w:color w:val="auto"/>
                <w:sz w:val="21"/>
                <w:szCs w:val="21"/>
                <w:highlight w:val="none"/>
                <w:lang w:val="en-US" w:eastAsia="zh-CN"/>
              </w:rPr>
              <w:t>生产过程、</w:t>
            </w:r>
            <w:r>
              <w:rPr>
                <w:rFonts w:hint="eastAsia" w:cs="Times New Roman"/>
                <w:color w:val="auto"/>
                <w:sz w:val="21"/>
                <w:szCs w:val="21"/>
                <w:highlight w:val="none"/>
                <w:lang w:val="en-US" w:eastAsia="zh-CN"/>
              </w:rPr>
              <w:t>卫生间、</w:t>
            </w:r>
            <w:r>
              <w:rPr>
                <w:rFonts w:hint="default" w:ascii="Times New Roman" w:hAnsi="Times New Roman" w:eastAsia="宋体" w:cs="Times New Roman"/>
                <w:color w:val="auto"/>
                <w:sz w:val="21"/>
                <w:szCs w:val="21"/>
                <w:highlight w:val="none"/>
                <w:lang w:val="en-US" w:eastAsia="zh-CN"/>
              </w:rPr>
              <w:t>化粪池</w:t>
            </w:r>
          </w:p>
        </w:tc>
        <w:tc>
          <w:tcPr>
            <w:tcW w:w="1242" w:type="dxa"/>
            <w:vAlign w:val="center"/>
          </w:tcPr>
          <w:p w14:paraId="3192933D">
            <w:pPr>
              <w:pStyle w:val="28"/>
              <w:shd w:val="clear"/>
              <w:spacing w:after="0"/>
              <w:ind w:firstLine="0" w:firstLineChars="0"/>
              <w:jc w:val="center"/>
              <w:rPr>
                <w:color w:val="auto"/>
                <w:szCs w:val="21"/>
              </w:rPr>
            </w:pPr>
            <w:r>
              <w:rPr>
                <w:rFonts w:hint="default" w:ascii="Times New Roman" w:hAnsi="Times New Roman" w:eastAsia="宋体" w:cs="Times New Roman"/>
                <w:color w:val="auto"/>
                <w:sz w:val="21"/>
                <w:szCs w:val="21"/>
                <w:highlight w:val="none"/>
                <w:lang w:val="en-US" w:eastAsia="zh-CN"/>
              </w:rPr>
              <w:t>臭气浓度</w:t>
            </w:r>
          </w:p>
        </w:tc>
        <w:tc>
          <w:tcPr>
            <w:tcW w:w="3403" w:type="dxa"/>
            <w:vAlign w:val="center"/>
          </w:tcPr>
          <w:p w14:paraId="08ADE7FC">
            <w:pPr>
              <w:keepNext w:val="0"/>
              <w:keepLines w:val="0"/>
              <w:widowControl w:val="0"/>
              <w:suppressLineNumbers w:val="0"/>
              <w:shd w:val="clear"/>
              <w:spacing w:before="0" w:beforeAutospacing="0" w:after="0" w:afterAutospacing="0"/>
              <w:ind w:left="0" w:leftChars="0" w:right="0" w:rightChars="0"/>
              <w:jc w:val="center"/>
              <w:rPr>
                <w:color w:val="auto"/>
                <w:szCs w:val="21"/>
              </w:rPr>
            </w:pPr>
            <w:r>
              <w:rPr>
                <w:rFonts w:hint="default" w:ascii="Times New Roman" w:hAnsi="Times New Roman" w:eastAsia="宋体" w:cs="Times New Roman"/>
                <w:color w:val="auto"/>
                <w:szCs w:val="21"/>
                <w:highlight w:val="none"/>
                <w:lang w:val="en-US" w:eastAsia="zh-CN"/>
              </w:rPr>
              <w:t>项目生活垃圾日产日清</w:t>
            </w: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卫生间为水冲厕，设置专人打扫；化粪池为全封闭加盖设计</w:t>
            </w: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加强通风及管理。</w:t>
            </w:r>
          </w:p>
        </w:tc>
        <w:tc>
          <w:tcPr>
            <w:tcW w:w="2154" w:type="dxa"/>
            <w:vAlign w:val="center"/>
          </w:tcPr>
          <w:p w14:paraId="6DA23CF6">
            <w:pPr>
              <w:keepNext w:val="0"/>
              <w:keepLines w:val="0"/>
              <w:widowControl w:val="0"/>
              <w:suppressLineNumbers w:val="0"/>
              <w:shd w:val="clear"/>
              <w:spacing w:before="0" w:beforeAutospacing="0" w:after="0" w:afterAutospacing="0"/>
              <w:ind w:left="0" w:leftChars="0" w:right="0" w:rightChars="0"/>
              <w:jc w:val="center"/>
              <w:rPr>
                <w:color w:val="auto"/>
                <w:szCs w:val="21"/>
              </w:rPr>
            </w:pPr>
            <w:r>
              <w:rPr>
                <w:rFonts w:hint="default" w:ascii="Times New Roman" w:hAnsi="Times New Roman" w:eastAsia="宋体" w:cs="Times New Roman"/>
                <w:color w:val="auto"/>
                <w:sz w:val="21"/>
                <w:szCs w:val="21"/>
                <w:highlight w:val="none"/>
                <w:lang w:val="zh-CN" w:eastAsia="zh-CN"/>
              </w:rPr>
              <w:t>《恶臭污染物排放标准》（GB14554-93）表1</w:t>
            </w:r>
            <w:r>
              <w:rPr>
                <w:rFonts w:hint="default" w:ascii="Times New Roman" w:hAnsi="Times New Roman" w:eastAsia="宋体" w:cs="Times New Roman"/>
                <w:color w:val="auto"/>
                <w:sz w:val="21"/>
                <w:szCs w:val="21"/>
                <w:highlight w:val="none"/>
                <w:lang w:val="en-US" w:eastAsia="zh-CN"/>
              </w:rPr>
              <w:t>中二级新建</w:t>
            </w:r>
            <w:r>
              <w:rPr>
                <w:rFonts w:hint="default" w:ascii="Times New Roman" w:hAnsi="Times New Roman" w:eastAsia="宋体" w:cs="Times New Roman"/>
                <w:color w:val="auto"/>
                <w:sz w:val="21"/>
                <w:szCs w:val="21"/>
                <w:highlight w:val="none"/>
                <w:lang w:val="zh-CN" w:eastAsia="zh-CN"/>
              </w:rPr>
              <w:t>企业厂界排放标准要求，</w:t>
            </w:r>
            <w:r>
              <w:rPr>
                <w:rFonts w:hint="default" w:ascii="Times New Roman" w:hAnsi="Times New Roman" w:eastAsia="宋体" w:cs="Times New Roman"/>
                <w:color w:val="auto"/>
                <w:sz w:val="21"/>
                <w:szCs w:val="21"/>
                <w:highlight w:val="none"/>
                <w:lang w:val="en-US" w:eastAsia="zh-CN"/>
              </w:rPr>
              <w:t>即无组织</w:t>
            </w:r>
            <w:r>
              <w:rPr>
                <w:rFonts w:hint="default" w:ascii="Times New Roman" w:hAnsi="Times New Roman" w:eastAsia="宋体" w:cs="Times New Roman"/>
                <w:bCs/>
                <w:color w:val="auto"/>
                <w:szCs w:val="21"/>
                <w:highlight w:val="none"/>
              </w:rPr>
              <w:t>臭气浓度</w:t>
            </w:r>
            <w:r>
              <w:rPr>
                <w:rFonts w:hint="default" w:ascii="Times New Roman" w:hAnsi="Times New Roman" w:eastAsia="宋体" w:cs="Times New Roman"/>
                <w:bCs/>
                <w:color w:val="auto"/>
                <w:szCs w:val="21"/>
                <w:highlight w:val="none"/>
                <w:lang w:val="en-US" w:eastAsia="zh-CN"/>
              </w:rPr>
              <w:t>≤20（无量纲）</w:t>
            </w:r>
            <w:r>
              <w:rPr>
                <w:rFonts w:hint="default" w:ascii="Times New Roman" w:hAnsi="Times New Roman" w:eastAsia="宋体" w:cs="Times New Roman"/>
                <w:color w:val="auto"/>
                <w:sz w:val="21"/>
                <w:szCs w:val="21"/>
                <w:highlight w:val="none"/>
                <w:lang w:val="zh-CN" w:eastAsia="zh-CN"/>
              </w:rPr>
              <w:t>。</w:t>
            </w:r>
          </w:p>
        </w:tc>
      </w:tr>
      <w:tr w14:paraId="1B9D37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704" w:type="dxa"/>
            <w:vMerge w:val="continue"/>
            <w:vAlign w:val="center"/>
          </w:tcPr>
          <w:p w14:paraId="09BA303A">
            <w:pPr>
              <w:adjustRightInd w:val="0"/>
              <w:snapToGrid w:val="0"/>
              <w:jc w:val="center"/>
              <w:rPr>
                <w:color w:val="auto"/>
                <w:szCs w:val="21"/>
              </w:rPr>
            </w:pPr>
          </w:p>
        </w:tc>
        <w:tc>
          <w:tcPr>
            <w:tcW w:w="1375" w:type="dxa"/>
            <w:vAlign w:val="center"/>
          </w:tcPr>
          <w:p w14:paraId="124BFAF8">
            <w:pPr>
              <w:pStyle w:val="28"/>
              <w:spacing w:after="0"/>
              <w:ind w:firstLine="0" w:firstLineChars="0"/>
              <w:jc w:val="center"/>
              <w:rPr>
                <w:color w:val="auto"/>
                <w:sz w:val="21"/>
                <w:szCs w:val="21"/>
              </w:rPr>
            </w:pPr>
            <w:r>
              <w:rPr>
                <w:color w:val="auto"/>
                <w:sz w:val="21"/>
                <w:szCs w:val="21"/>
              </w:rPr>
              <w:t>食堂</w:t>
            </w:r>
          </w:p>
        </w:tc>
        <w:tc>
          <w:tcPr>
            <w:tcW w:w="1242" w:type="dxa"/>
            <w:vAlign w:val="center"/>
          </w:tcPr>
          <w:p w14:paraId="124F6D36">
            <w:pPr>
              <w:pStyle w:val="28"/>
              <w:spacing w:after="0"/>
              <w:ind w:firstLine="0" w:firstLineChars="0"/>
              <w:jc w:val="center"/>
              <w:rPr>
                <w:color w:val="auto"/>
                <w:sz w:val="21"/>
                <w:szCs w:val="21"/>
              </w:rPr>
            </w:pPr>
            <w:r>
              <w:rPr>
                <w:rFonts w:hint="eastAsia"/>
                <w:color w:val="auto"/>
                <w:sz w:val="21"/>
                <w:szCs w:val="21"/>
              </w:rPr>
              <w:t>食堂</w:t>
            </w:r>
            <w:r>
              <w:rPr>
                <w:color w:val="auto"/>
                <w:sz w:val="21"/>
                <w:szCs w:val="21"/>
              </w:rPr>
              <w:t>油烟</w:t>
            </w:r>
          </w:p>
        </w:tc>
        <w:tc>
          <w:tcPr>
            <w:tcW w:w="3403" w:type="dxa"/>
            <w:vAlign w:val="center"/>
          </w:tcPr>
          <w:p w14:paraId="275D0B68">
            <w:pPr>
              <w:jc w:val="center"/>
              <w:rPr>
                <w:color w:val="auto"/>
                <w:szCs w:val="21"/>
              </w:rPr>
            </w:pPr>
            <w:r>
              <w:rPr>
                <w:color w:val="auto"/>
                <w:szCs w:val="21"/>
              </w:rPr>
              <w:t>食堂油烟配套“1台油烟净化设施+排气筒”，油烟净化器净化效率不低于</w:t>
            </w:r>
            <w:r>
              <w:rPr>
                <w:rFonts w:hint="eastAsia"/>
                <w:color w:val="auto"/>
                <w:szCs w:val="21"/>
              </w:rPr>
              <w:t>60</w:t>
            </w:r>
            <w:r>
              <w:rPr>
                <w:color w:val="auto"/>
                <w:szCs w:val="21"/>
              </w:rPr>
              <w:t>%。</w:t>
            </w:r>
          </w:p>
        </w:tc>
        <w:tc>
          <w:tcPr>
            <w:tcW w:w="2154" w:type="dxa"/>
            <w:vAlign w:val="center"/>
          </w:tcPr>
          <w:p w14:paraId="03C69EE4">
            <w:pPr>
              <w:adjustRightInd w:val="0"/>
              <w:snapToGrid w:val="0"/>
              <w:jc w:val="center"/>
              <w:rPr>
                <w:color w:val="auto"/>
                <w:szCs w:val="21"/>
              </w:rPr>
            </w:pPr>
            <w:r>
              <w:rPr>
                <w:color w:val="auto"/>
                <w:szCs w:val="21"/>
              </w:rPr>
              <w:t>《饮食业油烟排放标准（试行）》（GB18483-2001）中的</w:t>
            </w:r>
            <w:r>
              <w:rPr>
                <w:rFonts w:hint="eastAsia"/>
                <w:color w:val="auto"/>
                <w:szCs w:val="21"/>
              </w:rPr>
              <w:t>小</w:t>
            </w:r>
            <w:r>
              <w:rPr>
                <w:color w:val="auto"/>
                <w:szCs w:val="21"/>
              </w:rPr>
              <w:t>型规模最高允许排放浓度，即油烟≤2.0mg/m</w:t>
            </w:r>
            <w:r>
              <w:rPr>
                <w:color w:val="auto"/>
                <w:szCs w:val="21"/>
                <w:vertAlign w:val="superscript"/>
              </w:rPr>
              <w:t>3</w:t>
            </w:r>
            <w:r>
              <w:rPr>
                <w:color w:val="auto"/>
                <w:szCs w:val="21"/>
              </w:rPr>
              <w:t>。</w:t>
            </w:r>
          </w:p>
        </w:tc>
      </w:tr>
      <w:tr w14:paraId="316D84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vAlign w:val="center"/>
          </w:tcPr>
          <w:p w14:paraId="20226D36">
            <w:pPr>
              <w:adjustRightInd w:val="0"/>
              <w:snapToGrid w:val="0"/>
              <w:jc w:val="center"/>
              <w:rPr>
                <w:color w:val="auto"/>
                <w:szCs w:val="21"/>
              </w:rPr>
            </w:pPr>
            <w:r>
              <w:rPr>
                <w:color w:val="auto"/>
                <w:szCs w:val="21"/>
              </w:rPr>
              <w:t>地表水环境</w:t>
            </w:r>
          </w:p>
        </w:tc>
        <w:tc>
          <w:tcPr>
            <w:tcW w:w="1375" w:type="dxa"/>
            <w:vAlign w:val="center"/>
          </w:tcPr>
          <w:p w14:paraId="2C42FD25">
            <w:pPr>
              <w:pStyle w:val="28"/>
              <w:spacing w:after="0"/>
              <w:ind w:firstLine="0" w:firstLineChars="0"/>
              <w:jc w:val="center"/>
              <w:rPr>
                <w:color w:val="auto"/>
                <w:sz w:val="21"/>
                <w:szCs w:val="21"/>
              </w:rPr>
            </w:pPr>
            <w:r>
              <w:rPr>
                <w:color w:val="auto"/>
                <w:sz w:val="21"/>
                <w:szCs w:val="21"/>
              </w:rPr>
              <w:t>雨污分流</w:t>
            </w:r>
          </w:p>
        </w:tc>
        <w:tc>
          <w:tcPr>
            <w:tcW w:w="1242" w:type="dxa"/>
            <w:vAlign w:val="center"/>
          </w:tcPr>
          <w:p w14:paraId="532CA291">
            <w:pPr>
              <w:pStyle w:val="28"/>
              <w:spacing w:after="0"/>
              <w:ind w:firstLine="0" w:firstLineChars="0"/>
              <w:jc w:val="center"/>
              <w:rPr>
                <w:color w:val="auto"/>
                <w:sz w:val="21"/>
                <w:szCs w:val="21"/>
              </w:rPr>
            </w:pPr>
            <w:r>
              <w:rPr>
                <w:color w:val="auto"/>
                <w:sz w:val="21"/>
                <w:szCs w:val="21"/>
              </w:rPr>
              <w:t>/</w:t>
            </w:r>
          </w:p>
        </w:tc>
        <w:tc>
          <w:tcPr>
            <w:tcW w:w="3403" w:type="dxa"/>
            <w:vAlign w:val="center"/>
          </w:tcPr>
          <w:p w14:paraId="2D290AD8">
            <w:pPr>
              <w:jc w:val="center"/>
              <w:rPr>
                <w:color w:val="auto"/>
                <w:szCs w:val="21"/>
              </w:rPr>
            </w:pPr>
            <w:r>
              <w:rPr>
                <w:rFonts w:ascii="Times New Roman" w:hAnsi="Times New Roman" w:eastAsia="宋体" w:cs="Times New Roman"/>
                <w:color w:val="auto"/>
                <w:szCs w:val="21"/>
              </w:rPr>
              <w:t>项目排水采用雨污分流的排水方式，项目区建筑物屋面及地面雨水经厂区雨水沟收集后排入园区雨水市政管网。</w:t>
            </w:r>
          </w:p>
        </w:tc>
        <w:tc>
          <w:tcPr>
            <w:tcW w:w="2154" w:type="dxa"/>
            <w:vAlign w:val="center"/>
          </w:tcPr>
          <w:p w14:paraId="48F7A8DD">
            <w:pPr>
              <w:jc w:val="center"/>
              <w:rPr>
                <w:color w:val="auto"/>
                <w:szCs w:val="21"/>
              </w:rPr>
            </w:pPr>
            <w:r>
              <w:rPr>
                <w:color w:val="auto"/>
                <w:szCs w:val="21"/>
              </w:rPr>
              <w:t>雨污分流</w:t>
            </w:r>
          </w:p>
        </w:tc>
      </w:tr>
      <w:tr w14:paraId="419036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04" w:type="dxa"/>
            <w:vMerge w:val="continue"/>
            <w:vAlign w:val="center"/>
          </w:tcPr>
          <w:p w14:paraId="3395D2FF">
            <w:pPr>
              <w:adjustRightInd w:val="0"/>
              <w:snapToGrid w:val="0"/>
              <w:jc w:val="center"/>
              <w:rPr>
                <w:color w:val="auto"/>
                <w:szCs w:val="21"/>
              </w:rPr>
            </w:pPr>
          </w:p>
        </w:tc>
        <w:tc>
          <w:tcPr>
            <w:tcW w:w="1375" w:type="dxa"/>
            <w:vAlign w:val="center"/>
          </w:tcPr>
          <w:p w14:paraId="2CA50AC1">
            <w:pPr>
              <w:pStyle w:val="28"/>
              <w:spacing w:after="0"/>
              <w:ind w:firstLine="0" w:firstLineChars="0"/>
              <w:jc w:val="center"/>
              <w:rPr>
                <w:color w:val="auto"/>
                <w:sz w:val="21"/>
                <w:szCs w:val="21"/>
              </w:rPr>
            </w:pPr>
            <w:r>
              <w:rPr>
                <w:color w:val="auto"/>
                <w:sz w:val="21"/>
                <w:szCs w:val="21"/>
              </w:rPr>
              <w:t>生产过程冷却水</w:t>
            </w:r>
          </w:p>
        </w:tc>
        <w:tc>
          <w:tcPr>
            <w:tcW w:w="1242" w:type="dxa"/>
            <w:vAlign w:val="center"/>
          </w:tcPr>
          <w:p w14:paraId="4B63312D">
            <w:pPr>
              <w:pStyle w:val="28"/>
              <w:spacing w:after="0"/>
              <w:ind w:firstLine="0" w:firstLineChars="0"/>
              <w:jc w:val="center"/>
              <w:rPr>
                <w:color w:val="auto"/>
                <w:sz w:val="21"/>
                <w:szCs w:val="21"/>
              </w:rPr>
            </w:pPr>
            <w:r>
              <w:rPr>
                <w:color w:val="auto"/>
                <w:kern w:val="0"/>
                <w:sz w:val="21"/>
                <w:szCs w:val="21"/>
              </w:rPr>
              <w:t>SS</w:t>
            </w:r>
          </w:p>
        </w:tc>
        <w:tc>
          <w:tcPr>
            <w:tcW w:w="3403" w:type="dxa"/>
            <w:vAlign w:val="center"/>
          </w:tcPr>
          <w:p w14:paraId="121C8220">
            <w:pPr>
              <w:jc w:val="center"/>
              <w:rPr>
                <w:rFonts w:ascii="Times New Roman" w:hAnsi="Times New Roman" w:eastAsia="宋体" w:cs="Times New Roman"/>
                <w:color w:val="auto"/>
                <w:szCs w:val="21"/>
              </w:rPr>
            </w:pPr>
            <w:r>
              <w:rPr>
                <w:color w:val="auto"/>
                <w:szCs w:val="21"/>
              </w:rPr>
              <w:t>经冷却循环水</w:t>
            </w:r>
            <w:r>
              <w:rPr>
                <w:rFonts w:hint="eastAsia"/>
                <w:color w:val="auto"/>
                <w:szCs w:val="21"/>
                <w:lang w:val="en-US" w:eastAsia="zh-CN"/>
              </w:rPr>
              <w:t>箱</w:t>
            </w:r>
            <w:r>
              <w:rPr>
                <w:color w:val="auto"/>
                <w:szCs w:val="21"/>
              </w:rPr>
              <w:t>冷却后循环使用，不外排</w:t>
            </w:r>
            <w:r>
              <w:rPr>
                <w:rFonts w:hint="eastAsia"/>
                <w:color w:val="auto"/>
                <w:szCs w:val="21"/>
              </w:rPr>
              <w:t>。</w:t>
            </w:r>
          </w:p>
        </w:tc>
        <w:tc>
          <w:tcPr>
            <w:tcW w:w="2154" w:type="dxa"/>
            <w:vAlign w:val="center"/>
          </w:tcPr>
          <w:p w14:paraId="1A4AAB4B">
            <w:pPr>
              <w:jc w:val="center"/>
              <w:rPr>
                <w:color w:val="auto"/>
                <w:szCs w:val="21"/>
              </w:rPr>
            </w:pPr>
            <w:r>
              <w:rPr>
                <w:color w:val="auto"/>
                <w:szCs w:val="21"/>
              </w:rPr>
              <w:t>循环使用，不外排</w:t>
            </w:r>
          </w:p>
        </w:tc>
      </w:tr>
      <w:tr w14:paraId="6454D6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04" w:type="dxa"/>
            <w:vMerge w:val="continue"/>
            <w:vAlign w:val="center"/>
          </w:tcPr>
          <w:p w14:paraId="7D815FCA">
            <w:pPr>
              <w:adjustRightInd w:val="0"/>
              <w:snapToGrid w:val="0"/>
              <w:jc w:val="center"/>
              <w:rPr>
                <w:color w:val="auto"/>
                <w:szCs w:val="21"/>
              </w:rPr>
            </w:pPr>
          </w:p>
        </w:tc>
        <w:tc>
          <w:tcPr>
            <w:tcW w:w="1375" w:type="dxa"/>
            <w:vAlign w:val="center"/>
          </w:tcPr>
          <w:p w14:paraId="6D1DD12E">
            <w:pPr>
              <w:pStyle w:val="28"/>
              <w:spacing w:after="0"/>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生活污水</w:t>
            </w:r>
          </w:p>
          <w:p w14:paraId="02182921">
            <w:pPr>
              <w:pStyle w:val="28"/>
              <w:spacing w:after="0"/>
              <w:ind w:firstLine="0" w:firstLineChars="0"/>
              <w:jc w:val="center"/>
              <w:rPr>
                <w:rFonts w:hint="default" w:ascii="Times New Roman" w:hAnsi="Times New Roman" w:eastAsia="宋体" w:cs="Times New Roman"/>
                <w:color w:val="auto"/>
                <w:kern w:val="2"/>
                <w:sz w:val="21"/>
                <w:szCs w:val="21"/>
                <w:lang w:val="en-US" w:eastAsia="zh-CN" w:bidi="ar-SA"/>
              </w:rPr>
            </w:pPr>
          </w:p>
        </w:tc>
        <w:tc>
          <w:tcPr>
            <w:tcW w:w="1242" w:type="dxa"/>
            <w:vAlign w:val="center"/>
          </w:tcPr>
          <w:p w14:paraId="4C3CB1F2">
            <w:pPr>
              <w:pStyle w:val="28"/>
              <w:spacing w:after="0"/>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PH、</w:t>
            </w:r>
            <w:r>
              <w:rPr>
                <w:rFonts w:hint="default" w:ascii="Times New Roman" w:hAnsi="Times New Roman" w:eastAsia="宋体" w:cs="Times New Roman"/>
                <w:color w:val="auto"/>
                <w:kern w:val="2"/>
                <w:sz w:val="21"/>
                <w:szCs w:val="21"/>
                <w:lang w:val="en-US" w:eastAsia="zh-CN" w:bidi="ar-SA"/>
              </w:rPr>
              <w:t>COD、BOD5、SS、氨氮、总磷、动植物油</w:t>
            </w:r>
          </w:p>
        </w:tc>
        <w:tc>
          <w:tcPr>
            <w:tcW w:w="3403" w:type="dxa"/>
            <w:vAlign w:val="center"/>
          </w:tcPr>
          <w:p w14:paraId="2A28D69A">
            <w:pPr>
              <w:pStyle w:val="83"/>
              <w:keepNext w:val="0"/>
              <w:keepLines w:val="0"/>
              <w:pageBreakBefore w:val="0"/>
              <w:widowControl w:val="0"/>
              <w:kinsoku/>
              <w:wordWrap/>
              <w:overflowPunct/>
              <w:topLinePunct w:val="0"/>
              <w:autoSpaceDE/>
              <w:autoSpaceDN/>
              <w:bidi w:val="0"/>
              <w:adjustRightInd w:val="0"/>
              <w:snapToGrid w:val="0"/>
              <w:spacing w:beforeLines="0" w:afterLines="0" w:line="240" w:lineRule="auto"/>
              <w:ind w:left="0" w:right="0" w:firstLine="420" w:firstLineChars="200"/>
              <w:textAlignment w:val="auto"/>
              <w:rPr>
                <w:color w:val="auto"/>
                <w:szCs w:val="21"/>
              </w:rPr>
            </w:pPr>
            <w:r>
              <w:rPr>
                <w:rFonts w:hint="eastAsia" w:ascii="Times New Roman" w:hAnsi="Times New Roman" w:eastAsia="宋体" w:cs="Times New Roman"/>
                <w:color w:val="auto"/>
                <w:kern w:val="2"/>
                <w:sz w:val="21"/>
                <w:szCs w:val="21"/>
                <w:lang w:val="en-US" w:eastAsia="zh-CN" w:bidi="ar-SA"/>
              </w:rPr>
              <w:t>项目</w:t>
            </w:r>
            <w:r>
              <w:rPr>
                <w:rFonts w:hint="default" w:ascii="Times New Roman" w:hAnsi="Times New Roman" w:eastAsia="宋体" w:cs="Times New Roman"/>
                <w:color w:val="auto"/>
                <w:sz w:val="21"/>
                <w:szCs w:val="21"/>
                <w:highlight w:val="none"/>
                <w:lang w:val="en-US" w:eastAsia="zh-CN"/>
              </w:rPr>
              <w:t>食堂废水经容积为0.</w:t>
            </w:r>
            <w:r>
              <w:rPr>
                <w:rFonts w:hint="eastAsia"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的隔油池处理后，与其他生活污水一并进入容积为</w:t>
            </w:r>
            <w:r>
              <w:rPr>
                <w:rFonts w:hint="eastAsia"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的化粪池</w:t>
            </w:r>
            <w:r>
              <w:rPr>
                <w:rFonts w:hint="eastAsia" w:cs="Times New Roman"/>
                <w:color w:val="auto"/>
                <w:sz w:val="21"/>
                <w:szCs w:val="21"/>
                <w:highlight w:val="none"/>
                <w:lang w:val="en-US" w:eastAsia="zh-CN"/>
              </w:rPr>
              <w:t>（依托）</w:t>
            </w:r>
            <w:r>
              <w:rPr>
                <w:rFonts w:hint="default" w:ascii="Times New Roman" w:hAnsi="Times New Roman" w:eastAsia="宋体" w:cs="Times New Roman"/>
                <w:color w:val="auto"/>
                <w:sz w:val="21"/>
                <w:szCs w:val="21"/>
                <w:highlight w:val="none"/>
                <w:lang w:val="en-US" w:eastAsia="zh-CN"/>
              </w:rPr>
              <w:t>、处理规模为</w:t>
            </w:r>
            <w:r>
              <w:rPr>
                <w:rFonts w:hint="eastAsia"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/d的</w:t>
            </w:r>
            <w:r>
              <w:rPr>
                <w:rFonts w:hint="default" w:ascii="Times New Roman" w:hAnsi="Times New Roman" w:eastAsia="宋体" w:cs="Times New Roman"/>
                <w:color w:val="auto"/>
                <w:sz w:val="21"/>
                <w:szCs w:val="21"/>
                <w:highlight w:val="none"/>
                <w:lang w:eastAsia="zh-CN" w:bidi="ar"/>
              </w:rPr>
              <w:t>一体化</w:t>
            </w:r>
            <w:r>
              <w:rPr>
                <w:rFonts w:hint="default" w:ascii="Times New Roman" w:hAnsi="Times New Roman" w:eastAsia="宋体" w:cs="Times New Roman"/>
                <w:color w:val="auto"/>
                <w:sz w:val="21"/>
                <w:szCs w:val="21"/>
                <w:highlight w:val="none"/>
                <w:lang w:val="en-US" w:eastAsia="zh-CN"/>
              </w:rPr>
              <w:t>污水处理站（</w:t>
            </w:r>
            <w:r>
              <w:rPr>
                <w:rFonts w:hint="eastAsia" w:cs="Times New Roman"/>
                <w:color w:val="auto"/>
                <w:sz w:val="21"/>
                <w:szCs w:val="21"/>
                <w:highlight w:val="none"/>
                <w:lang w:val="en-US" w:eastAsia="zh-CN"/>
              </w:rPr>
              <w:t>依托，</w:t>
            </w:r>
            <w:r>
              <w:rPr>
                <w:rFonts w:hint="default" w:ascii="Times New Roman" w:hAnsi="Times New Roman" w:eastAsia="宋体" w:cs="Times New Roman"/>
                <w:color w:val="auto"/>
                <w:sz w:val="21"/>
                <w:szCs w:val="21"/>
                <w:highlight w:val="none"/>
                <w:lang w:val="en-US" w:eastAsia="zh-CN"/>
              </w:rPr>
              <w:t>处理工艺</w:t>
            </w:r>
            <w:r>
              <w:rPr>
                <w:rFonts w:hint="eastAsia" w:cs="Times New Roman"/>
                <w:color w:val="auto"/>
                <w:sz w:val="21"/>
                <w:szCs w:val="21"/>
                <w:highlight w:val="none"/>
                <w:lang w:val="en-US" w:eastAsia="zh-CN"/>
              </w:rPr>
              <w:t>：曝气+沉降+光催化氧化+消毒</w:t>
            </w:r>
            <w:r>
              <w:rPr>
                <w:rFonts w:hint="default" w:ascii="Times New Roman" w:hAnsi="Times New Roman" w:eastAsia="宋体" w:cs="Times New Roman"/>
                <w:color w:val="auto"/>
                <w:sz w:val="21"/>
                <w:szCs w:val="21"/>
                <w:highlight w:val="none"/>
                <w:lang w:val="en-US" w:eastAsia="zh-CN"/>
              </w:rPr>
              <w:t>）处理达</w:t>
            </w:r>
            <w:r>
              <w:rPr>
                <w:rFonts w:hint="default" w:ascii="Times New Roman" w:hAnsi="Times New Roman" w:eastAsia="宋体" w:cs="Times New Roman"/>
                <w:b w:val="0"/>
                <w:bCs w:val="0"/>
                <w:color w:val="auto"/>
                <w:sz w:val="21"/>
                <w:szCs w:val="21"/>
                <w:highlight w:val="none"/>
                <w:lang w:val="en-US" w:eastAsia="zh-CN"/>
              </w:rPr>
              <w:t>标后，用于</w:t>
            </w:r>
            <w:r>
              <w:rPr>
                <w:rFonts w:hint="eastAsia" w:cs="Times New Roman"/>
                <w:b w:val="0"/>
                <w:bCs w:val="0"/>
                <w:color w:val="auto"/>
                <w:sz w:val="21"/>
                <w:szCs w:val="21"/>
                <w:highlight w:val="none"/>
                <w:lang w:val="en-US" w:eastAsia="zh-CN"/>
              </w:rPr>
              <w:t>本</w:t>
            </w:r>
            <w:r>
              <w:rPr>
                <w:rFonts w:hint="default" w:ascii="Times New Roman" w:hAnsi="Times New Roman" w:eastAsia="宋体" w:cs="Times New Roman"/>
                <w:b w:val="0"/>
                <w:bCs w:val="0"/>
                <w:color w:val="auto"/>
                <w:sz w:val="21"/>
                <w:szCs w:val="21"/>
                <w:highlight w:val="none"/>
                <w:lang w:val="en-US" w:eastAsia="zh-CN"/>
              </w:rPr>
              <w:t>项目区</w:t>
            </w:r>
            <w:r>
              <w:rPr>
                <w:rFonts w:hint="eastAsia" w:cs="Times New Roman"/>
                <w:b w:val="0"/>
                <w:bCs w:val="0"/>
                <w:color w:val="auto"/>
                <w:sz w:val="21"/>
                <w:szCs w:val="21"/>
                <w:highlight w:val="none"/>
                <w:lang w:val="en-US" w:eastAsia="zh-CN"/>
              </w:rPr>
              <w:t>及</w:t>
            </w:r>
            <w:r>
              <w:rPr>
                <w:rFonts w:hint="eastAsia"/>
                <w:bCs/>
                <w:color w:val="auto"/>
                <w:sz w:val="21"/>
                <w:szCs w:val="21"/>
                <w:highlight w:val="none"/>
                <w:lang w:eastAsia="zh-CN"/>
              </w:rPr>
              <w:t>云</w:t>
            </w:r>
            <w:r>
              <w:rPr>
                <w:rFonts w:hint="eastAsia"/>
                <w:color w:val="auto"/>
                <w:sz w:val="21"/>
                <w:szCs w:val="21"/>
                <w:highlight w:val="none"/>
                <w:lang w:val="en-US" w:eastAsia="zh-CN"/>
              </w:rPr>
              <w:t>南宝泰轻化机械</w:t>
            </w:r>
            <w:r>
              <w:rPr>
                <w:rFonts w:hint="eastAsia"/>
                <w:color w:val="auto"/>
                <w:sz w:val="21"/>
                <w:szCs w:val="21"/>
                <w:highlight w:val="none"/>
                <w:lang w:eastAsia="zh-CN"/>
              </w:rPr>
              <w:t>有限公司</w:t>
            </w:r>
            <w:r>
              <w:rPr>
                <w:rFonts w:hint="default" w:ascii="Times New Roman" w:hAnsi="Times New Roman" w:eastAsia="宋体" w:cs="Times New Roman"/>
                <w:b w:val="0"/>
                <w:bCs w:val="0"/>
                <w:color w:val="auto"/>
                <w:sz w:val="21"/>
                <w:szCs w:val="21"/>
                <w:highlight w:val="none"/>
                <w:lang w:val="en-US" w:eastAsia="zh-CN"/>
              </w:rPr>
              <w:t>内绿化及道路场地洒水降尘，不外排。</w:t>
            </w:r>
          </w:p>
        </w:tc>
        <w:tc>
          <w:tcPr>
            <w:tcW w:w="2154" w:type="dxa"/>
            <w:vAlign w:val="center"/>
          </w:tcPr>
          <w:p w14:paraId="4EAE8760">
            <w:pPr>
              <w:jc w:val="center"/>
              <w:rPr>
                <w:color w:val="auto"/>
                <w:szCs w:val="21"/>
              </w:rPr>
            </w:pPr>
            <w:r>
              <w:rPr>
                <w:color w:val="auto"/>
                <w:szCs w:val="21"/>
              </w:rPr>
              <w:t>《城市污水再生利用 城市杂用水水质》（GB/T18920-2020）中的城市绿化、道路清扫、消防、建筑施工标准</w:t>
            </w:r>
          </w:p>
        </w:tc>
      </w:tr>
      <w:tr w14:paraId="21385A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6F761080">
            <w:pPr>
              <w:adjustRightInd w:val="0"/>
              <w:snapToGrid w:val="0"/>
              <w:jc w:val="center"/>
              <w:rPr>
                <w:color w:val="auto"/>
                <w:szCs w:val="21"/>
              </w:rPr>
            </w:pPr>
            <w:r>
              <w:rPr>
                <w:color w:val="auto"/>
                <w:szCs w:val="21"/>
              </w:rPr>
              <w:t>声环境</w:t>
            </w:r>
          </w:p>
        </w:tc>
        <w:tc>
          <w:tcPr>
            <w:tcW w:w="1375" w:type="dxa"/>
            <w:vAlign w:val="center"/>
          </w:tcPr>
          <w:p w14:paraId="42AC48F1">
            <w:pPr>
              <w:adjustRightInd w:val="0"/>
              <w:snapToGrid w:val="0"/>
              <w:jc w:val="center"/>
              <w:rPr>
                <w:color w:val="auto"/>
                <w:szCs w:val="21"/>
              </w:rPr>
            </w:pPr>
            <w:r>
              <w:rPr>
                <w:rStyle w:val="103"/>
                <w:color w:val="auto"/>
                <w:szCs w:val="21"/>
              </w:rPr>
              <w:t>生产设备</w:t>
            </w:r>
          </w:p>
        </w:tc>
        <w:tc>
          <w:tcPr>
            <w:tcW w:w="1242" w:type="dxa"/>
            <w:vAlign w:val="center"/>
          </w:tcPr>
          <w:p w14:paraId="53E47739">
            <w:pPr>
              <w:adjustRightInd w:val="0"/>
              <w:snapToGrid w:val="0"/>
              <w:jc w:val="center"/>
              <w:rPr>
                <w:color w:val="auto"/>
                <w:szCs w:val="21"/>
              </w:rPr>
            </w:pPr>
            <w:r>
              <w:rPr>
                <w:color w:val="auto"/>
                <w:szCs w:val="21"/>
              </w:rPr>
              <w:t>Leq（A）</w:t>
            </w:r>
          </w:p>
        </w:tc>
        <w:tc>
          <w:tcPr>
            <w:tcW w:w="3403" w:type="dxa"/>
            <w:vAlign w:val="center"/>
          </w:tcPr>
          <w:p w14:paraId="00C6BAE7">
            <w:pPr>
              <w:adjustRightInd w:val="0"/>
              <w:snapToGrid w:val="0"/>
              <w:jc w:val="center"/>
              <w:rPr>
                <w:color w:val="auto"/>
                <w:szCs w:val="21"/>
              </w:rPr>
            </w:pPr>
            <w:r>
              <w:rPr>
                <w:rFonts w:hint="eastAsia"/>
                <w:color w:val="auto"/>
              </w:rPr>
              <w:t>优先选用先进低噪声设备；主要产噪设备安装减震垫；加强设备管理与维护等措施。</w:t>
            </w:r>
          </w:p>
        </w:tc>
        <w:tc>
          <w:tcPr>
            <w:tcW w:w="2154" w:type="dxa"/>
            <w:vAlign w:val="center"/>
          </w:tcPr>
          <w:p w14:paraId="33098C82">
            <w:pPr>
              <w:adjustRightInd w:val="0"/>
              <w:snapToGrid w:val="0"/>
              <w:jc w:val="center"/>
              <w:rPr>
                <w:color w:val="auto"/>
                <w:szCs w:val="21"/>
              </w:rPr>
            </w:pPr>
            <w:r>
              <w:rPr>
                <w:color w:val="auto"/>
                <w:szCs w:val="21"/>
              </w:rPr>
              <w:t>《工业企业厂界环境噪声排放标准》（GB12348-2008）</w:t>
            </w:r>
            <w:r>
              <w:rPr>
                <w:rFonts w:hint="eastAsia"/>
                <w:color w:val="auto"/>
                <w:szCs w:val="21"/>
                <w:lang w:val="en-US" w:eastAsia="zh-CN"/>
              </w:rPr>
              <w:t>3</w:t>
            </w:r>
            <w:r>
              <w:rPr>
                <w:rFonts w:hint="eastAsia"/>
                <w:color w:val="auto"/>
                <w:szCs w:val="21"/>
              </w:rPr>
              <w:t>类</w:t>
            </w:r>
            <w:r>
              <w:rPr>
                <w:color w:val="auto"/>
                <w:szCs w:val="21"/>
              </w:rPr>
              <w:t>标准。</w:t>
            </w:r>
          </w:p>
        </w:tc>
      </w:tr>
      <w:tr w14:paraId="3D3408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04" w:type="dxa"/>
            <w:vAlign w:val="center"/>
          </w:tcPr>
          <w:p w14:paraId="45B00BB2">
            <w:pPr>
              <w:adjustRightInd w:val="0"/>
              <w:snapToGrid w:val="0"/>
              <w:jc w:val="center"/>
              <w:rPr>
                <w:color w:val="auto"/>
                <w:szCs w:val="21"/>
              </w:rPr>
            </w:pPr>
            <w:r>
              <w:rPr>
                <w:color w:val="auto"/>
                <w:szCs w:val="21"/>
              </w:rPr>
              <w:t>电磁辐射</w:t>
            </w:r>
          </w:p>
        </w:tc>
        <w:tc>
          <w:tcPr>
            <w:tcW w:w="1375" w:type="dxa"/>
            <w:vAlign w:val="center"/>
          </w:tcPr>
          <w:p w14:paraId="5AD4DB5F">
            <w:pPr>
              <w:adjustRightInd w:val="0"/>
              <w:snapToGrid w:val="0"/>
              <w:jc w:val="center"/>
              <w:rPr>
                <w:color w:val="auto"/>
                <w:szCs w:val="21"/>
              </w:rPr>
            </w:pPr>
            <w:r>
              <w:rPr>
                <w:color w:val="auto"/>
                <w:szCs w:val="21"/>
              </w:rPr>
              <w:t>/</w:t>
            </w:r>
          </w:p>
        </w:tc>
        <w:tc>
          <w:tcPr>
            <w:tcW w:w="1242" w:type="dxa"/>
            <w:vAlign w:val="center"/>
          </w:tcPr>
          <w:p w14:paraId="758E46BC">
            <w:pPr>
              <w:adjustRightInd w:val="0"/>
              <w:snapToGrid w:val="0"/>
              <w:jc w:val="center"/>
              <w:rPr>
                <w:color w:val="auto"/>
                <w:szCs w:val="21"/>
              </w:rPr>
            </w:pPr>
            <w:r>
              <w:rPr>
                <w:color w:val="auto"/>
                <w:szCs w:val="21"/>
              </w:rPr>
              <w:t>/</w:t>
            </w:r>
          </w:p>
        </w:tc>
        <w:tc>
          <w:tcPr>
            <w:tcW w:w="3403" w:type="dxa"/>
            <w:vAlign w:val="center"/>
          </w:tcPr>
          <w:p w14:paraId="1A0298DC">
            <w:pPr>
              <w:adjustRightInd w:val="0"/>
              <w:snapToGrid w:val="0"/>
              <w:jc w:val="center"/>
              <w:rPr>
                <w:color w:val="auto"/>
                <w:szCs w:val="21"/>
              </w:rPr>
            </w:pPr>
            <w:r>
              <w:rPr>
                <w:color w:val="auto"/>
                <w:szCs w:val="21"/>
              </w:rPr>
              <w:t>/</w:t>
            </w:r>
          </w:p>
        </w:tc>
        <w:tc>
          <w:tcPr>
            <w:tcW w:w="2154" w:type="dxa"/>
            <w:vAlign w:val="center"/>
          </w:tcPr>
          <w:p w14:paraId="30B9A193">
            <w:pPr>
              <w:adjustRightInd w:val="0"/>
              <w:snapToGrid w:val="0"/>
              <w:jc w:val="center"/>
              <w:rPr>
                <w:color w:val="auto"/>
                <w:szCs w:val="21"/>
              </w:rPr>
            </w:pPr>
            <w:r>
              <w:rPr>
                <w:color w:val="auto"/>
                <w:szCs w:val="21"/>
              </w:rPr>
              <w:t>/</w:t>
            </w:r>
          </w:p>
        </w:tc>
      </w:tr>
      <w:tr w14:paraId="2ECAD6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59ABE474">
            <w:pPr>
              <w:adjustRightInd w:val="0"/>
              <w:snapToGrid w:val="0"/>
              <w:jc w:val="center"/>
              <w:rPr>
                <w:color w:val="auto"/>
                <w:szCs w:val="21"/>
              </w:rPr>
            </w:pPr>
            <w:r>
              <w:rPr>
                <w:color w:val="auto"/>
                <w:szCs w:val="21"/>
              </w:rPr>
              <w:t>固体废物</w:t>
            </w:r>
          </w:p>
        </w:tc>
        <w:tc>
          <w:tcPr>
            <w:tcW w:w="8174" w:type="dxa"/>
            <w:gridSpan w:val="4"/>
            <w:vAlign w:val="center"/>
          </w:tcPr>
          <w:p w14:paraId="41FB9F6E">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color w:val="auto"/>
                <w:sz w:val="21"/>
                <w:szCs w:val="21"/>
              </w:rPr>
            </w:pPr>
            <w:r>
              <w:rPr>
                <w:rFonts w:hint="eastAsia" w:ascii="Times New Roman" w:hAnsi="Times New Roman" w:eastAsia="宋体" w:cs="Times New Roman"/>
                <w:color w:val="auto"/>
                <w:szCs w:val="21"/>
                <w:lang w:val="en-US" w:eastAsia="zh-CN"/>
              </w:rPr>
              <w:t>本项目废包装材料统一收集后暂存于一般固体废物暂存间，定期外售给废品收购站；边角料、不合格产品、未成形产品统一收集后暂存于一般固体废物暂存</w:t>
            </w:r>
            <w:r>
              <w:rPr>
                <w:rFonts w:hint="eastAsia" w:cs="Times New Roman"/>
                <w:color w:val="auto"/>
                <w:szCs w:val="21"/>
                <w:lang w:val="en-US" w:eastAsia="zh-CN"/>
              </w:rPr>
              <w:t>间</w:t>
            </w:r>
            <w:r>
              <w:rPr>
                <w:rFonts w:hint="eastAsia" w:ascii="Times New Roman" w:hAnsi="Times New Roman" w:eastAsia="宋体" w:cs="Times New Roman"/>
                <w:color w:val="auto"/>
                <w:szCs w:val="21"/>
                <w:lang w:val="en-US" w:eastAsia="zh-CN"/>
              </w:rPr>
              <w:t>定期进行破碎处理后外售；</w:t>
            </w:r>
            <w:r>
              <w:rPr>
                <w:rFonts w:hint="eastAsia" w:cs="Times New Roman"/>
                <w:color w:val="auto"/>
                <w:sz w:val="21"/>
                <w:szCs w:val="21"/>
                <w:lang w:val="en-US" w:eastAsia="zh-CN"/>
              </w:rPr>
              <w:t>布袋除尘器除尘灰</w:t>
            </w:r>
            <w:r>
              <w:rPr>
                <w:rFonts w:hint="eastAsia" w:ascii="Times New Roman" w:hAnsi="Times New Roman" w:eastAsia="宋体" w:cs="Times New Roman"/>
                <w:color w:val="auto"/>
                <w:sz w:val="21"/>
                <w:szCs w:val="21"/>
                <w:lang w:val="en-US" w:eastAsia="zh-CN"/>
              </w:rPr>
              <w:t>统一收集后暂存于一般固废暂存间同破碎后的</w:t>
            </w:r>
            <w:r>
              <w:rPr>
                <w:rFonts w:hint="default" w:ascii="Times New Roman" w:hAnsi="Times New Roman" w:eastAsia="宋体" w:cs="Times New Roman"/>
                <w:color w:val="auto"/>
                <w:sz w:val="21"/>
                <w:szCs w:val="21"/>
                <w:lang w:val="zh-CN" w:eastAsia="zh-CN"/>
              </w:rPr>
              <w:t>不合格产品及边角料</w:t>
            </w:r>
            <w:r>
              <w:rPr>
                <w:rFonts w:hint="eastAsia" w:ascii="Times New Roman" w:hAnsi="Times New Roman" w:eastAsia="宋体" w:cs="Times New Roman"/>
                <w:color w:val="auto"/>
                <w:sz w:val="21"/>
                <w:szCs w:val="21"/>
                <w:lang w:val="zh-CN" w:eastAsia="zh-CN"/>
              </w:rPr>
              <w:t>、</w:t>
            </w:r>
            <w:r>
              <w:rPr>
                <w:rFonts w:hint="eastAsia" w:ascii="Times New Roman" w:hAnsi="Times New Roman" w:eastAsia="宋体" w:cs="Times New Roman"/>
                <w:color w:val="auto"/>
                <w:sz w:val="21"/>
                <w:szCs w:val="21"/>
                <w:lang w:val="en-US" w:eastAsia="zh-CN"/>
              </w:rPr>
              <w:t>未成品产品一并外售；</w:t>
            </w:r>
            <w:r>
              <w:rPr>
                <w:rFonts w:hint="eastAsia" w:cs="Times New Roman"/>
                <w:color w:val="auto"/>
                <w:sz w:val="21"/>
                <w:szCs w:val="21"/>
                <w:lang w:val="en-US" w:eastAsia="zh-CN"/>
              </w:rPr>
              <w:t>需保养的模具</w:t>
            </w:r>
            <w:r>
              <w:rPr>
                <w:rFonts w:hint="eastAsia" w:ascii="Times New Roman" w:hAnsi="Times New Roman" w:eastAsia="宋体" w:cs="Times New Roman"/>
                <w:color w:val="auto"/>
                <w:sz w:val="21"/>
                <w:szCs w:val="21"/>
                <w:lang w:val="en-US" w:eastAsia="zh-CN"/>
              </w:rPr>
              <w:t>统一收集后</w:t>
            </w:r>
            <w:r>
              <w:rPr>
                <w:rFonts w:hint="eastAsia"/>
                <w:color w:val="auto"/>
                <w:sz w:val="21"/>
                <w:szCs w:val="21"/>
                <w:lang w:val="en-US" w:eastAsia="zh-CN"/>
              </w:rPr>
              <w:t>返回厂家保养后继续使用；</w:t>
            </w:r>
            <w:r>
              <w:rPr>
                <w:rFonts w:ascii="Times New Roman" w:hAnsi="Times New Roman" w:eastAsia="宋体" w:cs="Times New Roman"/>
                <w:color w:val="auto"/>
                <w:szCs w:val="21"/>
                <w:lang w:val="zh-CN"/>
              </w:rPr>
              <w:t>生活垃圾统一收集后由当地环卫部门定期清运、处置；食堂餐厨垃圾</w:t>
            </w:r>
            <w:r>
              <w:rPr>
                <w:rFonts w:hint="eastAsia" w:ascii="Times New Roman" w:hAnsi="Times New Roman" w:eastAsia="宋体" w:cs="Times New Roman"/>
                <w:color w:val="auto"/>
                <w:szCs w:val="21"/>
                <w:lang w:val="zh-CN" w:eastAsia="zh-CN"/>
              </w:rPr>
              <w:t>、</w:t>
            </w:r>
            <w:r>
              <w:rPr>
                <w:rFonts w:hint="eastAsia" w:ascii="Times New Roman" w:hAnsi="Times New Roman" w:eastAsia="宋体" w:cs="Times New Roman"/>
                <w:color w:val="auto"/>
                <w:szCs w:val="21"/>
                <w:lang w:val="en-US" w:eastAsia="zh-CN"/>
              </w:rPr>
              <w:t>隔油池油污</w:t>
            </w:r>
            <w:r>
              <w:rPr>
                <w:rFonts w:ascii="Times New Roman" w:hAnsi="Times New Roman" w:eastAsia="宋体" w:cs="Times New Roman"/>
                <w:color w:val="auto"/>
                <w:szCs w:val="21"/>
                <w:lang w:val="zh-CN"/>
              </w:rPr>
              <w:t>由有资质的单位定期清运、处置</w:t>
            </w:r>
            <w:r>
              <w:rPr>
                <w:rFonts w:hint="eastAsia" w:ascii="Times New Roman" w:hAnsi="Times New Roman" w:eastAsia="宋体" w:cs="Times New Roman"/>
                <w:color w:val="auto"/>
                <w:szCs w:val="21"/>
                <w:lang w:val="zh-CN"/>
              </w:rPr>
              <w:t>；</w:t>
            </w:r>
            <w:r>
              <w:rPr>
                <w:rFonts w:hint="eastAsia" w:ascii="Times New Roman" w:hAnsi="Times New Roman" w:eastAsia="宋体" w:cs="Times New Roman"/>
                <w:color w:val="auto"/>
                <w:szCs w:val="21"/>
                <w:lang w:val="en-US" w:eastAsia="zh-CN"/>
              </w:rPr>
              <w:t>化粪池污泥</w:t>
            </w:r>
            <w:r>
              <w:rPr>
                <w:rFonts w:ascii="Times New Roman" w:hAnsi="Times New Roman" w:eastAsia="宋体" w:cs="Times New Roman"/>
                <w:color w:val="auto"/>
                <w:szCs w:val="21"/>
                <w:lang w:val="zh-CN"/>
              </w:rPr>
              <w:t>统一收集后</w:t>
            </w:r>
            <w:r>
              <w:rPr>
                <w:rFonts w:hint="eastAsia" w:ascii="Times New Roman" w:hAnsi="Times New Roman" w:eastAsia="宋体" w:cs="Times New Roman"/>
                <w:color w:val="auto"/>
                <w:szCs w:val="21"/>
                <w:lang w:val="zh-CN"/>
              </w:rPr>
              <w:t>委托当地环卫部门清运、处置</w:t>
            </w:r>
            <w:r>
              <w:rPr>
                <w:rFonts w:ascii="Times New Roman" w:hAnsi="Times New Roman" w:eastAsia="宋体" w:cs="Times New Roman"/>
                <w:color w:val="auto"/>
                <w:szCs w:val="21"/>
                <w:lang w:val="zh-CN"/>
              </w:rPr>
              <w:t>；</w:t>
            </w:r>
            <w:r>
              <w:rPr>
                <w:rFonts w:hint="eastAsia" w:ascii="Times New Roman" w:hAnsi="Times New Roman" w:eastAsia="宋体" w:cs="Times New Roman"/>
                <w:color w:val="auto"/>
                <w:szCs w:val="21"/>
                <w:lang w:val="zh-CN" w:eastAsia="zh-CN"/>
              </w:rPr>
              <w:t>废活性炭、</w:t>
            </w:r>
            <w:r>
              <w:rPr>
                <w:rFonts w:hint="eastAsia" w:ascii="Times New Roman" w:hAnsi="Times New Roman" w:eastAsia="宋体" w:cs="Times New Roman"/>
                <w:color w:val="auto"/>
                <w:szCs w:val="21"/>
                <w:lang w:val="zh-CN"/>
              </w:rPr>
              <w:t>废机油、</w:t>
            </w:r>
            <w:r>
              <w:rPr>
                <w:rFonts w:hint="eastAsia" w:ascii="Times New Roman" w:hAnsi="Times New Roman" w:eastAsia="宋体" w:cs="Times New Roman"/>
                <w:color w:val="auto"/>
                <w:szCs w:val="21"/>
                <w:lang w:val="en-US" w:eastAsia="zh-CN"/>
              </w:rPr>
              <w:t>维护保养</w:t>
            </w:r>
            <w:r>
              <w:rPr>
                <w:rFonts w:hint="eastAsia" w:ascii="Times New Roman" w:hAnsi="Times New Roman" w:eastAsia="宋体" w:cs="Times New Roman"/>
                <w:color w:val="auto"/>
                <w:szCs w:val="21"/>
                <w:lang w:val="zh-CN"/>
              </w:rPr>
              <w:t>废物</w:t>
            </w:r>
            <w:r>
              <w:rPr>
                <w:rFonts w:ascii="Times New Roman" w:hAnsi="Times New Roman" w:eastAsia="宋体" w:cs="Times New Roman"/>
                <w:color w:val="auto"/>
                <w:szCs w:val="21"/>
                <w:lang w:val="zh-CN"/>
              </w:rPr>
              <w:t>收集暂存于危险废物</w:t>
            </w:r>
            <w:r>
              <w:rPr>
                <w:rFonts w:hint="eastAsia" w:ascii="Times New Roman" w:hAnsi="Times New Roman" w:eastAsia="宋体" w:cs="Times New Roman"/>
                <w:color w:val="auto"/>
                <w:szCs w:val="21"/>
                <w:lang w:val="en-US" w:eastAsia="zh-CN"/>
              </w:rPr>
              <w:t>贮存库</w:t>
            </w:r>
            <w:r>
              <w:rPr>
                <w:rFonts w:ascii="Times New Roman" w:hAnsi="Times New Roman" w:eastAsia="宋体" w:cs="Times New Roman"/>
                <w:color w:val="auto"/>
                <w:szCs w:val="21"/>
                <w:lang w:val="zh-CN"/>
              </w:rPr>
              <w:t>后，委托资质单位清运处置。</w:t>
            </w:r>
          </w:p>
        </w:tc>
      </w:tr>
      <w:tr w14:paraId="18CC8B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48389F24">
            <w:pPr>
              <w:adjustRightInd w:val="0"/>
              <w:snapToGrid w:val="0"/>
              <w:jc w:val="center"/>
              <w:rPr>
                <w:color w:val="auto"/>
                <w:szCs w:val="21"/>
              </w:rPr>
            </w:pPr>
            <w:r>
              <w:rPr>
                <w:color w:val="auto"/>
                <w:szCs w:val="21"/>
              </w:rPr>
              <w:t>土壤及地下水污染防治措施</w:t>
            </w:r>
          </w:p>
        </w:tc>
        <w:tc>
          <w:tcPr>
            <w:tcW w:w="8174" w:type="dxa"/>
            <w:gridSpan w:val="4"/>
            <w:vAlign w:val="center"/>
          </w:tcPr>
          <w:p w14:paraId="1A18CB60">
            <w:pPr>
              <w:widowControl/>
              <w:jc w:val="left"/>
              <w:rPr>
                <w:color w:val="auto"/>
                <w:szCs w:val="21"/>
              </w:rPr>
            </w:pPr>
            <w:r>
              <w:rPr>
                <w:color w:val="auto"/>
                <w:szCs w:val="21"/>
              </w:rPr>
              <w:t>分区防渗：重点防渗：</w:t>
            </w:r>
            <w:r>
              <w:rPr>
                <w:color w:val="auto"/>
                <w:szCs w:val="21"/>
                <w:lang w:val="zh-CN"/>
              </w:rPr>
              <w:t>危险废物</w:t>
            </w:r>
            <w:r>
              <w:rPr>
                <w:rFonts w:hint="eastAsia" w:eastAsia="宋体"/>
                <w:color w:val="auto"/>
                <w:sz w:val="21"/>
                <w:szCs w:val="21"/>
                <w:lang w:val="en-US" w:eastAsia="zh-CN"/>
              </w:rPr>
              <w:t>贮存库</w:t>
            </w:r>
            <w:r>
              <w:rPr>
                <w:color w:val="auto"/>
                <w:szCs w:val="21"/>
                <w:lang w:val="zh-CN"/>
              </w:rPr>
              <w:t>地面及</w:t>
            </w:r>
            <w:r>
              <w:rPr>
                <w:color w:val="auto"/>
                <w:szCs w:val="21"/>
              </w:rPr>
              <w:t>四周墙裙脚</w:t>
            </w:r>
            <w:r>
              <w:rPr>
                <w:color w:val="auto"/>
                <w:szCs w:val="21"/>
                <w:lang w:val="zh-CN"/>
              </w:rPr>
              <w:t>采用“</w:t>
            </w:r>
            <w:r>
              <w:rPr>
                <w:color w:val="auto"/>
                <w:szCs w:val="21"/>
              </w:rPr>
              <w:t>混凝土</w:t>
            </w:r>
            <w:r>
              <w:rPr>
                <w:color w:val="auto"/>
                <w:szCs w:val="21"/>
                <w:lang w:val="zh-CN"/>
              </w:rPr>
              <w:t>+2mm厚HDPE+环氧树脂”</w:t>
            </w:r>
            <w:r>
              <w:rPr>
                <w:color w:val="auto"/>
                <w:szCs w:val="21"/>
              </w:rPr>
              <w:t>进行重点防渗处理</w:t>
            </w:r>
            <w:r>
              <w:rPr>
                <w:color w:val="auto"/>
                <w:szCs w:val="21"/>
                <w:lang w:val="zh-CN"/>
              </w:rPr>
              <w:t>，渗透系数≤10</w:t>
            </w:r>
            <w:r>
              <w:rPr>
                <w:color w:val="auto"/>
                <w:szCs w:val="21"/>
                <w:vertAlign w:val="superscript"/>
                <w:lang w:val="zh-CN"/>
              </w:rPr>
              <w:t>-10</w:t>
            </w:r>
            <w:r>
              <w:rPr>
                <w:color w:val="auto"/>
                <w:szCs w:val="21"/>
                <w:lang w:val="zh-CN"/>
              </w:rPr>
              <w:t>cm/s</w:t>
            </w:r>
            <w:r>
              <w:rPr>
                <w:color w:val="auto"/>
                <w:szCs w:val="21"/>
              </w:rPr>
              <w:t>，并按照要求设置规范的标识、标牌。一般防渗区：</w:t>
            </w:r>
            <w:r>
              <w:rPr>
                <w:rFonts w:hint="eastAsia" w:ascii="Times New Roman" w:hAnsi="Times New Roman" w:eastAsia="宋体" w:cs="Times New Roman"/>
                <w:color w:val="auto"/>
                <w:kern w:val="0"/>
                <w:szCs w:val="21"/>
                <w:highlight w:val="none"/>
                <w:lang w:val="en-US" w:eastAsia="zh-CN"/>
              </w:rPr>
              <w:t>一体化</w:t>
            </w:r>
            <w:r>
              <w:rPr>
                <w:rFonts w:hint="eastAsia" w:ascii="Times New Roman" w:hAnsi="Times New Roman" w:eastAsia="宋体" w:cs="Times New Roman"/>
                <w:color w:val="auto"/>
                <w:kern w:val="0"/>
                <w:szCs w:val="21"/>
                <w:highlight w:val="none"/>
              </w:rPr>
              <w:t>污水处理</w:t>
            </w:r>
            <w:r>
              <w:rPr>
                <w:rFonts w:hint="eastAsia" w:ascii="Times New Roman" w:hAnsi="Times New Roman" w:eastAsia="宋体" w:cs="Times New Roman"/>
                <w:color w:val="auto"/>
                <w:kern w:val="0"/>
                <w:szCs w:val="21"/>
                <w:highlight w:val="none"/>
                <w:lang w:val="en-US" w:eastAsia="zh-CN"/>
              </w:rPr>
              <w:t>站</w:t>
            </w:r>
            <w:r>
              <w:rPr>
                <w:rFonts w:hint="eastAsia" w:ascii="Times New Roman" w:hAnsi="Times New Roman" w:eastAsia="宋体" w:cs="Times New Roman"/>
                <w:color w:val="auto"/>
                <w:kern w:val="0"/>
                <w:szCs w:val="21"/>
                <w:highlight w:val="none"/>
              </w:rPr>
              <w:t>、化粪池、隔油池、</w:t>
            </w:r>
            <w:r>
              <w:rPr>
                <w:rFonts w:hint="eastAsia" w:ascii="Times New Roman" w:hAnsi="Times New Roman" w:eastAsia="宋体" w:cs="Times New Roman"/>
                <w:color w:val="auto"/>
                <w:kern w:val="0"/>
                <w:szCs w:val="21"/>
                <w:highlight w:val="none"/>
                <w:lang w:val="en-US" w:eastAsia="zh-CN"/>
              </w:rPr>
              <w:t>蓄水池、</w:t>
            </w:r>
            <w:r>
              <w:rPr>
                <w:rFonts w:ascii="Times New Roman" w:hAnsi="Times New Roman" w:eastAsia="宋体" w:cs="Times New Roman"/>
                <w:color w:val="auto"/>
                <w:kern w:val="0"/>
                <w:szCs w:val="21"/>
                <w:highlight w:val="none"/>
              </w:rPr>
              <w:t>一般固体</w:t>
            </w:r>
            <w:r>
              <w:rPr>
                <w:rFonts w:ascii="Times New Roman" w:hAnsi="Times New Roman" w:eastAsia="宋体" w:cs="Times New Roman"/>
                <w:color w:val="auto"/>
                <w:kern w:val="0"/>
                <w:szCs w:val="21"/>
              </w:rPr>
              <w:t>废物暂存</w:t>
            </w:r>
            <w:r>
              <w:rPr>
                <w:rFonts w:hint="eastAsia" w:ascii="Times New Roman" w:hAnsi="Times New Roman" w:eastAsia="宋体" w:cs="Times New Roman"/>
                <w:color w:val="auto"/>
                <w:kern w:val="0"/>
                <w:szCs w:val="21"/>
              </w:rPr>
              <w:t>间</w:t>
            </w:r>
            <w:r>
              <w:rPr>
                <w:color w:val="auto"/>
                <w:szCs w:val="21"/>
                <w:lang w:val="zh-CN"/>
              </w:rPr>
              <w:t>防渗技术要求达到等效黏土防渗层Mb≥1.5m，渗透系数≤10</w:t>
            </w:r>
            <w:r>
              <w:rPr>
                <w:color w:val="auto"/>
                <w:szCs w:val="21"/>
                <w:vertAlign w:val="superscript"/>
                <w:lang w:val="zh-CN"/>
              </w:rPr>
              <w:t>-</w:t>
            </w:r>
            <w:r>
              <w:rPr>
                <w:color w:val="auto"/>
                <w:szCs w:val="21"/>
                <w:vertAlign w:val="superscript"/>
              </w:rPr>
              <w:t>7</w:t>
            </w:r>
            <w:r>
              <w:rPr>
                <w:color w:val="auto"/>
                <w:szCs w:val="21"/>
                <w:lang w:val="zh-CN"/>
              </w:rPr>
              <w:t>cm/s。</w:t>
            </w:r>
            <w:r>
              <w:rPr>
                <w:color w:val="auto"/>
                <w:szCs w:val="21"/>
              </w:rPr>
              <w:t>简单防渗区：</w:t>
            </w:r>
            <w:r>
              <w:rPr>
                <w:color w:val="auto"/>
                <w:szCs w:val="21"/>
                <w:lang w:val="zh-CN"/>
              </w:rPr>
              <w:t>其余生产区、</w:t>
            </w:r>
            <w:r>
              <w:rPr>
                <w:color w:val="auto"/>
                <w:szCs w:val="21"/>
              </w:rPr>
              <w:t>道路及办公区域（除绿化外）</w:t>
            </w:r>
            <w:r>
              <w:rPr>
                <w:color w:val="auto"/>
                <w:szCs w:val="21"/>
                <w:lang w:val="zh-CN"/>
              </w:rPr>
              <w:t>进行一般</w:t>
            </w:r>
            <w:r>
              <w:rPr>
                <w:color w:val="auto"/>
                <w:szCs w:val="21"/>
              </w:rPr>
              <w:t>硬化处理。</w:t>
            </w:r>
          </w:p>
        </w:tc>
      </w:tr>
      <w:tr w14:paraId="3C587D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57B19AE5">
            <w:pPr>
              <w:adjustRightInd w:val="0"/>
              <w:snapToGrid w:val="0"/>
              <w:jc w:val="center"/>
              <w:rPr>
                <w:color w:val="auto"/>
                <w:szCs w:val="21"/>
              </w:rPr>
            </w:pPr>
            <w:r>
              <w:rPr>
                <w:color w:val="auto"/>
                <w:szCs w:val="21"/>
              </w:rPr>
              <w:t>生态保护措施</w:t>
            </w:r>
          </w:p>
        </w:tc>
        <w:tc>
          <w:tcPr>
            <w:tcW w:w="8174" w:type="dxa"/>
            <w:gridSpan w:val="4"/>
            <w:vAlign w:val="center"/>
          </w:tcPr>
          <w:p w14:paraId="0E574DF9">
            <w:pPr>
              <w:adjustRightInd w:val="0"/>
              <w:snapToGrid w:val="0"/>
              <w:jc w:val="center"/>
              <w:rPr>
                <w:color w:val="auto"/>
                <w:szCs w:val="21"/>
              </w:rPr>
            </w:pPr>
            <w:r>
              <w:rPr>
                <w:color w:val="auto"/>
                <w:szCs w:val="21"/>
              </w:rPr>
              <w:t>项目充分利用空间进行绿化，达到美化环境的效果。</w:t>
            </w:r>
          </w:p>
        </w:tc>
      </w:tr>
      <w:tr w14:paraId="14FA75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4CED9093">
            <w:pPr>
              <w:adjustRightInd w:val="0"/>
              <w:snapToGrid w:val="0"/>
              <w:jc w:val="center"/>
              <w:rPr>
                <w:color w:val="auto"/>
                <w:szCs w:val="21"/>
              </w:rPr>
            </w:pPr>
            <w:r>
              <w:rPr>
                <w:color w:val="auto"/>
                <w:szCs w:val="21"/>
              </w:rPr>
              <w:t>环境风险防范措施</w:t>
            </w:r>
          </w:p>
        </w:tc>
        <w:tc>
          <w:tcPr>
            <w:tcW w:w="8174" w:type="dxa"/>
            <w:gridSpan w:val="4"/>
            <w:vAlign w:val="center"/>
          </w:tcPr>
          <w:p w14:paraId="380B8A15">
            <w:pPr>
              <w:pStyle w:val="83"/>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color w:val="auto"/>
                <w:sz w:val="21"/>
                <w:szCs w:val="21"/>
              </w:rPr>
            </w:pPr>
            <w:r>
              <w:rPr>
                <w:color w:val="auto"/>
                <w:sz w:val="21"/>
                <w:szCs w:val="21"/>
              </w:rPr>
              <w:t>（1）风险防范措施</w:t>
            </w:r>
          </w:p>
          <w:p w14:paraId="73CEFC27">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1）火灾爆炸风险防范措施：</w:t>
            </w:r>
          </w:p>
          <w:p w14:paraId="42FE04A3">
            <w:pPr>
              <w:pStyle w:val="83"/>
              <w:keepNext w:val="0"/>
              <w:keepLines w:val="0"/>
              <w:pageBreakBefore w:val="0"/>
              <w:widowControl w:val="0"/>
              <w:tabs>
                <w:tab w:val="left" w:pos="949"/>
              </w:tabs>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①生产车间按规范配置灭火器材和消防装备；</w:t>
            </w:r>
          </w:p>
          <w:p w14:paraId="305A5E05">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②在生产区域明显位置张贴禁用明火的告示，加强油类物质存放区域的巡查。</w:t>
            </w:r>
          </w:p>
          <w:p w14:paraId="5F70E839">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③工作人员要熟练掌握操作技术和防火安全管理规定；</w:t>
            </w:r>
          </w:p>
          <w:p w14:paraId="46D327D2">
            <w:pPr>
              <w:pStyle w:val="83"/>
              <w:keepNext w:val="0"/>
              <w:keepLines w:val="0"/>
              <w:pageBreakBefore w:val="0"/>
              <w:widowControl w:val="0"/>
              <w:tabs>
                <w:tab w:val="left" w:pos="949"/>
              </w:tabs>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④定期检查材料存储</w:t>
            </w:r>
            <w:r>
              <w:rPr>
                <w:rFonts w:hint="eastAsia"/>
                <w:color w:val="auto"/>
                <w:sz w:val="21"/>
                <w:szCs w:val="21"/>
              </w:rPr>
              <w:t>、废机油储存桶</w:t>
            </w:r>
            <w:r>
              <w:rPr>
                <w:color w:val="auto"/>
                <w:sz w:val="21"/>
                <w:szCs w:val="21"/>
              </w:rPr>
              <w:t>的安全状态，以防止泄漏引发火灾、爆炸。</w:t>
            </w:r>
          </w:p>
          <w:p w14:paraId="0AEB1F0F">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ascii="Times New Roman" w:hAnsi="Times New Roman" w:eastAsia="宋体" w:cs="Times New Roman"/>
                <w:bCs/>
                <w:color w:val="auto"/>
                <w:sz w:val="21"/>
                <w:szCs w:val="21"/>
              </w:rPr>
            </w:pPr>
            <w:r>
              <w:rPr>
                <w:rFonts w:hint="eastAsia" w:ascii="Times New Roman" w:hAnsi="Times New Roman" w:cs="Times New Roman"/>
                <w:bCs/>
                <w:color w:val="auto"/>
                <w:sz w:val="21"/>
                <w:szCs w:val="21"/>
                <w:lang w:eastAsia="zh-CN"/>
              </w:rPr>
              <w:t>⑤</w:t>
            </w:r>
            <w:r>
              <w:rPr>
                <w:rFonts w:hint="default" w:ascii="Times New Roman" w:hAnsi="Times New Roman" w:eastAsia="宋体" w:cs="Times New Roman"/>
                <w:bCs/>
                <w:color w:val="auto"/>
                <w:sz w:val="21"/>
                <w:szCs w:val="21"/>
              </w:rPr>
              <w:t>塑料原料、产品贮存区设置明确禁止烟火标识</w:t>
            </w:r>
            <w:r>
              <w:rPr>
                <w:rFonts w:hint="default" w:ascii="Times New Roman" w:hAnsi="Times New Roman" w:eastAsia="宋体" w:cs="Times New Roman"/>
                <w:bCs/>
                <w:color w:val="auto"/>
                <w:sz w:val="21"/>
                <w:szCs w:val="21"/>
                <w:lang w:eastAsia="zh-CN"/>
              </w:rPr>
              <w:t>。</w:t>
            </w:r>
          </w:p>
          <w:p w14:paraId="014B253E">
            <w:pPr>
              <w:pStyle w:val="83"/>
              <w:keepNext w:val="0"/>
              <w:keepLines w:val="0"/>
              <w:pageBreakBefore w:val="0"/>
              <w:widowControl w:val="0"/>
              <w:tabs>
                <w:tab w:val="left" w:pos="949"/>
              </w:tabs>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rFonts w:hint="eastAsia" w:ascii="Times New Roman" w:hAnsi="Times New Roman" w:cs="Times New Roman"/>
                <w:bCs/>
                <w:color w:val="auto"/>
                <w:sz w:val="21"/>
                <w:szCs w:val="21"/>
                <w:lang w:eastAsia="zh-CN"/>
              </w:rPr>
              <w:t>⑥</w:t>
            </w:r>
            <w:r>
              <w:rPr>
                <w:rFonts w:hint="default" w:ascii="Times New Roman" w:hAnsi="Times New Roman" w:eastAsia="宋体" w:cs="Times New Roman"/>
                <w:bCs/>
                <w:color w:val="auto"/>
                <w:sz w:val="21"/>
                <w:szCs w:val="21"/>
              </w:rPr>
              <w:t>严格控制原料、产品在场内的贮存量。</w:t>
            </w:r>
          </w:p>
          <w:p w14:paraId="51EBDF05">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2）危险物质泄漏防范措施</w:t>
            </w:r>
          </w:p>
          <w:p w14:paraId="1A36C1F5">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①仓库应做好防渗防腐处理，危险废物</w:t>
            </w:r>
            <w:r>
              <w:rPr>
                <w:rFonts w:hint="eastAsia" w:eastAsia="宋体"/>
                <w:color w:val="auto"/>
                <w:sz w:val="21"/>
                <w:szCs w:val="21"/>
                <w:lang w:val="en-US" w:eastAsia="zh-CN"/>
              </w:rPr>
              <w:t>贮存库</w:t>
            </w:r>
            <w:r>
              <w:rPr>
                <w:color w:val="auto"/>
                <w:sz w:val="21"/>
                <w:szCs w:val="21"/>
              </w:rPr>
              <w:t>进行重点防渗；</w:t>
            </w:r>
          </w:p>
          <w:p w14:paraId="0D5A6EA8">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②生产车间应做好周边防护措施，如设置一定高度围堰，防范危险物质泄漏蔓延到周边区域；</w:t>
            </w:r>
          </w:p>
          <w:p w14:paraId="2AA8B077">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color w:val="auto"/>
                <w:sz w:val="21"/>
                <w:szCs w:val="21"/>
              </w:rPr>
            </w:pPr>
            <w:r>
              <w:rPr>
                <w:color w:val="auto"/>
                <w:sz w:val="21"/>
                <w:szCs w:val="21"/>
              </w:rPr>
              <w:t>③定期检查危险物质存储的安全状态，检查其包装有无破损，以防止泄漏。</w:t>
            </w:r>
          </w:p>
          <w:p w14:paraId="4C2477B8">
            <w:pPr>
              <w:pStyle w:val="83"/>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color w:val="auto"/>
                <w:sz w:val="21"/>
                <w:szCs w:val="21"/>
              </w:rPr>
            </w:pPr>
            <w:r>
              <w:rPr>
                <w:bCs/>
                <w:color w:val="auto"/>
                <w:sz w:val="21"/>
                <w:szCs w:val="21"/>
              </w:rPr>
              <w:t>④</w:t>
            </w:r>
            <w:r>
              <w:rPr>
                <w:bCs/>
                <w:color w:val="auto"/>
                <w:sz w:val="21"/>
                <w:szCs w:val="21"/>
                <w:lang w:val="zh-CN"/>
              </w:rPr>
              <w:t>建立健全安全、环境管理体系及高效的安全生产机构，一旦发生事故，要做到快速、高效、安全处置。</w:t>
            </w:r>
          </w:p>
          <w:p w14:paraId="11F75133">
            <w:pPr>
              <w:pStyle w:val="83"/>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bCs/>
                <w:color w:val="auto"/>
                <w:sz w:val="21"/>
                <w:szCs w:val="21"/>
                <w:highlight w:val="none"/>
              </w:rPr>
            </w:pPr>
            <w:r>
              <w:rPr>
                <w:rFonts w:hint="eastAsia"/>
                <w:bCs/>
                <w:color w:val="auto"/>
                <w:sz w:val="21"/>
                <w:szCs w:val="21"/>
                <w:highlight w:val="none"/>
              </w:rPr>
              <w:t>3）</w:t>
            </w:r>
            <w:r>
              <w:rPr>
                <w:rFonts w:hint="eastAsia"/>
                <w:bCs/>
                <w:color w:val="auto"/>
                <w:sz w:val="21"/>
                <w:szCs w:val="21"/>
                <w:highlight w:val="none"/>
                <w:lang w:val="en-US" w:eastAsia="zh-CN"/>
              </w:rPr>
              <w:t>废气、</w:t>
            </w:r>
            <w:r>
              <w:rPr>
                <w:rFonts w:hint="eastAsia"/>
                <w:bCs/>
                <w:color w:val="auto"/>
                <w:sz w:val="21"/>
                <w:szCs w:val="21"/>
                <w:highlight w:val="none"/>
              </w:rPr>
              <w:t>废水</w:t>
            </w:r>
            <w:r>
              <w:rPr>
                <w:bCs/>
                <w:color w:val="auto"/>
                <w:sz w:val="21"/>
                <w:szCs w:val="21"/>
                <w:highlight w:val="none"/>
                <w:lang w:val="zh-CN"/>
              </w:rPr>
              <w:t>污染治理设施异常的</w:t>
            </w:r>
            <w:r>
              <w:rPr>
                <w:rFonts w:hint="eastAsia"/>
                <w:bCs/>
                <w:color w:val="auto"/>
                <w:sz w:val="21"/>
                <w:szCs w:val="21"/>
                <w:highlight w:val="none"/>
                <w:lang w:val="en-US" w:eastAsia="zh-CN"/>
              </w:rPr>
              <w:t>风险</w:t>
            </w:r>
            <w:r>
              <w:rPr>
                <w:bCs/>
                <w:color w:val="auto"/>
                <w:sz w:val="21"/>
                <w:szCs w:val="21"/>
                <w:highlight w:val="none"/>
              </w:rPr>
              <w:t>防范措施</w:t>
            </w:r>
          </w:p>
          <w:p w14:paraId="00B844FF">
            <w:pPr>
              <w:keepNext w:val="0"/>
              <w:keepLines w:val="0"/>
              <w:pageBreakBefore w:val="0"/>
              <w:widowControl w:val="0"/>
              <w:kinsoku/>
              <w:wordWrap/>
              <w:overflowPunct/>
              <w:topLinePunct w:val="0"/>
              <w:autoSpaceDE/>
              <w:autoSpaceDN/>
              <w:bidi w:val="0"/>
              <w:adjustRightInd/>
              <w:snapToGrid/>
              <w:spacing w:line="240" w:lineRule="auto"/>
              <w:ind w:leftChars="0" w:firstLine="420" w:firstLineChars="200"/>
              <w:jc w:val="left"/>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①</w:t>
            </w:r>
            <w:r>
              <w:rPr>
                <w:rFonts w:hint="default" w:ascii="Times New Roman" w:hAnsi="Times New Roman" w:eastAsia="宋体" w:cs="Times New Roman"/>
                <w:bCs/>
                <w:color w:val="auto"/>
                <w:kern w:val="2"/>
                <w:sz w:val="21"/>
                <w:szCs w:val="21"/>
                <w:highlight w:val="none"/>
                <w:lang w:val="en-US" w:eastAsia="zh-CN" w:bidi="ar-SA"/>
              </w:rPr>
              <w:t>污水输送管道采用不易腐蚀、不易受损</w:t>
            </w:r>
            <w:r>
              <w:rPr>
                <w:rFonts w:hint="eastAsia" w:ascii="Times New Roman" w:hAnsi="Times New Roman" w:eastAsia="宋体" w:cs="Times New Roman"/>
                <w:bCs/>
                <w:color w:val="auto"/>
                <w:kern w:val="2"/>
                <w:sz w:val="21"/>
                <w:szCs w:val="21"/>
                <w:highlight w:val="none"/>
                <w:lang w:val="en-US" w:eastAsia="zh-CN" w:bidi="ar-SA"/>
              </w:rPr>
              <w:t>的材质，废水池按时检修且做好防渗措施</w:t>
            </w:r>
            <w:r>
              <w:rPr>
                <w:rFonts w:hint="default" w:ascii="Times New Roman" w:hAnsi="Times New Roman" w:eastAsia="宋体" w:cs="Times New Roman"/>
                <w:bCs/>
                <w:color w:val="auto"/>
                <w:kern w:val="2"/>
                <w:sz w:val="21"/>
                <w:szCs w:val="21"/>
                <w:highlight w:val="none"/>
                <w:lang w:val="en-US" w:eastAsia="zh-CN" w:bidi="ar-SA"/>
              </w:rPr>
              <w:t>，降低了事故发生的概率；</w:t>
            </w:r>
          </w:p>
          <w:p w14:paraId="276E184F">
            <w:pPr>
              <w:keepNext w:val="0"/>
              <w:keepLines w:val="0"/>
              <w:pageBreakBefore w:val="0"/>
              <w:widowControl w:val="0"/>
              <w:kinsoku/>
              <w:wordWrap/>
              <w:overflowPunct/>
              <w:topLinePunct w:val="0"/>
              <w:autoSpaceDE/>
              <w:autoSpaceDN/>
              <w:bidi w:val="0"/>
              <w:adjustRightInd/>
              <w:snapToGrid/>
              <w:spacing w:line="240" w:lineRule="auto"/>
              <w:ind w:leftChars="0" w:firstLine="420" w:firstLineChars="200"/>
              <w:jc w:val="left"/>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②</w:t>
            </w:r>
            <w:r>
              <w:rPr>
                <w:rFonts w:hint="default" w:ascii="Times New Roman" w:hAnsi="Times New Roman" w:eastAsia="宋体" w:cs="Times New Roman"/>
                <w:bCs/>
                <w:color w:val="auto"/>
                <w:kern w:val="2"/>
                <w:sz w:val="21"/>
                <w:szCs w:val="21"/>
                <w:highlight w:val="none"/>
                <w:lang w:val="en-US" w:eastAsia="zh-CN" w:bidi="ar-SA"/>
              </w:rPr>
              <w:t>污水输送管道及处理设施已安排专人负责，保证设备的正常运行。</w:t>
            </w:r>
          </w:p>
          <w:p w14:paraId="5E4EFD25">
            <w:pPr>
              <w:keepNext w:val="0"/>
              <w:keepLines w:val="0"/>
              <w:pageBreakBefore w:val="0"/>
              <w:widowControl w:val="0"/>
              <w:kinsoku/>
              <w:wordWrap/>
              <w:overflowPunct/>
              <w:topLinePunct w:val="0"/>
              <w:autoSpaceDE/>
              <w:autoSpaceDN/>
              <w:bidi w:val="0"/>
              <w:adjustRightInd/>
              <w:snapToGrid/>
              <w:spacing w:line="240" w:lineRule="auto"/>
              <w:ind w:leftChars="0" w:firstLine="420" w:firstLineChars="200"/>
              <w:jc w:val="left"/>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③</w:t>
            </w:r>
            <w:r>
              <w:rPr>
                <w:rFonts w:hint="default" w:ascii="Times New Roman" w:hAnsi="Times New Roman" w:eastAsia="宋体" w:cs="Times New Roman"/>
                <w:bCs/>
                <w:color w:val="auto"/>
                <w:kern w:val="2"/>
                <w:sz w:val="21"/>
                <w:szCs w:val="21"/>
                <w:highlight w:val="none"/>
                <w:lang w:val="en-US" w:eastAsia="zh-CN" w:bidi="ar-SA"/>
              </w:rPr>
              <w:t>设置专职环保管理人员，负责全厂的废气</w:t>
            </w:r>
            <w:r>
              <w:rPr>
                <w:rFonts w:hint="eastAsia" w:ascii="Times New Roman" w:hAnsi="Times New Roman" w:eastAsia="宋体" w:cs="Times New Roman"/>
                <w:bCs/>
                <w:color w:val="auto"/>
                <w:kern w:val="2"/>
                <w:sz w:val="21"/>
                <w:szCs w:val="21"/>
                <w:highlight w:val="none"/>
                <w:lang w:val="en-US" w:eastAsia="zh-CN" w:bidi="ar-SA"/>
              </w:rPr>
              <w:t>、废水</w:t>
            </w:r>
            <w:r>
              <w:rPr>
                <w:rFonts w:hint="default" w:ascii="Times New Roman" w:hAnsi="Times New Roman" w:eastAsia="宋体" w:cs="Times New Roman"/>
                <w:bCs/>
                <w:color w:val="auto"/>
                <w:kern w:val="2"/>
                <w:sz w:val="21"/>
                <w:szCs w:val="21"/>
                <w:highlight w:val="none"/>
                <w:lang w:val="en-US" w:eastAsia="zh-CN" w:bidi="ar-SA"/>
              </w:rPr>
              <w:t>环保管理工作，建立健全环境保护管理制度，应确保环保设施的正常运转。</w:t>
            </w:r>
          </w:p>
          <w:p w14:paraId="2CADD661">
            <w:pPr>
              <w:keepNext w:val="0"/>
              <w:keepLines w:val="0"/>
              <w:pageBreakBefore w:val="0"/>
              <w:widowControl w:val="0"/>
              <w:kinsoku/>
              <w:wordWrap/>
              <w:overflowPunct/>
              <w:topLinePunct w:val="0"/>
              <w:autoSpaceDE/>
              <w:autoSpaceDN/>
              <w:bidi w:val="0"/>
              <w:adjustRightInd/>
              <w:snapToGrid/>
              <w:spacing w:line="240" w:lineRule="auto"/>
              <w:ind w:leftChars="0" w:firstLine="420" w:firstLineChars="200"/>
              <w:jc w:val="left"/>
              <w:textAlignment w:val="auto"/>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kern w:val="2"/>
                <w:sz w:val="21"/>
                <w:szCs w:val="21"/>
                <w:highlight w:val="none"/>
                <w:lang w:val="en-US" w:eastAsia="zh-CN" w:bidi="ar-SA"/>
              </w:rPr>
              <w:t>④</w:t>
            </w:r>
            <w:r>
              <w:rPr>
                <w:rFonts w:hint="default" w:ascii="Times New Roman" w:hAnsi="Times New Roman" w:eastAsia="宋体" w:cs="Times New Roman"/>
                <w:bCs/>
                <w:color w:val="auto"/>
                <w:kern w:val="2"/>
                <w:sz w:val="21"/>
                <w:szCs w:val="21"/>
                <w:highlight w:val="none"/>
                <w:lang w:val="en-US" w:eastAsia="zh-CN" w:bidi="ar-SA"/>
              </w:rPr>
              <w:t>健全各项规章制度，制定各种操作规程。定期对设备及其附件进行检查、维护和保养。</w:t>
            </w:r>
          </w:p>
          <w:p w14:paraId="02591B39">
            <w:pPr>
              <w:pStyle w:val="83"/>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color w:val="auto"/>
                <w:sz w:val="21"/>
                <w:szCs w:val="21"/>
              </w:rPr>
            </w:pPr>
            <w:r>
              <w:rPr>
                <w:color w:val="auto"/>
                <w:sz w:val="21"/>
                <w:szCs w:val="21"/>
              </w:rPr>
              <w:t>（2）应急要求</w:t>
            </w:r>
          </w:p>
          <w:p w14:paraId="1E1825A1">
            <w:pPr>
              <w:adjustRightInd w:val="0"/>
              <w:snapToGrid w:val="0"/>
              <w:ind w:firstLine="408" w:firstLineChars="200"/>
              <w:rPr>
                <w:color w:val="auto"/>
              </w:rPr>
            </w:pPr>
            <w:r>
              <w:rPr>
                <w:color w:val="auto"/>
                <w:spacing w:val="-3"/>
                <w:sz w:val="21"/>
                <w:szCs w:val="21"/>
              </w:rPr>
              <w:t>企业应按国家有关规定要求，编制突发环境事故应急预案，并经当地生态环境行政主</w:t>
            </w:r>
            <w:r>
              <w:rPr>
                <w:color w:val="auto"/>
                <w:spacing w:val="-13"/>
                <w:sz w:val="21"/>
                <w:szCs w:val="21"/>
              </w:rPr>
              <w:t>管部门审查备案。当发生环境风险事故时，按应急预案要求，认真落实各项事故应急措施，</w:t>
            </w:r>
            <w:r>
              <w:rPr>
                <w:color w:val="auto"/>
                <w:sz w:val="21"/>
                <w:szCs w:val="21"/>
              </w:rPr>
              <w:t>做到责任到位、落实到人、常备不懈。</w:t>
            </w:r>
          </w:p>
        </w:tc>
      </w:tr>
      <w:tr w14:paraId="1974CF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14:paraId="738A0BEB">
            <w:pPr>
              <w:adjustRightInd w:val="0"/>
              <w:snapToGrid w:val="0"/>
              <w:jc w:val="center"/>
              <w:rPr>
                <w:color w:val="auto"/>
                <w:szCs w:val="21"/>
              </w:rPr>
            </w:pPr>
            <w:r>
              <w:rPr>
                <w:color w:val="auto"/>
                <w:spacing w:val="-8"/>
                <w:szCs w:val="21"/>
              </w:rPr>
              <w:t>其他环境管理要求</w:t>
            </w:r>
          </w:p>
        </w:tc>
        <w:tc>
          <w:tcPr>
            <w:tcW w:w="8174" w:type="dxa"/>
            <w:gridSpan w:val="4"/>
            <w:vAlign w:val="center"/>
          </w:tcPr>
          <w:p w14:paraId="049B20E6">
            <w:pPr>
              <w:adjustRightInd w:val="0"/>
              <w:snapToGrid w:val="0"/>
              <w:spacing w:line="360" w:lineRule="auto"/>
              <w:ind w:firstLine="422" w:firstLineChars="200"/>
              <w:jc w:val="left"/>
              <w:rPr>
                <w:b/>
                <w:bCs/>
                <w:color w:val="auto"/>
                <w:szCs w:val="21"/>
              </w:rPr>
            </w:pPr>
            <w:r>
              <w:rPr>
                <w:b/>
                <w:bCs/>
                <w:color w:val="auto"/>
                <w:szCs w:val="21"/>
              </w:rPr>
              <w:t>1、环境管理要求</w:t>
            </w:r>
          </w:p>
          <w:p w14:paraId="3C2F6D30">
            <w:pPr>
              <w:adjustRightInd w:val="0"/>
              <w:snapToGrid w:val="0"/>
              <w:spacing w:line="360" w:lineRule="auto"/>
              <w:ind w:firstLine="420" w:firstLineChars="200"/>
              <w:jc w:val="left"/>
              <w:rPr>
                <w:color w:val="auto"/>
                <w:szCs w:val="21"/>
              </w:rPr>
            </w:pPr>
            <w:r>
              <w:rPr>
                <w:rFonts w:hint="eastAsia"/>
                <w:color w:val="auto"/>
                <w:szCs w:val="21"/>
              </w:rPr>
              <w:t>①</w:t>
            </w:r>
            <w:r>
              <w:rPr>
                <w:color w:val="auto"/>
                <w:szCs w:val="21"/>
              </w:rPr>
              <w:t>根据国家环保政策、标准及环境监测要求，制定该项目运行期环境管理规章制度、各种污染物排放指标。</w:t>
            </w:r>
          </w:p>
          <w:p w14:paraId="1D34DFF2">
            <w:pPr>
              <w:adjustRightInd w:val="0"/>
              <w:snapToGrid w:val="0"/>
              <w:spacing w:line="360" w:lineRule="auto"/>
              <w:ind w:firstLine="420" w:firstLineChars="200"/>
              <w:jc w:val="left"/>
              <w:rPr>
                <w:color w:val="auto"/>
                <w:szCs w:val="21"/>
              </w:rPr>
            </w:pPr>
            <w:r>
              <w:rPr>
                <w:rFonts w:hint="eastAsia"/>
                <w:color w:val="auto"/>
                <w:szCs w:val="21"/>
              </w:rPr>
              <w:t>②</w:t>
            </w:r>
            <w:r>
              <w:rPr>
                <w:color w:val="auto"/>
                <w:szCs w:val="21"/>
              </w:rPr>
              <w:t>项目建成投产前建设单位应自行组织项目竣工环境保护验收工作，检查环保设施是否达到“三同时”要求。</w:t>
            </w:r>
          </w:p>
          <w:p w14:paraId="68D4A6A8">
            <w:pPr>
              <w:adjustRightInd w:val="0"/>
              <w:snapToGrid w:val="0"/>
              <w:spacing w:line="360" w:lineRule="auto"/>
              <w:ind w:firstLine="420" w:firstLineChars="200"/>
              <w:jc w:val="left"/>
              <w:rPr>
                <w:color w:val="auto"/>
                <w:szCs w:val="21"/>
              </w:rPr>
            </w:pPr>
            <w:r>
              <w:rPr>
                <w:rFonts w:hint="eastAsia"/>
                <w:color w:val="auto"/>
                <w:szCs w:val="21"/>
              </w:rPr>
              <w:t>③</w:t>
            </w:r>
            <w:r>
              <w:rPr>
                <w:color w:val="auto"/>
                <w:szCs w:val="21"/>
              </w:rPr>
              <w:t>加强环保设施的管理，定期检查厂内环保设施运行情况。及时排除故障，保证环保设施正常运转。</w:t>
            </w:r>
          </w:p>
          <w:p w14:paraId="184B53F0">
            <w:pPr>
              <w:adjustRightInd w:val="0"/>
              <w:snapToGrid w:val="0"/>
              <w:spacing w:line="360" w:lineRule="auto"/>
              <w:ind w:firstLine="420" w:firstLineChars="200"/>
              <w:jc w:val="left"/>
              <w:rPr>
                <w:color w:val="auto"/>
                <w:szCs w:val="21"/>
              </w:rPr>
            </w:pPr>
            <w:r>
              <w:rPr>
                <w:rFonts w:hint="eastAsia"/>
                <w:color w:val="auto"/>
                <w:szCs w:val="21"/>
              </w:rPr>
              <w:t>④</w:t>
            </w:r>
            <w:r>
              <w:rPr>
                <w:color w:val="auto"/>
                <w:szCs w:val="21"/>
              </w:rPr>
              <w:t>危险废物的收集管理应由专人负责，分类收集。</w:t>
            </w:r>
          </w:p>
          <w:p w14:paraId="2EC3F1E2">
            <w:pPr>
              <w:adjustRightInd w:val="0"/>
              <w:snapToGrid w:val="0"/>
              <w:spacing w:line="360" w:lineRule="auto"/>
              <w:ind w:firstLine="420" w:firstLineChars="200"/>
              <w:jc w:val="left"/>
              <w:rPr>
                <w:color w:val="auto"/>
                <w:szCs w:val="21"/>
              </w:rPr>
            </w:pPr>
            <w:r>
              <w:rPr>
                <w:rFonts w:hint="eastAsia"/>
                <w:color w:val="auto"/>
                <w:szCs w:val="21"/>
              </w:rPr>
              <w:t>⑤</w:t>
            </w:r>
            <w:r>
              <w:rPr>
                <w:color w:val="auto"/>
                <w:szCs w:val="21"/>
              </w:rPr>
              <w:t>运用经济、教育、行政、法律及其它手段，加强项目区内人员的环保意识，加强环境保护的自觉性，不断提高环境管理水平。</w:t>
            </w:r>
          </w:p>
          <w:p w14:paraId="4CE71B81">
            <w:pPr>
              <w:adjustRightInd w:val="0"/>
              <w:snapToGrid w:val="0"/>
              <w:spacing w:line="360" w:lineRule="auto"/>
              <w:ind w:firstLine="420" w:firstLineChars="200"/>
              <w:jc w:val="left"/>
              <w:rPr>
                <w:color w:val="auto"/>
                <w:szCs w:val="21"/>
              </w:rPr>
            </w:pPr>
            <w:r>
              <w:rPr>
                <w:rFonts w:hint="eastAsia"/>
                <w:color w:val="auto"/>
                <w:szCs w:val="21"/>
              </w:rPr>
              <w:t>⑥</w:t>
            </w:r>
            <w:r>
              <w:rPr>
                <w:color w:val="auto"/>
                <w:szCs w:val="21"/>
              </w:rPr>
              <w:t>配合当地环保监测机构，实施环境监测计划。</w:t>
            </w:r>
          </w:p>
          <w:p w14:paraId="7F014389">
            <w:pPr>
              <w:adjustRightInd w:val="0"/>
              <w:snapToGrid w:val="0"/>
              <w:spacing w:line="360" w:lineRule="auto"/>
              <w:ind w:firstLine="422" w:firstLineChars="200"/>
              <w:jc w:val="left"/>
              <w:rPr>
                <w:b/>
                <w:bCs/>
                <w:color w:val="auto"/>
                <w:szCs w:val="21"/>
              </w:rPr>
            </w:pPr>
            <w:r>
              <w:rPr>
                <w:b/>
                <w:bCs/>
                <w:color w:val="auto"/>
                <w:szCs w:val="21"/>
              </w:rPr>
              <w:t xml:space="preserve">2、落实排污许可证制度 </w:t>
            </w:r>
          </w:p>
          <w:p w14:paraId="0740BCBA">
            <w:pPr>
              <w:adjustRightInd w:val="0"/>
              <w:snapToGrid w:val="0"/>
              <w:spacing w:line="360" w:lineRule="auto"/>
              <w:ind w:firstLine="420" w:firstLineChars="200"/>
              <w:jc w:val="left"/>
              <w:rPr>
                <w:color w:val="auto"/>
                <w:szCs w:val="21"/>
              </w:rPr>
            </w:pPr>
            <w:r>
              <w:rPr>
                <w:rFonts w:hint="eastAsia"/>
                <w:color w:val="auto"/>
                <w:szCs w:val="21"/>
              </w:rPr>
              <w:t>根据国办发﹝2016﹞81号《国务院办公厅关于印发〈控制污染物排放许可制实施方案〉》、生态环境令第11号《固定污染源排污许可分类管理名录（2019年版）》等相关文件要求，环境影响评价制度是建设项目的环境准入门槛，排污许可制是企业事业单位生产运营期排污的法律依据，必须做好充分衔接，实现从污染预防到污染治理和排放控制的全过程监管。</w:t>
            </w:r>
          </w:p>
          <w:p w14:paraId="057B0B8C">
            <w:pPr>
              <w:adjustRightInd w:val="0"/>
              <w:snapToGrid w:val="0"/>
              <w:spacing w:line="360" w:lineRule="auto"/>
              <w:ind w:firstLine="420" w:firstLineChars="200"/>
              <w:jc w:val="left"/>
              <w:rPr>
                <w:color w:val="auto"/>
                <w:szCs w:val="21"/>
              </w:rPr>
            </w:pPr>
            <w:r>
              <w:rPr>
                <w:color w:val="auto"/>
                <w:szCs w:val="21"/>
              </w:rPr>
              <w:t>本项目</w:t>
            </w:r>
            <w:r>
              <w:rPr>
                <w:rFonts w:ascii="Times New Roman" w:hAnsi="Times New Roman" w:eastAsia="宋体" w:cs="Times New Roman"/>
                <w:color w:val="auto"/>
                <w:szCs w:val="21"/>
              </w:rPr>
              <w:t>为</w:t>
            </w:r>
            <w:r>
              <w:rPr>
                <w:rFonts w:hint="eastAsia" w:ascii="Times New Roman" w:hAnsi="Times New Roman" w:eastAsia="宋体" w:cs="Times New Roman"/>
                <w:color w:val="auto"/>
                <w:szCs w:val="21"/>
                <w:lang w:val="en-US" w:eastAsia="zh-CN"/>
              </w:rPr>
              <w:t>各类塑料包装箱及容器</w:t>
            </w:r>
            <w:r>
              <w:rPr>
                <w:rFonts w:ascii="Times New Roman" w:hAnsi="Times New Roman" w:eastAsia="宋体" w:cs="Times New Roman"/>
                <w:color w:val="auto"/>
                <w:szCs w:val="21"/>
              </w:rPr>
              <w:t>项目，</w:t>
            </w:r>
            <w:r>
              <w:rPr>
                <w:color w:val="auto"/>
                <w:szCs w:val="21"/>
              </w:rPr>
              <w:t>国民经</w:t>
            </w:r>
            <w:r>
              <w:rPr>
                <w:rFonts w:hint="eastAsia" w:ascii="Times New Roman" w:hAnsi="Times New Roman" w:eastAsia="宋体" w:cs="Times New Roman"/>
                <w:color w:val="auto"/>
                <w:szCs w:val="21"/>
              </w:rPr>
              <w:t>济行业类别为“</w:t>
            </w:r>
            <w:r>
              <w:rPr>
                <w:rFonts w:hint="default" w:ascii="Times New Roman" w:hAnsi="Times New Roman" w:eastAsia="宋体" w:cs="Times New Roman"/>
                <w:color w:val="auto"/>
                <w:szCs w:val="21"/>
              </w:rPr>
              <w:t>塑料包装箱及容器制造</w:t>
            </w:r>
            <w:r>
              <w:rPr>
                <w:rFonts w:hint="eastAsia" w:ascii="Times New Roman" w:hAnsi="Times New Roman" w:eastAsia="宋体" w:cs="Times New Roman"/>
                <w:color w:val="auto"/>
                <w:szCs w:val="21"/>
              </w:rPr>
              <w:t>（</w:t>
            </w:r>
            <w:r>
              <w:rPr>
                <w:rFonts w:hint="default" w:ascii="Times New Roman" w:hAnsi="Times New Roman" w:eastAsia="宋体" w:cs="Times New Roman"/>
                <w:color w:val="auto"/>
                <w:szCs w:val="21"/>
              </w:rPr>
              <w:t>C2926</w:t>
            </w:r>
            <w:r>
              <w:rPr>
                <w:rFonts w:hint="eastAsia" w:ascii="Times New Roman" w:hAnsi="Times New Roman" w:eastAsia="宋体" w:cs="Times New Roman"/>
                <w:color w:val="auto"/>
                <w:szCs w:val="21"/>
              </w:rPr>
              <w:t>）”，</w:t>
            </w:r>
            <w:r>
              <w:rPr>
                <w:color w:val="auto"/>
                <w:szCs w:val="21"/>
              </w:rPr>
              <w:t>根据《固定污染源排污许可分类管理名录（2019版）》，本项目需进行排污</w:t>
            </w:r>
            <w:r>
              <w:rPr>
                <w:rFonts w:hint="eastAsia"/>
                <w:color w:val="auto"/>
                <w:szCs w:val="21"/>
                <w:lang w:eastAsia="zh-CN"/>
              </w:rPr>
              <w:t>登记</w:t>
            </w:r>
            <w:r>
              <w:rPr>
                <w:color w:val="auto"/>
                <w:szCs w:val="21"/>
              </w:rPr>
              <w:t>管理</w:t>
            </w:r>
            <w:r>
              <w:rPr>
                <w:rFonts w:hint="eastAsia"/>
                <w:color w:val="auto"/>
                <w:szCs w:val="21"/>
              </w:rPr>
              <w:t>，取得排污许可</w:t>
            </w:r>
            <w:r>
              <w:rPr>
                <w:rFonts w:hint="eastAsia"/>
                <w:color w:val="auto"/>
                <w:szCs w:val="21"/>
                <w:lang w:eastAsia="zh-CN"/>
              </w:rPr>
              <w:t>登记回执</w:t>
            </w:r>
            <w:r>
              <w:rPr>
                <w:rFonts w:hint="eastAsia"/>
                <w:color w:val="auto"/>
                <w:szCs w:val="21"/>
              </w:rPr>
              <w:t>，</w:t>
            </w:r>
            <w:r>
              <w:rPr>
                <w:color w:val="auto"/>
                <w:szCs w:val="21"/>
              </w:rPr>
              <w:t>不得无证排污。</w:t>
            </w:r>
          </w:p>
          <w:p w14:paraId="164A2ADF">
            <w:pPr>
              <w:spacing w:line="300" w:lineRule="auto"/>
              <w:ind w:firstLine="422" w:firstLineChars="200"/>
              <w:jc w:val="left"/>
              <w:rPr>
                <w:b/>
                <w:color w:val="auto"/>
                <w:szCs w:val="21"/>
              </w:rPr>
            </w:pPr>
            <w:r>
              <w:rPr>
                <w:rFonts w:hint="eastAsia"/>
                <w:b/>
                <w:color w:val="auto"/>
                <w:szCs w:val="21"/>
              </w:rPr>
              <w:t>3、环境管理台账</w:t>
            </w:r>
          </w:p>
          <w:p w14:paraId="0903660B">
            <w:pPr>
              <w:spacing w:line="300" w:lineRule="auto"/>
              <w:ind w:firstLine="420" w:firstLineChars="200"/>
              <w:jc w:val="left"/>
              <w:rPr>
                <w:color w:val="auto"/>
                <w:szCs w:val="21"/>
              </w:rPr>
            </w:pPr>
            <w:r>
              <w:rPr>
                <w:rFonts w:hint="eastAsia"/>
                <w:color w:val="auto"/>
                <w:szCs w:val="21"/>
              </w:rPr>
              <w:t>（1）环境管理台账</w:t>
            </w:r>
          </w:p>
          <w:p w14:paraId="2227EF20">
            <w:pPr>
              <w:spacing w:line="300" w:lineRule="auto"/>
              <w:ind w:firstLine="420" w:firstLineChars="200"/>
              <w:jc w:val="left"/>
              <w:rPr>
                <w:color w:val="auto"/>
                <w:szCs w:val="21"/>
              </w:rPr>
            </w:pPr>
            <w:r>
              <w:rPr>
                <w:rFonts w:hint="eastAsia"/>
                <w:color w:val="auto"/>
                <w:szCs w:val="21"/>
              </w:rPr>
              <w:t>环境管理台账指排污单位根据排污许可证的规定，对自行监测、落实各项环境管理要求等行为的具体记录，包括电子台账和纸质台账两种。</w:t>
            </w:r>
          </w:p>
          <w:p w14:paraId="06CFB2C3">
            <w:pPr>
              <w:spacing w:line="300" w:lineRule="auto"/>
              <w:ind w:firstLine="420" w:firstLineChars="200"/>
              <w:jc w:val="left"/>
              <w:rPr>
                <w:color w:val="auto"/>
                <w:szCs w:val="21"/>
              </w:rPr>
            </w:pPr>
            <w:r>
              <w:rPr>
                <w:rFonts w:hint="eastAsia"/>
                <w:color w:val="auto"/>
                <w:szCs w:val="21"/>
              </w:rPr>
              <w:t>环境管理台账应按照《排污许可证申请和核发技术规范 总则</w:t>
            </w:r>
            <w:r>
              <w:rPr>
                <w:rFonts w:hint="eastAsia" w:ascii="Times New Roman" w:hAnsi="Times New Roman" w:eastAsia="宋体" w:cs="Times New Roman"/>
                <w:color w:val="auto"/>
                <w:szCs w:val="21"/>
              </w:rPr>
              <w:t>》（HJ942-2018）和</w:t>
            </w:r>
            <w:r>
              <w:rPr>
                <w:rFonts w:hint="default" w:ascii="Times New Roman" w:hAnsi="Times New Roman" w:eastAsia="宋体" w:cs="Times New Roman"/>
                <w:color w:val="auto"/>
                <w:szCs w:val="21"/>
                <w:lang w:eastAsia="zh-CN"/>
              </w:rPr>
              <w:t>《排污许可证申请与核发技术规范 橡胶和塑料制品工业》（HJ1122-2020）</w:t>
            </w:r>
            <w:r>
              <w:rPr>
                <w:rFonts w:hint="eastAsia" w:ascii="Times New Roman" w:hAnsi="Times New Roman" w:eastAsia="宋体" w:cs="Times New Roman"/>
                <w:color w:val="auto"/>
                <w:szCs w:val="21"/>
              </w:rPr>
              <w:t>环境管理台账的要求执行。</w:t>
            </w:r>
          </w:p>
          <w:p w14:paraId="2EA83C9A">
            <w:pPr>
              <w:spacing w:line="300" w:lineRule="auto"/>
              <w:ind w:firstLine="420" w:firstLineChars="200"/>
              <w:jc w:val="left"/>
              <w:rPr>
                <w:color w:val="auto"/>
                <w:szCs w:val="21"/>
              </w:rPr>
            </w:pPr>
            <w:r>
              <w:rPr>
                <w:rFonts w:hint="eastAsia"/>
                <w:color w:val="auto"/>
                <w:szCs w:val="21"/>
              </w:rPr>
              <w:t>环境管理台账记录的相关内容，记录频次、形式等必须满足排污许可证要求。</w:t>
            </w:r>
          </w:p>
          <w:p w14:paraId="00EDE256">
            <w:pPr>
              <w:spacing w:line="300" w:lineRule="auto"/>
              <w:ind w:firstLine="420" w:firstLineChars="200"/>
              <w:jc w:val="left"/>
              <w:rPr>
                <w:color w:val="auto"/>
                <w:szCs w:val="21"/>
              </w:rPr>
            </w:pPr>
            <w:r>
              <w:rPr>
                <w:rFonts w:hint="eastAsia"/>
                <w:color w:val="auto"/>
                <w:szCs w:val="21"/>
              </w:rPr>
              <w:t>（2）环境管理台账记录内容如下：</w:t>
            </w:r>
          </w:p>
          <w:p w14:paraId="7638FDF2">
            <w:pPr>
              <w:adjustRightInd w:val="0"/>
              <w:snapToGrid w:val="0"/>
              <w:jc w:val="center"/>
              <w:rPr>
                <w:b/>
                <w:bCs/>
                <w:color w:val="auto"/>
                <w:sz w:val="18"/>
                <w:szCs w:val="18"/>
              </w:rPr>
            </w:pPr>
            <w:r>
              <w:rPr>
                <w:rFonts w:hint="eastAsia"/>
                <w:b/>
                <w:bCs/>
                <w:color w:val="auto"/>
                <w:sz w:val="18"/>
                <w:szCs w:val="18"/>
              </w:rPr>
              <w:t>表5-1   项目环境管理台账记录内容</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3855"/>
              <w:gridCol w:w="1830"/>
              <w:gridCol w:w="641"/>
              <w:gridCol w:w="633"/>
            </w:tblGrid>
            <w:tr w14:paraId="76DEF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49A53F21">
                  <w:pPr>
                    <w:adjustRightInd w:val="0"/>
                    <w:snapToGrid w:val="0"/>
                    <w:jc w:val="center"/>
                    <w:rPr>
                      <w:rFonts w:ascii="宋体" w:hAnsi="宋体" w:cs="宋体"/>
                      <w:b/>
                      <w:color w:val="auto"/>
                      <w:sz w:val="18"/>
                      <w:szCs w:val="18"/>
                    </w:rPr>
                  </w:pPr>
                  <w:r>
                    <w:rPr>
                      <w:rFonts w:ascii="宋体" w:hAnsi="宋体" w:cs="宋体"/>
                      <w:b/>
                      <w:color w:val="auto"/>
                      <w:sz w:val="18"/>
                      <w:szCs w:val="18"/>
                    </w:rPr>
                    <w:t>类别</w:t>
                  </w:r>
                </w:p>
              </w:tc>
              <w:tc>
                <w:tcPr>
                  <w:tcW w:w="2425" w:type="pct"/>
                  <w:vAlign w:val="center"/>
                </w:tcPr>
                <w:p w14:paraId="46938520">
                  <w:pPr>
                    <w:adjustRightInd w:val="0"/>
                    <w:snapToGrid w:val="0"/>
                    <w:jc w:val="center"/>
                    <w:rPr>
                      <w:rFonts w:ascii="宋体" w:hAnsi="宋体" w:cs="宋体"/>
                      <w:b/>
                      <w:color w:val="auto"/>
                      <w:sz w:val="18"/>
                      <w:szCs w:val="18"/>
                    </w:rPr>
                  </w:pPr>
                  <w:r>
                    <w:rPr>
                      <w:rFonts w:ascii="宋体" w:hAnsi="宋体" w:cs="宋体"/>
                      <w:b/>
                      <w:color w:val="auto"/>
                      <w:sz w:val="18"/>
                      <w:szCs w:val="18"/>
                    </w:rPr>
                    <w:t>记录内容</w:t>
                  </w:r>
                </w:p>
              </w:tc>
              <w:tc>
                <w:tcPr>
                  <w:tcW w:w="1151" w:type="pct"/>
                  <w:vAlign w:val="center"/>
                </w:tcPr>
                <w:p w14:paraId="15D4E5C4">
                  <w:pPr>
                    <w:adjustRightInd w:val="0"/>
                    <w:snapToGrid w:val="0"/>
                    <w:jc w:val="center"/>
                    <w:rPr>
                      <w:rFonts w:ascii="宋体" w:hAnsi="宋体" w:cs="宋体"/>
                      <w:b/>
                      <w:color w:val="auto"/>
                      <w:sz w:val="18"/>
                      <w:szCs w:val="18"/>
                    </w:rPr>
                  </w:pPr>
                  <w:r>
                    <w:rPr>
                      <w:rFonts w:ascii="宋体" w:hAnsi="宋体" w:cs="宋体"/>
                      <w:b/>
                      <w:color w:val="auto"/>
                      <w:sz w:val="18"/>
                      <w:szCs w:val="18"/>
                    </w:rPr>
                    <w:t>记录频次</w:t>
                  </w:r>
                </w:p>
              </w:tc>
              <w:tc>
                <w:tcPr>
                  <w:tcW w:w="403" w:type="pct"/>
                  <w:vAlign w:val="center"/>
                </w:tcPr>
                <w:p w14:paraId="677E02F8">
                  <w:pPr>
                    <w:adjustRightInd w:val="0"/>
                    <w:snapToGrid w:val="0"/>
                    <w:jc w:val="center"/>
                    <w:rPr>
                      <w:rFonts w:ascii="宋体" w:hAnsi="宋体" w:cs="宋体"/>
                      <w:b/>
                      <w:color w:val="auto"/>
                      <w:sz w:val="18"/>
                      <w:szCs w:val="18"/>
                    </w:rPr>
                  </w:pPr>
                  <w:r>
                    <w:rPr>
                      <w:rFonts w:ascii="宋体" w:hAnsi="宋体" w:cs="宋体"/>
                      <w:b/>
                      <w:color w:val="auto"/>
                      <w:sz w:val="18"/>
                      <w:szCs w:val="18"/>
                    </w:rPr>
                    <w:t>记录形式</w:t>
                  </w:r>
                </w:p>
              </w:tc>
              <w:tc>
                <w:tcPr>
                  <w:tcW w:w="398" w:type="pct"/>
                  <w:vAlign w:val="center"/>
                </w:tcPr>
                <w:p w14:paraId="19AE1E63">
                  <w:pPr>
                    <w:adjustRightInd w:val="0"/>
                    <w:snapToGrid w:val="0"/>
                    <w:jc w:val="center"/>
                    <w:rPr>
                      <w:rFonts w:ascii="宋体" w:hAnsi="宋体" w:cs="宋体"/>
                      <w:b/>
                      <w:color w:val="auto"/>
                      <w:sz w:val="18"/>
                      <w:szCs w:val="18"/>
                    </w:rPr>
                  </w:pPr>
                  <w:r>
                    <w:rPr>
                      <w:rFonts w:ascii="宋体" w:hAnsi="宋体" w:cs="宋体"/>
                      <w:b/>
                      <w:color w:val="auto"/>
                      <w:sz w:val="18"/>
                      <w:szCs w:val="18"/>
                    </w:rPr>
                    <w:t>其他信息</w:t>
                  </w:r>
                </w:p>
              </w:tc>
            </w:tr>
            <w:tr w14:paraId="6AFD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23BB756B">
                  <w:pPr>
                    <w:widowControl/>
                    <w:wordWrap w:val="0"/>
                    <w:adjustRightInd w:val="0"/>
                    <w:snapToGrid w:val="0"/>
                    <w:jc w:val="center"/>
                    <w:rPr>
                      <w:rFonts w:hint="eastAsia" w:eastAsia="宋体"/>
                      <w:color w:val="auto"/>
                      <w:kern w:val="0"/>
                      <w:sz w:val="18"/>
                      <w:szCs w:val="18"/>
                      <w:lang w:eastAsia="zh-CN" w:bidi="ar"/>
                    </w:rPr>
                  </w:pPr>
                  <w:r>
                    <w:rPr>
                      <w:rFonts w:hint="eastAsia"/>
                      <w:color w:val="auto"/>
                      <w:kern w:val="0"/>
                      <w:sz w:val="18"/>
                      <w:szCs w:val="18"/>
                      <w:lang w:eastAsia="zh-CN" w:bidi="ar"/>
                    </w:rPr>
                    <w:t>基本信息</w:t>
                  </w:r>
                </w:p>
              </w:tc>
              <w:tc>
                <w:tcPr>
                  <w:tcW w:w="2425" w:type="pct"/>
                  <w:vAlign w:val="center"/>
                </w:tcPr>
                <w:p w14:paraId="7D532568">
                  <w:pPr>
                    <w:widowControl/>
                    <w:wordWrap w:val="0"/>
                    <w:adjustRightInd w:val="0"/>
                    <w:snapToGrid w:val="0"/>
                    <w:jc w:val="center"/>
                    <w:rPr>
                      <w:rFonts w:hint="eastAsia" w:ascii="Times New Roman" w:hAnsi="Times New Roman" w:eastAsia="宋体" w:cs="Times New Roman"/>
                      <w:color w:val="auto"/>
                      <w:kern w:val="0"/>
                      <w:sz w:val="18"/>
                      <w:szCs w:val="18"/>
                      <w:lang w:val="en-US" w:eastAsia="zh-CN" w:bidi="ar"/>
                    </w:rPr>
                  </w:pPr>
                  <w:r>
                    <w:rPr>
                      <w:rFonts w:hint="eastAsia" w:ascii="Times New Roman" w:hAnsi="Times New Roman" w:eastAsia="宋体" w:cs="Times New Roman"/>
                      <w:color w:val="auto"/>
                      <w:kern w:val="0"/>
                      <w:sz w:val="18"/>
                      <w:szCs w:val="18"/>
                      <w:lang w:val="en-US" w:eastAsia="zh-CN" w:bidi="ar"/>
                    </w:rPr>
                    <w:t>基本信息主要包括企业排污单位名称基本信息、</w:t>
                  </w:r>
                </w:p>
                <w:p w14:paraId="68243C72">
                  <w:pPr>
                    <w:widowControl/>
                    <w:wordWrap w:val="0"/>
                    <w:adjustRightInd w:val="0"/>
                    <w:snapToGrid w:val="0"/>
                    <w:jc w:val="center"/>
                    <w:rPr>
                      <w:rFonts w:hint="eastAsia"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val="en-US" w:eastAsia="zh-CN" w:bidi="ar"/>
                    </w:rPr>
                    <w:t>生产设施基本信息、污染治理设施基本信息。如排污单位工艺、设施调整等发生变化的，应在基本信息台账记录表中进行相应修改，并将变化内容进行说明同时纳入执行报告中。</w:t>
                  </w:r>
                </w:p>
                <w:p w14:paraId="46DBFE1E">
                  <w:pPr>
                    <w:widowControl/>
                    <w:numPr>
                      <w:ilvl w:val="0"/>
                      <w:numId w:val="6"/>
                    </w:numPr>
                    <w:wordWrap w:val="0"/>
                    <w:adjustRightInd w:val="0"/>
                    <w:snapToGrid w:val="0"/>
                    <w:jc w:val="center"/>
                    <w:rPr>
                      <w:rFonts w:hint="eastAsia" w:ascii="Times New Roman" w:hAnsi="Times New Roman" w:eastAsia="宋体" w:cs="Times New Roman"/>
                      <w:color w:val="auto"/>
                      <w:kern w:val="0"/>
                      <w:sz w:val="18"/>
                      <w:szCs w:val="18"/>
                      <w:lang w:val="en-US" w:eastAsia="zh-CN" w:bidi="ar"/>
                    </w:rPr>
                  </w:pPr>
                  <w:r>
                    <w:rPr>
                      <w:rFonts w:hint="eastAsia" w:ascii="Times New Roman" w:hAnsi="Times New Roman" w:eastAsia="宋体" w:cs="Times New Roman"/>
                      <w:color w:val="auto"/>
                      <w:kern w:val="0"/>
                      <w:sz w:val="18"/>
                      <w:szCs w:val="18"/>
                      <w:lang w:val="en-US" w:eastAsia="zh-CN" w:bidi="ar"/>
                    </w:rPr>
                    <w:t>排污单位基本信息：单位名称、生产经营场</w:t>
                  </w:r>
                </w:p>
                <w:p w14:paraId="5D788161">
                  <w:pPr>
                    <w:widowControl/>
                    <w:numPr>
                      <w:ilvl w:val="0"/>
                      <w:numId w:val="0"/>
                    </w:numPr>
                    <w:wordWrap w:val="0"/>
                    <w:adjustRightInd w:val="0"/>
                    <w:snapToGrid w:val="0"/>
                    <w:jc w:val="center"/>
                    <w:rPr>
                      <w:rFonts w:hint="eastAsia"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val="en-US" w:eastAsia="zh-CN" w:bidi="ar"/>
                    </w:rPr>
                    <w:t>所地址、行业类别、法定代表人、统一社会信用代码、产品名称、生产工艺、生产规模、环保投资、环评批复文号、排污权交易文件及排污许可证编号等。</w:t>
                  </w:r>
                </w:p>
                <w:p w14:paraId="0E406310">
                  <w:pPr>
                    <w:widowControl/>
                    <w:numPr>
                      <w:ilvl w:val="0"/>
                      <w:numId w:val="6"/>
                    </w:numPr>
                    <w:wordWrap w:val="0"/>
                    <w:adjustRightInd w:val="0"/>
                    <w:snapToGrid w:val="0"/>
                    <w:ind w:left="0" w:leftChars="0" w:firstLine="0" w:firstLineChars="0"/>
                    <w:jc w:val="center"/>
                    <w:rPr>
                      <w:rFonts w:hint="eastAsia" w:ascii="Times New Roman" w:hAnsi="Times New Roman" w:eastAsia="宋体" w:cs="Times New Roman"/>
                      <w:color w:val="auto"/>
                      <w:kern w:val="0"/>
                      <w:sz w:val="18"/>
                      <w:szCs w:val="18"/>
                      <w:lang w:val="en-US" w:eastAsia="zh-CN" w:bidi="ar"/>
                    </w:rPr>
                  </w:pPr>
                  <w:r>
                    <w:rPr>
                      <w:rFonts w:hint="eastAsia" w:ascii="Times New Roman" w:hAnsi="Times New Roman" w:eastAsia="宋体" w:cs="Times New Roman"/>
                      <w:color w:val="auto"/>
                      <w:kern w:val="0"/>
                      <w:sz w:val="18"/>
                      <w:szCs w:val="18"/>
                      <w:lang w:val="en-US" w:eastAsia="zh-CN" w:bidi="ar"/>
                    </w:rPr>
                    <w:t>生产设施基本信息：生产设施（设备）名称、</w:t>
                  </w:r>
                </w:p>
                <w:p w14:paraId="29CA4339">
                  <w:pPr>
                    <w:widowControl/>
                    <w:numPr>
                      <w:ilvl w:val="0"/>
                      <w:numId w:val="0"/>
                    </w:numPr>
                    <w:wordWrap w:val="0"/>
                    <w:adjustRightInd w:val="0"/>
                    <w:snapToGrid w:val="0"/>
                    <w:ind w:leftChars="0"/>
                    <w:jc w:val="center"/>
                    <w:rPr>
                      <w:rFonts w:hint="eastAsia" w:ascii="Times New Roman" w:hAnsi="Times New Roman" w:eastAsia="宋体" w:cs="Times New Roman"/>
                      <w:color w:val="auto"/>
                      <w:kern w:val="0"/>
                      <w:sz w:val="18"/>
                      <w:szCs w:val="18"/>
                      <w:lang w:bidi="ar"/>
                    </w:rPr>
                  </w:pPr>
                  <w:r>
                    <w:rPr>
                      <w:rFonts w:hint="eastAsia" w:ascii="Times New Roman" w:hAnsi="Times New Roman" w:eastAsia="宋体" w:cs="Times New Roman"/>
                      <w:color w:val="auto"/>
                      <w:kern w:val="0"/>
                      <w:sz w:val="18"/>
                      <w:szCs w:val="18"/>
                      <w:lang w:val="en-US" w:eastAsia="zh-CN" w:bidi="ar"/>
                    </w:rPr>
                    <w:t>编码、型号、规格参数、设计生产能力等。</w:t>
                  </w:r>
                </w:p>
                <w:p w14:paraId="6CA6D363">
                  <w:pPr>
                    <w:widowControl/>
                    <w:numPr>
                      <w:ilvl w:val="0"/>
                      <w:numId w:val="6"/>
                    </w:numPr>
                    <w:wordWrap w:val="0"/>
                    <w:adjustRightInd w:val="0"/>
                    <w:snapToGrid w:val="0"/>
                    <w:ind w:left="0" w:leftChars="0" w:firstLine="0" w:firstLineChars="0"/>
                    <w:jc w:val="center"/>
                    <w:rPr>
                      <w:rFonts w:hint="eastAsia" w:ascii="Times New Roman" w:hAnsi="Times New Roman" w:eastAsia="宋体" w:cs="Times New Roman"/>
                      <w:color w:val="auto"/>
                      <w:kern w:val="0"/>
                      <w:sz w:val="18"/>
                      <w:szCs w:val="18"/>
                      <w:lang w:val="en-US" w:eastAsia="zh-CN" w:bidi="ar"/>
                    </w:rPr>
                  </w:pPr>
                  <w:r>
                    <w:rPr>
                      <w:rFonts w:hint="eastAsia" w:ascii="Times New Roman" w:hAnsi="Times New Roman" w:eastAsia="宋体" w:cs="Times New Roman"/>
                      <w:color w:val="auto"/>
                      <w:kern w:val="0"/>
                      <w:sz w:val="18"/>
                      <w:szCs w:val="18"/>
                      <w:lang w:val="en-US" w:eastAsia="zh-CN" w:bidi="ar"/>
                    </w:rPr>
                    <w:t>污染治理设施基本信息：治理设施名称、编</w:t>
                  </w:r>
                </w:p>
                <w:p w14:paraId="1A1DD232">
                  <w:pPr>
                    <w:widowControl/>
                    <w:numPr>
                      <w:ilvl w:val="0"/>
                      <w:numId w:val="0"/>
                    </w:numPr>
                    <w:wordWrap w:val="0"/>
                    <w:adjustRightInd w:val="0"/>
                    <w:snapToGrid w:val="0"/>
                    <w:ind w:leftChars="0"/>
                    <w:jc w:val="center"/>
                    <w:rPr>
                      <w:color w:val="auto"/>
                      <w:kern w:val="0"/>
                      <w:sz w:val="18"/>
                      <w:szCs w:val="18"/>
                      <w:lang w:bidi="ar"/>
                    </w:rPr>
                  </w:pPr>
                  <w:r>
                    <w:rPr>
                      <w:rFonts w:hint="eastAsia" w:ascii="Times New Roman" w:hAnsi="Times New Roman" w:eastAsia="宋体" w:cs="Times New Roman"/>
                      <w:color w:val="auto"/>
                      <w:kern w:val="0"/>
                      <w:sz w:val="18"/>
                      <w:szCs w:val="18"/>
                      <w:lang w:val="en-US" w:eastAsia="zh-CN" w:bidi="ar"/>
                    </w:rPr>
                    <w:t>码、型号、规格参数等。</w:t>
                  </w:r>
                </w:p>
              </w:tc>
              <w:tc>
                <w:tcPr>
                  <w:tcW w:w="1151" w:type="pct"/>
                  <w:vAlign w:val="center"/>
                </w:tcPr>
                <w:p w14:paraId="0E5DAA33">
                  <w:pPr>
                    <w:widowControl/>
                    <w:wordWrap w:val="0"/>
                    <w:adjustRightInd w:val="0"/>
                    <w:snapToGrid w:val="0"/>
                    <w:jc w:val="center"/>
                    <w:rPr>
                      <w:color w:val="auto"/>
                      <w:kern w:val="0"/>
                      <w:sz w:val="18"/>
                      <w:szCs w:val="18"/>
                      <w:lang w:bidi="ar"/>
                    </w:rPr>
                  </w:pPr>
                  <w:r>
                    <w:rPr>
                      <w:rFonts w:hint="eastAsia" w:ascii="Times New Roman" w:hAnsi="Times New Roman" w:eastAsia="宋体" w:cs="Times New Roman"/>
                      <w:color w:val="auto"/>
                      <w:kern w:val="0"/>
                      <w:sz w:val="18"/>
                      <w:szCs w:val="18"/>
                      <w:lang w:bidi="ar"/>
                    </w:rPr>
                    <w:t>《排污单位自行监测技术指南 橡胶和塑料制品》（HJ1207-2021）</w:t>
                  </w:r>
                </w:p>
              </w:tc>
              <w:tc>
                <w:tcPr>
                  <w:tcW w:w="403" w:type="pct"/>
                  <w:vMerge w:val="restart"/>
                  <w:vAlign w:val="center"/>
                </w:tcPr>
                <w:p w14:paraId="55AF7A21">
                  <w:pPr>
                    <w:widowControl/>
                    <w:wordWrap w:val="0"/>
                    <w:adjustRightInd w:val="0"/>
                    <w:snapToGrid w:val="0"/>
                    <w:jc w:val="left"/>
                    <w:rPr>
                      <w:color w:val="auto"/>
                      <w:sz w:val="18"/>
                      <w:szCs w:val="18"/>
                    </w:rPr>
                  </w:pPr>
                  <w:r>
                    <w:rPr>
                      <w:color w:val="auto"/>
                      <w:kern w:val="0"/>
                      <w:sz w:val="18"/>
                      <w:szCs w:val="18"/>
                      <w:lang w:bidi="ar"/>
                    </w:rPr>
                    <w:t>电子台账+纸质台账 </w:t>
                  </w:r>
                </w:p>
              </w:tc>
              <w:tc>
                <w:tcPr>
                  <w:tcW w:w="398" w:type="pct"/>
                  <w:vMerge w:val="restart"/>
                  <w:vAlign w:val="center"/>
                </w:tcPr>
                <w:p w14:paraId="0032EE4B">
                  <w:pPr>
                    <w:widowControl/>
                    <w:wordWrap w:val="0"/>
                    <w:adjustRightInd w:val="0"/>
                    <w:snapToGrid w:val="0"/>
                    <w:jc w:val="left"/>
                    <w:rPr>
                      <w:color w:val="auto"/>
                      <w:sz w:val="18"/>
                      <w:szCs w:val="18"/>
                    </w:rPr>
                  </w:pPr>
                  <w:r>
                    <w:rPr>
                      <w:color w:val="auto"/>
                      <w:kern w:val="0"/>
                      <w:sz w:val="18"/>
                      <w:szCs w:val="18"/>
                      <w:lang w:bidi="ar"/>
                    </w:rPr>
                    <w:t>台账至少保存5年。</w:t>
                  </w:r>
                </w:p>
              </w:tc>
            </w:tr>
            <w:tr w14:paraId="22353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18DFF19F">
                  <w:pPr>
                    <w:widowControl/>
                    <w:wordWrap w:val="0"/>
                    <w:adjustRightInd w:val="0"/>
                    <w:snapToGrid w:val="0"/>
                    <w:jc w:val="center"/>
                    <w:rPr>
                      <w:rFonts w:hint="eastAsia" w:ascii="Times New Roman" w:hAnsi="Times New Roman" w:eastAsia="宋体" w:cs="Times New Roman"/>
                      <w:color w:val="auto"/>
                      <w:kern w:val="0"/>
                      <w:sz w:val="18"/>
                      <w:szCs w:val="18"/>
                      <w:lang w:eastAsia="zh-CN" w:bidi="ar"/>
                    </w:rPr>
                  </w:pPr>
                  <w:r>
                    <w:rPr>
                      <w:rFonts w:hint="eastAsia" w:ascii="Times New Roman" w:hAnsi="Times New Roman" w:eastAsia="宋体" w:cs="Times New Roman"/>
                      <w:color w:val="auto"/>
                      <w:kern w:val="0"/>
                      <w:sz w:val="18"/>
                      <w:szCs w:val="18"/>
                      <w:lang w:val="en-US" w:eastAsia="zh-CN" w:bidi="ar"/>
                    </w:rPr>
                    <w:t>生产设施运行管理信息</w:t>
                  </w:r>
                </w:p>
                <w:p w14:paraId="2B97D6CC">
                  <w:pPr>
                    <w:widowControl/>
                    <w:wordWrap w:val="0"/>
                    <w:adjustRightInd w:val="0"/>
                    <w:snapToGrid w:val="0"/>
                    <w:jc w:val="center"/>
                    <w:rPr>
                      <w:rFonts w:hint="eastAsia" w:ascii="Times New Roman" w:hAnsi="Times New Roman" w:eastAsia="宋体" w:cs="Times New Roman"/>
                      <w:color w:val="auto"/>
                      <w:kern w:val="0"/>
                      <w:sz w:val="18"/>
                      <w:szCs w:val="18"/>
                      <w:lang w:eastAsia="zh-CN" w:bidi="ar"/>
                    </w:rPr>
                  </w:pPr>
                </w:p>
              </w:tc>
              <w:tc>
                <w:tcPr>
                  <w:tcW w:w="2425" w:type="pct"/>
                  <w:vAlign w:val="center"/>
                </w:tcPr>
                <w:p w14:paraId="51435107">
                  <w:pPr>
                    <w:widowControl/>
                    <w:wordWrap w:val="0"/>
                    <w:adjustRightInd w:val="0"/>
                    <w:snapToGrid w:val="0"/>
                    <w:jc w:val="center"/>
                    <w:rPr>
                      <w:rFonts w:hint="eastAsia" w:ascii="Times New Roman" w:hAnsi="Times New Roman" w:eastAsia="宋体" w:cs="Times New Roman"/>
                      <w:color w:val="auto"/>
                      <w:kern w:val="0"/>
                      <w:sz w:val="18"/>
                      <w:szCs w:val="18"/>
                      <w:lang w:val="en-US" w:eastAsia="zh-CN" w:bidi="ar"/>
                    </w:rPr>
                  </w:pPr>
                  <w:r>
                    <w:rPr>
                      <w:rFonts w:hint="eastAsia" w:ascii="Times New Roman" w:hAnsi="Times New Roman" w:eastAsia="宋体" w:cs="Times New Roman"/>
                      <w:color w:val="auto"/>
                      <w:kern w:val="0"/>
                      <w:sz w:val="18"/>
                      <w:szCs w:val="18"/>
                      <w:lang w:val="en-US" w:eastAsia="zh-CN" w:bidi="ar"/>
                    </w:rPr>
                    <w:t>排污单位应定期记录生产设施运行状况并留档</w:t>
                  </w:r>
                </w:p>
                <w:p w14:paraId="1DC8EDEA">
                  <w:pPr>
                    <w:widowControl/>
                    <w:wordWrap w:val="0"/>
                    <w:adjustRightInd w:val="0"/>
                    <w:snapToGrid w:val="0"/>
                    <w:jc w:val="both"/>
                    <w:rPr>
                      <w:rFonts w:hint="eastAsia" w:ascii="Times New Roman" w:hAnsi="Times New Roman" w:eastAsia="宋体" w:cs="Times New Roman"/>
                      <w:color w:val="auto"/>
                      <w:kern w:val="0"/>
                      <w:sz w:val="18"/>
                      <w:szCs w:val="18"/>
                      <w:lang w:eastAsia="zh-CN" w:bidi="ar"/>
                    </w:rPr>
                  </w:pPr>
                  <w:r>
                    <w:rPr>
                      <w:rFonts w:hint="eastAsia" w:ascii="Times New Roman" w:hAnsi="Times New Roman" w:eastAsia="宋体" w:cs="Times New Roman"/>
                      <w:color w:val="auto"/>
                      <w:kern w:val="0"/>
                      <w:sz w:val="18"/>
                      <w:szCs w:val="18"/>
                      <w:lang w:val="en-US" w:eastAsia="zh-CN" w:bidi="ar"/>
                    </w:rPr>
                    <w:t>保存，应按班次至少记录以下内容：</w:t>
                  </w:r>
                </w:p>
                <w:p w14:paraId="7F39ED53">
                  <w:pPr>
                    <w:widowControl/>
                    <w:numPr>
                      <w:ilvl w:val="0"/>
                      <w:numId w:val="7"/>
                    </w:numPr>
                    <w:wordWrap w:val="0"/>
                    <w:adjustRightInd w:val="0"/>
                    <w:snapToGrid w:val="0"/>
                    <w:jc w:val="center"/>
                    <w:rPr>
                      <w:rFonts w:hint="eastAsia" w:ascii="Times New Roman" w:hAnsi="Times New Roman" w:eastAsia="宋体" w:cs="Times New Roman"/>
                      <w:color w:val="auto"/>
                      <w:kern w:val="0"/>
                      <w:sz w:val="18"/>
                      <w:szCs w:val="18"/>
                      <w:lang w:val="en-US" w:eastAsia="zh-CN" w:bidi="ar"/>
                    </w:rPr>
                  </w:pPr>
                  <w:r>
                    <w:rPr>
                      <w:rFonts w:hint="eastAsia" w:ascii="Times New Roman" w:hAnsi="Times New Roman" w:eastAsia="宋体" w:cs="Times New Roman"/>
                      <w:color w:val="auto"/>
                      <w:kern w:val="0"/>
                      <w:sz w:val="18"/>
                      <w:szCs w:val="18"/>
                      <w:lang w:val="en-US" w:eastAsia="zh-CN" w:bidi="ar"/>
                    </w:rPr>
                    <w:t>生产运行情况包括生产设施（设备）、公用</w:t>
                  </w:r>
                </w:p>
                <w:p w14:paraId="10FD1CDA">
                  <w:pPr>
                    <w:widowControl/>
                    <w:numPr>
                      <w:ilvl w:val="0"/>
                      <w:numId w:val="0"/>
                    </w:numPr>
                    <w:wordWrap w:val="0"/>
                    <w:adjustRightInd w:val="0"/>
                    <w:snapToGrid w:val="0"/>
                    <w:jc w:val="both"/>
                    <w:rPr>
                      <w:rFonts w:hint="eastAsia" w:ascii="Times New Roman" w:hAnsi="Times New Roman" w:eastAsia="宋体" w:cs="Times New Roman"/>
                      <w:color w:val="auto"/>
                      <w:kern w:val="0"/>
                      <w:sz w:val="18"/>
                      <w:szCs w:val="18"/>
                      <w:lang w:eastAsia="zh-CN" w:bidi="ar"/>
                    </w:rPr>
                  </w:pPr>
                  <w:r>
                    <w:rPr>
                      <w:rFonts w:hint="eastAsia" w:ascii="Times New Roman" w:hAnsi="Times New Roman" w:eastAsia="宋体" w:cs="Times New Roman"/>
                      <w:color w:val="auto"/>
                      <w:kern w:val="0"/>
                      <w:sz w:val="18"/>
                      <w:szCs w:val="18"/>
                      <w:lang w:val="en-US" w:eastAsia="zh-CN" w:bidi="ar"/>
                    </w:rPr>
                    <w:t>单元和全厂运行情况，重点记录排污许可证中相关信息的实际情况及与污染物治理、排放相关的主要运行参数。正常情况各生产单元主要生产设施（设备）的累计生产时间，主要产品产量，原辅材料使用情况等数据。</w:t>
                  </w:r>
                </w:p>
                <w:p w14:paraId="2797C83A">
                  <w:pPr>
                    <w:widowControl/>
                    <w:wordWrap w:val="0"/>
                    <w:adjustRightInd w:val="0"/>
                    <w:snapToGrid w:val="0"/>
                    <w:jc w:val="center"/>
                    <w:rPr>
                      <w:rFonts w:hint="eastAsia" w:ascii="Times New Roman" w:hAnsi="Times New Roman" w:eastAsia="宋体" w:cs="Times New Roman"/>
                      <w:color w:val="auto"/>
                      <w:kern w:val="0"/>
                      <w:sz w:val="18"/>
                      <w:szCs w:val="18"/>
                      <w:lang w:eastAsia="zh-CN" w:bidi="ar"/>
                    </w:rPr>
                  </w:pPr>
                  <w:r>
                    <w:rPr>
                      <w:rFonts w:hint="default" w:ascii="Times New Roman" w:hAnsi="Times New Roman" w:eastAsia="宋体" w:cs="Times New Roman"/>
                      <w:color w:val="auto"/>
                      <w:kern w:val="0"/>
                      <w:sz w:val="18"/>
                      <w:szCs w:val="18"/>
                      <w:lang w:val="en-US" w:eastAsia="zh-CN" w:bidi="ar"/>
                    </w:rPr>
                    <w:t>b</w:t>
                  </w:r>
                  <w:r>
                    <w:rPr>
                      <w:rFonts w:hint="eastAsia" w:ascii="Times New Roman" w:hAnsi="Times New Roman" w:eastAsia="宋体" w:cs="Times New Roman"/>
                      <w:color w:val="auto"/>
                      <w:kern w:val="0"/>
                      <w:sz w:val="18"/>
                      <w:szCs w:val="18"/>
                      <w:lang w:val="en-US" w:eastAsia="zh-CN" w:bidi="ar"/>
                    </w:rPr>
                    <w:t>）产品产量：记录统计时段内主要产品产量。</w:t>
                  </w:r>
                </w:p>
                <w:p w14:paraId="1016D6A5">
                  <w:pPr>
                    <w:widowControl/>
                    <w:wordWrap w:val="0"/>
                    <w:adjustRightInd w:val="0"/>
                    <w:snapToGrid w:val="0"/>
                    <w:jc w:val="center"/>
                    <w:rPr>
                      <w:rFonts w:hint="eastAsia" w:ascii="Times New Roman" w:hAnsi="Times New Roman" w:eastAsia="宋体" w:cs="Times New Roman"/>
                      <w:color w:val="auto"/>
                      <w:kern w:val="0"/>
                      <w:sz w:val="18"/>
                      <w:szCs w:val="18"/>
                      <w:lang w:eastAsia="zh-CN" w:bidi="ar"/>
                    </w:rPr>
                  </w:pPr>
                  <w:r>
                    <w:rPr>
                      <w:rFonts w:hint="default" w:ascii="Times New Roman" w:hAnsi="Times New Roman" w:eastAsia="宋体" w:cs="Times New Roman"/>
                      <w:color w:val="auto"/>
                      <w:kern w:val="0"/>
                      <w:sz w:val="18"/>
                      <w:szCs w:val="18"/>
                      <w:lang w:val="en-US" w:eastAsia="zh-CN" w:bidi="ar"/>
                    </w:rPr>
                    <w:t>c</w:t>
                  </w:r>
                  <w:r>
                    <w:rPr>
                      <w:rFonts w:hint="eastAsia" w:ascii="Times New Roman" w:hAnsi="Times New Roman" w:eastAsia="宋体" w:cs="Times New Roman"/>
                      <w:color w:val="auto"/>
                      <w:kern w:val="0"/>
                      <w:sz w:val="18"/>
                      <w:szCs w:val="18"/>
                      <w:lang w:val="en-US" w:eastAsia="zh-CN" w:bidi="ar"/>
                    </w:rPr>
                    <w:t>）原辅材料、涂料：记录名称、用量单位、密度、主要成分含量、含水率、挥发性有机物含量、用量、品牌。</w:t>
                  </w:r>
                </w:p>
                <w:p w14:paraId="1FF5B413">
                  <w:pPr>
                    <w:widowControl/>
                    <w:wordWrap w:val="0"/>
                    <w:adjustRightInd w:val="0"/>
                    <w:snapToGrid w:val="0"/>
                    <w:jc w:val="center"/>
                    <w:rPr>
                      <w:rFonts w:hint="eastAsia" w:ascii="Times New Roman" w:hAnsi="Times New Roman" w:eastAsia="宋体" w:cs="Times New Roman"/>
                      <w:color w:val="auto"/>
                      <w:kern w:val="0"/>
                      <w:sz w:val="18"/>
                      <w:szCs w:val="18"/>
                      <w:lang w:eastAsia="zh-CN" w:bidi="ar"/>
                    </w:rPr>
                  </w:pPr>
                  <w:r>
                    <w:rPr>
                      <w:rFonts w:hint="default" w:ascii="Times New Roman" w:hAnsi="Times New Roman" w:eastAsia="宋体" w:cs="Times New Roman"/>
                      <w:color w:val="auto"/>
                      <w:kern w:val="0"/>
                      <w:sz w:val="18"/>
                      <w:szCs w:val="18"/>
                      <w:lang w:val="en-US" w:eastAsia="zh-CN" w:bidi="ar"/>
                    </w:rPr>
                    <w:t>d</w:t>
                  </w:r>
                  <w:r>
                    <w:rPr>
                      <w:rFonts w:hint="eastAsia" w:ascii="Times New Roman" w:hAnsi="Times New Roman" w:eastAsia="宋体" w:cs="Times New Roman"/>
                      <w:color w:val="auto"/>
                      <w:kern w:val="0"/>
                      <w:sz w:val="18"/>
                      <w:szCs w:val="18"/>
                      <w:lang w:val="en-US" w:eastAsia="zh-CN" w:bidi="ar"/>
                    </w:rPr>
                    <w:t>）燃料：记录种类、用量、成分、热值、品质。涉及二次能源的需建立能源平衡报表，应填报一次购入能源和二次转化能源。</w:t>
                  </w:r>
                </w:p>
                <w:p w14:paraId="5C3CFBB5">
                  <w:pPr>
                    <w:widowControl/>
                    <w:wordWrap w:val="0"/>
                    <w:adjustRightInd w:val="0"/>
                    <w:snapToGrid w:val="0"/>
                    <w:jc w:val="center"/>
                    <w:rPr>
                      <w:rFonts w:hint="eastAsia" w:ascii="Times New Roman" w:hAnsi="Times New Roman" w:eastAsia="宋体" w:cs="Times New Roman"/>
                      <w:color w:val="auto"/>
                      <w:kern w:val="0"/>
                      <w:sz w:val="18"/>
                      <w:szCs w:val="18"/>
                      <w:lang w:eastAsia="zh-CN" w:bidi="ar"/>
                    </w:rPr>
                  </w:pPr>
                </w:p>
              </w:tc>
              <w:tc>
                <w:tcPr>
                  <w:tcW w:w="1151" w:type="pct"/>
                  <w:vAlign w:val="center"/>
                </w:tcPr>
                <w:p w14:paraId="22A82261">
                  <w:pPr>
                    <w:widowControl/>
                    <w:wordWrap w:val="0"/>
                    <w:adjustRightInd w:val="0"/>
                    <w:snapToGrid w:val="0"/>
                    <w:jc w:val="left"/>
                    <w:rPr>
                      <w:rFonts w:ascii="Times New Roman" w:hAnsi="Times New Roman" w:eastAsia="宋体" w:cs="Times New Roman"/>
                      <w:color w:val="auto"/>
                      <w:kern w:val="0"/>
                      <w:sz w:val="18"/>
                      <w:szCs w:val="18"/>
                      <w:lang w:bidi="ar"/>
                    </w:rPr>
                  </w:pPr>
                  <w:r>
                    <w:rPr>
                      <w:rFonts w:hint="default" w:ascii="Times New Roman" w:hAnsi="Times New Roman" w:eastAsia="宋体" w:cs="Times New Roman"/>
                      <w:color w:val="auto"/>
                      <w:kern w:val="0"/>
                      <w:sz w:val="18"/>
                      <w:szCs w:val="18"/>
                      <w:lang w:val="en-US" w:eastAsia="zh-CN" w:bidi="ar"/>
                    </w:rPr>
                    <w:t>a</w:t>
                  </w:r>
                  <w:r>
                    <w:rPr>
                      <w:rFonts w:hint="eastAsia" w:ascii="Times New Roman" w:hAnsi="Times New Roman" w:eastAsia="宋体" w:cs="Times New Roman"/>
                      <w:color w:val="auto"/>
                      <w:kern w:val="0"/>
                      <w:sz w:val="18"/>
                      <w:szCs w:val="18"/>
                      <w:lang w:val="en-US" w:eastAsia="zh-CN" w:bidi="ar"/>
                    </w:rPr>
                    <w:t>）正常工况</w:t>
                  </w:r>
                </w:p>
                <w:p w14:paraId="09EC94DA">
                  <w:pPr>
                    <w:widowControl/>
                    <w:wordWrap w:val="0"/>
                    <w:adjustRightInd w:val="0"/>
                    <w:snapToGrid w:val="0"/>
                    <w:jc w:val="left"/>
                    <w:rPr>
                      <w:rFonts w:ascii="Times New Roman" w:hAnsi="Times New Roman" w:eastAsia="宋体" w:cs="Times New Roman"/>
                      <w:color w:val="auto"/>
                      <w:kern w:val="0"/>
                      <w:sz w:val="18"/>
                      <w:szCs w:val="18"/>
                      <w:lang w:bidi="ar"/>
                    </w:rPr>
                  </w:pPr>
                  <w:r>
                    <w:rPr>
                      <w:rFonts w:hint="default" w:ascii="Times New Roman" w:hAnsi="Times New Roman" w:eastAsia="宋体" w:cs="Times New Roman"/>
                      <w:color w:val="auto"/>
                      <w:kern w:val="0"/>
                      <w:sz w:val="18"/>
                      <w:szCs w:val="18"/>
                      <w:lang w:val="en-US" w:eastAsia="zh-CN" w:bidi="ar"/>
                    </w:rPr>
                    <w:t>1</w:t>
                  </w:r>
                  <w:r>
                    <w:rPr>
                      <w:rFonts w:hint="eastAsia" w:ascii="Times New Roman" w:hAnsi="Times New Roman" w:eastAsia="宋体" w:cs="Times New Roman"/>
                      <w:color w:val="auto"/>
                      <w:kern w:val="0"/>
                      <w:sz w:val="18"/>
                      <w:szCs w:val="18"/>
                      <w:lang w:val="en-US" w:eastAsia="zh-CN" w:bidi="ar"/>
                    </w:rPr>
                    <w:t>）生产运行状况：按照排污单位生产批次记录，每批次记录</w:t>
                  </w:r>
                  <w:r>
                    <w:rPr>
                      <w:rFonts w:hint="default" w:ascii="Times New Roman" w:hAnsi="Times New Roman" w:eastAsia="宋体" w:cs="Times New Roman"/>
                      <w:color w:val="auto"/>
                      <w:kern w:val="0"/>
                      <w:sz w:val="18"/>
                      <w:szCs w:val="18"/>
                      <w:lang w:val="en-US" w:eastAsia="zh-CN" w:bidi="ar"/>
                    </w:rPr>
                    <w:t>1</w:t>
                  </w:r>
                  <w:r>
                    <w:rPr>
                      <w:rFonts w:hint="eastAsia" w:ascii="Times New Roman" w:hAnsi="Times New Roman" w:eastAsia="宋体" w:cs="Times New Roman"/>
                      <w:color w:val="auto"/>
                      <w:kern w:val="0"/>
                      <w:sz w:val="18"/>
                      <w:szCs w:val="18"/>
                      <w:lang w:val="en-US" w:eastAsia="zh-CN" w:bidi="ar"/>
                    </w:rPr>
                    <w:t>次。</w:t>
                  </w:r>
                </w:p>
                <w:p w14:paraId="4ECC614B">
                  <w:pPr>
                    <w:widowControl/>
                    <w:wordWrap w:val="0"/>
                    <w:adjustRightInd w:val="0"/>
                    <w:snapToGrid w:val="0"/>
                    <w:jc w:val="left"/>
                    <w:rPr>
                      <w:rFonts w:ascii="Times New Roman" w:hAnsi="Times New Roman" w:eastAsia="宋体" w:cs="Times New Roman"/>
                      <w:color w:val="auto"/>
                      <w:kern w:val="0"/>
                      <w:sz w:val="18"/>
                      <w:szCs w:val="18"/>
                      <w:lang w:bidi="ar"/>
                    </w:rPr>
                  </w:pPr>
                  <w:r>
                    <w:rPr>
                      <w:rFonts w:hint="default" w:ascii="Times New Roman" w:hAnsi="Times New Roman" w:eastAsia="宋体" w:cs="Times New Roman"/>
                      <w:color w:val="auto"/>
                      <w:kern w:val="0"/>
                      <w:sz w:val="18"/>
                      <w:szCs w:val="18"/>
                      <w:lang w:val="en-US" w:eastAsia="zh-CN" w:bidi="ar"/>
                    </w:rPr>
                    <w:t>2</w:t>
                  </w:r>
                  <w:r>
                    <w:rPr>
                      <w:rFonts w:hint="eastAsia" w:ascii="Times New Roman" w:hAnsi="Times New Roman" w:eastAsia="宋体" w:cs="Times New Roman"/>
                      <w:color w:val="auto"/>
                      <w:kern w:val="0"/>
                      <w:sz w:val="18"/>
                      <w:szCs w:val="18"/>
                      <w:lang w:val="en-US" w:eastAsia="zh-CN" w:bidi="ar"/>
                    </w:rPr>
                    <w:t>）产品产量：连续性生产的排污单位产品产量按照批次记录，每批次记录</w:t>
                  </w:r>
                  <w:r>
                    <w:rPr>
                      <w:rFonts w:hint="default" w:ascii="Times New Roman" w:hAnsi="Times New Roman" w:eastAsia="宋体" w:cs="Times New Roman"/>
                      <w:color w:val="auto"/>
                      <w:kern w:val="0"/>
                      <w:sz w:val="18"/>
                      <w:szCs w:val="18"/>
                      <w:lang w:val="en-US" w:eastAsia="zh-CN" w:bidi="ar"/>
                    </w:rPr>
                    <w:t>1</w:t>
                  </w:r>
                  <w:r>
                    <w:rPr>
                      <w:rFonts w:hint="eastAsia" w:ascii="Times New Roman" w:hAnsi="Times New Roman" w:eastAsia="宋体" w:cs="Times New Roman"/>
                      <w:color w:val="auto"/>
                      <w:kern w:val="0"/>
                      <w:sz w:val="18"/>
                      <w:szCs w:val="18"/>
                      <w:lang w:val="en-US" w:eastAsia="zh-CN" w:bidi="ar"/>
                    </w:rPr>
                    <w:t>次。周期性生产的设施按照一个周期进行记录，周期小于</w:t>
                  </w:r>
                  <w:r>
                    <w:rPr>
                      <w:rFonts w:hint="default" w:ascii="Times New Roman" w:hAnsi="Times New Roman" w:eastAsia="宋体" w:cs="Times New Roman"/>
                      <w:color w:val="auto"/>
                      <w:kern w:val="0"/>
                      <w:sz w:val="18"/>
                      <w:szCs w:val="18"/>
                      <w:lang w:val="en-US" w:eastAsia="zh-CN" w:bidi="ar"/>
                    </w:rPr>
                    <w:t>1</w:t>
                  </w:r>
                  <w:r>
                    <w:rPr>
                      <w:rFonts w:hint="eastAsia" w:ascii="Times New Roman" w:hAnsi="Times New Roman" w:eastAsia="宋体" w:cs="Times New Roman"/>
                      <w:color w:val="auto"/>
                      <w:kern w:val="0"/>
                      <w:sz w:val="18"/>
                      <w:szCs w:val="18"/>
                      <w:lang w:val="en-US" w:eastAsia="zh-CN" w:bidi="ar"/>
                    </w:rPr>
                    <w:t>日的按照</w:t>
                  </w:r>
                  <w:r>
                    <w:rPr>
                      <w:rFonts w:hint="default" w:ascii="Times New Roman" w:hAnsi="Times New Roman" w:eastAsia="宋体" w:cs="Times New Roman"/>
                      <w:color w:val="auto"/>
                      <w:kern w:val="0"/>
                      <w:sz w:val="18"/>
                      <w:szCs w:val="18"/>
                      <w:lang w:val="en-US" w:eastAsia="zh-CN" w:bidi="ar"/>
                    </w:rPr>
                    <w:t>1</w:t>
                  </w:r>
                  <w:r>
                    <w:rPr>
                      <w:rFonts w:hint="eastAsia" w:ascii="Times New Roman" w:hAnsi="Times New Roman" w:eastAsia="宋体" w:cs="Times New Roman"/>
                      <w:color w:val="auto"/>
                      <w:kern w:val="0"/>
                      <w:sz w:val="18"/>
                      <w:szCs w:val="18"/>
                      <w:lang w:val="en-US" w:eastAsia="zh-CN" w:bidi="ar"/>
                    </w:rPr>
                    <w:t>日记录。</w:t>
                  </w:r>
                </w:p>
                <w:p w14:paraId="21E67632">
                  <w:pPr>
                    <w:widowControl/>
                    <w:wordWrap w:val="0"/>
                    <w:adjustRightInd w:val="0"/>
                    <w:snapToGrid w:val="0"/>
                    <w:jc w:val="left"/>
                    <w:rPr>
                      <w:rFonts w:ascii="Times New Roman" w:hAnsi="Times New Roman" w:eastAsia="宋体" w:cs="Times New Roman"/>
                      <w:color w:val="auto"/>
                      <w:kern w:val="0"/>
                      <w:sz w:val="18"/>
                      <w:szCs w:val="18"/>
                      <w:lang w:bidi="ar"/>
                    </w:rPr>
                  </w:pPr>
                  <w:r>
                    <w:rPr>
                      <w:rFonts w:hint="default" w:ascii="Times New Roman" w:hAnsi="Times New Roman" w:eastAsia="宋体" w:cs="Times New Roman"/>
                      <w:color w:val="auto"/>
                      <w:kern w:val="0"/>
                      <w:sz w:val="18"/>
                      <w:szCs w:val="18"/>
                      <w:lang w:val="en-US" w:eastAsia="zh-CN" w:bidi="ar"/>
                    </w:rPr>
                    <w:t>3</w:t>
                  </w:r>
                  <w:r>
                    <w:rPr>
                      <w:rFonts w:hint="eastAsia" w:ascii="Times New Roman" w:hAnsi="Times New Roman" w:eastAsia="宋体" w:cs="Times New Roman"/>
                      <w:color w:val="auto"/>
                      <w:kern w:val="0"/>
                      <w:sz w:val="18"/>
                      <w:szCs w:val="18"/>
                      <w:lang w:val="en-US" w:eastAsia="zh-CN" w:bidi="ar"/>
                    </w:rPr>
                    <w:t>）原辅材料、涂料、燃料用量：按照批次记录，每批次记录</w:t>
                  </w:r>
                  <w:r>
                    <w:rPr>
                      <w:rFonts w:hint="default" w:ascii="Times New Roman" w:hAnsi="Times New Roman" w:eastAsia="宋体" w:cs="Times New Roman"/>
                      <w:color w:val="auto"/>
                      <w:kern w:val="0"/>
                      <w:sz w:val="18"/>
                      <w:szCs w:val="18"/>
                      <w:lang w:val="en-US" w:eastAsia="zh-CN" w:bidi="ar"/>
                    </w:rPr>
                    <w:t>1</w:t>
                  </w:r>
                  <w:r>
                    <w:rPr>
                      <w:rFonts w:hint="eastAsia" w:ascii="Times New Roman" w:hAnsi="Times New Roman" w:eastAsia="宋体" w:cs="Times New Roman"/>
                      <w:color w:val="auto"/>
                      <w:kern w:val="0"/>
                      <w:sz w:val="18"/>
                      <w:szCs w:val="18"/>
                      <w:lang w:val="en-US" w:eastAsia="zh-CN" w:bidi="ar"/>
                    </w:rPr>
                    <w:t>次。</w:t>
                  </w:r>
                </w:p>
                <w:p w14:paraId="121A19F3">
                  <w:pPr>
                    <w:widowControl/>
                    <w:wordWrap w:val="0"/>
                    <w:adjustRightInd w:val="0"/>
                    <w:snapToGrid w:val="0"/>
                    <w:jc w:val="left"/>
                    <w:rPr>
                      <w:rFonts w:ascii="Times New Roman" w:hAnsi="Times New Roman" w:eastAsia="宋体" w:cs="Times New Roman"/>
                      <w:color w:val="auto"/>
                      <w:kern w:val="0"/>
                      <w:sz w:val="18"/>
                      <w:szCs w:val="18"/>
                      <w:lang w:bidi="ar"/>
                    </w:rPr>
                  </w:pPr>
                  <w:r>
                    <w:rPr>
                      <w:rFonts w:hint="default" w:ascii="Times New Roman" w:hAnsi="Times New Roman" w:eastAsia="宋体" w:cs="Times New Roman"/>
                      <w:color w:val="auto"/>
                      <w:kern w:val="0"/>
                      <w:sz w:val="18"/>
                      <w:szCs w:val="18"/>
                      <w:lang w:val="en-US" w:eastAsia="zh-CN" w:bidi="ar"/>
                    </w:rPr>
                    <w:t>b</w:t>
                  </w:r>
                  <w:r>
                    <w:rPr>
                      <w:rFonts w:hint="eastAsia" w:ascii="Times New Roman" w:hAnsi="Times New Roman" w:eastAsia="宋体" w:cs="Times New Roman"/>
                      <w:color w:val="auto"/>
                      <w:kern w:val="0"/>
                      <w:sz w:val="18"/>
                      <w:szCs w:val="18"/>
                      <w:lang w:val="en-US" w:eastAsia="zh-CN" w:bidi="ar"/>
                    </w:rPr>
                    <w:t>）非正常工况：按照工况期记录，每工况期记录</w:t>
                  </w:r>
                  <w:r>
                    <w:rPr>
                      <w:rFonts w:hint="default" w:ascii="Times New Roman" w:hAnsi="Times New Roman" w:eastAsia="宋体" w:cs="Times New Roman"/>
                      <w:color w:val="auto"/>
                      <w:kern w:val="0"/>
                      <w:sz w:val="18"/>
                      <w:szCs w:val="18"/>
                      <w:lang w:val="en-US" w:eastAsia="zh-CN" w:bidi="ar"/>
                    </w:rPr>
                    <w:t>1</w:t>
                  </w:r>
                  <w:r>
                    <w:rPr>
                      <w:rFonts w:hint="eastAsia" w:ascii="Times New Roman" w:hAnsi="Times New Roman" w:eastAsia="宋体" w:cs="Times New Roman"/>
                      <w:color w:val="auto"/>
                      <w:kern w:val="0"/>
                      <w:sz w:val="18"/>
                      <w:szCs w:val="18"/>
                      <w:lang w:val="en-US" w:eastAsia="zh-CN" w:bidi="ar"/>
                    </w:rPr>
                    <w:t>次。</w:t>
                  </w:r>
                </w:p>
                <w:p w14:paraId="4CAE08BE">
                  <w:pPr>
                    <w:widowControl/>
                    <w:wordWrap w:val="0"/>
                    <w:adjustRightInd w:val="0"/>
                    <w:snapToGrid w:val="0"/>
                    <w:jc w:val="center"/>
                    <w:rPr>
                      <w:color w:val="auto"/>
                      <w:kern w:val="0"/>
                      <w:sz w:val="18"/>
                      <w:szCs w:val="18"/>
                      <w:lang w:bidi="ar"/>
                    </w:rPr>
                  </w:pPr>
                </w:p>
              </w:tc>
              <w:tc>
                <w:tcPr>
                  <w:tcW w:w="403" w:type="pct"/>
                  <w:vMerge w:val="continue"/>
                  <w:vAlign w:val="center"/>
                </w:tcPr>
                <w:p w14:paraId="779E712C">
                  <w:pPr>
                    <w:widowControl/>
                    <w:wordWrap w:val="0"/>
                    <w:adjustRightInd w:val="0"/>
                    <w:snapToGrid w:val="0"/>
                    <w:jc w:val="left"/>
                    <w:rPr>
                      <w:color w:val="auto"/>
                      <w:sz w:val="18"/>
                      <w:szCs w:val="18"/>
                    </w:rPr>
                  </w:pPr>
                </w:p>
              </w:tc>
              <w:tc>
                <w:tcPr>
                  <w:tcW w:w="398" w:type="pct"/>
                  <w:vMerge w:val="continue"/>
                  <w:vAlign w:val="center"/>
                </w:tcPr>
                <w:p w14:paraId="2A4F22EE">
                  <w:pPr>
                    <w:widowControl/>
                    <w:wordWrap w:val="0"/>
                    <w:adjustRightInd w:val="0"/>
                    <w:snapToGrid w:val="0"/>
                    <w:jc w:val="left"/>
                    <w:rPr>
                      <w:color w:val="auto"/>
                      <w:sz w:val="18"/>
                      <w:szCs w:val="18"/>
                    </w:rPr>
                  </w:pPr>
                </w:p>
              </w:tc>
            </w:tr>
            <w:tr w14:paraId="7C3A0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370309E0">
                  <w:pPr>
                    <w:widowControl/>
                    <w:wordWrap w:val="0"/>
                    <w:adjustRightInd w:val="0"/>
                    <w:snapToGrid w:val="0"/>
                    <w:jc w:val="center"/>
                    <w:rPr>
                      <w:rFonts w:hint="eastAsia" w:ascii="宋体" w:hAnsi="宋体" w:eastAsia="宋体" w:cs="宋体"/>
                      <w:color w:val="auto"/>
                      <w:kern w:val="0"/>
                      <w:sz w:val="18"/>
                      <w:szCs w:val="18"/>
                      <w:lang w:eastAsia="zh-CN" w:bidi="ar"/>
                    </w:rPr>
                  </w:pPr>
                  <w:r>
                    <w:rPr>
                      <w:rFonts w:ascii="宋体" w:hAnsi="宋体" w:eastAsia="宋体" w:cs="宋体"/>
                      <w:color w:val="auto"/>
                      <w:kern w:val="0"/>
                      <w:sz w:val="18"/>
                      <w:szCs w:val="18"/>
                      <w:lang w:bidi="ar"/>
                    </w:rPr>
                    <w:t>污染防治设施运行管理信息</w:t>
                  </w:r>
                </w:p>
              </w:tc>
              <w:tc>
                <w:tcPr>
                  <w:tcW w:w="2425" w:type="pct"/>
                  <w:vAlign w:val="center"/>
                </w:tcPr>
                <w:p w14:paraId="20374C86">
                  <w:pPr>
                    <w:widowControl/>
                    <w:wordWrap w:val="0"/>
                    <w:adjustRightInd w:val="0"/>
                    <w:snapToGrid w:val="0"/>
                    <w:jc w:val="center"/>
                    <w:rPr>
                      <w:rFonts w:ascii="宋体" w:hAnsi="宋体" w:eastAsia="宋体" w:cs="宋体"/>
                      <w:color w:val="auto"/>
                      <w:kern w:val="0"/>
                      <w:sz w:val="18"/>
                      <w:szCs w:val="18"/>
                      <w:lang w:bidi="ar"/>
                    </w:rPr>
                  </w:pPr>
                  <w:r>
                    <w:rPr>
                      <w:rFonts w:hint="default" w:ascii="宋体" w:hAnsi="宋体" w:eastAsia="宋体" w:cs="宋体"/>
                      <w:color w:val="auto"/>
                      <w:kern w:val="0"/>
                      <w:sz w:val="18"/>
                      <w:szCs w:val="18"/>
                      <w:lang w:val="en-US" w:eastAsia="zh-CN" w:bidi="ar"/>
                    </w:rPr>
                    <w:t>a</w:t>
                  </w:r>
                  <w:r>
                    <w:rPr>
                      <w:rFonts w:hint="eastAsia" w:ascii="宋体" w:hAnsi="宋体" w:eastAsia="宋体" w:cs="宋体"/>
                      <w:color w:val="auto"/>
                      <w:kern w:val="0"/>
                      <w:sz w:val="18"/>
                      <w:szCs w:val="18"/>
                      <w:lang w:val="en-US" w:eastAsia="zh-CN" w:bidi="ar"/>
                    </w:rPr>
                    <w:t>）正常情况：污染防治设施运行信息应按照设施类别分别记录设施的实际运行相关参数和维护记录。</w:t>
                  </w:r>
                </w:p>
                <w:p w14:paraId="1AFDC8BD">
                  <w:pPr>
                    <w:widowControl/>
                    <w:wordWrap w:val="0"/>
                    <w:adjustRightInd w:val="0"/>
                    <w:snapToGrid w:val="0"/>
                    <w:jc w:val="center"/>
                    <w:rPr>
                      <w:rFonts w:hint="eastAsia" w:ascii="宋体" w:hAnsi="宋体" w:eastAsia="宋体" w:cs="宋体"/>
                      <w:color w:val="auto"/>
                      <w:kern w:val="0"/>
                      <w:sz w:val="18"/>
                      <w:szCs w:val="18"/>
                      <w:lang w:val="en-US" w:eastAsia="zh-CN" w:bidi="ar"/>
                    </w:rPr>
                  </w:pPr>
                  <w:r>
                    <w:rPr>
                      <w:rFonts w:hint="default" w:ascii="宋体" w:hAnsi="宋体" w:eastAsia="宋体" w:cs="宋体"/>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）有组织废气治理设施记录设施运行时间、运</w:t>
                  </w:r>
                </w:p>
                <w:p w14:paraId="7D1720A1">
                  <w:pPr>
                    <w:widowControl/>
                    <w:wordWrap w:val="0"/>
                    <w:adjustRightInd w:val="0"/>
                    <w:snapToGrid w:val="0"/>
                    <w:jc w:val="both"/>
                    <w:rPr>
                      <w:rFonts w:ascii="宋体" w:hAnsi="宋体" w:eastAsia="宋体" w:cs="宋体"/>
                      <w:color w:val="auto"/>
                      <w:kern w:val="0"/>
                      <w:sz w:val="18"/>
                      <w:szCs w:val="18"/>
                      <w:lang w:bidi="ar"/>
                    </w:rPr>
                  </w:pPr>
                  <w:r>
                    <w:rPr>
                      <w:rFonts w:hint="eastAsia" w:ascii="宋体" w:hAnsi="宋体" w:eastAsia="宋体" w:cs="宋体"/>
                      <w:color w:val="auto"/>
                      <w:kern w:val="0"/>
                      <w:sz w:val="18"/>
                      <w:szCs w:val="18"/>
                      <w:lang w:val="en-US" w:eastAsia="zh-CN" w:bidi="ar"/>
                    </w:rPr>
                    <w:t>行参数、污染排放情况等。</w:t>
                  </w:r>
                </w:p>
                <w:p w14:paraId="3088AB1C">
                  <w:pPr>
                    <w:widowControl/>
                    <w:wordWrap w:val="0"/>
                    <w:adjustRightInd w:val="0"/>
                    <w:snapToGrid w:val="0"/>
                    <w:jc w:val="center"/>
                    <w:rPr>
                      <w:rFonts w:ascii="宋体" w:hAnsi="宋体" w:eastAsia="宋体" w:cs="宋体"/>
                      <w:color w:val="auto"/>
                      <w:kern w:val="0"/>
                      <w:sz w:val="18"/>
                      <w:szCs w:val="18"/>
                      <w:lang w:bidi="ar"/>
                    </w:rPr>
                  </w:pPr>
                  <w:r>
                    <w:rPr>
                      <w:rFonts w:hint="default" w:ascii="宋体" w:hAnsi="宋体" w:eastAsia="宋体" w:cs="宋体"/>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）无组织废气排放控制记录措施执行情况。</w:t>
                  </w:r>
                </w:p>
                <w:p w14:paraId="45C24E7D">
                  <w:pPr>
                    <w:widowControl/>
                    <w:wordWrap w:val="0"/>
                    <w:adjustRightInd w:val="0"/>
                    <w:snapToGrid w:val="0"/>
                    <w:jc w:val="center"/>
                    <w:rPr>
                      <w:rFonts w:ascii="宋体" w:hAnsi="宋体" w:eastAsia="宋体" w:cs="宋体"/>
                      <w:color w:val="auto"/>
                      <w:kern w:val="0"/>
                      <w:sz w:val="18"/>
                      <w:szCs w:val="18"/>
                      <w:lang w:bidi="ar"/>
                    </w:rPr>
                  </w:pPr>
                  <w:r>
                    <w:rPr>
                      <w:rFonts w:hint="default" w:ascii="宋体" w:hAnsi="宋体" w:eastAsia="宋体" w:cs="宋体"/>
                      <w:color w:val="auto"/>
                      <w:kern w:val="0"/>
                      <w:sz w:val="18"/>
                      <w:szCs w:val="18"/>
                      <w:lang w:val="en-US" w:eastAsia="zh-CN" w:bidi="ar"/>
                    </w:rPr>
                    <w:t>3</w:t>
                  </w:r>
                  <w:r>
                    <w:rPr>
                      <w:rFonts w:hint="eastAsia" w:ascii="宋体" w:hAnsi="宋体" w:eastAsia="宋体" w:cs="宋体"/>
                      <w:color w:val="auto"/>
                      <w:kern w:val="0"/>
                      <w:sz w:val="18"/>
                      <w:szCs w:val="18"/>
                      <w:lang w:val="en-US" w:eastAsia="zh-CN" w:bidi="ar"/>
                    </w:rPr>
                    <w:t>）废水处理设施应记录废水类别、处理能力、运行状态、污染排放情况、药剂名称及使用量、投放时间、电耗、污泥产生量及污泥处理处置去向等。</w:t>
                  </w:r>
                </w:p>
                <w:p w14:paraId="42C581FB">
                  <w:pPr>
                    <w:widowControl/>
                    <w:wordWrap w:val="0"/>
                    <w:adjustRightInd w:val="0"/>
                    <w:snapToGrid w:val="0"/>
                    <w:jc w:val="center"/>
                    <w:rPr>
                      <w:rFonts w:ascii="宋体" w:hAnsi="宋体" w:eastAsia="宋体" w:cs="宋体"/>
                      <w:color w:val="auto"/>
                      <w:kern w:val="0"/>
                      <w:sz w:val="18"/>
                      <w:szCs w:val="18"/>
                      <w:lang w:bidi="ar"/>
                    </w:rPr>
                  </w:pPr>
                  <w:r>
                    <w:rPr>
                      <w:rFonts w:hint="default" w:ascii="宋体" w:hAnsi="宋体" w:eastAsia="宋体" w:cs="宋体"/>
                      <w:color w:val="auto"/>
                      <w:kern w:val="0"/>
                      <w:sz w:val="18"/>
                      <w:szCs w:val="18"/>
                      <w:lang w:val="en-US" w:eastAsia="zh-CN" w:bidi="ar"/>
                    </w:rPr>
                    <w:t>b</w:t>
                  </w:r>
                  <w:r>
                    <w:rPr>
                      <w:rFonts w:hint="eastAsia" w:ascii="宋体" w:hAnsi="宋体" w:eastAsia="宋体" w:cs="宋体"/>
                      <w:color w:val="auto"/>
                      <w:kern w:val="0"/>
                      <w:sz w:val="18"/>
                      <w:szCs w:val="18"/>
                      <w:lang w:val="en-US" w:eastAsia="zh-CN" w:bidi="ar"/>
                    </w:rPr>
                    <w:t>）非正常情况：污染防治设施非正常信息按工况记录，每工况期记录一次，内容应记录起止时段设施名称、编号、非正常起始时刻、非正常终止时刻、污染物排放量、排放浓度、事件原因、是否报告、应对措施等。</w:t>
                  </w:r>
                </w:p>
                <w:p w14:paraId="04EAE41D">
                  <w:pPr>
                    <w:widowControl/>
                    <w:wordWrap w:val="0"/>
                    <w:adjustRightInd w:val="0"/>
                    <w:snapToGrid w:val="0"/>
                    <w:jc w:val="center"/>
                    <w:rPr>
                      <w:rFonts w:hint="eastAsia" w:ascii="宋体" w:hAnsi="宋体" w:eastAsia="宋体" w:cs="宋体"/>
                      <w:color w:val="auto"/>
                      <w:kern w:val="0"/>
                      <w:sz w:val="18"/>
                      <w:szCs w:val="18"/>
                      <w:lang w:eastAsia="zh-CN" w:bidi="ar"/>
                    </w:rPr>
                  </w:pPr>
                </w:p>
              </w:tc>
              <w:tc>
                <w:tcPr>
                  <w:tcW w:w="1151" w:type="pct"/>
                  <w:vAlign w:val="center"/>
                </w:tcPr>
                <w:p w14:paraId="33EA6B5C">
                  <w:pPr>
                    <w:widowControl/>
                    <w:wordWrap w:val="0"/>
                    <w:adjustRightInd w:val="0"/>
                    <w:snapToGrid w:val="0"/>
                    <w:jc w:val="center"/>
                    <w:rPr>
                      <w:rFonts w:hint="eastAsia"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a</w:t>
                  </w:r>
                  <w:r>
                    <w:rPr>
                      <w:rFonts w:hint="eastAsia" w:ascii="Times New Roman" w:hAnsi="Times New Roman" w:eastAsia="宋体" w:cs="Times New Roman"/>
                      <w:color w:val="auto"/>
                      <w:kern w:val="0"/>
                      <w:sz w:val="18"/>
                      <w:szCs w:val="18"/>
                      <w:lang w:val="en-US" w:eastAsia="zh-CN" w:bidi="ar"/>
                    </w:rPr>
                    <w:t>）正常情况</w:t>
                  </w:r>
                </w:p>
                <w:p w14:paraId="6C1256F0">
                  <w:pPr>
                    <w:widowControl/>
                    <w:wordWrap w:val="0"/>
                    <w:adjustRightInd w:val="0"/>
                    <w:snapToGrid w:val="0"/>
                    <w:jc w:val="center"/>
                    <w:rPr>
                      <w:rFonts w:hint="eastAsia"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1</w:t>
                  </w:r>
                  <w:r>
                    <w:rPr>
                      <w:rFonts w:hint="eastAsia" w:ascii="Times New Roman" w:hAnsi="Times New Roman" w:eastAsia="宋体" w:cs="Times New Roman"/>
                      <w:color w:val="auto"/>
                      <w:kern w:val="0"/>
                      <w:sz w:val="18"/>
                      <w:szCs w:val="18"/>
                      <w:lang w:val="en-US" w:eastAsia="zh-CN" w:bidi="ar"/>
                    </w:rPr>
                    <w:t>）污染防治设施运行状况：每日记录</w:t>
                  </w:r>
                  <w:r>
                    <w:rPr>
                      <w:rFonts w:hint="default" w:ascii="Times New Roman" w:hAnsi="Times New Roman" w:eastAsia="宋体" w:cs="Times New Roman"/>
                      <w:color w:val="auto"/>
                      <w:kern w:val="0"/>
                      <w:sz w:val="18"/>
                      <w:szCs w:val="18"/>
                      <w:lang w:val="en-US" w:eastAsia="zh-CN" w:bidi="ar"/>
                    </w:rPr>
                    <w:t>1</w:t>
                  </w:r>
                  <w:r>
                    <w:rPr>
                      <w:rFonts w:hint="eastAsia" w:ascii="Times New Roman" w:hAnsi="Times New Roman" w:eastAsia="宋体" w:cs="Times New Roman"/>
                      <w:color w:val="auto"/>
                      <w:kern w:val="0"/>
                      <w:sz w:val="18"/>
                      <w:szCs w:val="18"/>
                      <w:lang w:val="en-US" w:eastAsia="zh-CN" w:bidi="ar"/>
                    </w:rPr>
                    <w:t>次。</w:t>
                  </w:r>
                </w:p>
                <w:p w14:paraId="011F4973">
                  <w:pPr>
                    <w:widowControl/>
                    <w:wordWrap w:val="0"/>
                    <w:adjustRightInd w:val="0"/>
                    <w:snapToGrid w:val="0"/>
                    <w:jc w:val="center"/>
                    <w:rPr>
                      <w:rFonts w:hint="eastAsia"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2</w:t>
                  </w:r>
                  <w:r>
                    <w:rPr>
                      <w:rFonts w:hint="eastAsia" w:ascii="Times New Roman" w:hAnsi="Times New Roman" w:eastAsia="宋体" w:cs="Times New Roman"/>
                      <w:color w:val="auto"/>
                      <w:kern w:val="0"/>
                      <w:sz w:val="18"/>
                      <w:szCs w:val="18"/>
                      <w:lang w:val="en-US" w:eastAsia="zh-CN" w:bidi="ar"/>
                    </w:rPr>
                    <w:t>）采取无组织废气污染控制措施的信息记录频次原则不小于</w:t>
                  </w:r>
                  <w:r>
                    <w:rPr>
                      <w:rFonts w:hint="default" w:ascii="Times New Roman" w:hAnsi="Times New Roman" w:eastAsia="宋体" w:cs="Times New Roman"/>
                      <w:color w:val="auto"/>
                      <w:kern w:val="0"/>
                      <w:sz w:val="18"/>
                      <w:szCs w:val="18"/>
                      <w:lang w:val="en-US" w:eastAsia="zh-CN" w:bidi="ar"/>
                    </w:rPr>
                    <w:t>1</w:t>
                  </w:r>
                  <w:r>
                    <w:rPr>
                      <w:rFonts w:hint="eastAsia" w:ascii="Times New Roman" w:hAnsi="Times New Roman" w:eastAsia="宋体" w:cs="Times New Roman"/>
                      <w:color w:val="auto"/>
                      <w:kern w:val="0"/>
                      <w:sz w:val="18"/>
                      <w:szCs w:val="18"/>
                      <w:lang w:val="en-US" w:eastAsia="zh-CN" w:bidi="ar"/>
                    </w:rPr>
                    <w:t>日。</w:t>
                  </w:r>
                </w:p>
                <w:p w14:paraId="479BC963">
                  <w:pPr>
                    <w:widowControl/>
                    <w:wordWrap w:val="0"/>
                    <w:adjustRightInd w:val="0"/>
                    <w:snapToGrid w:val="0"/>
                    <w:jc w:val="center"/>
                    <w:rPr>
                      <w:rFonts w:hint="eastAsia"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3</w:t>
                  </w:r>
                  <w:r>
                    <w:rPr>
                      <w:rFonts w:hint="eastAsia" w:ascii="Times New Roman" w:hAnsi="Times New Roman" w:eastAsia="宋体" w:cs="Times New Roman"/>
                      <w:color w:val="auto"/>
                      <w:kern w:val="0"/>
                      <w:sz w:val="18"/>
                      <w:szCs w:val="18"/>
                      <w:lang w:val="en-US" w:eastAsia="zh-CN" w:bidi="ar"/>
                    </w:rPr>
                    <w:t>）污染物产排污情况：连续排放污染物的，按日记录，每日记录</w:t>
                  </w:r>
                  <w:r>
                    <w:rPr>
                      <w:rFonts w:hint="default" w:ascii="Times New Roman" w:hAnsi="Times New Roman" w:eastAsia="宋体" w:cs="Times New Roman"/>
                      <w:color w:val="auto"/>
                      <w:kern w:val="0"/>
                      <w:sz w:val="18"/>
                      <w:szCs w:val="18"/>
                      <w:lang w:val="en-US" w:eastAsia="zh-CN" w:bidi="ar"/>
                    </w:rPr>
                    <w:t>1</w:t>
                  </w:r>
                  <w:r>
                    <w:rPr>
                      <w:rFonts w:hint="eastAsia" w:ascii="Times New Roman" w:hAnsi="Times New Roman" w:eastAsia="宋体" w:cs="Times New Roman"/>
                      <w:color w:val="auto"/>
                      <w:kern w:val="0"/>
                      <w:sz w:val="18"/>
                      <w:szCs w:val="18"/>
                      <w:lang w:val="en-US" w:eastAsia="zh-CN" w:bidi="ar"/>
                    </w:rPr>
                    <w:t>次。非连续排放污染物的，按照产排污阶段记录，每个产排污阶段记录</w:t>
                  </w:r>
                  <w:r>
                    <w:rPr>
                      <w:rFonts w:hint="default" w:ascii="Times New Roman" w:hAnsi="Times New Roman" w:eastAsia="宋体" w:cs="Times New Roman"/>
                      <w:color w:val="auto"/>
                      <w:kern w:val="0"/>
                      <w:sz w:val="18"/>
                      <w:szCs w:val="18"/>
                      <w:lang w:val="en-US" w:eastAsia="zh-CN" w:bidi="ar"/>
                    </w:rPr>
                    <w:t>1</w:t>
                  </w:r>
                  <w:r>
                    <w:rPr>
                      <w:rFonts w:hint="eastAsia" w:ascii="Times New Roman" w:hAnsi="Times New Roman" w:eastAsia="宋体" w:cs="Times New Roman"/>
                      <w:color w:val="auto"/>
                      <w:kern w:val="0"/>
                      <w:sz w:val="18"/>
                      <w:szCs w:val="18"/>
                      <w:lang w:val="en-US" w:eastAsia="zh-CN" w:bidi="ar"/>
                    </w:rPr>
                    <w:t>次。安装自动监测设施的按照自动监测频率记录，</w:t>
                  </w:r>
                  <w:r>
                    <w:rPr>
                      <w:rFonts w:hint="default" w:ascii="Times New Roman" w:hAnsi="Times New Roman" w:eastAsia="宋体" w:cs="Times New Roman"/>
                      <w:color w:val="auto"/>
                      <w:kern w:val="0"/>
                      <w:sz w:val="18"/>
                      <w:szCs w:val="18"/>
                      <w:lang w:val="en-US" w:eastAsia="zh-CN" w:bidi="ar"/>
                    </w:rPr>
                    <w:t xml:space="preserve">DCS </w:t>
                  </w:r>
                  <w:r>
                    <w:rPr>
                      <w:rFonts w:hint="eastAsia" w:ascii="Times New Roman" w:hAnsi="Times New Roman" w:eastAsia="宋体" w:cs="Times New Roman"/>
                      <w:color w:val="auto"/>
                      <w:kern w:val="0"/>
                      <w:sz w:val="18"/>
                      <w:szCs w:val="18"/>
                      <w:lang w:val="en-US" w:eastAsia="zh-CN" w:bidi="ar"/>
                    </w:rPr>
                    <w:t>原则上以</w:t>
                  </w:r>
                  <w:r>
                    <w:rPr>
                      <w:rFonts w:hint="default" w:ascii="Times New Roman" w:hAnsi="Times New Roman" w:eastAsia="宋体" w:cs="Times New Roman"/>
                      <w:color w:val="auto"/>
                      <w:kern w:val="0"/>
                      <w:sz w:val="18"/>
                      <w:szCs w:val="18"/>
                      <w:lang w:val="en-US" w:eastAsia="zh-CN" w:bidi="ar"/>
                    </w:rPr>
                    <w:t>7</w:t>
                  </w:r>
                  <w:r>
                    <w:rPr>
                      <w:rFonts w:hint="eastAsia" w:ascii="Times New Roman" w:hAnsi="Times New Roman" w:eastAsia="宋体" w:cs="Times New Roman"/>
                      <w:color w:val="auto"/>
                      <w:kern w:val="0"/>
                      <w:sz w:val="18"/>
                      <w:szCs w:val="18"/>
                      <w:lang w:val="en-US" w:eastAsia="zh-CN" w:bidi="ar"/>
                    </w:rPr>
                    <w:t xml:space="preserve">日为周期截屏。 </w:t>
                  </w:r>
                </w:p>
                <w:p w14:paraId="61300FB1">
                  <w:pPr>
                    <w:widowControl/>
                    <w:wordWrap w:val="0"/>
                    <w:adjustRightInd w:val="0"/>
                    <w:snapToGrid w:val="0"/>
                    <w:jc w:val="center"/>
                    <w:rPr>
                      <w:rFonts w:hint="eastAsia"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4</w:t>
                  </w:r>
                  <w:r>
                    <w:rPr>
                      <w:rFonts w:hint="eastAsia" w:ascii="Times New Roman" w:hAnsi="Times New Roman" w:eastAsia="宋体" w:cs="Times New Roman"/>
                      <w:color w:val="auto"/>
                      <w:kern w:val="0"/>
                      <w:sz w:val="18"/>
                      <w:szCs w:val="18"/>
                      <w:lang w:val="en-US" w:eastAsia="zh-CN" w:bidi="ar"/>
                    </w:rPr>
                    <w:t>）药剂添加情况：采用批次投放的，按照投放批次记录，每投放批次记录</w:t>
                  </w:r>
                  <w:r>
                    <w:rPr>
                      <w:rFonts w:hint="default" w:ascii="Times New Roman" w:hAnsi="Times New Roman" w:eastAsia="宋体" w:cs="Times New Roman"/>
                      <w:color w:val="auto"/>
                      <w:kern w:val="0"/>
                      <w:sz w:val="18"/>
                      <w:szCs w:val="18"/>
                      <w:lang w:val="en-US" w:eastAsia="zh-CN" w:bidi="ar"/>
                    </w:rPr>
                    <w:t>1</w:t>
                  </w:r>
                  <w:r>
                    <w:rPr>
                      <w:rFonts w:hint="eastAsia" w:ascii="Times New Roman" w:hAnsi="Times New Roman" w:eastAsia="宋体" w:cs="Times New Roman"/>
                      <w:color w:val="auto"/>
                      <w:kern w:val="0"/>
                      <w:sz w:val="18"/>
                      <w:szCs w:val="18"/>
                      <w:lang w:val="en-US" w:eastAsia="zh-CN" w:bidi="ar"/>
                    </w:rPr>
                    <w:t>次。采用连续加药方式的，每班次记录</w:t>
                  </w:r>
                  <w:r>
                    <w:rPr>
                      <w:rFonts w:hint="default" w:ascii="Times New Roman" w:hAnsi="Times New Roman" w:eastAsia="宋体" w:cs="Times New Roman"/>
                      <w:color w:val="auto"/>
                      <w:kern w:val="0"/>
                      <w:sz w:val="18"/>
                      <w:szCs w:val="18"/>
                      <w:lang w:val="en-US" w:eastAsia="zh-CN" w:bidi="ar"/>
                    </w:rPr>
                    <w:t>1</w:t>
                  </w:r>
                  <w:r>
                    <w:rPr>
                      <w:rFonts w:hint="eastAsia" w:ascii="Times New Roman" w:hAnsi="Times New Roman" w:eastAsia="宋体" w:cs="Times New Roman"/>
                      <w:color w:val="auto"/>
                      <w:kern w:val="0"/>
                      <w:sz w:val="18"/>
                      <w:szCs w:val="18"/>
                      <w:lang w:val="en-US" w:eastAsia="zh-CN" w:bidi="ar"/>
                    </w:rPr>
                    <w:t>次。</w:t>
                  </w:r>
                </w:p>
                <w:p w14:paraId="3AAD1DCA">
                  <w:pPr>
                    <w:widowControl/>
                    <w:wordWrap w:val="0"/>
                    <w:adjustRightInd w:val="0"/>
                    <w:snapToGrid w:val="0"/>
                    <w:jc w:val="center"/>
                    <w:rPr>
                      <w:rFonts w:hint="eastAsia" w:ascii="Times New Roman" w:hAnsi="Times New Roman" w:eastAsia="宋体" w:cs="Times New Roman"/>
                      <w:color w:val="auto"/>
                      <w:kern w:val="0"/>
                      <w:sz w:val="18"/>
                      <w:szCs w:val="18"/>
                      <w:lang w:val="en-US" w:eastAsia="zh-CN" w:bidi="ar"/>
                    </w:rPr>
                  </w:pPr>
                  <w:r>
                    <w:rPr>
                      <w:rFonts w:hint="default" w:ascii="Times New Roman" w:hAnsi="Times New Roman" w:eastAsia="宋体" w:cs="Times New Roman"/>
                      <w:color w:val="auto"/>
                      <w:kern w:val="0"/>
                      <w:sz w:val="18"/>
                      <w:szCs w:val="18"/>
                      <w:lang w:val="en-US" w:eastAsia="zh-CN" w:bidi="ar"/>
                    </w:rPr>
                    <w:t>b</w:t>
                  </w:r>
                  <w:r>
                    <w:rPr>
                      <w:rFonts w:hint="eastAsia" w:ascii="Times New Roman" w:hAnsi="Times New Roman" w:eastAsia="宋体" w:cs="Times New Roman"/>
                      <w:color w:val="auto"/>
                      <w:kern w:val="0"/>
                      <w:sz w:val="18"/>
                      <w:szCs w:val="18"/>
                      <w:lang w:val="en-US" w:eastAsia="zh-CN" w:bidi="ar"/>
                    </w:rPr>
                    <w:t>）非正常情况</w:t>
                  </w:r>
                </w:p>
                <w:p w14:paraId="0D9A63CD">
                  <w:pPr>
                    <w:widowControl/>
                    <w:wordWrap w:val="0"/>
                    <w:adjustRightInd w:val="0"/>
                    <w:snapToGrid w:val="0"/>
                    <w:jc w:val="center"/>
                    <w:rPr>
                      <w:rFonts w:hint="eastAsia" w:ascii="Times New Roman" w:hAnsi="Times New Roman" w:eastAsia="宋体" w:cs="Times New Roman"/>
                      <w:color w:val="auto"/>
                      <w:kern w:val="0"/>
                      <w:sz w:val="18"/>
                      <w:szCs w:val="18"/>
                      <w:lang w:val="en-US" w:eastAsia="zh-CN" w:bidi="ar"/>
                    </w:rPr>
                  </w:pPr>
                  <w:r>
                    <w:rPr>
                      <w:rFonts w:hint="eastAsia" w:ascii="Times New Roman" w:hAnsi="Times New Roman" w:eastAsia="宋体" w:cs="Times New Roman"/>
                      <w:color w:val="auto"/>
                      <w:kern w:val="0"/>
                      <w:sz w:val="18"/>
                      <w:szCs w:val="18"/>
                      <w:lang w:val="en-US" w:eastAsia="zh-CN" w:bidi="ar"/>
                    </w:rPr>
                    <w:t>按照非正常情况期记录，每非正常情况期记录</w:t>
                  </w:r>
                  <w:r>
                    <w:rPr>
                      <w:rFonts w:hint="default" w:ascii="Times New Roman" w:hAnsi="Times New Roman" w:eastAsia="宋体" w:cs="Times New Roman"/>
                      <w:color w:val="auto"/>
                      <w:kern w:val="0"/>
                      <w:sz w:val="18"/>
                      <w:szCs w:val="18"/>
                      <w:lang w:val="en-US" w:eastAsia="zh-CN" w:bidi="ar"/>
                    </w:rPr>
                    <w:t>1</w:t>
                  </w:r>
                  <w:r>
                    <w:rPr>
                      <w:rFonts w:hint="eastAsia" w:ascii="Times New Roman" w:hAnsi="Times New Roman" w:eastAsia="宋体" w:cs="Times New Roman"/>
                      <w:color w:val="auto"/>
                      <w:kern w:val="0"/>
                      <w:sz w:val="18"/>
                      <w:szCs w:val="18"/>
                      <w:lang w:val="en-US" w:eastAsia="zh-CN" w:bidi="ar"/>
                    </w:rPr>
                    <w:t>次，包括起止时间、污染物排放浓度、</w:t>
                  </w:r>
                </w:p>
                <w:p w14:paraId="118103C4">
                  <w:pPr>
                    <w:widowControl/>
                    <w:wordWrap w:val="0"/>
                    <w:adjustRightInd w:val="0"/>
                    <w:snapToGrid w:val="0"/>
                    <w:jc w:val="center"/>
                    <w:rPr>
                      <w:rFonts w:hint="eastAsia" w:ascii="Times New Roman" w:hAnsi="Times New Roman" w:eastAsia="宋体" w:cs="Times New Roman"/>
                      <w:color w:val="auto"/>
                      <w:kern w:val="0"/>
                      <w:sz w:val="18"/>
                      <w:szCs w:val="18"/>
                      <w:lang w:val="en-US" w:eastAsia="zh-CN" w:bidi="ar"/>
                    </w:rPr>
                  </w:pPr>
                  <w:r>
                    <w:rPr>
                      <w:rFonts w:hint="eastAsia" w:ascii="Times New Roman" w:hAnsi="Times New Roman" w:eastAsia="宋体" w:cs="Times New Roman"/>
                      <w:color w:val="auto"/>
                      <w:kern w:val="0"/>
                      <w:sz w:val="18"/>
                      <w:szCs w:val="18"/>
                      <w:lang w:val="en-US" w:eastAsia="zh-CN" w:bidi="ar"/>
                    </w:rPr>
                    <w:t>非正常原因、应对措施、是否报告等。</w:t>
                  </w:r>
                </w:p>
                <w:p w14:paraId="5728487A">
                  <w:pPr>
                    <w:widowControl/>
                    <w:wordWrap w:val="0"/>
                    <w:adjustRightInd w:val="0"/>
                    <w:snapToGrid w:val="0"/>
                    <w:jc w:val="center"/>
                    <w:rPr>
                      <w:color w:val="auto"/>
                      <w:kern w:val="0"/>
                      <w:sz w:val="18"/>
                      <w:szCs w:val="18"/>
                      <w:lang w:bidi="ar"/>
                    </w:rPr>
                  </w:pPr>
                </w:p>
              </w:tc>
              <w:tc>
                <w:tcPr>
                  <w:tcW w:w="403" w:type="pct"/>
                  <w:vMerge w:val="continue"/>
                  <w:vAlign w:val="center"/>
                </w:tcPr>
                <w:p w14:paraId="6EB4391D">
                  <w:pPr>
                    <w:widowControl/>
                    <w:wordWrap w:val="0"/>
                    <w:adjustRightInd w:val="0"/>
                    <w:snapToGrid w:val="0"/>
                    <w:jc w:val="left"/>
                    <w:rPr>
                      <w:vanish/>
                      <w:color w:val="auto"/>
                      <w:kern w:val="0"/>
                      <w:sz w:val="18"/>
                      <w:szCs w:val="18"/>
                      <w:lang w:bidi="ar"/>
                    </w:rPr>
                  </w:pPr>
                </w:p>
              </w:tc>
              <w:tc>
                <w:tcPr>
                  <w:tcW w:w="398" w:type="pct"/>
                  <w:vMerge w:val="continue"/>
                  <w:vAlign w:val="center"/>
                </w:tcPr>
                <w:p w14:paraId="791F2678">
                  <w:pPr>
                    <w:widowControl/>
                    <w:wordWrap w:val="0"/>
                    <w:adjustRightInd w:val="0"/>
                    <w:snapToGrid w:val="0"/>
                    <w:jc w:val="left"/>
                    <w:rPr>
                      <w:color w:val="auto"/>
                      <w:kern w:val="0"/>
                      <w:sz w:val="18"/>
                      <w:szCs w:val="18"/>
                      <w:lang w:bidi="ar"/>
                    </w:rPr>
                  </w:pPr>
                </w:p>
              </w:tc>
            </w:tr>
            <w:tr w14:paraId="10C5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34F32CDC">
                  <w:pPr>
                    <w:widowControl/>
                    <w:wordWrap w:val="0"/>
                    <w:adjustRightInd w:val="0"/>
                    <w:snapToGrid w:val="0"/>
                    <w:jc w:val="center"/>
                    <w:rPr>
                      <w:color w:val="auto"/>
                      <w:sz w:val="18"/>
                      <w:szCs w:val="18"/>
                    </w:rPr>
                  </w:pPr>
                  <w:r>
                    <w:rPr>
                      <w:color w:val="auto"/>
                      <w:kern w:val="0"/>
                      <w:sz w:val="18"/>
                      <w:szCs w:val="18"/>
                      <w:lang w:bidi="ar"/>
                    </w:rPr>
                    <w:t>监测记录信息</w:t>
                  </w:r>
                </w:p>
              </w:tc>
              <w:tc>
                <w:tcPr>
                  <w:tcW w:w="2425" w:type="pct"/>
                  <w:vAlign w:val="center"/>
                </w:tcPr>
                <w:p w14:paraId="2D204545">
                  <w:pPr>
                    <w:widowControl/>
                    <w:wordWrap w:val="0"/>
                    <w:adjustRightInd w:val="0"/>
                    <w:snapToGrid w:val="0"/>
                    <w:jc w:val="center"/>
                    <w:rPr>
                      <w:color w:val="auto"/>
                      <w:kern w:val="0"/>
                      <w:sz w:val="18"/>
                      <w:szCs w:val="18"/>
                      <w:lang w:bidi="ar"/>
                    </w:rPr>
                  </w:pPr>
                  <w:r>
                    <w:rPr>
                      <w:rFonts w:hint="eastAsia"/>
                      <w:color w:val="auto"/>
                      <w:kern w:val="0"/>
                      <w:sz w:val="18"/>
                      <w:szCs w:val="18"/>
                      <w:lang w:bidi="ar"/>
                    </w:rPr>
                    <w:t>按</w:t>
                  </w:r>
                  <w:r>
                    <w:rPr>
                      <w:rFonts w:hint="eastAsia" w:ascii="Times New Roman" w:hAnsi="Times New Roman" w:eastAsia="宋体" w:cs="Times New Roman"/>
                      <w:color w:val="auto"/>
                      <w:kern w:val="0"/>
                      <w:sz w:val="18"/>
                      <w:szCs w:val="18"/>
                      <w:lang w:bidi="ar"/>
                    </w:rPr>
                    <w:t>照《排污单位自行监测技术指南 橡胶和塑料制品》（HJ1207-2021）执行</w:t>
                  </w:r>
                </w:p>
                <w:p w14:paraId="3654D669">
                  <w:pPr>
                    <w:widowControl/>
                    <w:wordWrap w:val="0"/>
                    <w:adjustRightInd w:val="0"/>
                    <w:snapToGrid w:val="0"/>
                    <w:jc w:val="center"/>
                    <w:rPr>
                      <w:color w:val="auto"/>
                      <w:kern w:val="0"/>
                      <w:sz w:val="18"/>
                      <w:szCs w:val="18"/>
                      <w:lang w:bidi="ar"/>
                    </w:rPr>
                  </w:pPr>
                </w:p>
              </w:tc>
              <w:tc>
                <w:tcPr>
                  <w:tcW w:w="1151" w:type="pct"/>
                  <w:vAlign w:val="center"/>
                </w:tcPr>
                <w:p w14:paraId="3CABD699">
                  <w:pPr>
                    <w:widowControl/>
                    <w:wordWrap w:val="0"/>
                    <w:adjustRightInd w:val="0"/>
                    <w:snapToGrid w:val="0"/>
                    <w:jc w:val="center"/>
                    <w:rPr>
                      <w:color w:val="auto"/>
                      <w:kern w:val="0"/>
                      <w:sz w:val="18"/>
                      <w:szCs w:val="18"/>
                      <w:lang w:bidi="ar"/>
                    </w:rPr>
                  </w:pPr>
                  <w:r>
                    <w:rPr>
                      <w:rFonts w:hint="eastAsia"/>
                      <w:color w:val="auto"/>
                      <w:kern w:val="0"/>
                      <w:sz w:val="18"/>
                      <w:szCs w:val="18"/>
                      <w:lang w:bidi="ar"/>
                    </w:rPr>
                    <w:t>按照</w:t>
                  </w:r>
                  <w:r>
                    <w:rPr>
                      <w:rFonts w:hint="eastAsia" w:ascii="Times New Roman" w:hAnsi="Times New Roman" w:eastAsia="宋体" w:cs="Times New Roman"/>
                      <w:color w:val="auto"/>
                      <w:kern w:val="0"/>
                      <w:sz w:val="18"/>
                      <w:szCs w:val="18"/>
                      <w:lang w:bidi="ar"/>
                    </w:rPr>
                    <w:t>《排污单位自行监测技术指南 橡胶和塑料制品》（HJ1207-2021）</w:t>
                  </w:r>
                  <w:r>
                    <w:rPr>
                      <w:rFonts w:hint="eastAsia"/>
                      <w:color w:val="auto"/>
                      <w:kern w:val="0"/>
                      <w:sz w:val="18"/>
                      <w:szCs w:val="18"/>
                      <w:lang w:bidi="ar"/>
                    </w:rPr>
                    <w:t>中所确定的监测频次要求记录。</w:t>
                  </w:r>
                </w:p>
                <w:p w14:paraId="3FE1A049">
                  <w:pPr>
                    <w:widowControl/>
                    <w:wordWrap w:val="0"/>
                    <w:adjustRightInd w:val="0"/>
                    <w:snapToGrid w:val="0"/>
                    <w:jc w:val="center"/>
                    <w:rPr>
                      <w:color w:val="auto"/>
                      <w:kern w:val="0"/>
                      <w:sz w:val="18"/>
                      <w:szCs w:val="18"/>
                      <w:lang w:bidi="ar"/>
                    </w:rPr>
                  </w:pPr>
                </w:p>
              </w:tc>
              <w:tc>
                <w:tcPr>
                  <w:tcW w:w="403" w:type="pct"/>
                  <w:vMerge w:val="continue"/>
                  <w:vAlign w:val="center"/>
                </w:tcPr>
                <w:p w14:paraId="636D4D41">
                  <w:pPr>
                    <w:widowControl/>
                    <w:wordWrap w:val="0"/>
                    <w:adjustRightInd w:val="0"/>
                    <w:snapToGrid w:val="0"/>
                    <w:jc w:val="left"/>
                    <w:rPr>
                      <w:rFonts w:ascii="宋体" w:hAnsi="宋体" w:cs="宋体"/>
                      <w:color w:val="auto"/>
                      <w:sz w:val="18"/>
                      <w:szCs w:val="18"/>
                    </w:rPr>
                  </w:pPr>
                </w:p>
              </w:tc>
              <w:tc>
                <w:tcPr>
                  <w:tcW w:w="398" w:type="pct"/>
                  <w:vMerge w:val="continue"/>
                  <w:vAlign w:val="center"/>
                </w:tcPr>
                <w:p w14:paraId="696642EE">
                  <w:pPr>
                    <w:widowControl/>
                    <w:wordWrap w:val="0"/>
                    <w:adjustRightInd w:val="0"/>
                    <w:snapToGrid w:val="0"/>
                    <w:jc w:val="left"/>
                    <w:rPr>
                      <w:rFonts w:ascii="宋体" w:hAnsi="宋体" w:cs="宋体"/>
                      <w:color w:val="auto"/>
                      <w:sz w:val="18"/>
                      <w:szCs w:val="18"/>
                    </w:rPr>
                  </w:pPr>
                </w:p>
              </w:tc>
            </w:tr>
            <w:tr w14:paraId="2B13B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0285C984">
                  <w:pPr>
                    <w:widowControl/>
                    <w:wordWrap w:val="0"/>
                    <w:adjustRightInd w:val="0"/>
                    <w:snapToGrid w:val="0"/>
                    <w:jc w:val="center"/>
                    <w:rPr>
                      <w:rFonts w:ascii="宋体" w:hAnsi="宋体" w:cs="宋体"/>
                      <w:color w:val="auto"/>
                      <w:sz w:val="18"/>
                      <w:szCs w:val="18"/>
                    </w:rPr>
                  </w:pPr>
                  <w:r>
                    <w:rPr>
                      <w:rFonts w:ascii="宋体" w:hAnsi="宋体" w:cs="宋体"/>
                      <w:color w:val="auto"/>
                      <w:kern w:val="0"/>
                      <w:sz w:val="18"/>
                      <w:szCs w:val="18"/>
                      <w:lang w:bidi="ar"/>
                    </w:rPr>
                    <w:t>污染防治设施运行管理信息</w:t>
                  </w:r>
                </w:p>
              </w:tc>
              <w:tc>
                <w:tcPr>
                  <w:tcW w:w="2425" w:type="pct"/>
                  <w:vAlign w:val="center"/>
                </w:tcPr>
                <w:p w14:paraId="30C9B439">
                  <w:pPr>
                    <w:widowControl/>
                    <w:wordWrap w:val="0"/>
                    <w:adjustRightInd w:val="0"/>
                    <w:snapToGrid w:val="0"/>
                    <w:jc w:val="center"/>
                    <w:rPr>
                      <w:color w:val="auto"/>
                      <w:kern w:val="0"/>
                      <w:sz w:val="18"/>
                      <w:szCs w:val="18"/>
                      <w:lang w:bidi="ar"/>
                    </w:rPr>
                  </w:pPr>
                  <w:r>
                    <w:rPr>
                      <w:color w:val="auto"/>
                      <w:kern w:val="0"/>
                      <w:sz w:val="18"/>
                      <w:szCs w:val="18"/>
                      <w:lang w:bidi="ar"/>
                    </w:rPr>
                    <w:t>排污单位应建立环境管理台账制度，一般工业固体废物环境管理台账记录应符合生态环境部规定的《一般工业固体废物管理台账制定指南（试行）》等一般工业固体废物环境管理台账相关标准及管理文件要求。</w:t>
                  </w:r>
                </w:p>
              </w:tc>
              <w:tc>
                <w:tcPr>
                  <w:tcW w:w="1151" w:type="pct"/>
                  <w:vAlign w:val="center"/>
                </w:tcPr>
                <w:p w14:paraId="1982C816">
                  <w:pPr>
                    <w:widowControl/>
                    <w:wordWrap w:val="0"/>
                    <w:adjustRightInd w:val="0"/>
                    <w:snapToGrid w:val="0"/>
                    <w:jc w:val="center"/>
                    <w:rPr>
                      <w:color w:val="auto"/>
                      <w:kern w:val="0"/>
                      <w:sz w:val="18"/>
                      <w:szCs w:val="18"/>
                      <w:lang w:bidi="ar"/>
                    </w:rPr>
                  </w:pPr>
                  <w:r>
                    <w:rPr>
                      <w:color w:val="auto"/>
                      <w:kern w:val="0"/>
                      <w:sz w:val="18"/>
                      <w:szCs w:val="18"/>
                      <w:lang w:bidi="ar"/>
                    </w:rPr>
                    <w:t>（1）一般工业固体废物产生清单按年填写；一般工业固体废物流向汇总表按月填写；一般工业固体废物出厂环节记录表按批次填写；（2）其余内容依据法律法规、标准规范规定的频次记录</w:t>
                  </w:r>
                </w:p>
              </w:tc>
              <w:tc>
                <w:tcPr>
                  <w:tcW w:w="403" w:type="pct"/>
                  <w:vMerge w:val="continue"/>
                  <w:vAlign w:val="center"/>
                </w:tcPr>
                <w:p w14:paraId="37F39D17">
                  <w:pPr>
                    <w:widowControl/>
                    <w:wordWrap w:val="0"/>
                    <w:adjustRightInd w:val="0"/>
                    <w:snapToGrid w:val="0"/>
                    <w:jc w:val="left"/>
                    <w:rPr>
                      <w:rFonts w:ascii="宋体" w:hAnsi="宋体" w:cs="宋体"/>
                      <w:color w:val="auto"/>
                      <w:sz w:val="18"/>
                      <w:szCs w:val="18"/>
                    </w:rPr>
                  </w:pPr>
                </w:p>
              </w:tc>
              <w:tc>
                <w:tcPr>
                  <w:tcW w:w="398" w:type="pct"/>
                  <w:vMerge w:val="continue"/>
                  <w:vAlign w:val="center"/>
                </w:tcPr>
                <w:p w14:paraId="3F0DBADA">
                  <w:pPr>
                    <w:widowControl/>
                    <w:wordWrap w:val="0"/>
                    <w:adjustRightInd w:val="0"/>
                    <w:snapToGrid w:val="0"/>
                    <w:jc w:val="left"/>
                    <w:rPr>
                      <w:rFonts w:ascii="宋体" w:hAnsi="宋体" w:cs="宋体"/>
                      <w:color w:val="auto"/>
                      <w:sz w:val="18"/>
                      <w:szCs w:val="18"/>
                    </w:rPr>
                  </w:pPr>
                </w:p>
              </w:tc>
            </w:tr>
            <w:tr w14:paraId="7AA03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27E480BB">
                  <w:pPr>
                    <w:widowControl/>
                    <w:wordWrap w:val="0"/>
                    <w:adjustRightInd w:val="0"/>
                    <w:snapToGrid w:val="0"/>
                    <w:jc w:val="center"/>
                    <w:rPr>
                      <w:rFonts w:ascii="宋体" w:hAnsi="宋体" w:cs="宋体"/>
                      <w:color w:val="auto"/>
                      <w:sz w:val="18"/>
                      <w:szCs w:val="18"/>
                    </w:rPr>
                  </w:pPr>
                  <w:r>
                    <w:rPr>
                      <w:rFonts w:ascii="宋体" w:hAnsi="宋体" w:cs="宋体"/>
                      <w:color w:val="auto"/>
                      <w:kern w:val="0"/>
                      <w:sz w:val="18"/>
                      <w:szCs w:val="18"/>
                      <w:lang w:bidi="ar"/>
                    </w:rPr>
                    <w:t>监测记录信息</w:t>
                  </w:r>
                </w:p>
              </w:tc>
              <w:tc>
                <w:tcPr>
                  <w:tcW w:w="2425" w:type="pct"/>
                  <w:vAlign w:val="center"/>
                </w:tcPr>
                <w:p w14:paraId="1D631005">
                  <w:pPr>
                    <w:widowControl/>
                    <w:wordWrap w:val="0"/>
                    <w:adjustRightInd w:val="0"/>
                    <w:snapToGrid w:val="0"/>
                    <w:jc w:val="center"/>
                    <w:rPr>
                      <w:color w:val="auto"/>
                      <w:kern w:val="0"/>
                      <w:sz w:val="18"/>
                      <w:szCs w:val="18"/>
                      <w:lang w:bidi="ar"/>
                    </w:rPr>
                  </w:pPr>
                  <w:r>
                    <w:rPr>
                      <w:color w:val="auto"/>
                      <w:kern w:val="0"/>
                      <w:sz w:val="18"/>
                      <w:szCs w:val="18"/>
                      <w:lang w:bidi="ar"/>
                    </w:rPr>
                    <w:t>对于采用手工监测的工业噪声排污单位，应记录手工监测时段信息、噪声污染防治设施维修和更换情况。手工监测时段信息应记录监测时段内非正常工况情形、事件原因、是否报告、应对措施等；监测时段内工业噪声排放值超标情况，包括超标原因、是否报告、应对措施等。噪声污染防治设施维修和更换情况记录内容包括维修、更换时间，维修、更换内容。</w:t>
                  </w:r>
                </w:p>
              </w:tc>
              <w:tc>
                <w:tcPr>
                  <w:tcW w:w="1151" w:type="pct"/>
                  <w:vAlign w:val="center"/>
                </w:tcPr>
                <w:p w14:paraId="229501FB">
                  <w:pPr>
                    <w:widowControl/>
                    <w:wordWrap w:val="0"/>
                    <w:adjustRightInd w:val="0"/>
                    <w:snapToGrid w:val="0"/>
                    <w:jc w:val="center"/>
                    <w:rPr>
                      <w:color w:val="auto"/>
                      <w:kern w:val="0"/>
                      <w:sz w:val="18"/>
                      <w:szCs w:val="18"/>
                      <w:lang w:bidi="ar"/>
                    </w:rPr>
                  </w:pPr>
                  <w:r>
                    <w:rPr>
                      <w:color w:val="auto"/>
                      <w:kern w:val="0"/>
                      <w:sz w:val="18"/>
                      <w:szCs w:val="18"/>
                      <w:lang w:bidi="ar"/>
                    </w:rPr>
                    <w:t>每发生一次记录一次。</w:t>
                  </w:r>
                </w:p>
              </w:tc>
              <w:tc>
                <w:tcPr>
                  <w:tcW w:w="403" w:type="pct"/>
                  <w:vMerge w:val="continue"/>
                  <w:vAlign w:val="center"/>
                </w:tcPr>
                <w:p w14:paraId="3A778219">
                  <w:pPr>
                    <w:widowControl/>
                    <w:wordWrap w:val="0"/>
                    <w:adjustRightInd w:val="0"/>
                    <w:snapToGrid w:val="0"/>
                    <w:jc w:val="left"/>
                    <w:rPr>
                      <w:rFonts w:ascii="宋体" w:hAnsi="宋体" w:cs="宋体"/>
                      <w:color w:val="auto"/>
                      <w:sz w:val="18"/>
                      <w:szCs w:val="18"/>
                    </w:rPr>
                  </w:pPr>
                </w:p>
              </w:tc>
              <w:tc>
                <w:tcPr>
                  <w:tcW w:w="398" w:type="pct"/>
                  <w:vMerge w:val="continue"/>
                  <w:vAlign w:val="center"/>
                </w:tcPr>
                <w:p w14:paraId="764C3B8E">
                  <w:pPr>
                    <w:widowControl/>
                    <w:wordWrap w:val="0"/>
                    <w:adjustRightInd w:val="0"/>
                    <w:snapToGrid w:val="0"/>
                    <w:jc w:val="left"/>
                    <w:rPr>
                      <w:rFonts w:ascii="宋体" w:hAnsi="宋体" w:cs="宋体"/>
                      <w:color w:val="auto"/>
                      <w:sz w:val="18"/>
                      <w:szCs w:val="18"/>
                    </w:rPr>
                  </w:pPr>
                </w:p>
              </w:tc>
            </w:tr>
            <w:tr w14:paraId="4EDFC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pct"/>
                  <w:vAlign w:val="center"/>
                </w:tcPr>
                <w:p w14:paraId="12B803CE">
                  <w:pPr>
                    <w:widowControl/>
                    <w:wordWrap w:val="0"/>
                    <w:adjustRightInd w:val="0"/>
                    <w:snapToGrid w:val="0"/>
                    <w:jc w:val="center"/>
                    <w:rPr>
                      <w:rFonts w:ascii="宋体" w:hAnsi="宋体" w:cs="宋体"/>
                      <w:color w:val="auto"/>
                      <w:sz w:val="18"/>
                      <w:szCs w:val="18"/>
                    </w:rPr>
                  </w:pPr>
                  <w:r>
                    <w:rPr>
                      <w:rFonts w:ascii="宋体" w:hAnsi="宋体" w:cs="宋体"/>
                      <w:color w:val="auto"/>
                      <w:kern w:val="0"/>
                      <w:sz w:val="18"/>
                      <w:szCs w:val="18"/>
                      <w:lang w:bidi="ar"/>
                    </w:rPr>
                    <w:t>污染防治设施运行管理信息</w:t>
                  </w:r>
                </w:p>
              </w:tc>
              <w:tc>
                <w:tcPr>
                  <w:tcW w:w="2425" w:type="pct"/>
                  <w:vAlign w:val="center"/>
                </w:tcPr>
                <w:p w14:paraId="136E110F">
                  <w:pPr>
                    <w:widowControl/>
                    <w:wordWrap w:val="0"/>
                    <w:adjustRightInd w:val="0"/>
                    <w:snapToGrid w:val="0"/>
                    <w:jc w:val="center"/>
                    <w:rPr>
                      <w:color w:val="auto"/>
                      <w:kern w:val="0"/>
                      <w:sz w:val="18"/>
                      <w:szCs w:val="18"/>
                      <w:lang w:bidi="ar"/>
                    </w:rPr>
                  </w:pPr>
                  <w:r>
                    <w:rPr>
                      <w:color w:val="auto"/>
                      <w:kern w:val="0"/>
                      <w:sz w:val="18"/>
                      <w:szCs w:val="18"/>
                      <w:lang w:bidi="ar"/>
                    </w:rPr>
                    <w:t>排污单位应建立危险废物环境管理台账，台账应如实记录危险废物的种类、产生量、流向、贮存、利用、处置等有关信息 ；台账记录内容应符合《危险废物管理计划和管理台账制定技术导则》（HJ1259-2022）等技术文件及管理文件要求。</w:t>
                  </w:r>
                </w:p>
              </w:tc>
              <w:tc>
                <w:tcPr>
                  <w:tcW w:w="1151" w:type="pct"/>
                  <w:vAlign w:val="center"/>
                </w:tcPr>
                <w:p w14:paraId="31796A7B">
                  <w:pPr>
                    <w:widowControl/>
                    <w:wordWrap w:val="0"/>
                    <w:adjustRightInd w:val="0"/>
                    <w:snapToGrid w:val="0"/>
                    <w:jc w:val="center"/>
                    <w:rPr>
                      <w:color w:val="auto"/>
                      <w:kern w:val="0"/>
                      <w:sz w:val="18"/>
                      <w:szCs w:val="18"/>
                      <w:lang w:bidi="ar"/>
                    </w:rPr>
                  </w:pPr>
                  <w:r>
                    <w:rPr>
                      <w:color w:val="auto"/>
                      <w:kern w:val="0"/>
                      <w:sz w:val="18"/>
                      <w:szCs w:val="18"/>
                      <w:lang w:bidi="ar"/>
                    </w:rPr>
                    <w:t>产生后盛放至容器和包装物的，应按每个容器和包装物进行记录；产生后采用管道等方式输送至贮存场所的，按日记录；其他特殊情形的，根据危险废物产生规律确定记录频次，具体可按照《危险废物管理计划和管理台账制定技术导则》（HJ1259-2022）要求进行记录。</w:t>
                  </w:r>
                </w:p>
              </w:tc>
              <w:tc>
                <w:tcPr>
                  <w:tcW w:w="403" w:type="pct"/>
                  <w:vMerge w:val="continue"/>
                  <w:vAlign w:val="center"/>
                </w:tcPr>
                <w:p w14:paraId="6AC0B6B6">
                  <w:pPr>
                    <w:widowControl/>
                    <w:wordWrap w:val="0"/>
                    <w:adjustRightInd w:val="0"/>
                    <w:snapToGrid w:val="0"/>
                    <w:jc w:val="left"/>
                    <w:rPr>
                      <w:rFonts w:ascii="宋体" w:hAnsi="宋体" w:cs="宋体"/>
                      <w:color w:val="auto"/>
                      <w:sz w:val="18"/>
                      <w:szCs w:val="18"/>
                    </w:rPr>
                  </w:pPr>
                </w:p>
              </w:tc>
              <w:tc>
                <w:tcPr>
                  <w:tcW w:w="398" w:type="pct"/>
                  <w:vMerge w:val="continue"/>
                  <w:vAlign w:val="center"/>
                </w:tcPr>
                <w:p w14:paraId="780E3998">
                  <w:pPr>
                    <w:widowControl/>
                    <w:wordWrap w:val="0"/>
                    <w:adjustRightInd w:val="0"/>
                    <w:snapToGrid w:val="0"/>
                    <w:jc w:val="left"/>
                    <w:rPr>
                      <w:rFonts w:ascii="宋体" w:hAnsi="宋体" w:cs="宋体"/>
                      <w:color w:val="auto"/>
                      <w:sz w:val="18"/>
                      <w:szCs w:val="18"/>
                    </w:rPr>
                  </w:pPr>
                </w:p>
              </w:tc>
            </w:tr>
          </w:tbl>
          <w:p w14:paraId="500F8019">
            <w:pPr>
              <w:adjustRightInd w:val="0"/>
              <w:snapToGrid w:val="0"/>
              <w:spacing w:line="360" w:lineRule="auto"/>
              <w:ind w:firstLine="422" w:firstLineChars="200"/>
              <w:jc w:val="left"/>
              <w:rPr>
                <w:b/>
                <w:bCs/>
                <w:color w:val="auto"/>
                <w:szCs w:val="21"/>
              </w:rPr>
            </w:pPr>
            <w:r>
              <w:rPr>
                <w:rFonts w:hint="eastAsia"/>
                <w:b/>
                <w:bCs/>
                <w:color w:val="auto"/>
                <w:szCs w:val="21"/>
              </w:rPr>
              <w:t>4</w:t>
            </w:r>
            <w:r>
              <w:rPr>
                <w:b/>
                <w:bCs/>
                <w:color w:val="auto"/>
                <w:szCs w:val="21"/>
              </w:rPr>
              <w:t>、排污口规范化设置</w:t>
            </w:r>
          </w:p>
          <w:p w14:paraId="79DEDA0C">
            <w:pPr>
              <w:adjustRightInd w:val="0"/>
              <w:snapToGrid w:val="0"/>
              <w:spacing w:line="360" w:lineRule="auto"/>
              <w:ind w:firstLine="420" w:firstLineChars="200"/>
              <w:jc w:val="left"/>
              <w:rPr>
                <w:color w:val="auto"/>
                <w:szCs w:val="21"/>
              </w:rPr>
            </w:pPr>
            <w:r>
              <w:rPr>
                <w:color w:val="auto"/>
                <w:szCs w:val="21"/>
              </w:rPr>
              <w:t>排污口是项目运营期污染物进入环境、污染环境的通道，强化总排口管理是实施污染物总量控制的基础工作之一，也是环境管理逐步实现污染物科学化、定量化的主要手段。</w:t>
            </w:r>
          </w:p>
          <w:p w14:paraId="4D3D0D4B">
            <w:pPr>
              <w:adjustRightInd w:val="0"/>
              <w:snapToGrid w:val="0"/>
              <w:spacing w:line="360" w:lineRule="auto"/>
              <w:ind w:firstLine="420" w:firstLineChars="200"/>
              <w:jc w:val="left"/>
              <w:rPr>
                <w:color w:val="auto"/>
                <w:szCs w:val="21"/>
              </w:rPr>
            </w:pPr>
            <w:r>
              <w:rPr>
                <w:color w:val="auto"/>
                <w:szCs w:val="21"/>
              </w:rPr>
              <w:t>项目排放口设置满足以下要求：</w:t>
            </w:r>
          </w:p>
          <w:p w14:paraId="426E400C">
            <w:pPr>
              <w:adjustRightInd w:val="0"/>
              <w:snapToGrid w:val="0"/>
              <w:spacing w:line="360" w:lineRule="auto"/>
              <w:ind w:firstLine="420" w:firstLineChars="200"/>
              <w:jc w:val="left"/>
              <w:rPr>
                <w:color w:val="auto"/>
                <w:szCs w:val="21"/>
              </w:rPr>
            </w:pPr>
            <w:r>
              <w:rPr>
                <w:color w:val="auto"/>
                <w:szCs w:val="21"/>
              </w:rPr>
              <w:t>（1）污染物排放口，应按国家《环境保护图形标志排放口（源）》（GB15562.1-1995）的规定，设置国家环保总局统一制作的环境保护图形标志牌；本项目废气排放口和废水处理设施均应设置相应标志，并进行专人管理。</w:t>
            </w:r>
          </w:p>
          <w:p w14:paraId="7EDE1555">
            <w:pPr>
              <w:adjustRightInd w:val="0"/>
              <w:snapToGrid w:val="0"/>
              <w:spacing w:line="360" w:lineRule="auto"/>
              <w:ind w:firstLine="420" w:firstLineChars="200"/>
              <w:rPr>
                <w:color w:val="auto"/>
                <w:szCs w:val="21"/>
              </w:rPr>
            </w:pPr>
            <w:r>
              <w:rPr>
                <w:color w:val="auto"/>
                <w:szCs w:val="21"/>
              </w:rPr>
              <w:t>（2）污染物排放口的环境保护图形标志牌应设置在靠近采样点的醒目处，标志牌设置高度为其上缘距地面约2m，排污口附近1m范围内有建筑物的，设平面式标志牌，无建筑物的设立式标志牌。公司应遵照国家对排污口规范的要求，在“三废”及部分噪声排放点设置标志，标志的设置应完全执行《环境保护图形标志排放口》（GB15562.1-1995）、《环境保护图形标志固体废物贮存（处置）场》（GB15562.2-1995）中有关规定。</w:t>
            </w:r>
          </w:p>
          <w:p w14:paraId="73DDFA0C">
            <w:pPr>
              <w:pStyle w:val="44"/>
              <w:adjustRightInd w:val="0"/>
              <w:spacing w:line="240" w:lineRule="auto"/>
              <w:ind w:firstLine="0"/>
              <w:jc w:val="center"/>
              <w:rPr>
                <w:b/>
                <w:color w:val="auto"/>
                <w:spacing w:val="0"/>
                <w:sz w:val="18"/>
                <w:szCs w:val="18"/>
              </w:rPr>
            </w:pPr>
            <w:r>
              <w:rPr>
                <w:b/>
                <w:color w:val="auto"/>
                <w:spacing w:val="0"/>
                <w:sz w:val="18"/>
                <w:szCs w:val="18"/>
              </w:rPr>
              <w:t>表</w:t>
            </w:r>
            <w:r>
              <w:rPr>
                <w:b/>
                <w:color w:val="auto"/>
                <w:spacing w:val="0"/>
                <w:sz w:val="18"/>
                <w:szCs w:val="18"/>
                <w:lang w:val="en-US"/>
              </w:rPr>
              <w:t>5-</w:t>
            </w:r>
            <w:r>
              <w:rPr>
                <w:rFonts w:hint="eastAsia"/>
                <w:b/>
                <w:color w:val="auto"/>
                <w:spacing w:val="0"/>
                <w:sz w:val="18"/>
                <w:szCs w:val="18"/>
                <w:lang w:val="en-US"/>
              </w:rPr>
              <w:t>2</w:t>
            </w:r>
            <w:r>
              <w:rPr>
                <w:b/>
                <w:color w:val="auto"/>
                <w:spacing w:val="0"/>
                <w:sz w:val="18"/>
                <w:szCs w:val="18"/>
                <w:lang w:val="en-US"/>
              </w:rPr>
              <w:t xml:space="preserve">   </w:t>
            </w:r>
            <w:r>
              <w:rPr>
                <w:b/>
                <w:color w:val="auto"/>
                <w:spacing w:val="0"/>
                <w:sz w:val="18"/>
                <w:szCs w:val="18"/>
              </w:rPr>
              <w:t>环境保护图形符号一览表</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1686"/>
              <w:gridCol w:w="1746"/>
              <w:gridCol w:w="1315"/>
              <w:gridCol w:w="2577"/>
            </w:tblGrid>
            <w:tr w14:paraId="6684A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2" w:type="pct"/>
                  <w:tcBorders>
                    <w:tl2br w:val="nil"/>
                    <w:tr2bl w:val="nil"/>
                  </w:tcBorders>
                  <w:vAlign w:val="center"/>
                </w:tcPr>
                <w:p w14:paraId="1AC6DB18">
                  <w:pPr>
                    <w:adjustRightInd w:val="0"/>
                    <w:snapToGrid w:val="0"/>
                    <w:jc w:val="center"/>
                    <w:rPr>
                      <w:b/>
                      <w:bCs/>
                      <w:color w:val="auto"/>
                      <w:sz w:val="18"/>
                      <w:szCs w:val="18"/>
                    </w:rPr>
                  </w:pPr>
                  <w:r>
                    <w:rPr>
                      <w:b/>
                      <w:bCs/>
                      <w:color w:val="auto"/>
                      <w:sz w:val="18"/>
                      <w:szCs w:val="18"/>
                    </w:rPr>
                    <w:t>序号</w:t>
                  </w:r>
                </w:p>
              </w:tc>
              <w:tc>
                <w:tcPr>
                  <w:tcW w:w="1032" w:type="pct"/>
                  <w:tcBorders>
                    <w:tl2br w:val="nil"/>
                    <w:tr2bl w:val="nil"/>
                  </w:tcBorders>
                  <w:vAlign w:val="center"/>
                </w:tcPr>
                <w:p w14:paraId="5D195812">
                  <w:pPr>
                    <w:adjustRightInd w:val="0"/>
                    <w:snapToGrid w:val="0"/>
                    <w:jc w:val="center"/>
                    <w:rPr>
                      <w:b/>
                      <w:bCs/>
                      <w:color w:val="auto"/>
                      <w:sz w:val="18"/>
                      <w:szCs w:val="18"/>
                    </w:rPr>
                  </w:pPr>
                  <w:r>
                    <w:rPr>
                      <w:b/>
                      <w:bCs/>
                      <w:color w:val="auto"/>
                      <w:sz w:val="18"/>
                      <w:szCs w:val="18"/>
                    </w:rPr>
                    <w:t>提示图形符号</w:t>
                  </w:r>
                </w:p>
              </w:tc>
              <w:tc>
                <w:tcPr>
                  <w:tcW w:w="1066" w:type="pct"/>
                  <w:tcBorders>
                    <w:tl2br w:val="nil"/>
                    <w:tr2bl w:val="nil"/>
                  </w:tcBorders>
                  <w:vAlign w:val="center"/>
                </w:tcPr>
                <w:p w14:paraId="25F574AB">
                  <w:pPr>
                    <w:adjustRightInd w:val="0"/>
                    <w:snapToGrid w:val="0"/>
                    <w:jc w:val="center"/>
                    <w:rPr>
                      <w:b/>
                      <w:bCs/>
                      <w:color w:val="auto"/>
                      <w:sz w:val="18"/>
                      <w:szCs w:val="18"/>
                    </w:rPr>
                  </w:pPr>
                  <w:r>
                    <w:rPr>
                      <w:b/>
                      <w:bCs/>
                      <w:color w:val="auto"/>
                      <w:sz w:val="18"/>
                      <w:szCs w:val="18"/>
                    </w:rPr>
                    <w:t>警告图形符号</w:t>
                  </w:r>
                </w:p>
              </w:tc>
              <w:tc>
                <w:tcPr>
                  <w:tcW w:w="847" w:type="pct"/>
                  <w:tcBorders>
                    <w:tl2br w:val="nil"/>
                    <w:tr2bl w:val="nil"/>
                  </w:tcBorders>
                  <w:vAlign w:val="center"/>
                </w:tcPr>
                <w:p w14:paraId="28242BAE">
                  <w:pPr>
                    <w:adjustRightInd w:val="0"/>
                    <w:snapToGrid w:val="0"/>
                    <w:jc w:val="center"/>
                    <w:rPr>
                      <w:b/>
                      <w:bCs/>
                      <w:color w:val="auto"/>
                      <w:sz w:val="18"/>
                      <w:szCs w:val="18"/>
                    </w:rPr>
                  </w:pPr>
                  <w:r>
                    <w:rPr>
                      <w:b/>
                      <w:bCs/>
                      <w:color w:val="auto"/>
                      <w:sz w:val="18"/>
                      <w:szCs w:val="18"/>
                    </w:rPr>
                    <w:t>名称</w:t>
                  </w:r>
                </w:p>
              </w:tc>
              <w:tc>
                <w:tcPr>
                  <w:tcW w:w="1641" w:type="pct"/>
                  <w:tcBorders>
                    <w:tl2br w:val="nil"/>
                    <w:tr2bl w:val="nil"/>
                  </w:tcBorders>
                  <w:vAlign w:val="center"/>
                </w:tcPr>
                <w:p w14:paraId="67DE8F8F">
                  <w:pPr>
                    <w:adjustRightInd w:val="0"/>
                    <w:snapToGrid w:val="0"/>
                    <w:jc w:val="center"/>
                    <w:rPr>
                      <w:b/>
                      <w:bCs/>
                      <w:color w:val="auto"/>
                      <w:sz w:val="18"/>
                      <w:szCs w:val="18"/>
                    </w:rPr>
                  </w:pPr>
                  <w:r>
                    <w:rPr>
                      <w:b/>
                      <w:bCs/>
                      <w:color w:val="auto"/>
                      <w:sz w:val="18"/>
                      <w:szCs w:val="18"/>
                    </w:rPr>
                    <w:t>功能</w:t>
                  </w:r>
                </w:p>
              </w:tc>
            </w:tr>
            <w:tr w14:paraId="146E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2" w:type="pct"/>
                  <w:tcBorders>
                    <w:tl2br w:val="nil"/>
                    <w:tr2bl w:val="nil"/>
                  </w:tcBorders>
                  <w:vAlign w:val="center"/>
                </w:tcPr>
                <w:p w14:paraId="39179D16">
                  <w:pPr>
                    <w:adjustRightInd w:val="0"/>
                    <w:snapToGrid w:val="0"/>
                    <w:jc w:val="center"/>
                    <w:rPr>
                      <w:color w:val="auto"/>
                      <w:sz w:val="18"/>
                      <w:szCs w:val="18"/>
                    </w:rPr>
                  </w:pPr>
                  <w:r>
                    <w:rPr>
                      <w:color w:val="auto"/>
                      <w:sz w:val="18"/>
                      <w:szCs w:val="18"/>
                    </w:rPr>
                    <w:t>1</w:t>
                  </w:r>
                </w:p>
              </w:tc>
              <w:tc>
                <w:tcPr>
                  <w:tcW w:w="1032" w:type="pct"/>
                  <w:tcBorders>
                    <w:tl2br w:val="nil"/>
                    <w:tr2bl w:val="nil"/>
                  </w:tcBorders>
                  <w:vAlign w:val="center"/>
                </w:tcPr>
                <w:p w14:paraId="281292A0">
                  <w:pPr>
                    <w:adjustRightInd w:val="0"/>
                    <w:snapToGrid w:val="0"/>
                    <w:jc w:val="center"/>
                    <w:rPr>
                      <w:color w:val="auto"/>
                      <w:sz w:val="18"/>
                      <w:szCs w:val="18"/>
                    </w:rPr>
                  </w:pPr>
                  <w:r>
                    <w:rPr>
                      <w:color w:val="auto"/>
                      <w:sz w:val="18"/>
                      <w:szCs w:val="18"/>
                    </w:rPr>
                    <w:drawing>
                      <wp:inline distT="0" distB="0" distL="114300" distR="114300">
                        <wp:extent cx="933450" cy="838200"/>
                        <wp:effectExtent l="0" t="0" r="0" b="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25"/>
                                <a:stretch>
                                  <a:fillRect/>
                                </a:stretch>
                              </pic:blipFill>
                              <pic:spPr>
                                <a:xfrm>
                                  <a:off x="0" y="0"/>
                                  <a:ext cx="933450" cy="838200"/>
                                </a:xfrm>
                                <a:prstGeom prst="rect">
                                  <a:avLst/>
                                </a:prstGeom>
                                <a:noFill/>
                                <a:ln>
                                  <a:noFill/>
                                </a:ln>
                              </pic:spPr>
                            </pic:pic>
                          </a:graphicData>
                        </a:graphic>
                      </wp:inline>
                    </w:drawing>
                  </w:r>
                </w:p>
              </w:tc>
              <w:tc>
                <w:tcPr>
                  <w:tcW w:w="1066" w:type="pct"/>
                  <w:tcBorders>
                    <w:tl2br w:val="nil"/>
                    <w:tr2bl w:val="nil"/>
                  </w:tcBorders>
                  <w:vAlign w:val="center"/>
                </w:tcPr>
                <w:p w14:paraId="54C6DD00">
                  <w:pPr>
                    <w:adjustRightInd w:val="0"/>
                    <w:snapToGrid w:val="0"/>
                    <w:jc w:val="center"/>
                    <w:rPr>
                      <w:color w:val="auto"/>
                      <w:sz w:val="18"/>
                      <w:szCs w:val="18"/>
                    </w:rPr>
                  </w:pPr>
                  <w:r>
                    <w:rPr>
                      <w:color w:val="auto"/>
                      <w:sz w:val="18"/>
                      <w:szCs w:val="18"/>
                    </w:rPr>
                    <w:drawing>
                      <wp:inline distT="0" distB="0" distL="114300" distR="114300">
                        <wp:extent cx="942975" cy="770890"/>
                        <wp:effectExtent l="0" t="0" r="9525" b="1016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26"/>
                                <a:stretch>
                                  <a:fillRect/>
                                </a:stretch>
                              </pic:blipFill>
                              <pic:spPr>
                                <a:xfrm>
                                  <a:off x="0" y="0"/>
                                  <a:ext cx="942975" cy="770890"/>
                                </a:xfrm>
                                <a:prstGeom prst="rect">
                                  <a:avLst/>
                                </a:prstGeom>
                                <a:noFill/>
                                <a:ln>
                                  <a:noFill/>
                                </a:ln>
                              </pic:spPr>
                            </pic:pic>
                          </a:graphicData>
                        </a:graphic>
                      </wp:inline>
                    </w:drawing>
                  </w:r>
                </w:p>
              </w:tc>
              <w:tc>
                <w:tcPr>
                  <w:tcW w:w="847" w:type="pct"/>
                  <w:tcBorders>
                    <w:tl2br w:val="nil"/>
                    <w:tr2bl w:val="nil"/>
                  </w:tcBorders>
                  <w:vAlign w:val="center"/>
                </w:tcPr>
                <w:p w14:paraId="3EE7EB2A">
                  <w:pPr>
                    <w:adjustRightInd w:val="0"/>
                    <w:snapToGrid w:val="0"/>
                    <w:jc w:val="center"/>
                    <w:rPr>
                      <w:color w:val="auto"/>
                      <w:sz w:val="18"/>
                      <w:szCs w:val="18"/>
                    </w:rPr>
                  </w:pPr>
                  <w:r>
                    <w:rPr>
                      <w:color w:val="auto"/>
                      <w:sz w:val="18"/>
                      <w:szCs w:val="18"/>
                    </w:rPr>
                    <w:t>废水排放口</w:t>
                  </w:r>
                </w:p>
              </w:tc>
              <w:tc>
                <w:tcPr>
                  <w:tcW w:w="1641" w:type="pct"/>
                  <w:tcBorders>
                    <w:tl2br w:val="nil"/>
                    <w:tr2bl w:val="nil"/>
                  </w:tcBorders>
                  <w:vAlign w:val="center"/>
                </w:tcPr>
                <w:p w14:paraId="26949066">
                  <w:pPr>
                    <w:adjustRightInd w:val="0"/>
                    <w:snapToGrid w:val="0"/>
                    <w:jc w:val="center"/>
                    <w:rPr>
                      <w:color w:val="auto"/>
                      <w:sz w:val="18"/>
                      <w:szCs w:val="18"/>
                    </w:rPr>
                  </w:pPr>
                  <w:r>
                    <w:rPr>
                      <w:color w:val="auto"/>
                      <w:sz w:val="18"/>
                      <w:szCs w:val="18"/>
                    </w:rPr>
                    <w:t>表示废水向水体排放</w:t>
                  </w:r>
                </w:p>
              </w:tc>
            </w:tr>
            <w:tr w14:paraId="7637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2" w:type="pct"/>
                  <w:tcBorders>
                    <w:tl2br w:val="nil"/>
                    <w:tr2bl w:val="nil"/>
                  </w:tcBorders>
                  <w:vAlign w:val="center"/>
                </w:tcPr>
                <w:p w14:paraId="4A1CA85E">
                  <w:pPr>
                    <w:adjustRightInd w:val="0"/>
                    <w:snapToGrid w:val="0"/>
                    <w:jc w:val="center"/>
                    <w:rPr>
                      <w:color w:val="auto"/>
                      <w:sz w:val="18"/>
                      <w:szCs w:val="18"/>
                    </w:rPr>
                  </w:pPr>
                  <w:r>
                    <w:rPr>
                      <w:rFonts w:hint="eastAsia"/>
                      <w:color w:val="auto"/>
                      <w:sz w:val="18"/>
                      <w:szCs w:val="18"/>
                    </w:rPr>
                    <w:t>2</w:t>
                  </w:r>
                </w:p>
              </w:tc>
              <w:tc>
                <w:tcPr>
                  <w:tcW w:w="1032" w:type="pct"/>
                  <w:tcBorders>
                    <w:tl2br w:val="nil"/>
                    <w:tr2bl w:val="nil"/>
                  </w:tcBorders>
                  <w:vAlign w:val="center"/>
                </w:tcPr>
                <w:p w14:paraId="133D25A3">
                  <w:pPr>
                    <w:adjustRightInd w:val="0"/>
                    <w:snapToGrid w:val="0"/>
                    <w:jc w:val="center"/>
                    <w:rPr>
                      <w:color w:val="auto"/>
                      <w:sz w:val="18"/>
                      <w:szCs w:val="18"/>
                    </w:rPr>
                  </w:pPr>
                  <w:r>
                    <w:rPr>
                      <w:color w:val="auto"/>
                      <w:sz w:val="18"/>
                      <w:szCs w:val="18"/>
                    </w:rPr>
                    <w:drawing>
                      <wp:inline distT="0" distB="0" distL="114300" distR="114300">
                        <wp:extent cx="922020" cy="857250"/>
                        <wp:effectExtent l="0" t="0" r="11430" b="0"/>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27"/>
                                <a:stretch>
                                  <a:fillRect/>
                                </a:stretch>
                              </pic:blipFill>
                              <pic:spPr>
                                <a:xfrm>
                                  <a:off x="0" y="0"/>
                                  <a:ext cx="922020" cy="857250"/>
                                </a:xfrm>
                                <a:prstGeom prst="rect">
                                  <a:avLst/>
                                </a:prstGeom>
                                <a:noFill/>
                                <a:ln>
                                  <a:noFill/>
                                </a:ln>
                              </pic:spPr>
                            </pic:pic>
                          </a:graphicData>
                        </a:graphic>
                      </wp:inline>
                    </w:drawing>
                  </w:r>
                </w:p>
              </w:tc>
              <w:tc>
                <w:tcPr>
                  <w:tcW w:w="1066" w:type="pct"/>
                  <w:tcBorders>
                    <w:tl2br w:val="nil"/>
                    <w:tr2bl w:val="nil"/>
                  </w:tcBorders>
                  <w:vAlign w:val="center"/>
                </w:tcPr>
                <w:p w14:paraId="5CB43547">
                  <w:pPr>
                    <w:adjustRightInd w:val="0"/>
                    <w:snapToGrid w:val="0"/>
                    <w:jc w:val="center"/>
                    <w:rPr>
                      <w:color w:val="auto"/>
                      <w:sz w:val="18"/>
                      <w:szCs w:val="18"/>
                    </w:rPr>
                  </w:pPr>
                  <w:r>
                    <w:rPr>
                      <w:color w:val="auto"/>
                      <w:sz w:val="18"/>
                      <w:szCs w:val="18"/>
                    </w:rPr>
                    <w:drawing>
                      <wp:inline distT="0" distB="0" distL="114300" distR="114300">
                        <wp:extent cx="800100" cy="714375"/>
                        <wp:effectExtent l="0" t="0" r="0" b="9525"/>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28"/>
                                <a:stretch>
                                  <a:fillRect/>
                                </a:stretch>
                              </pic:blipFill>
                              <pic:spPr>
                                <a:xfrm>
                                  <a:off x="0" y="0"/>
                                  <a:ext cx="800100" cy="714375"/>
                                </a:xfrm>
                                <a:prstGeom prst="rect">
                                  <a:avLst/>
                                </a:prstGeom>
                                <a:noFill/>
                                <a:ln>
                                  <a:noFill/>
                                </a:ln>
                              </pic:spPr>
                            </pic:pic>
                          </a:graphicData>
                        </a:graphic>
                      </wp:inline>
                    </w:drawing>
                  </w:r>
                </w:p>
              </w:tc>
              <w:tc>
                <w:tcPr>
                  <w:tcW w:w="847" w:type="pct"/>
                  <w:tcBorders>
                    <w:tl2br w:val="nil"/>
                    <w:tr2bl w:val="nil"/>
                  </w:tcBorders>
                  <w:vAlign w:val="center"/>
                </w:tcPr>
                <w:p w14:paraId="32FA936D">
                  <w:pPr>
                    <w:adjustRightInd w:val="0"/>
                    <w:snapToGrid w:val="0"/>
                    <w:jc w:val="center"/>
                    <w:rPr>
                      <w:color w:val="auto"/>
                      <w:sz w:val="18"/>
                      <w:szCs w:val="18"/>
                    </w:rPr>
                  </w:pPr>
                  <w:r>
                    <w:rPr>
                      <w:rFonts w:hint="eastAsia"/>
                      <w:color w:val="auto"/>
                      <w:sz w:val="18"/>
                      <w:szCs w:val="18"/>
                    </w:rPr>
                    <w:t>废气排放口</w:t>
                  </w:r>
                </w:p>
              </w:tc>
              <w:tc>
                <w:tcPr>
                  <w:tcW w:w="1641" w:type="pct"/>
                  <w:tcBorders>
                    <w:tl2br w:val="nil"/>
                    <w:tr2bl w:val="nil"/>
                  </w:tcBorders>
                  <w:vAlign w:val="center"/>
                </w:tcPr>
                <w:p w14:paraId="08651E96">
                  <w:pPr>
                    <w:adjustRightInd w:val="0"/>
                    <w:snapToGrid w:val="0"/>
                    <w:jc w:val="center"/>
                    <w:rPr>
                      <w:color w:val="auto"/>
                      <w:sz w:val="18"/>
                      <w:szCs w:val="18"/>
                    </w:rPr>
                  </w:pPr>
                  <w:r>
                    <w:rPr>
                      <w:color w:val="auto"/>
                      <w:sz w:val="18"/>
                      <w:szCs w:val="18"/>
                    </w:rPr>
                    <w:t>表示废</w:t>
                  </w:r>
                  <w:r>
                    <w:rPr>
                      <w:rFonts w:hint="eastAsia"/>
                      <w:color w:val="auto"/>
                      <w:sz w:val="18"/>
                      <w:szCs w:val="18"/>
                    </w:rPr>
                    <w:t>气</w:t>
                  </w:r>
                  <w:r>
                    <w:rPr>
                      <w:color w:val="auto"/>
                      <w:sz w:val="18"/>
                      <w:szCs w:val="18"/>
                    </w:rPr>
                    <w:t>向</w:t>
                  </w:r>
                  <w:r>
                    <w:rPr>
                      <w:rFonts w:hint="eastAsia"/>
                      <w:color w:val="auto"/>
                      <w:sz w:val="18"/>
                      <w:szCs w:val="18"/>
                    </w:rPr>
                    <w:t>大气</w:t>
                  </w:r>
                  <w:r>
                    <w:rPr>
                      <w:color w:val="auto"/>
                      <w:sz w:val="18"/>
                      <w:szCs w:val="18"/>
                    </w:rPr>
                    <w:t>排放</w:t>
                  </w:r>
                </w:p>
              </w:tc>
            </w:tr>
            <w:tr w14:paraId="19030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2" w:type="pct"/>
                  <w:tcBorders>
                    <w:tl2br w:val="nil"/>
                    <w:tr2bl w:val="nil"/>
                  </w:tcBorders>
                  <w:vAlign w:val="center"/>
                </w:tcPr>
                <w:p w14:paraId="79F66307">
                  <w:pPr>
                    <w:adjustRightInd w:val="0"/>
                    <w:snapToGrid w:val="0"/>
                    <w:jc w:val="center"/>
                    <w:rPr>
                      <w:color w:val="auto"/>
                      <w:sz w:val="18"/>
                      <w:szCs w:val="18"/>
                    </w:rPr>
                  </w:pPr>
                  <w:r>
                    <w:rPr>
                      <w:color w:val="auto"/>
                      <w:sz w:val="18"/>
                      <w:szCs w:val="18"/>
                    </w:rPr>
                    <w:t>3</w:t>
                  </w:r>
                </w:p>
              </w:tc>
              <w:tc>
                <w:tcPr>
                  <w:tcW w:w="1032" w:type="pct"/>
                  <w:tcBorders>
                    <w:tl2br w:val="nil"/>
                    <w:tr2bl w:val="nil"/>
                  </w:tcBorders>
                  <w:vAlign w:val="center"/>
                </w:tcPr>
                <w:p w14:paraId="6C818CF8">
                  <w:pPr>
                    <w:adjustRightInd w:val="0"/>
                    <w:snapToGrid w:val="0"/>
                    <w:jc w:val="center"/>
                    <w:rPr>
                      <w:color w:val="auto"/>
                      <w:sz w:val="18"/>
                      <w:szCs w:val="18"/>
                    </w:rPr>
                  </w:pPr>
                  <w:r>
                    <w:rPr>
                      <w:color w:val="auto"/>
                      <w:sz w:val="18"/>
                      <w:szCs w:val="18"/>
                    </w:rPr>
                    <w:drawing>
                      <wp:inline distT="0" distB="0" distL="114300" distR="114300">
                        <wp:extent cx="932180" cy="828675"/>
                        <wp:effectExtent l="0" t="0" r="1270" b="9525"/>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29"/>
                                <a:stretch>
                                  <a:fillRect/>
                                </a:stretch>
                              </pic:blipFill>
                              <pic:spPr>
                                <a:xfrm>
                                  <a:off x="0" y="0"/>
                                  <a:ext cx="932180" cy="828675"/>
                                </a:xfrm>
                                <a:prstGeom prst="rect">
                                  <a:avLst/>
                                </a:prstGeom>
                                <a:noFill/>
                                <a:ln>
                                  <a:noFill/>
                                </a:ln>
                              </pic:spPr>
                            </pic:pic>
                          </a:graphicData>
                        </a:graphic>
                      </wp:inline>
                    </w:drawing>
                  </w:r>
                </w:p>
              </w:tc>
              <w:tc>
                <w:tcPr>
                  <w:tcW w:w="1066" w:type="pct"/>
                  <w:tcBorders>
                    <w:tl2br w:val="nil"/>
                    <w:tr2bl w:val="nil"/>
                  </w:tcBorders>
                  <w:vAlign w:val="center"/>
                </w:tcPr>
                <w:p w14:paraId="27F2D522">
                  <w:pPr>
                    <w:adjustRightInd w:val="0"/>
                    <w:snapToGrid w:val="0"/>
                    <w:jc w:val="center"/>
                    <w:rPr>
                      <w:color w:val="auto"/>
                      <w:sz w:val="18"/>
                      <w:szCs w:val="18"/>
                    </w:rPr>
                  </w:pPr>
                  <w:r>
                    <w:rPr>
                      <w:color w:val="auto"/>
                      <w:sz w:val="18"/>
                      <w:szCs w:val="18"/>
                    </w:rPr>
                    <w:drawing>
                      <wp:inline distT="0" distB="0" distL="114300" distR="114300">
                        <wp:extent cx="942975" cy="781685"/>
                        <wp:effectExtent l="0" t="0" r="9525" b="1841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30"/>
                                <a:stretch>
                                  <a:fillRect/>
                                </a:stretch>
                              </pic:blipFill>
                              <pic:spPr>
                                <a:xfrm>
                                  <a:off x="0" y="0"/>
                                  <a:ext cx="942975" cy="781685"/>
                                </a:xfrm>
                                <a:prstGeom prst="rect">
                                  <a:avLst/>
                                </a:prstGeom>
                                <a:noFill/>
                                <a:ln>
                                  <a:noFill/>
                                </a:ln>
                              </pic:spPr>
                            </pic:pic>
                          </a:graphicData>
                        </a:graphic>
                      </wp:inline>
                    </w:drawing>
                  </w:r>
                </w:p>
              </w:tc>
              <w:tc>
                <w:tcPr>
                  <w:tcW w:w="847" w:type="pct"/>
                  <w:tcBorders>
                    <w:tl2br w:val="nil"/>
                    <w:tr2bl w:val="nil"/>
                  </w:tcBorders>
                  <w:vAlign w:val="center"/>
                </w:tcPr>
                <w:p w14:paraId="778E27E6">
                  <w:pPr>
                    <w:adjustRightInd w:val="0"/>
                    <w:snapToGrid w:val="0"/>
                    <w:jc w:val="center"/>
                    <w:rPr>
                      <w:color w:val="auto"/>
                      <w:sz w:val="18"/>
                      <w:szCs w:val="18"/>
                    </w:rPr>
                  </w:pPr>
                  <w:r>
                    <w:rPr>
                      <w:color w:val="auto"/>
                      <w:sz w:val="18"/>
                      <w:szCs w:val="18"/>
                    </w:rPr>
                    <w:t>一般固体废物</w:t>
                  </w:r>
                </w:p>
              </w:tc>
              <w:tc>
                <w:tcPr>
                  <w:tcW w:w="1641" w:type="pct"/>
                  <w:tcBorders>
                    <w:tl2br w:val="nil"/>
                    <w:tr2bl w:val="nil"/>
                  </w:tcBorders>
                  <w:vAlign w:val="center"/>
                </w:tcPr>
                <w:p w14:paraId="27760885">
                  <w:pPr>
                    <w:adjustRightInd w:val="0"/>
                    <w:snapToGrid w:val="0"/>
                    <w:jc w:val="center"/>
                    <w:rPr>
                      <w:color w:val="auto"/>
                      <w:sz w:val="18"/>
                      <w:szCs w:val="18"/>
                    </w:rPr>
                  </w:pPr>
                  <w:r>
                    <w:rPr>
                      <w:color w:val="auto"/>
                      <w:sz w:val="18"/>
                      <w:szCs w:val="18"/>
                    </w:rPr>
                    <w:t>表示一般固体废物贮存、处置场</w:t>
                  </w:r>
                </w:p>
              </w:tc>
            </w:tr>
            <w:tr w14:paraId="27C7E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2" w:type="pct"/>
                  <w:tcBorders>
                    <w:tl2br w:val="nil"/>
                    <w:tr2bl w:val="nil"/>
                  </w:tcBorders>
                  <w:vAlign w:val="center"/>
                </w:tcPr>
                <w:p w14:paraId="3BFD678D">
                  <w:pPr>
                    <w:adjustRightInd w:val="0"/>
                    <w:snapToGrid w:val="0"/>
                    <w:jc w:val="center"/>
                    <w:rPr>
                      <w:color w:val="auto"/>
                      <w:sz w:val="18"/>
                      <w:szCs w:val="18"/>
                    </w:rPr>
                  </w:pPr>
                  <w:r>
                    <w:rPr>
                      <w:color w:val="auto"/>
                      <w:sz w:val="18"/>
                      <w:szCs w:val="18"/>
                    </w:rPr>
                    <w:t>4</w:t>
                  </w:r>
                </w:p>
              </w:tc>
              <w:tc>
                <w:tcPr>
                  <w:tcW w:w="1032" w:type="pct"/>
                  <w:tcBorders>
                    <w:tl2br w:val="nil"/>
                    <w:tr2bl w:val="nil"/>
                  </w:tcBorders>
                  <w:vAlign w:val="center"/>
                </w:tcPr>
                <w:p w14:paraId="61EAD8A3">
                  <w:pPr>
                    <w:adjustRightInd w:val="0"/>
                    <w:snapToGrid w:val="0"/>
                    <w:jc w:val="center"/>
                    <w:rPr>
                      <w:b/>
                      <w:color w:val="auto"/>
                      <w:sz w:val="18"/>
                      <w:szCs w:val="18"/>
                    </w:rPr>
                  </w:pPr>
                  <w:r>
                    <w:rPr>
                      <w:rFonts w:hint="eastAsia"/>
                      <w:b/>
                      <w:color w:val="auto"/>
                      <w:sz w:val="18"/>
                      <w:szCs w:val="18"/>
                    </w:rPr>
                    <w:t>/</w:t>
                  </w:r>
                </w:p>
              </w:tc>
              <w:tc>
                <w:tcPr>
                  <w:tcW w:w="1066" w:type="pct"/>
                  <w:tcBorders>
                    <w:tl2br w:val="nil"/>
                    <w:tr2bl w:val="nil"/>
                  </w:tcBorders>
                  <w:vAlign w:val="center"/>
                </w:tcPr>
                <w:p w14:paraId="543FB3F8">
                  <w:pPr>
                    <w:adjustRightInd w:val="0"/>
                    <w:snapToGrid w:val="0"/>
                    <w:jc w:val="center"/>
                    <w:rPr>
                      <w:color w:val="auto"/>
                      <w:sz w:val="18"/>
                      <w:szCs w:val="18"/>
                    </w:rPr>
                  </w:pPr>
                  <w:r>
                    <w:rPr>
                      <w:rFonts w:hint="eastAsia"/>
                      <w:color w:val="auto"/>
                      <w:sz w:val="18"/>
                      <w:szCs w:val="18"/>
                    </w:rPr>
                    <w:drawing>
                      <wp:inline distT="0" distB="0" distL="114300" distR="114300">
                        <wp:extent cx="958850" cy="847725"/>
                        <wp:effectExtent l="0" t="0" r="12700" b="9525"/>
                        <wp:docPr id="8" name="图片 9" descr="db68c6d2b4845cbf0fa0ce8000df8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descr="db68c6d2b4845cbf0fa0ce8000df87c"/>
                                <pic:cNvPicPr>
                                  <a:picLocks noChangeAspect="1"/>
                                </pic:cNvPicPr>
                              </pic:nvPicPr>
                              <pic:blipFill>
                                <a:blip r:embed="rId31"/>
                                <a:stretch>
                                  <a:fillRect/>
                                </a:stretch>
                              </pic:blipFill>
                              <pic:spPr>
                                <a:xfrm>
                                  <a:off x="0" y="0"/>
                                  <a:ext cx="958850" cy="847725"/>
                                </a:xfrm>
                                <a:prstGeom prst="rect">
                                  <a:avLst/>
                                </a:prstGeom>
                                <a:noFill/>
                                <a:ln>
                                  <a:noFill/>
                                </a:ln>
                              </pic:spPr>
                            </pic:pic>
                          </a:graphicData>
                        </a:graphic>
                      </wp:inline>
                    </w:drawing>
                  </w:r>
                </w:p>
              </w:tc>
              <w:tc>
                <w:tcPr>
                  <w:tcW w:w="847" w:type="pct"/>
                  <w:tcBorders>
                    <w:tl2br w:val="nil"/>
                    <w:tr2bl w:val="nil"/>
                  </w:tcBorders>
                  <w:vAlign w:val="center"/>
                </w:tcPr>
                <w:p w14:paraId="19F9DFB5">
                  <w:pPr>
                    <w:adjustRightInd w:val="0"/>
                    <w:snapToGrid w:val="0"/>
                    <w:jc w:val="center"/>
                    <w:rPr>
                      <w:color w:val="auto"/>
                      <w:sz w:val="18"/>
                      <w:szCs w:val="18"/>
                    </w:rPr>
                  </w:pPr>
                  <w:r>
                    <w:rPr>
                      <w:color w:val="auto"/>
                      <w:sz w:val="18"/>
                      <w:szCs w:val="18"/>
                    </w:rPr>
                    <w:t>危险废物</w:t>
                  </w:r>
                </w:p>
              </w:tc>
              <w:tc>
                <w:tcPr>
                  <w:tcW w:w="1641" w:type="pct"/>
                  <w:tcBorders>
                    <w:tl2br w:val="nil"/>
                    <w:tr2bl w:val="nil"/>
                  </w:tcBorders>
                  <w:vAlign w:val="center"/>
                </w:tcPr>
                <w:p w14:paraId="54623A34">
                  <w:pPr>
                    <w:adjustRightInd w:val="0"/>
                    <w:snapToGrid w:val="0"/>
                    <w:jc w:val="center"/>
                    <w:rPr>
                      <w:color w:val="auto"/>
                      <w:sz w:val="18"/>
                      <w:szCs w:val="18"/>
                    </w:rPr>
                  </w:pPr>
                  <w:r>
                    <w:rPr>
                      <w:color w:val="auto"/>
                      <w:sz w:val="18"/>
                      <w:szCs w:val="18"/>
                    </w:rPr>
                    <w:t>表示危险废物贮存、处置场</w:t>
                  </w:r>
                </w:p>
              </w:tc>
            </w:tr>
            <w:tr w14:paraId="49A14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2" w:type="pct"/>
                  <w:tcBorders>
                    <w:tl2br w:val="nil"/>
                    <w:tr2bl w:val="nil"/>
                  </w:tcBorders>
                  <w:vAlign w:val="center"/>
                </w:tcPr>
                <w:p w14:paraId="0844C8A2">
                  <w:pPr>
                    <w:adjustRightInd w:val="0"/>
                    <w:snapToGrid w:val="0"/>
                    <w:jc w:val="center"/>
                    <w:rPr>
                      <w:color w:val="auto"/>
                      <w:sz w:val="18"/>
                      <w:szCs w:val="18"/>
                    </w:rPr>
                  </w:pPr>
                  <w:r>
                    <w:rPr>
                      <w:color w:val="auto"/>
                      <w:sz w:val="18"/>
                      <w:szCs w:val="18"/>
                    </w:rPr>
                    <w:t>5</w:t>
                  </w:r>
                </w:p>
              </w:tc>
              <w:tc>
                <w:tcPr>
                  <w:tcW w:w="1032" w:type="pct"/>
                  <w:tcBorders>
                    <w:tl2br w:val="nil"/>
                    <w:tr2bl w:val="nil"/>
                  </w:tcBorders>
                  <w:vAlign w:val="center"/>
                </w:tcPr>
                <w:p w14:paraId="1A9040C2">
                  <w:pPr>
                    <w:adjustRightInd w:val="0"/>
                    <w:snapToGrid w:val="0"/>
                    <w:jc w:val="center"/>
                    <w:rPr>
                      <w:color w:val="auto"/>
                      <w:sz w:val="18"/>
                      <w:szCs w:val="18"/>
                    </w:rPr>
                  </w:pPr>
                  <w:r>
                    <w:rPr>
                      <w:color w:val="auto"/>
                      <w:sz w:val="18"/>
                      <w:szCs w:val="18"/>
                    </w:rPr>
                    <w:drawing>
                      <wp:inline distT="0" distB="0" distL="114300" distR="114300">
                        <wp:extent cx="915035" cy="895350"/>
                        <wp:effectExtent l="0" t="0" r="18415" b="0"/>
                        <wp:docPr id="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pic:cNvPicPr>
                                  <a:picLocks noChangeAspect="1"/>
                                </pic:cNvPicPr>
                              </pic:nvPicPr>
                              <pic:blipFill>
                                <a:blip r:embed="rId32"/>
                                <a:stretch>
                                  <a:fillRect/>
                                </a:stretch>
                              </pic:blipFill>
                              <pic:spPr>
                                <a:xfrm>
                                  <a:off x="0" y="0"/>
                                  <a:ext cx="915035" cy="895350"/>
                                </a:xfrm>
                                <a:prstGeom prst="rect">
                                  <a:avLst/>
                                </a:prstGeom>
                                <a:noFill/>
                                <a:ln>
                                  <a:noFill/>
                                </a:ln>
                              </pic:spPr>
                            </pic:pic>
                          </a:graphicData>
                        </a:graphic>
                      </wp:inline>
                    </w:drawing>
                  </w:r>
                </w:p>
              </w:tc>
              <w:tc>
                <w:tcPr>
                  <w:tcW w:w="1066" w:type="pct"/>
                  <w:tcBorders>
                    <w:tl2br w:val="nil"/>
                    <w:tr2bl w:val="nil"/>
                  </w:tcBorders>
                  <w:vAlign w:val="center"/>
                </w:tcPr>
                <w:p w14:paraId="37B368A6">
                  <w:pPr>
                    <w:adjustRightInd w:val="0"/>
                    <w:snapToGrid w:val="0"/>
                    <w:jc w:val="center"/>
                    <w:rPr>
                      <w:color w:val="auto"/>
                      <w:sz w:val="18"/>
                      <w:szCs w:val="18"/>
                    </w:rPr>
                  </w:pPr>
                  <w:r>
                    <w:rPr>
                      <w:color w:val="auto"/>
                      <w:sz w:val="18"/>
                      <w:szCs w:val="18"/>
                    </w:rPr>
                    <w:drawing>
                      <wp:inline distT="0" distB="0" distL="114300" distR="114300">
                        <wp:extent cx="942975" cy="828675"/>
                        <wp:effectExtent l="0" t="0" r="9525" b="9525"/>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pic:cNvPicPr>
                                  <a:picLocks noChangeAspect="1"/>
                                </pic:cNvPicPr>
                              </pic:nvPicPr>
                              <pic:blipFill>
                                <a:blip r:embed="rId33"/>
                                <a:stretch>
                                  <a:fillRect/>
                                </a:stretch>
                              </pic:blipFill>
                              <pic:spPr>
                                <a:xfrm>
                                  <a:off x="0" y="0"/>
                                  <a:ext cx="942975" cy="828675"/>
                                </a:xfrm>
                                <a:prstGeom prst="rect">
                                  <a:avLst/>
                                </a:prstGeom>
                                <a:noFill/>
                                <a:ln>
                                  <a:noFill/>
                                </a:ln>
                              </pic:spPr>
                            </pic:pic>
                          </a:graphicData>
                        </a:graphic>
                      </wp:inline>
                    </w:drawing>
                  </w:r>
                </w:p>
              </w:tc>
              <w:tc>
                <w:tcPr>
                  <w:tcW w:w="847" w:type="pct"/>
                  <w:tcBorders>
                    <w:tl2br w:val="nil"/>
                    <w:tr2bl w:val="nil"/>
                  </w:tcBorders>
                  <w:vAlign w:val="center"/>
                </w:tcPr>
                <w:p w14:paraId="0B685AC9">
                  <w:pPr>
                    <w:adjustRightInd w:val="0"/>
                    <w:snapToGrid w:val="0"/>
                    <w:jc w:val="center"/>
                    <w:rPr>
                      <w:color w:val="auto"/>
                      <w:sz w:val="18"/>
                      <w:szCs w:val="18"/>
                    </w:rPr>
                  </w:pPr>
                  <w:r>
                    <w:rPr>
                      <w:color w:val="auto"/>
                      <w:sz w:val="18"/>
                      <w:szCs w:val="18"/>
                    </w:rPr>
                    <w:t>噪声排放源</w:t>
                  </w:r>
                </w:p>
              </w:tc>
              <w:tc>
                <w:tcPr>
                  <w:tcW w:w="1641" w:type="pct"/>
                  <w:tcBorders>
                    <w:tl2br w:val="nil"/>
                    <w:tr2bl w:val="nil"/>
                  </w:tcBorders>
                  <w:vAlign w:val="center"/>
                </w:tcPr>
                <w:p w14:paraId="6B572776">
                  <w:pPr>
                    <w:adjustRightInd w:val="0"/>
                    <w:snapToGrid w:val="0"/>
                    <w:jc w:val="center"/>
                    <w:rPr>
                      <w:color w:val="auto"/>
                      <w:sz w:val="18"/>
                      <w:szCs w:val="18"/>
                    </w:rPr>
                  </w:pPr>
                  <w:r>
                    <w:rPr>
                      <w:color w:val="auto"/>
                      <w:sz w:val="18"/>
                      <w:szCs w:val="18"/>
                    </w:rPr>
                    <w:t>表示噪声向外环境排放</w:t>
                  </w:r>
                </w:p>
              </w:tc>
            </w:tr>
          </w:tbl>
          <w:p w14:paraId="0E4C167B">
            <w:pPr>
              <w:adjustRightInd w:val="0"/>
              <w:snapToGrid w:val="0"/>
              <w:spacing w:line="360" w:lineRule="auto"/>
              <w:ind w:firstLine="422" w:firstLineChars="200"/>
              <w:jc w:val="left"/>
              <w:rPr>
                <w:b/>
                <w:bCs/>
                <w:color w:val="auto"/>
                <w:szCs w:val="21"/>
              </w:rPr>
            </w:pPr>
            <w:r>
              <w:rPr>
                <w:rFonts w:hint="eastAsia"/>
                <w:b/>
                <w:bCs/>
                <w:color w:val="auto"/>
                <w:szCs w:val="21"/>
              </w:rPr>
              <w:t>5、竣工环境保护验收</w:t>
            </w:r>
          </w:p>
          <w:p w14:paraId="6931F166">
            <w:pPr>
              <w:adjustRightInd w:val="0"/>
              <w:snapToGrid w:val="0"/>
              <w:spacing w:line="360" w:lineRule="auto"/>
              <w:ind w:firstLine="420" w:firstLineChars="200"/>
              <w:jc w:val="left"/>
              <w:rPr>
                <w:color w:val="auto"/>
                <w:szCs w:val="21"/>
              </w:rPr>
            </w:pPr>
            <w:r>
              <w:rPr>
                <w:rFonts w:hint="eastAsia"/>
                <w:color w:val="auto"/>
                <w:szCs w:val="21"/>
              </w:rPr>
              <w:t>建设单位应按照《建设项目竣工环境保护验收管理办法》中的有关规定，建设单位应委托相应单位进行竣工验收监测，并编制验收监测报告。</w:t>
            </w:r>
          </w:p>
          <w:p w14:paraId="1A8FE7D3">
            <w:pPr>
              <w:adjustRightInd w:val="0"/>
              <w:snapToGrid w:val="0"/>
              <w:spacing w:line="360" w:lineRule="auto"/>
              <w:ind w:firstLine="420" w:firstLineChars="200"/>
              <w:jc w:val="left"/>
              <w:rPr>
                <w:color w:val="auto"/>
                <w:szCs w:val="21"/>
              </w:rPr>
            </w:pPr>
            <w:r>
              <w:rPr>
                <w:rFonts w:hint="eastAsia"/>
                <w:color w:val="auto"/>
                <w:szCs w:val="21"/>
              </w:rPr>
              <w:t>验收报告编制完成后，建设单位应组织成立验收工作组进行自主验收。验收工作组可由建设单位、设计单位、施工单位、环境影响报告表编制机构、验收报告编制机构等单位代表和专业技术专家组成，在取得验收合格意见后方可正式投入生产和使用。竣工验收报告必须在网上进行公示，及时向环境监督管理部门进行备案。竣工环境保护验收监测要求如表5-3所示，竣工环境保护验收一览表如表5-4所示。</w:t>
            </w:r>
          </w:p>
          <w:p w14:paraId="2392D3BD">
            <w:pPr>
              <w:adjustRightInd w:val="0"/>
              <w:snapToGrid w:val="0"/>
              <w:ind w:firstLine="361" w:firstLineChars="200"/>
              <w:jc w:val="center"/>
              <w:rPr>
                <w:b/>
                <w:color w:val="auto"/>
                <w:kern w:val="24"/>
                <w:sz w:val="18"/>
                <w:szCs w:val="18"/>
                <w:lang w:val="zh-CN"/>
              </w:rPr>
            </w:pPr>
            <w:r>
              <w:rPr>
                <w:b/>
                <w:color w:val="auto"/>
                <w:kern w:val="0"/>
                <w:sz w:val="18"/>
                <w:szCs w:val="18"/>
                <w:lang w:bidi="en-US"/>
              </w:rPr>
              <w:t>表</w:t>
            </w:r>
            <w:r>
              <w:rPr>
                <w:rFonts w:hint="eastAsia"/>
                <w:b/>
                <w:color w:val="auto"/>
                <w:kern w:val="0"/>
                <w:sz w:val="18"/>
                <w:szCs w:val="18"/>
                <w:lang w:bidi="en-US"/>
              </w:rPr>
              <w:t>5-3</w:t>
            </w:r>
            <w:r>
              <w:rPr>
                <w:b/>
                <w:color w:val="auto"/>
                <w:kern w:val="24"/>
                <w:sz w:val="18"/>
                <w:szCs w:val="18"/>
                <w:lang w:val="zh-CN"/>
              </w:rPr>
              <w:t xml:space="preserve"> </w:t>
            </w:r>
            <w:r>
              <w:rPr>
                <w:rFonts w:hint="eastAsia"/>
                <w:b/>
                <w:color w:val="auto"/>
                <w:kern w:val="24"/>
                <w:sz w:val="18"/>
                <w:szCs w:val="18"/>
              </w:rPr>
              <w:t xml:space="preserve"> </w:t>
            </w:r>
            <w:r>
              <w:rPr>
                <w:b/>
                <w:color w:val="auto"/>
                <w:kern w:val="24"/>
                <w:sz w:val="18"/>
                <w:szCs w:val="18"/>
                <w:lang w:val="zh-CN"/>
              </w:rPr>
              <w:t xml:space="preserve"> 项目</w:t>
            </w:r>
            <w:r>
              <w:rPr>
                <w:rFonts w:hint="eastAsia"/>
                <w:b/>
                <w:color w:val="auto"/>
                <w:kern w:val="24"/>
                <w:sz w:val="18"/>
                <w:szCs w:val="18"/>
              </w:rPr>
              <w:t>竣工环境保护验收</w:t>
            </w:r>
            <w:r>
              <w:rPr>
                <w:b/>
                <w:color w:val="auto"/>
                <w:kern w:val="24"/>
                <w:sz w:val="18"/>
                <w:szCs w:val="18"/>
                <w:lang w:val="zh-CN"/>
              </w:rPr>
              <w:t>监测</w:t>
            </w:r>
            <w:r>
              <w:rPr>
                <w:rFonts w:hint="eastAsia"/>
                <w:b/>
                <w:color w:val="auto"/>
                <w:kern w:val="24"/>
                <w:sz w:val="18"/>
                <w:szCs w:val="18"/>
              </w:rPr>
              <w:t>要求</w:t>
            </w:r>
            <w:r>
              <w:rPr>
                <w:b/>
                <w:color w:val="auto"/>
                <w:kern w:val="24"/>
                <w:sz w:val="18"/>
                <w:szCs w:val="18"/>
                <w:lang w:val="zh-CN"/>
              </w:rPr>
              <w:t>一览表</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920"/>
              <w:gridCol w:w="1299"/>
              <w:gridCol w:w="1200"/>
              <w:gridCol w:w="2812"/>
            </w:tblGrid>
            <w:tr w14:paraId="199A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tcBorders>
                    <w:tl2br w:val="nil"/>
                    <w:tr2bl w:val="nil"/>
                  </w:tcBorders>
                  <w:vAlign w:val="center"/>
                </w:tcPr>
                <w:p w14:paraId="57F27551">
                  <w:pPr>
                    <w:widowControl/>
                    <w:adjustRightInd w:val="0"/>
                    <w:snapToGrid w:val="0"/>
                    <w:jc w:val="center"/>
                    <w:rPr>
                      <w:b/>
                      <w:color w:val="auto"/>
                      <w:sz w:val="18"/>
                      <w:szCs w:val="18"/>
                    </w:rPr>
                  </w:pPr>
                  <w:r>
                    <w:rPr>
                      <w:rFonts w:hint="eastAsia"/>
                      <w:b/>
                      <w:color w:val="auto"/>
                      <w:sz w:val="18"/>
                      <w:szCs w:val="18"/>
                    </w:rPr>
                    <w:t>要素</w:t>
                  </w:r>
                </w:p>
              </w:tc>
              <w:tc>
                <w:tcPr>
                  <w:tcW w:w="1208" w:type="pct"/>
                  <w:tcBorders>
                    <w:tl2br w:val="nil"/>
                    <w:tr2bl w:val="nil"/>
                  </w:tcBorders>
                  <w:vAlign w:val="center"/>
                </w:tcPr>
                <w:p w14:paraId="1653024E">
                  <w:pPr>
                    <w:widowControl/>
                    <w:adjustRightInd w:val="0"/>
                    <w:snapToGrid w:val="0"/>
                    <w:jc w:val="center"/>
                    <w:rPr>
                      <w:b/>
                      <w:color w:val="auto"/>
                      <w:sz w:val="18"/>
                      <w:szCs w:val="18"/>
                    </w:rPr>
                  </w:pPr>
                  <w:r>
                    <w:rPr>
                      <w:rFonts w:hint="eastAsia"/>
                      <w:b/>
                      <w:color w:val="auto"/>
                      <w:sz w:val="18"/>
                      <w:szCs w:val="18"/>
                    </w:rPr>
                    <w:t>监测点位</w:t>
                  </w:r>
                </w:p>
              </w:tc>
              <w:tc>
                <w:tcPr>
                  <w:tcW w:w="817" w:type="pct"/>
                  <w:tcBorders>
                    <w:tl2br w:val="nil"/>
                    <w:tr2bl w:val="nil"/>
                  </w:tcBorders>
                  <w:vAlign w:val="center"/>
                </w:tcPr>
                <w:p w14:paraId="59F432D3">
                  <w:pPr>
                    <w:widowControl/>
                    <w:adjustRightInd w:val="0"/>
                    <w:snapToGrid w:val="0"/>
                    <w:jc w:val="center"/>
                    <w:rPr>
                      <w:b/>
                      <w:color w:val="auto"/>
                      <w:sz w:val="18"/>
                      <w:szCs w:val="18"/>
                    </w:rPr>
                  </w:pPr>
                  <w:r>
                    <w:rPr>
                      <w:rFonts w:hint="eastAsia"/>
                      <w:b/>
                      <w:color w:val="auto"/>
                      <w:sz w:val="18"/>
                      <w:szCs w:val="18"/>
                    </w:rPr>
                    <w:t>监测项目</w:t>
                  </w:r>
                </w:p>
              </w:tc>
              <w:tc>
                <w:tcPr>
                  <w:tcW w:w="755" w:type="pct"/>
                  <w:tcBorders>
                    <w:tl2br w:val="nil"/>
                    <w:tr2bl w:val="nil"/>
                  </w:tcBorders>
                  <w:vAlign w:val="center"/>
                </w:tcPr>
                <w:p w14:paraId="4E82EDB9">
                  <w:pPr>
                    <w:widowControl/>
                    <w:adjustRightInd w:val="0"/>
                    <w:snapToGrid w:val="0"/>
                    <w:jc w:val="center"/>
                    <w:rPr>
                      <w:b/>
                      <w:color w:val="auto"/>
                      <w:sz w:val="18"/>
                      <w:szCs w:val="18"/>
                    </w:rPr>
                  </w:pPr>
                  <w:r>
                    <w:rPr>
                      <w:rFonts w:hint="eastAsia"/>
                      <w:b/>
                      <w:color w:val="auto"/>
                      <w:sz w:val="18"/>
                      <w:szCs w:val="18"/>
                    </w:rPr>
                    <w:t>监测频率</w:t>
                  </w:r>
                </w:p>
              </w:tc>
              <w:tc>
                <w:tcPr>
                  <w:tcW w:w="1769" w:type="pct"/>
                  <w:tcBorders>
                    <w:tl2br w:val="nil"/>
                    <w:tr2bl w:val="nil"/>
                  </w:tcBorders>
                  <w:vAlign w:val="center"/>
                </w:tcPr>
                <w:p w14:paraId="03B8BABC">
                  <w:pPr>
                    <w:widowControl/>
                    <w:adjustRightInd w:val="0"/>
                    <w:snapToGrid w:val="0"/>
                    <w:jc w:val="center"/>
                    <w:rPr>
                      <w:b/>
                      <w:color w:val="auto"/>
                      <w:sz w:val="18"/>
                      <w:szCs w:val="18"/>
                    </w:rPr>
                  </w:pPr>
                  <w:r>
                    <w:rPr>
                      <w:rFonts w:hint="eastAsia"/>
                      <w:b/>
                      <w:color w:val="auto"/>
                      <w:sz w:val="18"/>
                      <w:szCs w:val="18"/>
                    </w:rPr>
                    <w:t>执行标准</w:t>
                  </w:r>
                </w:p>
              </w:tc>
            </w:tr>
            <w:tr w14:paraId="528D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49" w:type="pct"/>
                  <w:tcBorders>
                    <w:tl2br w:val="nil"/>
                    <w:tr2bl w:val="nil"/>
                  </w:tcBorders>
                  <w:vAlign w:val="center"/>
                </w:tcPr>
                <w:p w14:paraId="2FCAD67A">
                  <w:pPr>
                    <w:widowControl/>
                    <w:adjustRightInd w:val="0"/>
                    <w:snapToGrid w:val="0"/>
                    <w:jc w:val="center"/>
                    <w:rPr>
                      <w:color w:val="auto"/>
                      <w:sz w:val="18"/>
                      <w:szCs w:val="18"/>
                    </w:rPr>
                  </w:pPr>
                  <w:r>
                    <w:rPr>
                      <w:rFonts w:hint="eastAsia"/>
                      <w:color w:val="auto"/>
                      <w:sz w:val="18"/>
                      <w:szCs w:val="18"/>
                    </w:rPr>
                    <w:t>噪声</w:t>
                  </w:r>
                </w:p>
              </w:tc>
              <w:tc>
                <w:tcPr>
                  <w:tcW w:w="1208" w:type="pct"/>
                  <w:tcBorders>
                    <w:tl2br w:val="nil"/>
                    <w:tr2bl w:val="nil"/>
                  </w:tcBorders>
                  <w:vAlign w:val="center"/>
                </w:tcPr>
                <w:p w14:paraId="5E4B51C5">
                  <w:pPr>
                    <w:snapToGrid w:val="0"/>
                    <w:jc w:val="center"/>
                    <w:rPr>
                      <w:color w:val="auto"/>
                      <w:sz w:val="18"/>
                      <w:szCs w:val="18"/>
                    </w:rPr>
                  </w:pPr>
                  <w:r>
                    <w:rPr>
                      <w:color w:val="auto"/>
                      <w:sz w:val="18"/>
                      <w:szCs w:val="18"/>
                    </w:rPr>
                    <w:t>沿项目区厂界东、南、西、北界外1m 处布点监测</w:t>
                  </w:r>
                </w:p>
              </w:tc>
              <w:tc>
                <w:tcPr>
                  <w:tcW w:w="817" w:type="pct"/>
                  <w:tcBorders>
                    <w:tl2br w:val="nil"/>
                    <w:tr2bl w:val="nil"/>
                  </w:tcBorders>
                  <w:vAlign w:val="center"/>
                </w:tcPr>
                <w:p w14:paraId="7B28ABA5">
                  <w:pPr>
                    <w:pStyle w:val="55"/>
                    <w:adjustRightInd w:val="0"/>
                    <w:snapToGrid w:val="0"/>
                    <w:rPr>
                      <w:color w:val="auto"/>
                      <w:sz w:val="18"/>
                      <w:szCs w:val="18"/>
                    </w:rPr>
                  </w:pPr>
                  <w:r>
                    <w:rPr>
                      <w:color w:val="auto"/>
                      <w:sz w:val="18"/>
                      <w:szCs w:val="18"/>
                    </w:rPr>
                    <w:t>等效声级Leq（dB（A））</w:t>
                  </w:r>
                </w:p>
              </w:tc>
              <w:tc>
                <w:tcPr>
                  <w:tcW w:w="755" w:type="pct"/>
                  <w:tcBorders>
                    <w:tl2br w:val="nil"/>
                    <w:tr2bl w:val="nil"/>
                  </w:tcBorders>
                  <w:vAlign w:val="center"/>
                </w:tcPr>
                <w:p w14:paraId="4113F751">
                  <w:pPr>
                    <w:widowControl/>
                    <w:adjustRightInd w:val="0"/>
                    <w:snapToGrid w:val="0"/>
                    <w:jc w:val="center"/>
                    <w:rPr>
                      <w:color w:val="auto"/>
                      <w:sz w:val="18"/>
                      <w:szCs w:val="18"/>
                    </w:rPr>
                  </w:pPr>
                  <w:r>
                    <w:rPr>
                      <w:rFonts w:hint="eastAsia"/>
                      <w:color w:val="auto"/>
                      <w:sz w:val="18"/>
                      <w:szCs w:val="18"/>
                    </w:rPr>
                    <w:t>连续2天，昼夜各1次</w:t>
                  </w:r>
                </w:p>
              </w:tc>
              <w:tc>
                <w:tcPr>
                  <w:tcW w:w="1769" w:type="pct"/>
                  <w:tcBorders>
                    <w:tl2br w:val="nil"/>
                    <w:tr2bl w:val="nil"/>
                  </w:tcBorders>
                  <w:vAlign w:val="center"/>
                </w:tcPr>
                <w:p w14:paraId="7A255850">
                  <w:pPr>
                    <w:widowControl/>
                    <w:adjustRightInd w:val="0"/>
                    <w:snapToGrid w:val="0"/>
                    <w:jc w:val="center"/>
                    <w:rPr>
                      <w:color w:val="auto"/>
                      <w:sz w:val="18"/>
                      <w:szCs w:val="18"/>
                    </w:rPr>
                  </w:pPr>
                  <w:r>
                    <w:rPr>
                      <w:color w:val="auto"/>
                      <w:sz w:val="18"/>
                      <w:szCs w:val="18"/>
                    </w:rPr>
                    <w:t>《工业企业厂界环境噪声排放标准》（GB12348-2008）中的</w:t>
                  </w:r>
                  <w:r>
                    <w:rPr>
                      <w:rFonts w:hint="eastAsia"/>
                      <w:color w:val="auto"/>
                      <w:sz w:val="18"/>
                      <w:szCs w:val="18"/>
                      <w:lang w:val="en-US" w:eastAsia="zh-CN"/>
                    </w:rPr>
                    <w:t>3</w:t>
                  </w:r>
                  <w:r>
                    <w:rPr>
                      <w:rFonts w:hint="eastAsia"/>
                      <w:color w:val="auto"/>
                      <w:sz w:val="18"/>
                      <w:szCs w:val="18"/>
                    </w:rPr>
                    <w:t>类</w:t>
                  </w:r>
                  <w:r>
                    <w:rPr>
                      <w:color w:val="auto"/>
                      <w:sz w:val="18"/>
                      <w:szCs w:val="18"/>
                    </w:rPr>
                    <w:t>标准</w:t>
                  </w:r>
                </w:p>
              </w:tc>
            </w:tr>
            <w:tr w14:paraId="5A169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449" w:type="pct"/>
                  <w:vMerge w:val="restart"/>
                  <w:tcBorders>
                    <w:tl2br w:val="nil"/>
                    <w:tr2bl w:val="nil"/>
                  </w:tcBorders>
                  <w:vAlign w:val="center"/>
                </w:tcPr>
                <w:p w14:paraId="6373539F">
                  <w:pPr>
                    <w:widowControl/>
                    <w:adjustRightInd w:val="0"/>
                    <w:snapToGrid w:val="0"/>
                    <w:jc w:val="center"/>
                    <w:rPr>
                      <w:color w:val="auto"/>
                      <w:sz w:val="18"/>
                      <w:szCs w:val="18"/>
                    </w:rPr>
                  </w:pPr>
                  <w:r>
                    <w:rPr>
                      <w:rFonts w:hint="eastAsia"/>
                      <w:color w:val="auto"/>
                      <w:sz w:val="18"/>
                      <w:szCs w:val="18"/>
                    </w:rPr>
                    <w:t>废气</w:t>
                  </w:r>
                </w:p>
              </w:tc>
              <w:tc>
                <w:tcPr>
                  <w:tcW w:w="1208" w:type="pct"/>
                  <w:tcBorders>
                    <w:tl2br w:val="nil"/>
                    <w:tr2bl w:val="nil"/>
                  </w:tcBorders>
                  <w:vAlign w:val="center"/>
                </w:tcPr>
                <w:p w14:paraId="0BA2FAC6">
                  <w:pPr>
                    <w:snapToGrid w:val="0"/>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eastAsia="zh-CN"/>
                    </w:rPr>
                    <w:t>注塑</w:t>
                  </w:r>
                  <w:r>
                    <w:rPr>
                      <w:rFonts w:hint="eastAsia" w:ascii="Times New Roman" w:hAnsi="Times New Roman" w:eastAsia="宋体" w:cs="Times New Roman"/>
                      <w:color w:val="auto"/>
                      <w:sz w:val="18"/>
                      <w:szCs w:val="18"/>
                    </w:rPr>
                    <w:t>废气</w:t>
                  </w:r>
                  <w:r>
                    <w:rPr>
                      <w:rFonts w:hint="eastAsia" w:ascii="Times New Roman" w:hAnsi="Times New Roman" w:eastAsia="宋体" w:cs="Times New Roman"/>
                      <w:color w:val="auto"/>
                      <w:sz w:val="18"/>
                      <w:szCs w:val="18"/>
                      <w:lang w:eastAsia="zh-CN"/>
                    </w:rPr>
                    <w:t>排放口</w:t>
                  </w:r>
                  <w:r>
                    <w:rPr>
                      <w:rFonts w:hint="eastAsia" w:ascii="Times New Roman" w:hAnsi="Times New Roman" w:eastAsia="宋体" w:cs="Times New Roman"/>
                      <w:color w:val="auto"/>
                      <w:sz w:val="18"/>
                      <w:szCs w:val="18"/>
                      <w:lang w:val="en-US" w:eastAsia="zh-CN"/>
                    </w:rPr>
                    <w:t>/DA001</w:t>
                  </w:r>
                </w:p>
              </w:tc>
              <w:tc>
                <w:tcPr>
                  <w:tcW w:w="817" w:type="pct"/>
                  <w:tcBorders>
                    <w:tl2br w:val="nil"/>
                    <w:tr2bl w:val="nil"/>
                  </w:tcBorders>
                  <w:vAlign w:val="center"/>
                </w:tcPr>
                <w:p w14:paraId="446DE249">
                  <w:pPr>
                    <w:jc w:val="center"/>
                    <w:rPr>
                      <w:rFonts w:hint="eastAsia"/>
                      <w:color w:val="auto"/>
                      <w:sz w:val="18"/>
                      <w:szCs w:val="18"/>
                      <w:lang w:eastAsia="zh-CN"/>
                    </w:rPr>
                  </w:pPr>
                  <w:r>
                    <w:rPr>
                      <w:color w:val="auto"/>
                      <w:sz w:val="18"/>
                      <w:szCs w:val="18"/>
                    </w:rPr>
                    <w:t>非甲烷总烃</w:t>
                  </w:r>
                  <w:r>
                    <w:rPr>
                      <w:bCs/>
                      <w:color w:val="auto"/>
                      <w:sz w:val="18"/>
                      <w:szCs w:val="18"/>
                    </w:rPr>
                    <w:t>、臭气浓度</w:t>
                  </w:r>
                </w:p>
              </w:tc>
              <w:tc>
                <w:tcPr>
                  <w:tcW w:w="755" w:type="pct"/>
                  <w:tcBorders>
                    <w:tl2br w:val="nil"/>
                    <w:tr2bl w:val="nil"/>
                  </w:tcBorders>
                  <w:vAlign w:val="center"/>
                </w:tcPr>
                <w:p w14:paraId="0DAB2142">
                  <w:pPr>
                    <w:widowControl/>
                    <w:adjustRightInd w:val="0"/>
                    <w:snapToGrid w:val="0"/>
                    <w:jc w:val="center"/>
                    <w:rPr>
                      <w:rFonts w:hint="eastAsia"/>
                      <w:color w:val="auto"/>
                      <w:sz w:val="18"/>
                      <w:szCs w:val="18"/>
                    </w:rPr>
                  </w:pPr>
                  <w:r>
                    <w:rPr>
                      <w:rFonts w:hint="eastAsia"/>
                      <w:color w:val="auto"/>
                      <w:sz w:val="18"/>
                      <w:szCs w:val="18"/>
                    </w:rPr>
                    <w:t>连续2天，每天3次</w:t>
                  </w:r>
                </w:p>
              </w:tc>
              <w:tc>
                <w:tcPr>
                  <w:tcW w:w="1769" w:type="pct"/>
                  <w:tcBorders>
                    <w:tl2br w:val="nil"/>
                    <w:tr2bl w:val="nil"/>
                  </w:tcBorders>
                  <w:vAlign w:val="center"/>
                </w:tcPr>
                <w:p w14:paraId="030BBCE2">
                  <w:pPr>
                    <w:widowControl/>
                    <w:adjustRightInd w:val="0"/>
                    <w:snapToGrid w:val="0"/>
                    <w:jc w:val="center"/>
                    <w:rPr>
                      <w:rFonts w:hint="eastAsia" w:ascii="Times New Roman" w:hAnsi="Times New Roman" w:eastAsia="宋体" w:cs="Times New Roman"/>
                      <w:color w:val="auto"/>
                      <w:sz w:val="18"/>
                      <w:szCs w:val="18"/>
                    </w:rPr>
                  </w:pPr>
                  <w:r>
                    <w:rPr>
                      <w:rFonts w:hint="default" w:ascii="Times New Roman" w:hAnsi="Times New Roman" w:eastAsia="宋体" w:cs="Times New Roman"/>
                      <w:color w:val="auto"/>
                      <w:sz w:val="18"/>
                      <w:szCs w:val="18"/>
                    </w:rPr>
                    <w:t>《</w:t>
                  </w:r>
                  <w:r>
                    <w:rPr>
                      <w:rFonts w:hint="default" w:ascii="Times New Roman" w:hAnsi="Times New Roman" w:eastAsia="宋体" w:cs="Times New Roman"/>
                      <w:color w:val="auto"/>
                      <w:sz w:val="18"/>
                      <w:szCs w:val="18"/>
                      <w:lang w:eastAsia="zh-CN"/>
                    </w:rPr>
                    <w:t>合成树脂工业污染物排放标准</w:t>
                  </w:r>
                  <w:r>
                    <w:rPr>
                      <w:rFonts w:hint="default" w:ascii="Times New Roman" w:hAnsi="Times New Roman" w:eastAsia="宋体" w:cs="Times New Roman"/>
                      <w:color w:val="auto"/>
                      <w:sz w:val="18"/>
                      <w:szCs w:val="18"/>
                    </w:rPr>
                    <w:t>》（GB</w:t>
                  </w:r>
                  <w:r>
                    <w:rPr>
                      <w:rFonts w:hint="default" w:ascii="Times New Roman" w:hAnsi="Times New Roman" w:eastAsia="宋体" w:cs="Times New Roman"/>
                      <w:color w:val="auto"/>
                      <w:sz w:val="18"/>
                      <w:szCs w:val="18"/>
                      <w:lang w:val="en-US" w:eastAsia="zh-CN"/>
                    </w:rPr>
                    <w:t>31572</w:t>
                  </w:r>
                  <w:r>
                    <w:rPr>
                      <w:rFonts w:hint="default" w:ascii="Times New Roman" w:hAnsi="Times New Roman" w:eastAsia="宋体" w:cs="Times New Roman"/>
                      <w:color w:val="auto"/>
                      <w:sz w:val="18"/>
                      <w:szCs w:val="18"/>
                    </w:rPr>
                    <w:t>-</w:t>
                  </w:r>
                  <w:r>
                    <w:rPr>
                      <w:rFonts w:hint="default" w:ascii="Times New Roman" w:hAnsi="Times New Roman" w:eastAsia="宋体" w:cs="Times New Roman"/>
                      <w:color w:val="auto"/>
                      <w:sz w:val="18"/>
                      <w:szCs w:val="18"/>
                      <w:lang w:val="en-US" w:eastAsia="zh-CN"/>
                    </w:rPr>
                    <w:t>2015</w:t>
                  </w:r>
                  <w:r>
                    <w:rPr>
                      <w:rFonts w:hint="default" w:ascii="Times New Roman" w:hAnsi="Times New Roman" w:eastAsia="宋体" w:cs="Times New Roman"/>
                      <w:color w:val="auto"/>
                      <w:sz w:val="18"/>
                      <w:szCs w:val="18"/>
                    </w:rPr>
                    <w:t>）</w:t>
                  </w:r>
                  <w:r>
                    <w:rPr>
                      <w:rFonts w:hint="default" w:ascii="Times New Roman" w:hAnsi="Times New Roman" w:eastAsia="宋体" w:cs="Times New Roman"/>
                      <w:color w:val="auto"/>
                      <w:sz w:val="18"/>
                      <w:szCs w:val="18"/>
                      <w:lang w:val="en-US" w:eastAsia="zh-CN"/>
                    </w:rPr>
                    <w:t>及2024年修改单</w:t>
                  </w:r>
                  <w:r>
                    <w:rPr>
                      <w:rFonts w:hint="default" w:ascii="Times New Roman" w:hAnsi="Times New Roman" w:eastAsia="宋体" w:cs="Times New Roman"/>
                      <w:color w:val="auto"/>
                      <w:sz w:val="18"/>
                      <w:szCs w:val="18"/>
                      <w:lang w:eastAsia="zh-CN"/>
                    </w:rPr>
                    <w:t>中</w:t>
                  </w:r>
                  <w:r>
                    <w:rPr>
                      <w:rFonts w:hint="default" w:ascii="Times New Roman" w:hAnsi="Times New Roman" w:eastAsia="宋体" w:cs="Times New Roman"/>
                      <w:color w:val="auto"/>
                      <w:sz w:val="18"/>
                      <w:szCs w:val="18"/>
                      <w:lang w:val="en-US" w:eastAsia="zh-CN"/>
                    </w:rPr>
                    <w:t>表4大气污染物排放限值</w:t>
                  </w:r>
                  <w:r>
                    <w:rPr>
                      <w:rFonts w:hint="eastAsia"/>
                      <w:color w:val="auto"/>
                      <w:sz w:val="18"/>
                      <w:szCs w:val="18"/>
                    </w:rPr>
                    <w:t>及《恶臭污染物排放标准》（GB14554-93）表1恶臭污染物厂界标准值二级标准</w:t>
                  </w:r>
                </w:p>
              </w:tc>
            </w:tr>
            <w:tr w14:paraId="1D1C7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449" w:type="pct"/>
                  <w:vMerge w:val="continue"/>
                  <w:tcBorders>
                    <w:tl2br w:val="nil"/>
                    <w:tr2bl w:val="nil"/>
                  </w:tcBorders>
                  <w:vAlign w:val="center"/>
                </w:tcPr>
                <w:p w14:paraId="39D4830E">
                  <w:pPr>
                    <w:widowControl/>
                    <w:adjustRightInd w:val="0"/>
                    <w:snapToGrid w:val="0"/>
                    <w:jc w:val="center"/>
                    <w:rPr>
                      <w:color w:val="auto"/>
                    </w:rPr>
                  </w:pPr>
                </w:p>
              </w:tc>
              <w:tc>
                <w:tcPr>
                  <w:tcW w:w="1208" w:type="pct"/>
                  <w:tcBorders>
                    <w:tl2br w:val="nil"/>
                    <w:tr2bl w:val="nil"/>
                  </w:tcBorders>
                  <w:vAlign w:val="center"/>
                </w:tcPr>
                <w:p w14:paraId="6FDEBC39">
                  <w:pPr>
                    <w:snapToGrid w:val="0"/>
                    <w:jc w:val="center"/>
                    <w:rPr>
                      <w:rFonts w:hint="eastAsia" w:ascii="Times New Roman" w:hAnsi="Times New Roman" w:eastAsia="宋体" w:cs="Times New Roman"/>
                      <w:color w:val="auto"/>
                      <w:sz w:val="18"/>
                      <w:szCs w:val="18"/>
                      <w:lang w:eastAsia="zh-CN"/>
                    </w:rPr>
                  </w:pPr>
                  <w:r>
                    <w:rPr>
                      <w:rFonts w:hint="eastAsia" w:ascii="Times New Roman" w:hAnsi="Times New Roman" w:eastAsia="宋体" w:cs="Times New Roman"/>
                      <w:color w:val="auto"/>
                      <w:sz w:val="18"/>
                      <w:szCs w:val="18"/>
                      <w:lang w:val="en-US" w:eastAsia="zh-CN"/>
                    </w:rPr>
                    <w:t>破碎</w:t>
                  </w:r>
                  <w:r>
                    <w:rPr>
                      <w:rFonts w:hint="eastAsia" w:ascii="Times New Roman" w:hAnsi="Times New Roman" w:eastAsia="宋体" w:cs="Times New Roman"/>
                      <w:color w:val="auto"/>
                      <w:sz w:val="18"/>
                      <w:szCs w:val="18"/>
                    </w:rPr>
                    <w:t>废气</w:t>
                  </w:r>
                  <w:r>
                    <w:rPr>
                      <w:rFonts w:hint="eastAsia" w:ascii="Times New Roman" w:hAnsi="Times New Roman" w:eastAsia="宋体" w:cs="Times New Roman"/>
                      <w:color w:val="auto"/>
                      <w:sz w:val="18"/>
                      <w:szCs w:val="18"/>
                      <w:lang w:eastAsia="zh-CN"/>
                    </w:rPr>
                    <w:t>排放口</w:t>
                  </w:r>
                  <w:r>
                    <w:rPr>
                      <w:rFonts w:hint="eastAsia" w:ascii="Times New Roman" w:hAnsi="Times New Roman" w:eastAsia="宋体" w:cs="Times New Roman"/>
                      <w:color w:val="auto"/>
                      <w:sz w:val="18"/>
                      <w:szCs w:val="18"/>
                      <w:lang w:val="en-US" w:eastAsia="zh-CN"/>
                    </w:rPr>
                    <w:t>/DA002</w:t>
                  </w:r>
                </w:p>
              </w:tc>
              <w:tc>
                <w:tcPr>
                  <w:tcW w:w="817" w:type="pct"/>
                  <w:tcBorders>
                    <w:tl2br w:val="nil"/>
                    <w:tr2bl w:val="nil"/>
                  </w:tcBorders>
                  <w:vAlign w:val="center"/>
                </w:tcPr>
                <w:p w14:paraId="3829F603">
                  <w:pPr>
                    <w:jc w:val="center"/>
                    <w:rPr>
                      <w:rFonts w:hint="eastAsia" w:ascii="Times New Roman" w:hAnsi="Times New Roman" w:eastAsia="宋体" w:cs="Times New Roman"/>
                      <w:color w:val="auto"/>
                      <w:sz w:val="18"/>
                      <w:szCs w:val="18"/>
                      <w:lang w:eastAsia="zh-CN"/>
                    </w:rPr>
                  </w:pPr>
                  <w:r>
                    <w:rPr>
                      <w:rFonts w:hint="eastAsia"/>
                      <w:color w:val="auto"/>
                      <w:sz w:val="18"/>
                      <w:szCs w:val="18"/>
                      <w:lang w:val="en-US" w:eastAsia="zh-CN"/>
                    </w:rPr>
                    <w:t>颗粒物</w:t>
                  </w:r>
                </w:p>
              </w:tc>
              <w:tc>
                <w:tcPr>
                  <w:tcW w:w="755" w:type="pct"/>
                  <w:tcBorders>
                    <w:tl2br w:val="nil"/>
                    <w:tr2bl w:val="nil"/>
                  </w:tcBorders>
                  <w:vAlign w:val="center"/>
                </w:tcPr>
                <w:p w14:paraId="3DDFBB87">
                  <w:pPr>
                    <w:widowControl/>
                    <w:adjustRightInd w:val="0"/>
                    <w:snapToGrid w:val="0"/>
                    <w:jc w:val="center"/>
                    <w:rPr>
                      <w:rFonts w:hint="eastAsia" w:ascii="Times New Roman" w:hAnsi="Times New Roman" w:eastAsia="宋体" w:cs="Times New Roman"/>
                      <w:color w:val="auto"/>
                      <w:sz w:val="18"/>
                      <w:szCs w:val="18"/>
                      <w:lang w:eastAsia="zh-CN"/>
                    </w:rPr>
                  </w:pPr>
                  <w:r>
                    <w:rPr>
                      <w:rFonts w:hint="eastAsia"/>
                      <w:color w:val="auto"/>
                      <w:sz w:val="18"/>
                      <w:szCs w:val="18"/>
                    </w:rPr>
                    <w:t>连续2天，每天3次</w:t>
                  </w:r>
                </w:p>
              </w:tc>
              <w:tc>
                <w:tcPr>
                  <w:tcW w:w="1769" w:type="pct"/>
                  <w:tcBorders>
                    <w:tl2br w:val="nil"/>
                    <w:tr2bl w:val="nil"/>
                  </w:tcBorders>
                  <w:vAlign w:val="center"/>
                </w:tcPr>
                <w:p w14:paraId="03C2A81E">
                  <w:pPr>
                    <w:widowControl/>
                    <w:adjustRightInd w:val="0"/>
                    <w:snapToGrid w:val="0"/>
                    <w:jc w:val="center"/>
                    <w:rPr>
                      <w:rFonts w:hint="eastAsia"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rPr>
                    <w:t>《</w:t>
                  </w:r>
                  <w:r>
                    <w:rPr>
                      <w:rFonts w:hint="default" w:ascii="Times New Roman" w:hAnsi="Times New Roman" w:eastAsia="宋体" w:cs="Times New Roman"/>
                      <w:color w:val="auto"/>
                      <w:sz w:val="18"/>
                      <w:szCs w:val="18"/>
                      <w:lang w:eastAsia="zh-CN"/>
                    </w:rPr>
                    <w:t>合成树脂工业污染物排放标准</w:t>
                  </w:r>
                  <w:r>
                    <w:rPr>
                      <w:rFonts w:hint="default" w:ascii="Times New Roman" w:hAnsi="Times New Roman" w:eastAsia="宋体" w:cs="Times New Roman"/>
                      <w:color w:val="auto"/>
                      <w:sz w:val="18"/>
                      <w:szCs w:val="18"/>
                    </w:rPr>
                    <w:t>》（GB</w:t>
                  </w:r>
                  <w:r>
                    <w:rPr>
                      <w:rFonts w:hint="default" w:ascii="Times New Roman" w:hAnsi="Times New Roman" w:eastAsia="宋体" w:cs="Times New Roman"/>
                      <w:color w:val="auto"/>
                      <w:sz w:val="18"/>
                      <w:szCs w:val="18"/>
                      <w:lang w:val="en-US" w:eastAsia="zh-CN"/>
                    </w:rPr>
                    <w:t>31572</w:t>
                  </w:r>
                  <w:r>
                    <w:rPr>
                      <w:rFonts w:hint="default" w:ascii="Times New Roman" w:hAnsi="Times New Roman" w:eastAsia="宋体" w:cs="Times New Roman"/>
                      <w:color w:val="auto"/>
                      <w:sz w:val="18"/>
                      <w:szCs w:val="18"/>
                    </w:rPr>
                    <w:t>-</w:t>
                  </w:r>
                  <w:r>
                    <w:rPr>
                      <w:rFonts w:hint="default" w:ascii="Times New Roman" w:hAnsi="Times New Roman" w:eastAsia="宋体" w:cs="Times New Roman"/>
                      <w:color w:val="auto"/>
                      <w:sz w:val="18"/>
                      <w:szCs w:val="18"/>
                      <w:lang w:val="en-US" w:eastAsia="zh-CN"/>
                    </w:rPr>
                    <w:t>2015</w:t>
                  </w:r>
                  <w:r>
                    <w:rPr>
                      <w:rFonts w:hint="default" w:ascii="Times New Roman" w:hAnsi="Times New Roman" w:eastAsia="宋体" w:cs="Times New Roman"/>
                      <w:color w:val="auto"/>
                      <w:sz w:val="18"/>
                      <w:szCs w:val="18"/>
                    </w:rPr>
                    <w:t>）</w:t>
                  </w:r>
                  <w:r>
                    <w:rPr>
                      <w:rFonts w:hint="default" w:ascii="Times New Roman" w:hAnsi="Times New Roman" w:eastAsia="宋体" w:cs="Times New Roman"/>
                      <w:color w:val="auto"/>
                      <w:sz w:val="18"/>
                      <w:szCs w:val="18"/>
                      <w:lang w:val="en-US" w:eastAsia="zh-CN"/>
                    </w:rPr>
                    <w:t>及2024年修改单</w:t>
                  </w:r>
                  <w:r>
                    <w:rPr>
                      <w:rFonts w:hint="default" w:ascii="Times New Roman" w:hAnsi="Times New Roman" w:eastAsia="宋体" w:cs="Times New Roman"/>
                      <w:color w:val="auto"/>
                      <w:sz w:val="18"/>
                      <w:szCs w:val="18"/>
                      <w:lang w:eastAsia="zh-CN"/>
                    </w:rPr>
                    <w:t>中</w:t>
                  </w:r>
                  <w:r>
                    <w:rPr>
                      <w:rFonts w:hint="default" w:ascii="Times New Roman" w:hAnsi="Times New Roman" w:eastAsia="宋体" w:cs="Times New Roman"/>
                      <w:color w:val="auto"/>
                      <w:sz w:val="18"/>
                      <w:szCs w:val="18"/>
                      <w:lang w:val="en-US" w:eastAsia="zh-CN"/>
                    </w:rPr>
                    <w:t>表4大气污染物排放限值</w:t>
                  </w:r>
                </w:p>
              </w:tc>
            </w:tr>
            <w:tr w14:paraId="6C20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449" w:type="pct"/>
                  <w:vMerge w:val="continue"/>
                  <w:tcBorders>
                    <w:tl2br w:val="nil"/>
                    <w:tr2bl w:val="nil"/>
                  </w:tcBorders>
                  <w:vAlign w:val="center"/>
                </w:tcPr>
                <w:p w14:paraId="3A734820">
                  <w:pPr>
                    <w:widowControl/>
                    <w:adjustRightInd w:val="0"/>
                    <w:snapToGrid w:val="0"/>
                    <w:jc w:val="center"/>
                    <w:rPr>
                      <w:color w:val="auto"/>
                      <w:sz w:val="18"/>
                      <w:szCs w:val="18"/>
                    </w:rPr>
                  </w:pPr>
                </w:p>
              </w:tc>
              <w:tc>
                <w:tcPr>
                  <w:tcW w:w="1208" w:type="pct"/>
                  <w:tcBorders>
                    <w:tl2br w:val="nil"/>
                    <w:tr2bl w:val="nil"/>
                  </w:tcBorders>
                  <w:vAlign w:val="center"/>
                </w:tcPr>
                <w:p w14:paraId="04B80045">
                  <w:pPr>
                    <w:snapToGrid w:val="0"/>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厂址上风向设1个对照点、厂址下风向设</w:t>
                  </w:r>
                  <w:r>
                    <w:rPr>
                      <w:rFonts w:hint="eastAsia" w:ascii="Times New Roman" w:hAnsi="Times New Roman" w:eastAsia="宋体" w:cs="Times New Roman"/>
                      <w:color w:val="auto"/>
                      <w:sz w:val="18"/>
                      <w:szCs w:val="18"/>
                    </w:rPr>
                    <w:t>3</w:t>
                  </w:r>
                  <w:r>
                    <w:rPr>
                      <w:rFonts w:ascii="Times New Roman" w:hAnsi="Times New Roman" w:eastAsia="宋体" w:cs="Times New Roman"/>
                      <w:color w:val="auto"/>
                      <w:sz w:val="18"/>
                      <w:szCs w:val="18"/>
                    </w:rPr>
                    <w:t>个监控点</w:t>
                  </w:r>
                </w:p>
              </w:tc>
              <w:tc>
                <w:tcPr>
                  <w:tcW w:w="817" w:type="pct"/>
                  <w:tcBorders>
                    <w:tl2br w:val="nil"/>
                    <w:tr2bl w:val="nil"/>
                  </w:tcBorders>
                  <w:vAlign w:val="center"/>
                </w:tcPr>
                <w:p w14:paraId="32FF94E6">
                  <w:pPr>
                    <w:jc w:val="center"/>
                    <w:rPr>
                      <w:color w:val="auto"/>
                      <w:sz w:val="18"/>
                      <w:szCs w:val="18"/>
                    </w:rPr>
                  </w:pPr>
                  <w:r>
                    <w:rPr>
                      <w:rFonts w:hint="eastAsia"/>
                      <w:color w:val="auto"/>
                      <w:sz w:val="18"/>
                      <w:szCs w:val="18"/>
                      <w:lang w:eastAsia="zh-CN"/>
                    </w:rPr>
                    <w:t>颗粒物、</w:t>
                  </w:r>
                  <w:r>
                    <w:rPr>
                      <w:color w:val="auto"/>
                      <w:sz w:val="18"/>
                      <w:szCs w:val="18"/>
                    </w:rPr>
                    <w:t>非甲烷总烃</w:t>
                  </w:r>
                  <w:r>
                    <w:rPr>
                      <w:bCs/>
                      <w:color w:val="auto"/>
                      <w:sz w:val="18"/>
                      <w:szCs w:val="18"/>
                    </w:rPr>
                    <w:t>、臭气浓度</w:t>
                  </w:r>
                </w:p>
              </w:tc>
              <w:tc>
                <w:tcPr>
                  <w:tcW w:w="755" w:type="pct"/>
                  <w:tcBorders>
                    <w:tl2br w:val="nil"/>
                    <w:tr2bl w:val="nil"/>
                  </w:tcBorders>
                  <w:vAlign w:val="center"/>
                </w:tcPr>
                <w:p w14:paraId="2DA1CD89">
                  <w:pPr>
                    <w:widowControl/>
                    <w:adjustRightInd w:val="0"/>
                    <w:snapToGrid w:val="0"/>
                    <w:jc w:val="center"/>
                    <w:rPr>
                      <w:color w:val="auto"/>
                      <w:sz w:val="18"/>
                      <w:szCs w:val="18"/>
                    </w:rPr>
                  </w:pPr>
                  <w:r>
                    <w:rPr>
                      <w:rFonts w:hint="eastAsia"/>
                      <w:color w:val="auto"/>
                      <w:sz w:val="18"/>
                      <w:szCs w:val="18"/>
                    </w:rPr>
                    <w:t>连续2天，每天3次</w:t>
                  </w:r>
                </w:p>
              </w:tc>
              <w:tc>
                <w:tcPr>
                  <w:tcW w:w="1769" w:type="pct"/>
                  <w:tcBorders>
                    <w:tl2br w:val="nil"/>
                    <w:tr2bl w:val="nil"/>
                  </w:tcBorders>
                  <w:vAlign w:val="center"/>
                </w:tcPr>
                <w:p w14:paraId="3F416AF1">
                  <w:pPr>
                    <w:widowControl/>
                    <w:adjustRightInd w:val="0"/>
                    <w:snapToGrid w:val="0"/>
                    <w:jc w:val="center"/>
                    <w:rPr>
                      <w:color w:val="auto"/>
                      <w:sz w:val="18"/>
                      <w:szCs w:val="18"/>
                    </w:rPr>
                  </w:pPr>
                  <w:r>
                    <w:rPr>
                      <w:rFonts w:hint="eastAsia" w:ascii="Times New Roman" w:hAnsi="Times New Roman" w:eastAsia="宋体" w:cs="Times New Roman"/>
                      <w:color w:val="auto"/>
                      <w:sz w:val="18"/>
                      <w:szCs w:val="18"/>
                    </w:rPr>
                    <w:t>合成树脂工业污染物排放标准》（GB31572-2015）</w:t>
                  </w:r>
                  <w:r>
                    <w:rPr>
                      <w:rFonts w:hint="default" w:ascii="Times New Roman" w:hAnsi="Times New Roman" w:eastAsia="宋体" w:cs="Times New Roman"/>
                      <w:color w:val="auto"/>
                      <w:sz w:val="18"/>
                      <w:szCs w:val="18"/>
                      <w:highlight w:val="none"/>
                      <w:lang w:val="en-US" w:eastAsia="zh-CN"/>
                    </w:rPr>
                    <w:t>及2024年修改单中表</w:t>
                  </w:r>
                  <w:r>
                    <w:rPr>
                      <w:rFonts w:hint="eastAsia" w:ascii="Times New Roman" w:hAnsi="Times New Roman" w:eastAsia="宋体" w:cs="Times New Roman"/>
                      <w:color w:val="auto"/>
                      <w:sz w:val="18"/>
                      <w:szCs w:val="18"/>
                      <w:highlight w:val="none"/>
                      <w:lang w:val="en-US" w:eastAsia="zh-CN"/>
                    </w:rPr>
                    <w:t>9</w:t>
                  </w:r>
                  <w:r>
                    <w:rPr>
                      <w:rFonts w:hint="eastAsia" w:ascii="Times New Roman" w:hAnsi="Times New Roman" w:eastAsia="宋体" w:cs="Times New Roman"/>
                      <w:color w:val="auto"/>
                      <w:sz w:val="18"/>
                      <w:szCs w:val="18"/>
                    </w:rPr>
                    <w:t>中相关大气污染物排放限值</w:t>
                  </w:r>
                  <w:r>
                    <w:rPr>
                      <w:rFonts w:hint="eastAsia"/>
                      <w:color w:val="auto"/>
                      <w:sz w:val="18"/>
                      <w:szCs w:val="18"/>
                    </w:rPr>
                    <w:t>及《恶臭污染物排放标准》（GB14554-93）表1恶臭污染物厂界标准值二级标准</w:t>
                  </w:r>
                </w:p>
              </w:tc>
            </w:tr>
            <w:tr w14:paraId="7D665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9" w:type="pct"/>
                  <w:vMerge w:val="continue"/>
                  <w:tcBorders>
                    <w:tl2br w:val="nil"/>
                    <w:tr2bl w:val="nil"/>
                  </w:tcBorders>
                  <w:vAlign w:val="center"/>
                </w:tcPr>
                <w:p w14:paraId="3F43D4BC">
                  <w:pPr>
                    <w:widowControl/>
                    <w:adjustRightInd w:val="0"/>
                    <w:snapToGrid w:val="0"/>
                    <w:jc w:val="center"/>
                    <w:rPr>
                      <w:color w:val="auto"/>
                      <w:sz w:val="18"/>
                      <w:szCs w:val="18"/>
                    </w:rPr>
                  </w:pPr>
                </w:p>
              </w:tc>
              <w:tc>
                <w:tcPr>
                  <w:tcW w:w="1208" w:type="pct"/>
                  <w:tcBorders>
                    <w:tl2br w:val="nil"/>
                    <w:tr2bl w:val="nil"/>
                  </w:tcBorders>
                  <w:vAlign w:val="center"/>
                </w:tcPr>
                <w:p w14:paraId="667444DC">
                  <w:pPr>
                    <w:jc w:val="center"/>
                    <w:rPr>
                      <w:color w:val="auto"/>
                      <w:sz w:val="18"/>
                      <w:szCs w:val="18"/>
                    </w:rPr>
                  </w:pPr>
                  <w:r>
                    <w:rPr>
                      <w:rFonts w:hint="eastAsia"/>
                      <w:color w:val="auto"/>
                      <w:sz w:val="18"/>
                      <w:szCs w:val="18"/>
                    </w:rPr>
                    <w:t>在厂房门窗或通风口</w:t>
                  </w:r>
                  <w:r>
                    <w:rPr>
                      <w:color w:val="auto"/>
                      <w:sz w:val="18"/>
                      <w:szCs w:val="18"/>
                    </w:rPr>
                    <w:t>设置1个监测点</w:t>
                  </w:r>
                </w:p>
              </w:tc>
              <w:tc>
                <w:tcPr>
                  <w:tcW w:w="817" w:type="pct"/>
                  <w:tcBorders>
                    <w:tl2br w:val="nil"/>
                    <w:tr2bl w:val="nil"/>
                  </w:tcBorders>
                  <w:vAlign w:val="center"/>
                </w:tcPr>
                <w:p w14:paraId="75BBF20C">
                  <w:pPr>
                    <w:jc w:val="center"/>
                    <w:rPr>
                      <w:color w:val="auto"/>
                      <w:sz w:val="18"/>
                      <w:szCs w:val="18"/>
                    </w:rPr>
                  </w:pPr>
                  <w:r>
                    <w:rPr>
                      <w:bCs/>
                      <w:color w:val="auto"/>
                      <w:sz w:val="18"/>
                      <w:szCs w:val="18"/>
                    </w:rPr>
                    <w:t>挥发性有机物（以非甲烷总烃计）</w:t>
                  </w:r>
                </w:p>
              </w:tc>
              <w:tc>
                <w:tcPr>
                  <w:tcW w:w="755" w:type="pct"/>
                  <w:tcBorders>
                    <w:tl2br w:val="nil"/>
                    <w:tr2bl w:val="nil"/>
                  </w:tcBorders>
                  <w:vAlign w:val="center"/>
                </w:tcPr>
                <w:p w14:paraId="7D6ABF37">
                  <w:pPr>
                    <w:widowControl/>
                    <w:adjustRightInd w:val="0"/>
                    <w:snapToGrid w:val="0"/>
                    <w:jc w:val="center"/>
                    <w:rPr>
                      <w:color w:val="auto"/>
                      <w:sz w:val="18"/>
                      <w:szCs w:val="18"/>
                    </w:rPr>
                  </w:pPr>
                  <w:r>
                    <w:rPr>
                      <w:rFonts w:hint="eastAsia"/>
                      <w:color w:val="auto"/>
                      <w:sz w:val="18"/>
                      <w:szCs w:val="18"/>
                    </w:rPr>
                    <w:t>连续2天，每天3次</w:t>
                  </w:r>
                </w:p>
              </w:tc>
              <w:tc>
                <w:tcPr>
                  <w:tcW w:w="1769" w:type="pct"/>
                  <w:tcBorders>
                    <w:tl2br w:val="nil"/>
                    <w:tr2bl w:val="nil"/>
                  </w:tcBorders>
                  <w:vAlign w:val="center"/>
                </w:tcPr>
                <w:p w14:paraId="2A691A50">
                  <w:pPr>
                    <w:pStyle w:val="119"/>
                    <w:adjustRightInd w:val="0"/>
                    <w:snapToGrid w:val="0"/>
                    <w:spacing w:line="240" w:lineRule="auto"/>
                    <w:ind w:firstLine="0" w:firstLineChars="0"/>
                    <w:jc w:val="center"/>
                    <w:rPr>
                      <w:color w:val="auto"/>
                      <w:sz w:val="18"/>
                      <w:szCs w:val="18"/>
                    </w:rPr>
                  </w:pPr>
                  <w:r>
                    <w:rPr>
                      <w:color w:val="auto"/>
                      <w:sz w:val="18"/>
                      <w:szCs w:val="18"/>
                    </w:rPr>
                    <w:t>《挥发性有机物无组织排放控制标准》</w:t>
                  </w:r>
                  <w:r>
                    <w:rPr>
                      <w:color w:val="auto"/>
                      <w:sz w:val="18"/>
                      <w:szCs w:val="18"/>
                      <w:lang w:val="zh-CN"/>
                    </w:rPr>
                    <w:t>（GB</w:t>
                  </w:r>
                  <w:r>
                    <w:rPr>
                      <w:color w:val="auto"/>
                      <w:sz w:val="18"/>
                      <w:szCs w:val="18"/>
                    </w:rPr>
                    <w:t>37822</w:t>
                  </w:r>
                  <w:r>
                    <w:rPr>
                      <w:color w:val="auto"/>
                      <w:sz w:val="18"/>
                      <w:szCs w:val="18"/>
                      <w:lang w:val="zh-CN"/>
                    </w:rPr>
                    <w:t>-</w:t>
                  </w:r>
                  <w:r>
                    <w:rPr>
                      <w:color w:val="auto"/>
                      <w:sz w:val="18"/>
                      <w:szCs w:val="18"/>
                    </w:rPr>
                    <w:t>2019</w:t>
                  </w:r>
                  <w:r>
                    <w:rPr>
                      <w:color w:val="auto"/>
                      <w:sz w:val="18"/>
                      <w:szCs w:val="18"/>
                      <w:lang w:val="zh-CN"/>
                    </w:rPr>
                    <w:t>）</w:t>
                  </w:r>
                </w:p>
              </w:tc>
            </w:tr>
            <w:tr w14:paraId="36ACB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trPr>
              <w:tc>
                <w:tcPr>
                  <w:tcW w:w="449" w:type="pct"/>
                  <w:tcBorders>
                    <w:tl2br w:val="nil"/>
                    <w:tr2bl w:val="nil"/>
                  </w:tcBorders>
                  <w:vAlign w:val="center"/>
                </w:tcPr>
                <w:p w14:paraId="42913FD7">
                  <w:pPr>
                    <w:pStyle w:val="119"/>
                    <w:adjustRightInd w:val="0"/>
                    <w:snapToGrid w:val="0"/>
                    <w:spacing w:line="240" w:lineRule="auto"/>
                    <w:ind w:firstLine="0" w:firstLineChars="0"/>
                    <w:jc w:val="center"/>
                    <w:rPr>
                      <w:color w:val="auto"/>
                      <w:sz w:val="18"/>
                      <w:szCs w:val="18"/>
                    </w:rPr>
                  </w:pPr>
                  <w:r>
                    <w:rPr>
                      <w:rFonts w:hint="eastAsia"/>
                      <w:color w:val="auto"/>
                      <w:sz w:val="18"/>
                      <w:szCs w:val="18"/>
                    </w:rPr>
                    <w:t>废水</w:t>
                  </w:r>
                </w:p>
              </w:tc>
              <w:tc>
                <w:tcPr>
                  <w:tcW w:w="1208" w:type="pct"/>
                  <w:tcBorders>
                    <w:tl2br w:val="nil"/>
                    <w:tr2bl w:val="nil"/>
                  </w:tcBorders>
                  <w:vAlign w:val="center"/>
                </w:tcPr>
                <w:p w14:paraId="781A7DCE">
                  <w:pPr>
                    <w:widowControl/>
                    <w:adjustRightInd w:val="0"/>
                    <w:snapToGrid w:val="0"/>
                    <w:jc w:val="center"/>
                    <w:rPr>
                      <w:rFonts w:hint="eastAsia"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污水处理设施排放口</w:t>
                  </w:r>
                </w:p>
              </w:tc>
              <w:tc>
                <w:tcPr>
                  <w:tcW w:w="817" w:type="pct"/>
                  <w:tcBorders>
                    <w:tl2br w:val="nil"/>
                    <w:tr2bl w:val="nil"/>
                  </w:tcBorders>
                  <w:vAlign w:val="center"/>
                </w:tcPr>
                <w:p w14:paraId="586940FD">
                  <w:pPr>
                    <w:widowControl/>
                    <w:adjustRightInd w:val="0"/>
                    <w:snapToGrid w:val="0"/>
                    <w:jc w:val="center"/>
                    <w:rPr>
                      <w:rFonts w:hint="eastAsia"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lang w:val="en-US" w:eastAsia="zh-CN"/>
                    </w:rPr>
                    <w:t>PH、</w:t>
                  </w:r>
                  <w:r>
                    <w:rPr>
                      <w:rFonts w:hint="default" w:ascii="Times New Roman" w:hAnsi="Times New Roman" w:eastAsia="宋体" w:cs="Times New Roman"/>
                      <w:color w:val="auto"/>
                      <w:sz w:val="18"/>
                      <w:szCs w:val="18"/>
                      <w:highlight w:val="none"/>
                      <w:lang w:val="en-US" w:eastAsia="zh-CN"/>
                    </w:rPr>
                    <w:t>COD、BOD5、SS、氨氮、总磷、动植物油</w:t>
                  </w:r>
                </w:p>
              </w:tc>
              <w:tc>
                <w:tcPr>
                  <w:tcW w:w="755" w:type="pct"/>
                  <w:tcBorders>
                    <w:tl2br w:val="nil"/>
                    <w:tr2bl w:val="nil"/>
                  </w:tcBorders>
                  <w:vAlign w:val="center"/>
                </w:tcPr>
                <w:p w14:paraId="616EDEAF">
                  <w:pPr>
                    <w:widowControl/>
                    <w:adjustRightInd w:val="0"/>
                    <w:snapToGrid w:val="0"/>
                    <w:jc w:val="center"/>
                    <w:rPr>
                      <w:rFonts w:hint="eastAsia"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连续2天，每天4次</w:t>
                  </w:r>
                </w:p>
              </w:tc>
              <w:tc>
                <w:tcPr>
                  <w:tcW w:w="1769" w:type="pct"/>
                  <w:tcBorders>
                    <w:tl2br w:val="nil"/>
                    <w:tr2bl w:val="nil"/>
                  </w:tcBorders>
                  <w:vAlign w:val="center"/>
                </w:tcPr>
                <w:p w14:paraId="6E0D37CD">
                  <w:pPr>
                    <w:widowControl/>
                    <w:adjustRightInd w:val="0"/>
                    <w:snapToGrid w:val="0"/>
                    <w:jc w:val="center"/>
                    <w:rPr>
                      <w:rFonts w:hint="eastAsia"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《城市污水再生利用 城市杂用水水质》（GB/T18920-2020）中的城市绿化、道路清扫、消防、建筑施工标准</w:t>
                  </w:r>
                </w:p>
              </w:tc>
            </w:tr>
          </w:tbl>
          <w:p w14:paraId="7C9ABC76">
            <w:pPr>
              <w:adjustRightInd w:val="0"/>
              <w:snapToGrid w:val="0"/>
              <w:jc w:val="center"/>
              <w:rPr>
                <w:b/>
                <w:color w:val="auto"/>
                <w:kern w:val="0"/>
                <w:sz w:val="18"/>
                <w:szCs w:val="18"/>
                <w:lang w:bidi="en-US"/>
              </w:rPr>
            </w:pPr>
          </w:p>
          <w:p w14:paraId="7D748097">
            <w:pPr>
              <w:adjustRightInd w:val="0"/>
              <w:snapToGrid w:val="0"/>
              <w:jc w:val="center"/>
              <w:rPr>
                <w:color w:val="auto"/>
                <w:szCs w:val="21"/>
              </w:rPr>
            </w:pPr>
            <w:r>
              <w:rPr>
                <w:b/>
                <w:color w:val="auto"/>
                <w:kern w:val="0"/>
                <w:sz w:val="18"/>
                <w:szCs w:val="18"/>
                <w:lang w:bidi="en-US"/>
              </w:rPr>
              <w:t>表</w:t>
            </w:r>
            <w:r>
              <w:rPr>
                <w:rFonts w:hint="eastAsia"/>
                <w:b/>
                <w:color w:val="auto"/>
                <w:kern w:val="0"/>
                <w:sz w:val="18"/>
                <w:szCs w:val="18"/>
                <w:lang w:bidi="en-US"/>
              </w:rPr>
              <w:t>5-4</w:t>
            </w:r>
            <w:r>
              <w:rPr>
                <w:b/>
                <w:color w:val="auto"/>
                <w:kern w:val="24"/>
                <w:sz w:val="18"/>
                <w:szCs w:val="18"/>
                <w:lang w:val="zh-CN"/>
              </w:rPr>
              <w:t xml:space="preserve"> </w:t>
            </w:r>
            <w:r>
              <w:rPr>
                <w:rFonts w:hint="eastAsia"/>
                <w:b/>
                <w:color w:val="auto"/>
                <w:kern w:val="24"/>
                <w:sz w:val="18"/>
                <w:szCs w:val="18"/>
              </w:rPr>
              <w:t xml:space="preserve"> </w:t>
            </w:r>
            <w:r>
              <w:rPr>
                <w:b/>
                <w:color w:val="auto"/>
                <w:kern w:val="24"/>
                <w:sz w:val="18"/>
                <w:szCs w:val="18"/>
                <w:lang w:val="zh-CN"/>
              </w:rPr>
              <w:t xml:space="preserve"> 竣工环境保护验收一览表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1072"/>
              <w:gridCol w:w="3926"/>
              <w:gridCol w:w="2206"/>
            </w:tblGrid>
            <w:tr w14:paraId="5E897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4" w:type="dxa"/>
                  <w:vAlign w:val="center"/>
                </w:tcPr>
                <w:p w14:paraId="4120F5F8">
                  <w:pPr>
                    <w:pStyle w:val="120"/>
                    <w:adjustRightInd w:val="0"/>
                    <w:snapToGrid w:val="0"/>
                    <w:spacing w:before="0" w:beforeAutospacing="0" w:after="0" w:afterAutospacing="0"/>
                    <w:jc w:val="center"/>
                    <w:rPr>
                      <w:rFonts w:ascii="Times New Roman" w:hAnsi="Times New Roman" w:cs="Times New Roman"/>
                      <w:bCs w:val="0"/>
                      <w:color w:val="auto"/>
                      <w:sz w:val="18"/>
                      <w:szCs w:val="18"/>
                    </w:rPr>
                  </w:pPr>
                  <w:r>
                    <w:rPr>
                      <w:rFonts w:ascii="Times New Roman" w:hAnsi="Times New Roman" w:cs="Times New Roman"/>
                      <w:bCs w:val="0"/>
                      <w:color w:val="auto"/>
                      <w:sz w:val="18"/>
                      <w:szCs w:val="18"/>
                    </w:rPr>
                    <w:t>类型</w:t>
                  </w:r>
                </w:p>
              </w:tc>
              <w:tc>
                <w:tcPr>
                  <w:tcW w:w="1072" w:type="dxa"/>
                  <w:vAlign w:val="center"/>
                </w:tcPr>
                <w:p w14:paraId="6E3F81FE">
                  <w:pPr>
                    <w:pStyle w:val="120"/>
                    <w:adjustRightInd w:val="0"/>
                    <w:snapToGrid w:val="0"/>
                    <w:spacing w:before="0" w:beforeAutospacing="0" w:after="0" w:afterAutospacing="0"/>
                    <w:jc w:val="center"/>
                    <w:rPr>
                      <w:rFonts w:ascii="Times New Roman" w:hAnsi="Times New Roman" w:cs="Times New Roman"/>
                      <w:bCs w:val="0"/>
                      <w:color w:val="auto"/>
                      <w:sz w:val="18"/>
                      <w:szCs w:val="18"/>
                    </w:rPr>
                  </w:pPr>
                  <w:r>
                    <w:rPr>
                      <w:rFonts w:hint="eastAsia" w:ascii="Times New Roman" w:hAnsi="Times New Roman" w:cs="Times New Roman"/>
                      <w:bCs w:val="0"/>
                      <w:color w:val="auto"/>
                      <w:sz w:val="18"/>
                      <w:szCs w:val="18"/>
                    </w:rPr>
                    <w:t>污染源</w:t>
                  </w:r>
                </w:p>
              </w:tc>
              <w:tc>
                <w:tcPr>
                  <w:tcW w:w="3926" w:type="dxa"/>
                  <w:vAlign w:val="center"/>
                </w:tcPr>
                <w:p w14:paraId="19E7191C">
                  <w:pPr>
                    <w:pStyle w:val="120"/>
                    <w:adjustRightInd w:val="0"/>
                    <w:snapToGrid w:val="0"/>
                    <w:spacing w:before="0" w:beforeAutospacing="0" w:after="0" w:afterAutospacing="0"/>
                    <w:jc w:val="center"/>
                    <w:rPr>
                      <w:rFonts w:ascii="Times New Roman" w:hAnsi="Times New Roman" w:cs="Times New Roman"/>
                      <w:bCs w:val="0"/>
                      <w:color w:val="auto"/>
                      <w:sz w:val="18"/>
                      <w:szCs w:val="18"/>
                    </w:rPr>
                  </w:pPr>
                  <w:r>
                    <w:rPr>
                      <w:rFonts w:ascii="Times New Roman" w:hAnsi="Times New Roman" w:cs="Times New Roman"/>
                      <w:bCs w:val="0"/>
                      <w:color w:val="auto"/>
                      <w:sz w:val="18"/>
                      <w:szCs w:val="18"/>
                    </w:rPr>
                    <w:t>环保工程内容</w:t>
                  </w:r>
                </w:p>
              </w:tc>
              <w:tc>
                <w:tcPr>
                  <w:tcW w:w="2206" w:type="dxa"/>
                  <w:vAlign w:val="center"/>
                </w:tcPr>
                <w:p w14:paraId="54C0DB9C">
                  <w:pPr>
                    <w:pStyle w:val="120"/>
                    <w:adjustRightInd w:val="0"/>
                    <w:snapToGrid w:val="0"/>
                    <w:spacing w:before="0" w:beforeAutospacing="0" w:after="0" w:afterAutospacing="0"/>
                    <w:jc w:val="center"/>
                    <w:rPr>
                      <w:rFonts w:ascii="Times New Roman" w:hAnsi="Times New Roman" w:cs="Times New Roman"/>
                      <w:bCs w:val="0"/>
                      <w:color w:val="auto"/>
                      <w:sz w:val="18"/>
                      <w:szCs w:val="18"/>
                    </w:rPr>
                  </w:pPr>
                  <w:r>
                    <w:rPr>
                      <w:rFonts w:ascii="Times New Roman" w:hAnsi="Times New Roman" w:cs="Times New Roman"/>
                      <w:bCs w:val="0"/>
                      <w:color w:val="auto"/>
                      <w:sz w:val="18"/>
                      <w:szCs w:val="18"/>
                    </w:rPr>
                    <w:t>验收标准</w:t>
                  </w:r>
                </w:p>
              </w:tc>
            </w:tr>
            <w:tr w14:paraId="447BD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4" w:type="dxa"/>
                  <w:vMerge w:val="restart"/>
                  <w:vAlign w:val="center"/>
                </w:tcPr>
                <w:p w14:paraId="76268AA0">
                  <w:pPr>
                    <w:pStyle w:val="120"/>
                    <w:adjustRightInd w:val="0"/>
                    <w:snapToGrid w:val="0"/>
                    <w:spacing w:before="0" w:beforeAutospacing="0" w:after="0" w:afterAutospacing="0"/>
                    <w:jc w:val="center"/>
                    <w:rPr>
                      <w:rFonts w:ascii="Times New Roman" w:hAnsi="Times New Roman" w:cs="Times New Roman"/>
                      <w:b w:val="0"/>
                      <w:color w:val="auto"/>
                      <w:sz w:val="18"/>
                      <w:szCs w:val="18"/>
                    </w:rPr>
                  </w:pPr>
                  <w:r>
                    <w:rPr>
                      <w:rFonts w:hint="eastAsia" w:ascii="Times New Roman" w:hAnsi="Times New Roman" w:cs="Times New Roman"/>
                      <w:b w:val="0"/>
                      <w:color w:val="auto"/>
                      <w:sz w:val="18"/>
                      <w:szCs w:val="18"/>
                    </w:rPr>
                    <w:t>废气</w:t>
                  </w:r>
                </w:p>
              </w:tc>
              <w:tc>
                <w:tcPr>
                  <w:tcW w:w="1072" w:type="dxa"/>
                  <w:vAlign w:val="center"/>
                </w:tcPr>
                <w:p w14:paraId="3EF92411">
                  <w:pPr>
                    <w:adjustRightInd w:val="0"/>
                    <w:snapToGrid w:val="0"/>
                    <w:jc w:val="center"/>
                    <w:rPr>
                      <w:rFonts w:hint="eastAsia" w:ascii="Times New Roman" w:hAnsi="Times New Roman" w:eastAsia="宋体" w:cs="Times New Roman"/>
                      <w:color w:val="auto"/>
                      <w:sz w:val="18"/>
                      <w:szCs w:val="18"/>
                      <w:lang w:eastAsia="zh-CN"/>
                    </w:rPr>
                  </w:pPr>
                  <w:r>
                    <w:rPr>
                      <w:rFonts w:hint="eastAsia" w:ascii="Times New Roman" w:hAnsi="Times New Roman" w:eastAsia="宋体" w:cs="Times New Roman"/>
                      <w:color w:val="auto"/>
                      <w:sz w:val="18"/>
                      <w:szCs w:val="18"/>
                      <w:lang w:val="en-US" w:eastAsia="zh-CN"/>
                    </w:rPr>
                    <w:t>投料废气</w:t>
                  </w:r>
                </w:p>
              </w:tc>
              <w:tc>
                <w:tcPr>
                  <w:tcW w:w="3926" w:type="dxa"/>
                  <w:vAlign w:val="center"/>
                </w:tcPr>
                <w:p w14:paraId="1203CC54">
                  <w:pPr>
                    <w:adjustRightInd w:val="0"/>
                    <w:snapToGrid w:val="0"/>
                    <w:jc w:val="center"/>
                    <w:rPr>
                      <w:rFonts w:hint="default" w:ascii="Times New Roman" w:hAnsi="Times New Roman" w:eastAsia="宋体" w:cs="Times New Roman"/>
                      <w:color w:val="auto"/>
                      <w:sz w:val="18"/>
                      <w:szCs w:val="18"/>
                      <w:lang w:eastAsia="zh-CN"/>
                    </w:rPr>
                  </w:pPr>
                  <w:r>
                    <w:rPr>
                      <w:rFonts w:hint="eastAsia" w:ascii="Times New Roman" w:hAnsi="Times New Roman" w:eastAsia="宋体" w:cs="Times New Roman"/>
                      <w:color w:val="auto"/>
                      <w:sz w:val="18"/>
                      <w:szCs w:val="18"/>
                      <w:lang w:eastAsia="zh-CN"/>
                    </w:rPr>
                    <w:t>厂房阻隔、</w:t>
                  </w:r>
                  <w:r>
                    <w:rPr>
                      <w:rFonts w:hint="eastAsia" w:ascii="Times New Roman" w:hAnsi="Times New Roman" w:eastAsia="宋体" w:cs="Times New Roman"/>
                      <w:color w:val="auto"/>
                      <w:sz w:val="18"/>
                      <w:szCs w:val="18"/>
                      <w:lang w:val="en-US" w:eastAsia="zh-CN"/>
                    </w:rPr>
                    <w:t>自然</w:t>
                  </w:r>
                  <w:r>
                    <w:rPr>
                      <w:rFonts w:hint="eastAsia" w:ascii="Times New Roman" w:hAnsi="Times New Roman" w:eastAsia="宋体" w:cs="Times New Roman"/>
                      <w:color w:val="auto"/>
                      <w:sz w:val="18"/>
                      <w:szCs w:val="18"/>
                      <w:lang w:eastAsia="zh-CN"/>
                    </w:rPr>
                    <w:t>沉降。</w:t>
                  </w:r>
                </w:p>
              </w:tc>
              <w:tc>
                <w:tcPr>
                  <w:tcW w:w="2206" w:type="dxa"/>
                  <w:vAlign w:val="center"/>
                </w:tcPr>
                <w:p w14:paraId="1D2051FF">
                  <w:pPr>
                    <w:adjustRightInd w:val="0"/>
                    <w:snapToGrid w:val="0"/>
                    <w:jc w:val="center"/>
                    <w:rPr>
                      <w:rFonts w:hint="default" w:ascii="Times New Roman" w:hAnsi="Times New Roman" w:eastAsia="宋体" w:cs="Times New Roman"/>
                      <w:color w:val="auto"/>
                      <w:sz w:val="18"/>
                      <w:szCs w:val="18"/>
                      <w:lang w:eastAsia="zh-CN"/>
                    </w:rPr>
                  </w:pPr>
                  <w:r>
                    <w:rPr>
                      <w:rFonts w:hint="default" w:ascii="Times New Roman" w:hAnsi="Times New Roman" w:eastAsia="宋体" w:cs="Times New Roman"/>
                      <w:color w:val="auto"/>
                      <w:sz w:val="18"/>
                      <w:szCs w:val="18"/>
                      <w:lang w:val="en-US" w:eastAsia="zh-CN"/>
                    </w:rPr>
                    <w:t>《合成树脂工业污染物排放标准》（GB31572-2015）及2024年修改单中表9企业边界大气污染物浓度限值</w:t>
                  </w:r>
                </w:p>
              </w:tc>
            </w:tr>
            <w:tr w14:paraId="696B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4" w:type="dxa"/>
                  <w:vMerge w:val="continue"/>
                  <w:vAlign w:val="center"/>
                </w:tcPr>
                <w:p w14:paraId="5420A81E">
                  <w:pPr>
                    <w:pStyle w:val="120"/>
                    <w:adjustRightInd w:val="0"/>
                    <w:snapToGrid w:val="0"/>
                    <w:spacing w:before="0" w:beforeAutospacing="0" w:after="0" w:afterAutospacing="0"/>
                    <w:jc w:val="center"/>
                    <w:rPr>
                      <w:rFonts w:ascii="Times New Roman" w:hAnsi="Times New Roman" w:cs="Times New Roman"/>
                      <w:b w:val="0"/>
                      <w:color w:val="auto"/>
                      <w:sz w:val="18"/>
                      <w:szCs w:val="18"/>
                    </w:rPr>
                  </w:pPr>
                </w:p>
              </w:tc>
              <w:tc>
                <w:tcPr>
                  <w:tcW w:w="1072" w:type="dxa"/>
                  <w:vAlign w:val="center"/>
                </w:tcPr>
                <w:p w14:paraId="5520B41C">
                  <w:pPr>
                    <w:widowControl/>
                    <w:adjustRightInd w:val="0"/>
                    <w:snapToGrid w:val="0"/>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eastAsia="zh-CN"/>
                    </w:rPr>
                    <w:t>注塑</w:t>
                  </w:r>
                  <w:r>
                    <w:rPr>
                      <w:rFonts w:hint="eastAsia" w:ascii="Times New Roman" w:hAnsi="Times New Roman" w:eastAsia="宋体" w:cs="Times New Roman"/>
                      <w:color w:val="auto"/>
                      <w:sz w:val="18"/>
                      <w:szCs w:val="18"/>
                    </w:rPr>
                    <w:t>废气</w:t>
                  </w:r>
                  <w:r>
                    <w:rPr>
                      <w:rFonts w:hint="eastAsia" w:ascii="Times New Roman" w:hAnsi="Times New Roman" w:eastAsia="宋体" w:cs="Times New Roman"/>
                      <w:color w:val="auto"/>
                      <w:sz w:val="18"/>
                      <w:szCs w:val="18"/>
                      <w:lang w:val="en-US" w:eastAsia="zh-CN"/>
                    </w:rPr>
                    <w:t>/DA001</w:t>
                  </w:r>
                </w:p>
              </w:tc>
              <w:tc>
                <w:tcPr>
                  <w:tcW w:w="3926" w:type="dxa"/>
                  <w:vAlign w:val="center"/>
                </w:tcPr>
                <w:p w14:paraId="07B62C5A">
                  <w:pPr>
                    <w:adjustRightInd w:val="0"/>
                    <w:snapToGrid w:val="0"/>
                    <w:spacing w:line="0" w:lineRule="atLeast"/>
                    <w:jc w:val="center"/>
                    <w:rPr>
                      <w:color w:val="auto"/>
                      <w:sz w:val="18"/>
                      <w:szCs w:val="18"/>
                    </w:rPr>
                  </w:pPr>
                  <w:r>
                    <w:rPr>
                      <w:color w:val="auto"/>
                      <w:sz w:val="18"/>
                      <w:szCs w:val="18"/>
                    </w:rPr>
                    <w:t>本项目在</w:t>
                  </w:r>
                  <w:r>
                    <w:rPr>
                      <w:rFonts w:hint="eastAsia"/>
                      <w:color w:val="auto"/>
                      <w:sz w:val="18"/>
                      <w:szCs w:val="18"/>
                      <w:lang w:eastAsia="zh-CN"/>
                    </w:rPr>
                    <w:t>注塑</w:t>
                  </w:r>
                  <w:r>
                    <w:rPr>
                      <w:rFonts w:hint="eastAsia"/>
                      <w:color w:val="auto"/>
                      <w:sz w:val="18"/>
                      <w:szCs w:val="18"/>
                    </w:rPr>
                    <w:t>机</w:t>
                  </w:r>
                  <w:r>
                    <w:rPr>
                      <w:rFonts w:hint="eastAsia"/>
                      <w:color w:val="auto"/>
                      <w:sz w:val="18"/>
                      <w:szCs w:val="18"/>
                      <w:lang w:eastAsia="zh-CN"/>
                    </w:rPr>
                    <w:t>上方</w:t>
                  </w:r>
                  <w:r>
                    <w:rPr>
                      <w:color w:val="auto"/>
                      <w:sz w:val="18"/>
                      <w:szCs w:val="18"/>
                    </w:rPr>
                    <w:t>分别设置集气罩，共设置</w:t>
                  </w:r>
                  <w:r>
                    <w:rPr>
                      <w:rFonts w:hint="eastAsia"/>
                      <w:color w:val="auto"/>
                      <w:sz w:val="18"/>
                      <w:szCs w:val="18"/>
                    </w:rPr>
                    <w:t>“</w:t>
                  </w:r>
                  <w:r>
                    <w:rPr>
                      <w:rFonts w:hint="eastAsia"/>
                      <w:color w:val="auto"/>
                      <w:sz w:val="18"/>
                      <w:szCs w:val="18"/>
                      <w:lang w:val="en-US" w:eastAsia="zh-CN"/>
                    </w:rPr>
                    <w:t>20</w:t>
                  </w:r>
                  <w:r>
                    <w:rPr>
                      <w:color w:val="auto"/>
                      <w:sz w:val="18"/>
                      <w:szCs w:val="18"/>
                    </w:rPr>
                    <w:t>个集气罩将废气统一收集进入</w:t>
                  </w:r>
                  <w:r>
                    <w:rPr>
                      <w:rFonts w:hint="eastAsia"/>
                      <w:color w:val="auto"/>
                      <w:sz w:val="18"/>
                      <w:szCs w:val="18"/>
                    </w:rPr>
                    <w:t>1</w:t>
                  </w:r>
                  <w:r>
                    <w:rPr>
                      <w:color w:val="auto"/>
                      <w:sz w:val="18"/>
                      <w:szCs w:val="18"/>
                    </w:rPr>
                    <w:t>套“</w:t>
                  </w:r>
                  <w:r>
                    <w:rPr>
                      <w:rFonts w:hint="eastAsia"/>
                      <w:color w:val="auto"/>
                      <w:kern w:val="0"/>
                      <w:sz w:val="18"/>
                      <w:szCs w:val="18"/>
                      <w:lang w:val="zh-CN" w:bidi="ar"/>
                    </w:rPr>
                    <w:t>三级活性炭吸附装置</w:t>
                  </w:r>
                  <w:r>
                    <w:rPr>
                      <w:color w:val="auto"/>
                      <w:sz w:val="18"/>
                      <w:szCs w:val="18"/>
                    </w:rPr>
                    <w:t>”处理达标后由1根15m高排气筒（DA00</w:t>
                  </w:r>
                  <w:r>
                    <w:rPr>
                      <w:rFonts w:hint="eastAsia"/>
                      <w:color w:val="auto"/>
                      <w:sz w:val="18"/>
                      <w:szCs w:val="18"/>
                      <w:lang w:val="en-US" w:eastAsia="zh-CN"/>
                    </w:rPr>
                    <w:t>1</w:t>
                  </w:r>
                  <w:r>
                    <w:rPr>
                      <w:color w:val="auto"/>
                      <w:sz w:val="18"/>
                      <w:szCs w:val="18"/>
                    </w:rPr>
                    <w:t>）排放，配套</w:t>
                  </w:r>
                  <w:r>
                    <w:rPr>
                      <w:bCs/>
                      <w:color w:val="auto"/>
                      <w:sz w:val="18"/>
                      <w:szCs w:val="18"/>
                    </w:rPr>
                    <w:t>风量为</w:t>
                  </w:r>
                  <w:r>
                    <w:rPr>
                      <w:rFonts w:hint="eastAsia"/>
                      <w:color w:val="auto"/>
                      <w:kern w:val="0"/>
                      <w:sz w:val="18"/>
                      <w:szCs w:val="18"/>
                      <w:highlight w:val="none"/>
                      <w:lang w:val="en-US" w:eastAsia="zh-CN" w:bidi="ar"/>
                    </w:rPr>
                    <w:t>20000</w:t>
                  </w:r>
                  <w:r>
                    <w:rPr>
                      <w:color w:val="auto"/>
                      <w:kern w:val="0"/>
                      <w:sz w:val="18"/>
                      <w:szCs w:val="18"/>
                      <w:highlight w:val="none"/>
                      <w:lang w:bidi="ar"/>
                    </w:rPr>
                    <w:t>m</w:t>
                  </w:r>
                  <w:r>
                    <w:rPr>
                      <w:color w:val="auto"/>
                      <w:kern w:val="0"/>
                      <w:sz w:val="18"/>
                      <w:szCs w:val="18"/>
                      <w:highlight w:val="none"/>
                      <w:vertAlign w:val="superscript"/>
                      <w:lang w:bidi="ar"/>
                    </w:rPr>
                    <w:t>3</w:t>
                  </w:r>
                  <w:r>
                    <w:rPr>
                      <w:color w:val="auto"/>
                      <w:kern w:val="0"/>
                      <w:sz w:val="18"/>
                      <w:szCs w:val="18"/>
                      <w:highlight w:val="none"/>
                      <w:lang w:bidi="ar"/>
                    </w:rPr>
                    <w:t>/h</w:t>
                  </w:r>
                  <w:r>
                    <w:rPr>
                      <w:color w:val="auto"/>
                      <w:sz w:val="18"/>
                      <w:szCs w:val="18"/>
                    </w:rPr>
                    <w:t>。废气收集效率为</w:t>
                  </w:r>
                  <w:r>
                    <w:rPr>
                      <w:rFonts w:hint="eastAsia"/>
                      <w:color w:val="auto"/>
                      <w:sz w:val="18"/>
                      <w:szCs w:val="18"/>
                    </w:rPr>
                    <w:t>8</w:t>
                  </w:r>
                  <w:r>
                    <w:rPr>
                      <w:color w:val="auto"/>
                      <w:sz w:val="18"/>
                      <w:szCs w:val="18"/>
                    </w:rPr>
                    <w:t>0%，</w:t>
                  </w:r>
                  <w:r>
                    <w:rPr>
                      <w:bCs/>
                      <w:color w:val="auto"/>
                      <w:sz w:val="18"/>
                      <w:szCs w:val="18"/>
                    </w:rPr>
                    <w:t>去除效率</w:t>
                  </w:r>
                  <w:r>
                    <w:rPr>
                      <w:rFonts w:hint="eastAsia"/>
                      <w:bCs/>
                      <w:color w:val="auto"/>
                      <w:sz w:val="18"/>
                      <w:szCs w:val="18"/>
                    </w:rPr>
                    <w:t>80</w:t>
                  </w:r>
                  <w:r>
                    <w:rPr>
                      <w:bCs/>
                      <w:color w:val="auto"/>
                      <w:sz w:val="18"/>
                      <w:szCs w:val="18"/>
                    </w:rPr>
                    <w:t>%，排气筒内径</w:t>
                  </w:r>
                  <w:r>
                    <w:rPr>
                      <w:rFonts w:hint="eastAsia"/>
                      <w:bCs/>
                      <w:color w:val="auto"/>
                      <w:sz w:val="18"/>
                      <w:szCs w:val="18"/>
                      <w:highlight w:val="none"/>
                    </w:rPr>
                    <w:t>0.</w:t>
                  </w:r>
                  <w:r>
                    <w:rPr>
                      <w:rFonts w:hint="eastAsia"/>
                      <w:bCs/>
                      <w:color w:val="auto"/>
                      <w:sz w:val="18"/>
                      <w:szCs w:val="18"/>
                      <w:highlight w:val="none"/>
                      <w:lang w:val="en-US" w:eastAsia="zh-CN"/>
                    </w:rPr>
                    <w:t>6</w:t>
                  </w:r>
                  <w:r>
                    <w:rPr>
                      <w:bCs/>
                      <w:color w:val="auto"/>
                      <w:sz w:val="18"/>
                      <w:szCs w:val="18"/>
                      <w:highlight w:val="none"/>
                    </w:rPr>
                    <w:t>m</w:t>
                  </w:r>
                  <w:r>
                    <w:rPr>
                      <w:color w:val="auto"/>
                      <w:sz w:val="18"/>
                      <w:szCs w:val="18"/>
                      <w:highlight w:val="none"/>
                    </w:rPr>
                    <w:t>。</w:t>
                  </w:r>
                </w:p>
              </w:tc>
              <w:tc>
                <w:tcPr>
                  <w:tcW w:w="2206" w:type="dxa"/>
                  <w:vMerge w:val="restart"/>
                  <w:vAlign w:val="center"/>
                </w:tcPr>
                <w:p w14:paraId="6F6FDA43">
                  <w:pPr>
                    <w:adjustRightInd w:val="0"/>
                    <w:snapToGrid w:val="0"/>
                    <w:jc w:val="center"/>
                    <w:rPr>
                      <w:color w:val="auto"/>
                      <w:sz w:val="18"/>
                      <w:szCs w:val="18"/>
                    </w:rPr>
                  </w:pPr>
                  <w:r>
                    <w:rPr>
                      <w:rFonts w:hint="default" w:ascii="Times New Roman" w:hAnsi="Times New Roman" w:eastAsia="宋体" w:cs="Times New Roman"/>
                      <w:color w:val="auto"/>
                      <w:sz w:val="18"/>
                      <w:szCs w:val="18"/>
                    </w:rPr>
                    <w:t>《</w:t>
                  </w:r>
                  <w:r>
                    <w:rPr>
                      <w:rFonts w:hint="default" w:ascii="Times New Roman" w:hAnsi="Times New Roman" w:eastAsia="宋体" w:cs="Times New Roman"/>
                      <w:color w:val="auto"/>
                      <w:sz w:val="18"/>
                      <w:szCs w:val="18"/>
                      <w:lang w:eastAsia="zh-CN"/>
                    </w:rPr>
                    <w:t>合成树脂工业污染物排放标准</w:t>
                  </w:r>
                  <w:r>
                    <w:rPr>
                      <w:rFonts w:hint="default" w:ascii="Times New Roman" w:hAnsi="Times New Roman" w:eastAsia="宋体" w:cs="Times New Roman"/>
                      <w:color w:val="auto"/>
                      <w:sz w:val="18"/>
                      <w:szCs w:val="18"/>
                    </w:rPr>
                    <w:t>》（GB</w:t>
                  </w:r>
                  <w:r>
                    <w:rPr>
                      <w:rFonts w:hint="default" w:ascii="Times New Roman" w:hAnsi="Times New Roman" w:eastAsia="宋体" w:cs="Times New Roman"/>
                      <w:color w:val="auto"/>
                      <w:sz w:val="18"/>
                      <w:szCs w:val="18"/>
                      <w:lang w:val="en-US" w:eastAsia="zh-CN"/>
                    </w:rPr>
                    <w:t>31572</w:t>
                  </w:r>
                  <w:r>
                    <w:rPr>
                      <w:rFonts w:hint="default" w:ascii="Times New Roman" w:hAnsi="Times New Roman" w:eastAsia="宋体" w:cs="Times New Roman"/>
                      <w:color w:val="auto"/>
                      <w:sz w:val="18"/>
                      <w:szCs w:val="18"/>
                    </w:rPr>
                    <w:t>-</w:t>
                  </w:r>
                  <w:r>
                    <w:rPr>
                      <w:rFonts w:hint="default" w:ascii="Times New Roman" w:hAnsi="Times New Roman" w:eastAsia="宋体" w:cs="Times New Roman"/>
                      <w:color w:val="auto"/>
                      <w:sz w:val="18"/>
                      <w:szCs w:val="18"/>
                      <w:lang w:val="en-US" w:eastAsia="zh-CN"/>
                    </w:rPr>
                    <w:t>2015</w:t>
                  </w:r>
                  <w:r>
                    <w:rPr>
                      <w:rFonts w:hint="default" w:ascii="Times New Roman" w:hAnsi="Times New Roman" w:eastAsia="宋体" w:cs="Times New Roman"/>
                      <w:color w:val="auto"/>
                      <w:sz w:val="18"/>
                      <w:szCs w:val="18"/>
                    </w:rPr>
                    <w:t>）</w:t>
                  </w:r>
                  <w:r>
                    <w:rPr>
                      <w:rFonts w:hint="default" w:ascii="Times New Roman" w:hAnsi="Times New Roman" w:eastAsia="宋体" w:cs="Times New Roman"/>
                      <w:color w:val="auto"/>
                      <w:sz w:val="18"/>
                      <w:szCs w:val="18"/>
                      <w:lang w:val="en-US" w:eastAsia="zh-CN"/>
                    </w:rPr>
                    <w:t>及2024年修改单</w:t>
                  </w:r>
                  <w:r>
                    <w:rPr>
                      <w:rFonts w:hint="default" w:ascii="Times New Roman" w:hAnsi="Times New Roman" w:eastAsia="宋体" w:cs="Times New Roman"/>
                      <w:color w:val="auto"/>
                      <w:sz w:val="18"/>
                      <w:szCs w:val="18"/>
                      <w:lang w:eastAsia="zh-CN"/>
                    </w:rPr>
                    <w:t>中</w:t>
                  </w:r>
                  <w:r>
                    <w:rPr>
                      <w:rFonts w:hint="default" w:ascii="Times New Roman" w:hAnsi="Times New Roman" w:eastAsia="宋体" w:cs="Times New Roman"/>
                      <w:color w:val="auto"/>
                      <w:sz w:val="18"/>
                      <w:szCs w:val="18"/>
                      <w:lang w:val="en-US" w:eastAsia="zh-CN"/>
                    </w:rPr>
                    <w:t>表4大气污染物排放限值</w:t>
                  </w:r>
                  <w:r>
                    <w:rPr>
                      <w:rFonts w:hint="eastAsia" w:ascii="Times New Roman" w:hAnsi="Times New Roman" w:eastAsia="宋体" w:cs="Times New Roman"/>
                      <w:color w:val="auto"/>
                      <w:sz w:val="18"/>
                      <w:szCs w:val="18"/>
                      <w:lang w:val="en-US" w:eastAsia="zh-CN"/>
                    </w:rPr>
                    <w:t>要求</w:t>
                  </w:r>
                  <w:r>
                    <w:rPr>
                      <w:rFonts w:hint="eastAsia"/>
                      <w:color w:val="auto"/>
                      <w:sz w:val="18"/>
                      <w:szCs w:val="18"/>
                    </w:rPr>
                    <w:t>。</w:t>
                  </w:r>
                </w:p>
              </w:tc>
            </w:tr>
            <w:tr w14:paraId="1EC9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4" w:type="dxa"/>
                  <w:vMerge w:val="continue"/>
                  <w:vAlign w:val="center"/>
                </w:tcPr>
                <w:p w14:paraId="457A3EFA">
                  <w:pPr>
                    <w:adjustRightInd w:val="0"/>
                    <w:snapToGrid w:val="0"/>
                    <w:jc w:val="center"/>
                    <w:rPr>
                      <w:color w:val="auto"/>
                    </w:rPr>
                  </w:pPr>
                </w:p>
              </w:tc>
              <w:tc>
                <w:tcPr>
                  <w:tcW w:w="1072" w:type="dxa"/>
                  <w:vAlign w:val="center"/>
                </w:tcPr>
                <w:p w14:paraId="5AC5B089">
                  <w:pPr>
                    <w:widowControl/>
                    <w:adjustRightInd w:val="0"/>
                    <w:snapToGrid w:val="0"/>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lang w:eastAsia="zh-CN"/>
                    </w:rPr>
                    <w:t>破碎</w:t>
                  </w:r>
                  <w:r>
                    <w:rPr>
                      <w:rFonts w:hint="eastAsia" w:ascii="Times New Roman" w:hAnsi="Times New Roman" w:eastAsia="宋体" w:cs="Times New Roman"/>
                      <w:color w:val="auto"/>
                      <w:sz w:val="18"/>
                      <w:szCs w:val="18"/>
                    </w:rPr>
                    <w:t>废气</w:t>
                  </w:r>
                </w:p>
              </w:tc>
              <w:tc>
                <w:tcPr>
                  <w:tcW w:w="3926" w:type="dxa"/>
                  <w:vAlign w:val="center"/>
                </w:tcPr>
                <w:p w14:paraId="0E96FA5D">
                  <w:pPr>
                    <w:widowControl/>
                    <w:adjustRightInd w:val="0"/>
                    <w:snapToGrid w:val="0"/>
                    <w:jc w:val="center"/>
                    <w:rPr>
                      <w:rFonts w:hint="default" w:ascii="Times New Roman" w:hAnsi="Times New Roman" w:eastAsia="宋体" w:cs="Times New Roman"/>
                      <w:color w:val="auto"/>
                      <w:sz w:val="18"/>
                      <w:szCs w:val="18"/>
                      <w:lang w:val="en-US" w:eastAsia="zh-CN"/>
                    </w:rPr>
                  </w:pPr>
                  <w:r>
                    <w:rPr>
                      <w:color w:val="auto"/>
                      <w:sz w:val="18"/>
                      <w:szCs w:val="18"/>
                    </w:rPr>
                    <w:t>本项目在</w:t>
                  </w:r>
                  <w:r>
                    <w:rPr>
                      <w:rFonts w:hint="eastAsia"/>
                      <w:color w:val="auto"/>
                      <w:sz w:val="18"/>
                      <w:szCs w:val="18"/>
                      <w:lang w:val="en-US" w:eastAsia="zh-CN"/>
                    </w:rPr>
                    <w:t>破碎</w:t>
                  </w:r>
                  <w:r>
                    <w:rPr>
                      <w:rFonts w:hint="eastAsia"/>
                      <w:color w:val="auto"/>
                      <w:sz w:val="18"/>
                      <w:szCs w:val="18"/>
                    </w:rPr>
                    <w:t>机</w:t>
                  </w:r>
                  <w:r>
                    <w:rPr>
                      <w:rFonts w:hint="eastAsia"/>
                      <w:color w:val="auto"/>
                      <w:sz w:val="18"/>
                      <w:szCs w:val="18"/>
                      <w:lang w:eastAsia="zh-CN"/>
                    </w:rPr>
                    <w:t>上方</w:t>
                  </w:r>
                  <w:r>
                    <w:rPr>
                      <w:color w:val="auto"/>
                      <w:sz w:val="18"/>
                      <w:szCs w:val="18"/>
                    </w:rPr>
                    <w:t>分别设置集气罩，共设置</w:t>
                  </w:r>
                  <w:r>
                    <w:rPr>
                      <w:rFonts w:hint="eastAsia"/>
                      <w:color w:val="auto"/>
                      <w:sz w:val="18"/>
                      <w:szCs w:val="18"/>
                    </w:rPr>
                    <w:t>“</w:t>
                  </w:r>
                  <w:r>
                    <w:rPr>
                      <w:rFonts w:hint="eastAsia"/>
                      <w:color w:val="auto"/>
                      <w:sz w:val="18"/>
                      <w:szCs w:val="18"/>
                      <w:lang w:val="en-US" w:eastAsia="zh-CN"/>
                    </w:rPr>
                    <w:t>2</w:t>
                  </w:r>
                  <w:r>
                    <w:rPr>
                      <w:color w:val="auto"/>
                      <w:sz w:val="18"/>
                      <w:szCs w:val="18"/>
                    </w:rPr>
                    <w:t>个集气罩将废气统一收集进入</w:t>
                  </w:r>
                  <w:r>
                    <w:rPr>
                      <w:rFonts w:hint="eastAsia"/>
                      <w:color w:val="auto"/>
                      <w:sz w:val="18"/>
                      <w:szCs w:val="18"/>
                    </w:rPr>
                    <w:t>1</w:t>
                  </w:r>
                  <w:r>
                    <w:rPr>
                      <w:color w:val="auto"/>
                      <w:sz w:val="18"/>
                      <w:szCs w:val="18"/>
                    </w:rPr>
                    <w:t>套“</w:t>
                  </w:r>
                  <w:r>
                    <w:rPr>
                      <w:rFonts w:hint="eastAsia"/>
                      <w:color w:val="auto"/>
                      <w:kern w:val="0"/>
                      <w:sz w:val="18"/>
                      <w:szCs w:val="18"/>
                      <w:lang w:val="en-US" w:eastAsia="zh-CN" w:bidi="ar"/>
                    </w:rPr>
                    <w:t>布袋除尘器</w:t>
                  </w:r>
                  <w:r>
                    <w:rPr>
                      <w:color w:val="auto"/>
                      <w:sz w:val="18"/>
                      <w:szCs w:val="18"/>
                    </w:rPr>
                    <w:t>”处理达标后由1根15m高排气筒（DA00</w:t>
                  </w:r>
                  <w:r>
                    <w:rPr>
                      <w:rFonts w:hint="eastAsia"/>
                      <w:color w:val="auto"/>
                      <w:sz w:val="18"/>
                      <w:szCs w:val="18"/>
                      <w:lang w:val="en-US" w:eastAsia="zh-CN"/>
                    </w:rPr>
                    <w:t>2</w:t>
                  </w:r>
                  <w:r>
                    <w:rPr>
                      <w:color w:val="auto"/>
                      <w:sz w:val="18"/>
                      <w:szCs w:val="18"/>
                    </w:rPr>
                    <w:t>）排放，配套</w:t>
                  </w:r>
                  <w:r>
                    <w:rPr>
                      <w:bCs/>
                      <w:color w:val="auto"/>
                      <w:sz w:val="18"/>
                      <w:szCs w:val="18"/>
                    </w:rPr>
                    <w:t>风量为</w:t>
                  </w:r>
                  <w:r>
                    <w:rPr>
                      <w:rFonts w:hint="eastAsia"/>
                      <w:bCs/>
                      <w:color w:val="auto"/>
                      <w:sz w:val="18"/>
                      <w:szCs w:val="18"/>
                      <w:lang w:val="en-US" w:eastAsia="zh-CN"/>
                    </w:rPr>
                    <w:t>1000</w:t>
                  </w:r>
                  <w:r>
                    <w:rPr>
                      <w:color w:val="auto"/>
                      <w:kern w:val="0"/>
                      <w:sz w:val="18"/>
                      <w:szCs w:val="18"/>
                      <w:highlight w:val="none"/>
                      <w:lang w:bidi="ar"/>
                    </w:rPr>
                    <w:t>m</w:t>
                  </w:r>
                  <w:r>
                    <w:rPr>
                      <w:color w:val="auto"/>
                      <w:kern w:val="0"/>
                      <w:sz w:val="18"/>
                      <w:szCs w:val="18"/>
                      <w:highlight w:val="none"/>
                      <w:vertAlign w:val="superscript"/>
                      <w:lang w:bidi="ar"/>
                    </w:rPr>
                    <w:t>3</w:t>
                  </w:r>
                  <w:r>
                    <w:rPr>
                      <w:color w:val="auto"/>
                      <w:kern w:val="0"/>
                      <w:sz w:val="18"/>
                      <w:szCs w:val="18"/>
                      <w:highlight w:val="none"/>
                      <w:lang w:bidi="ar"/>
                    </w:rPr>
                    <w:t>/h</w:t>
                  </w:r>
                  <w:r>
                    <w:rPr>
                      <w:color w:val="auto"/>
                      <w:sz w:val="18"/>
                      <w:szCs w:val="18"/>
                      <w:highlight w:val="none"/>
                    </w:rPr>
                    <w:t>。废气收集效率为</w:t>
                  </w:r>
                  <w:r>
                    <w:rPr>
                      <w:rFonts w:hint="eastAsia"/>
                      <w:color w:val="auto"/>
                      <w:sz w:val="18"/>
                      <w:szCs w:val="18"/>
                      <w:highlight w:val="none"/>
                    </w:rPr>
                    <w:t>8</w:t>
                  </w:r>
                  <w:r>
                    <w:rPr>
                      <w:color w:val="auto"/>
                      <w:sz w:val="18"/>
                      <w:szCs w:val="18"/>
                      <w:highlight w:val="none"/>
                    </w:rPr>
                    <w:t>0%，</w:t>
                  </w:r>
                  <w:r>
                    <w:rPr>
                      <w:bCs/>
                      <w:color w:val="auto"/>
                      <w:sz w:val="18"/>
                      <w:szCs w:val="18"/>
                      <w:highlight w:val="none"/>
                    </w:rPr>
                    <w:t>去除效率</w:t>
                  </w:r>
                  <w:r>
                    <w:rPr>
                      <w:rFonts w:hint="eastAsia"/>
                      <w:bCs/>
                      <w:color w:val="auto"/>
                      <w:sz w:val="18"/>
                      <w:szCs w:val="18"/>
                      <w:highlight w:val="none"/>
                      <w:lang w:val="en-US" w:eastAsia="zh-CN"/>
                    </w:rPr>
                    <w:t>99</w:t>
                  </w:r>
                  <w:r>
                    <w:rPr>
                      <w:bCs/>
                      <w:color w:val="auto"/>
                      <w:sz w:val="18"/>
                      <w:szCs w:val="18"/>
                      <w:highlight w:val="none"/>
                    </w:rPr>
                    <w:t>%，排气筒内径</w:t>
                  </w:r>
                  <w:r>
                    <w:rPr>
                      <w:rFonts w:hint="eastAsia"/>
                      <w:bCs/>
                      <w:color w:val="auto"/>
                      <w:sz w:val="18"/>
                      <w:szCs w:val="18"/>
                      <w:highlight w:val="none"/>
                    </w:rPr>
                    <w:t>0.</w:t>
                  </w:r>
                  <w:r>
                    <w:rPr>
                      <w:rFonts w:hint="eastAsia"/>
                      <w:bCs/>
                      <w:color w:val="auto"/>
                      <w:sz w:val="18"/>
                      <w:szCs w:val="18"/>
                      <w:highlight w:val="none"/>
                      <w:lang w:val="en-US" w:eastAsia="zh-CN"/>
                    </w:rPr>
                    <w:t>15</w:t>
                  </w:r>
                  <w:r>
                    <w:rPr>
                      <w:bCs/>
                      <w:color w:val="auto"/>
                      <w:sz w:val="18"/>
                      <w:szCs w:val="18"/>
                      <w:highlight w:val="none"/>
                    </w:rPr>
                    <w:t>m</w:t>
                  </w:r>
                  <w:r>
                    <w:rPr>
                      <w:color w:val="auto"/>
                      <w:sz w:val="18"/>
                      <w:szCs w:val="18"/>
                      <w:highlight w:val="none"/>
                    </w:rPr>
                    <w:t>。</w:t>
                  </w:r>
                </w:p>
              </w:tc>
              <w:tc>
                <w:tcPr>
                  <w:tcW w:w="2206" w:type="dxa"/>
                  <w:vMerge w:val="continue"/>
                  <w:vAlign w:val="center"/>
                </w:tcPr>
                <w:p w14:paraId="75161BAC">
                  <w:pPr>
                    <w:widowControl/>
                    <w:adjustRightInd w:val="0"/>
                    <w:snapToGrid w:val="0"/>
                    <w:jc w:val="center"/>
                    <w:rPr>
                      <w:color w:val="auto"/>
                      <w:sz w:val="18"/>
                      <w:szCs w:val="18"/>
                    </w:rPr>
                  </w:pPr>
                </w:p>
              </w:tc>
            </w:tr>
            <w:tr w14:paraId="70BF7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4" w:type="dxa"/>
                  <w:vMerge w:val="continue"/>
                  <w:vAlign w:val="center"/>
                </w:tcPr>
                <w:p w14:paraId="149AB337">
                  <w:pPr>
                    <w:adjustRightInd w:val="0"/>
                    <w:snapToGrid w:val="0"/>
                    <w:jc w:val="center"/>
                    <w:rPr>
                      <w:color w:val="auto"/>
                      <w:szCs w:val="21"/>
                    </w:rPr>
                  </w:pPr>
                </w:p>
              </w:tc>
              <w:tc>
                <w:tcPr>
                  <w:tcW w:w="1072" w:type="dxa"/>
                  <w:vAlign w:val="center"/>
                </w:tcPr>
                <w:p w14:paraId="5464ABD6">
                  <w:pPr>
                    <w:widowControl/>
                    <w:adjustRightInd w:val="0"/>
                    <w:snapToGrid w:val="0"/>
                    <w:jc w:val="center"/>
                    <w:rPr>
                      <w:rFonts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val="en-US" w:eastAsia="zh-CN"/>
                    </w:rPr>
                    <w:t>生产车间</w:t>
                  </w:r>
                  <w:r>
                    <w:rPr>
                      <w:rFonts w:hint="eastAsia" w:ascii="Times New Roman" w:hAnsi="Times New Roman" w:eastAsia="宋体" w:cs="Times New Roman"/>
                      <w:color w:val="auto"/>
                      <w:sz w:val="18"/>
                      <w:szCs w:val="18"/>
                      <w:lang w:val="en-US" w:eastAsia="zh-CN"/>
                    </w:rPr>
                    <w:t>注塑</w:t>
                  </w:r>
                  <w:r>
                    <w:rPr>
                      <w:rFonts w:hint="default" w:ascii="Times New Roman" w:hAnsi="Times New Roman" w:eastAsia="宋体" w:cs="Times New Roman"/>
                      <w:color w:val="auto"/>
                      <w:sz w:val="18"/>
                      <w:szCs w:val="18"/>
                      <w:lang w:val="en-US" w:eastAsia="zh-CN"/>
                    </w:rPr>
                    <w:t>过程未收集无组织废气</w:t>
                  </w:r>
                  <w:r>
                    <w:rPr>
                      <w:rFonts w:hint="eastAsia" w:ascii="Times New Roman" w:hAnsi="Times New Roman" w:eastAsia="宋体" w:cs="Times New Roman"/>
                      <w:color w:val="auto"/>
                      <w:sz w:val="18"/>
                      <w:szCs w:val="18"/>
                      <w:lang w:val="en-US" w:eastAsia="zh-CN"/>
                    </w:rPr>
                    <w:t>及破碎工段无组织废气</w:t>
                  </w:r>
                </w:p>
              </w:tc>
              <w:tc>
                <w:tcPr>
                  <w:tcW w:w="3926" w:type="dxa"/>
                  <w:vAlign w:val="center"/>
                </w:tcPr>
                <w:p w14:paraId="2AE27730">
                  <w:pPr>
                    <w:widowControl/>
                    <w:adjustRightInd w:val="0"/>
                    <w:snapToGrid w:val="0"/>
                    <w:jc w:val="center"/>
                    <w:rPr>
                      <w:rFonts w:hint="default" w:ascii="Times New Roman" w:hAnsi="Times New Roman" w:eastAsia="宋体" w:cs="Times New Roman"/>
                      <w:color w:val="auto"/>
                      <w:sz w:val="18"/>
                      <w:szCs w:val="18"/>
                      <w:lang w:val="en-US" w:eastAsia="zh-CN"/>
                    </w:rPr>
                  </w:pPr>
                  <w:r>
                    <w:rPr>
                      <w:rFonts w:hint="eastAsia" w:ascii="Times New Roman" w:hAnsi="Times New Roman" w:eastAsia="宋体" w:cs="Times New Roman"/>
                      <w:color w:val="auto"/>
                      <w:sz w:val="18"/>
                      <w:szCs w:val="18"/>
                      <w:lang w:val="en-US" w:eastAsia="zh-CN"/>
                    </w:rPr>
                    <w:t>加强通风及管理</w:t>
                  </w:r>
                </w:p>
              </w:tc>
              <w:tc>
                <w:tcPr>
                  <w:tcW w:w="2206" w:type="dxa"/>
                  <w:vAlign w:val="center"/>
                </w:tcPr>
                <w:p w14:paraId="40A5A109">
                  <w:pPr>
                    <w:adjustRightInd w:val="0"/>
                    <w:snapToGrid w:val="0"/>
                    <w:jc w:val="center"/>
                    <w:rPr>
                      <w:color w:val="auto"/>
                      <w:sz w:val="18"/>
                      <w:szCs w:val="18"/>
                    </w:rPr>
                  </w:pPr>
                  <w:r>
                    <w:rPr>
                      <w:rFonts w:hint="eastAsia" w:ascii="Times New Roman" w:hAnsi="Times New Roman" w:eastAsia="宋体" w:cs="Times New Roman"/>
                      <w:color w:val="auto"/>
                      <w:sz w:val="18"/>
                      <w:szCs w:val="18"/>
                      <w:highlight w:val="none"/>
                      <w:lang w:val="en-US" w:eastAsia="zh-CN"/>
                    </w:rPr>
                    <w:t>颗粒物、</w:t>
                  </w:r>
                  <w:r>
                    <w:rPr>
                      <w:rFonts w:hint="default" w:ascii="Times New Roman" w:hAnsi="Times New Roman" w:eastAsia="宋体" w:cs="Times New Roman"/>
                      <w:color w:val="auto"/>
                      <w:sz w:val="18"/>
                      <w:szCs w:val="18"/>
                      <w:highlight w:val="none"/>
                      <w:lang w:val="en-US" w:eastAsia="zh-CN"/>
                    </w:rPr>
                    <w:t>非甲烷总烃执行《合成树脂工业污染物排放标准》（GB31572-2015）及2024年修改单中表9企业边界大气污染物浓度限值，臭气浓度执行</w:t>
                  </w:r>
                  <w:r>
                    <w:rPr>
                      <w:rFonts w:hint="default" w:ascii="Times New Roman" w:hAnsi="Times New Roman" w:eastAsia="宋体" w:cs="Times New Roman"/>
                      <w:color w:val="auto"/>
                      <w:sz w:val="18"/>
                      <w:szCs w:val="18"/>
                      <w:highlight w:val="none"/>
                      <w:lang w:val="zh-CN"/>
                    </w:rPr>
                    <w:t>《恶臭污染物排放标准》（GB14554-93）表1</w:t>
                  </w:r>
                  <w:r>
                    <w:rPr>
                      <w:rFonts w:hint="default" w:ascii="Times New Roman" w:hAnsi="Times New Roman" w:eastAsia="宋体" w:cs="Times New Roman"/>
                      <w:color w:val="auto"/>
                      <w:sz w:val="18"/>
                      <w:szCs w:val="18"/>
                      <w:highlight w:val="none"/>
                    </w:rPr>
                    <w:t>中二级新建</w:t>
                  </w:r>
                  <w:r>
                    <w:rPr>
                      <w:rFonts w:hint="default" w:ascii="Times New Roman" w:hAnsi="Times New Roman" w:eastAsia="宋体" w:cs="Times New Roman"/>
                      <w:color w:val="auto"/>
                      <w:sz w:val="18"/>
                      <w:szCs w:val="18"/>
                      <w:highlight w:val="none"/>
                      <w:lang w:val="zh-CN"/>
                    </w:rPr>
                    <w:t>企业厂界排放标准要求；厂内无组织VOCs排放浓度限值执行</w:t>
                  </w:r>
                  <w:r>
                    <w:rPr>
                      <w:rFonts w:hint="default" w:ascii="Times New Roman" w:hAnsi="Times New Roman" w:eastAsia="宋体" w:cs="Times New Roman"/>
                      <w:color w:val="auto"/>
                      <w:sz w:val="18"/>
                      <w:szCs w:val="18"/>
                      <w:highlight w:val="none"/>
                    </w:rPr>
                    <w:t>《挥发性有机物无组织排放控制标准》</w:t>
                  </w:r>
                  <w:r>
                    <w:rPr>
                      <w:rFonts w:hint="default" w:ascii="Times New Roman" w:hAnsi="Times New Roman" w:eastAsia="宋体" w:cs="Times New Roman"/>
                      <w:color w:val="auto"/>
                      <w:sz w:val="18"/>
                      <w:szCs w:val="18"/>
                      <w:highlight w:val="none"/>
                      <w:lang w:val="zh-CN"/>
                    </w:rPr>
                    <w:t>（GB</w:t>
                  </w:r>
                  <w:r>
                    <w:rPr>
                      <w:rFonts w:hint="default" w:ascii="Times New Roman" w:hAnsi="Times New Roman" w:eastAsia="宋体" w:cs="Times New Roman"/>
                      <w:color w:val="auto"/>
                      <w:sz w:val="18"/>
                      <w:szCs w:val="18"/>
                      <w:highlight w:val="none"/>
                    </w:rPr>
                    <w:t>37822</w:t>
                  </w:r>
                  <w:r>
                    <w:rPr>
                      <w:rFonts w:hint="default" w:ascii="Times New Roman" w:hAnsi="Times New Roman" w:eastAsia="宋体" w:cs="Times New Roman"/>
                      <w:color w:val="auto"/>
                      <w:sz w:val="18"/>
                      <w:szCs w:val="18"/>
                      <w:highlight w:val="none"/>
                      <w:lang w:val="zh-CN"/>
                    </w:rPr>
                    <w:t>-</w:t>
                  </w:r>
                  <w:r>
                    <w:rPr>
                      <w:rFonts w:hint="default" w:ascii="Times New Roman" w:hAnsi="Times New Roman" w:eastAsia="宋体" w:cs="Times New Roman"/>
                      <w:color w:val="auto"/>
                      <w:sz w:val="18"/>
                      <w:szCs w:val="18"/>
                      <w:highlight w:val="none"/>
                    </w:rPr>
                    <w:t>2019</w:t>
                  </w:r>
                  <w:r>
                    <w:rPr>
                      <w:rFonts w:hint="default" w:ascii="Times New Roman" w:hAnsi="Times New Roman" w:eastAsia="宋体" w:cs="Times New Roman"/>
                      <w:color w:val="auto"/>
                      <w:sz w:val="18"/>
                      <w:szCs w:val="18"/>
                      <w:highlight w:val="none"/>
                      <w:lang w:val="zh-CN"/>
                    </w:rPr>
                    <w:t>）</w:t>
                  </w:r>
                  <w:r>
                    <w:rPr>
                      <w:rFonts w:hint="default" w:ascii="Times New Roman" w:hAnsi="Times New Roman" w:eastAsia="宋体" w:cs="Times New Roman"/>
                      <w:color w:val="auto"/>
                      <w:sz w:val="18"/>
                      <w:szCs w:val="18"/>
                      <w:highlight w:val="none"/>
                    </w:rPr>
                    <w:t>中的要求</w:t>
                  </w:r>
                  <w:r>
                    <w:rPr>
                      <w:rFonts w:hint="default" w:ascii="Times New Roman" w:hAnsi="Times New Roman" w:eastAsia="宋体" w:cs="Times New Roman"/>
                      <w:color w:val="auto"/>
                      <w:sz w:val="18"/>
                      <w:szCs w:val="18"/>
                      <w:highlight w:val="none"/>
                      <w:lang w:eastAsia="zh-CN"/>
                    </w:rPr>
                    <w:t>。</w:t>
                  </w:r>
                </w:p>
              </w:tc>
            </w:tr>
            <w:tr w14:paraId="7241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4" w:type="dxa"/>
                  <w:vMerge w:val="continue"/>
                  <w:vAlign w:val="center"/>
                </w:tcPr>
                <w:p w14:paraId="6EC24399">
                  <w:pPr>
                    <w:adjustRightInd w:val="0"/>
                    <w:snapToGrid w:val="0"/>
                    <w:jc w:val="center"/>
                    <w:rPr>
                      <w:color w:val="auto"/>
                      <w:szCs w:val="21"/>
                    </w:rPr>
                  </w:pPr>
                </w:p>
              </w:tc>
              <w:tc>
                <w:tcPr>
                  <w:tcW w:w="1072" w:type="dxa"/>
                  <w:vAlign w:val="center"/>
                </w:tcPr>
                <w:p w14:paraId="0723DEDB">
                  <w:pPr>
                    <w:pStyle w:val="28"/>
                    <w:shd w:val="clear"/>
                    <w:spacing w:after="0"/>
                    <w:ind w:firstLine="0" w:firstLineChars="0"/>
                    <w:jc w:val="center"/>
                    <w:rPr>
                      <w:rFonts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生产过程、</w:t>
                  </w:r>
                  <w:r>
                    <w:rPr>
                      <w:rFonts w:hint="eastAsia" w:cs="Times New Roman"/>
                      <w:color w:val="auto"/>
                      <w:kern w:val="2"/>
                      <w:sz w:val="18"/>
                      <w:szCs w:val="18"/>
                      <w:lang w:val="en-US" w:eastAsia="zh-CN" w:bidi="ar-SA"/>
                    </w:rPr>
                    <w:t>卫生间、</w:t>
                  </w:r>
                  <w:r>
                    <w:rPr>
                      <w:rFonts w:hint="default" w:ascii="Times New Roman" w:hAnsi="Times New Roman" w:eastAsia="宋体" w:cs="Times New Roman"/>
                      <w:color w:val="auto"/>
                      <w:kern w:val="2"/>
                      <w:sz w:val="18"/>
                      <w:szCs w:val="18"/>
                      <w:lang w:val="en-US" w:eastAsia="zh-CN" w:bidi="ar-SA"/>
                    </w:rPr>
                    <w:t>化粪池</w:t>
                  </w:r>
                </w:p>
              </w:tc>
              <w:tc>
                <w:tcPr>
                  <w:tcW w:w="3926" w:type="dxa"/>
                  <w:vAlign w:val="center"/>
                </w:tcPr>
                <w:p w14:paraId="251FF06E">
                  <w:pPr>
                    <w:widowControl/>
                    <w:adjustRightInd w:val="0"/>
                    <w:snapToGrid w:val="0"/>
                    <w:jc w:val="center"/>
                    <w:rPr>
                      <w:rFonts w:hint="eastAsia" w:ascii="Times New Roman" w:hAnsi="Times New Roman" w:eastAsia="宋体" w:cs="Times New Roman"/>
                      <w:color w:val="auto"/>
                      <w:sz w:val="18"/>
                      <w:szCs w:val="18"/>
                      <w:lang w:val="zh-CN" w:eastAsia="zh-CN"/>
                    </w:rPr>
                  </w:pPr>
                  <w:r>
                    <w:rPr>
                      <w:rFonts w:hint="default" w:ascii="Times New Roman" w:hAnsi="Times New Roman" w:eastAsia="宋体" w:cs="Times New Roman"/>
                      <w:color w:val="auto"/>
                      <w:sz w:val="18"/>
                      <w:szCs w:val="18"/>
                      <w:highlight w:val="none"/>
                      <w:lang w:val="en-US" w:eastAsia="zh-CN"/>
                    </w:rPr>
                    <w:t>项目生活垃圾日产日清</w:t>
                  </w:r>
                  <w:r>
                    <w:rPr>
                      <w:rFonts w:hint="eastAsia" w:ascii="Times New Roman" w:hAnsi="Times New Roman" w:eastAsia="宋体" w:cs="Times New Roman"/>
                      <w:color w:val="auto"/>
                      <w:sz w:val="18"/>
                      <w:szCs w:val="18"/>
                      <w:highlight w:val="none"/>
                      <w:lang w:val="en-US" w:eastAsia="zh-CN"/>
                    </w:rPr>
                    <w:t>，</w:t>
                  </w:r>
                  <w:r>
                    <w:rPr>
                      <w:rFonts w:hint="default" w:ascii="Times New Roman" w:hAnsi="Times New Roman" w:eastAsia="宋体" w:cs="Times New Roman"/>
                      <w:color w:val="auto"/>
                      <w:sz w:val="18"/>
                      <w:szCs w:val="18"/>
                      <w:highlight w:val="none"/>
                      <w:lang w:val="en-US" w:eastAsia="zh-CN"/>
                    </w:rPr>
                    <w:t>卫生间为水冲厕，设置专人打扫；化粪池为全封闭加盖设计</w:t>
                  </w:r>
                  <w:r>
                    <w:rPr>
                      <w:rFonts w:hint="eastAsia" w:ascii="Times New Roman" w:hAnsi="Times New Roman" w:eastAsia="宋体" w:cs="Times New Roman"/>
                      <w:color w:val="auto"/>
                      <w:sz w:val="18"/>
                      <w:szCs w:val="18"/>
                      <w:highlight w:val="none"/>
                      <w:lang w:val="en-US" w:eastAsia="zh-CN"/>
                    </w:rPr>
                    <w:t>；</w:t>
                  </w:r>
                  <w:r>
                    <w:rPr>
                      <w:rFonts w:hint="default" w:ascii="Times New Roman" w:hAnsi="Times New Roman" w:eastAsia="宋体" w:cs="Times New Roman"/>
                      <w:color w:val="auto"/>
                      <w:sz w:val="18"/>
                      <w:szCs w:val="18"/>
                      <w:highlight w:val="none"/>
                      <w:lang w:val="en-US" w:eastAsia="zh-CN"/>
                    </w:rPr>
                    <w:t>加强通风及管理。</w:t>
                  </w:r>
                </w:p>
              </w:tc>
              <w:tc>
                <w:tcPr>
                  <w:tcW w:w="2206" w:type="dxa"/>
                  <w:vAlign w:val="center"/>
                </w:tcPr>
                <w:p w14:paraId="2D2D99DA">
                  <w:pPr>
                    <w:keepNext w:val="0"/>
                    <w:keepLines w:val="0"/>
                    <w:widowControl w:val="0"/>
                    <w:suppressLineNumbers w:val="0"/>
                    <w:shd w:val="clear"/>
                    <w:spacing w:before="0" w:beforeAutospacing="0" w:after="0" w:afterAutospacing="0"/>
                    <w:ind w:left="0" w:leftChars="0" w:right="0" w:rightChars="0"/>
                    <w:jc w:val="center"/>
                    <w:rPr>
                      <w:color w:val="auto"/>
                      <w:sz w:val="18"/>
                      <w:szCs w:val="18"/>
                    </w:rPr>
                  </w:pPr>
                  <w:r>
                    <w:rPr>
                      <w:rFonts w:hint="default" w:ascii="Times New Roman" w:hAnsi="Times New Roman" w:eastAsia="宋体" w:cs="Times New Roman"/>
                      <w:color w:val="auto"/>
                      <w:sz w:val="18"/>
                      <w:szCs w:val="18"/>
                      <w:highlight w:val="none"/>
                      <w:lang w:val="zh-CN" w:eastAsia="zh-CN"/>
                    </w:rPr>
                    <w:t>《恶臭污染物排放标准》（GB14554-93）表1</w:t>
                  </w:r>
                  <w:r>
                    <w:rPr>
                      <w:rFonts w:hint="default" w:ascii="Times New Roman" w:hAnsi="Times New Roman" w:eastAsia="宋体" w:cs="Times New Roman"/>
                      <w:color w:val="auto"/>
                      <w:sz w:val="18"/>
                      <w:szCs w:val="18"/>
                      <w:highlight w:val="none"/>
                      <w:lang w:val="en-US" w:eastAsia="zh-CN"/>
                    </w:rPr>
                    <w:t>中二级新建</w:t>
                  </w:r>
                  <w:r>
                    <w:rPr>
                      <w:rFonts w:hint="default" w:ascii="Times New Roman" w:hAnsi="Times New Roman" w:eastAsia="宋体" w:cs="Times New Roman"/>
                      <w:color w:val="auto"/>
                      <w:sz w:val="18"/>
                      <w:szCs w:val="18"/>
                      <w:highlight w:val="none"/>
                      <w:lang w:val="zh-CN" w:eastAsia="zh-CN"/>
                    </w:rPr>
                    <w:t>企业厂界排放标准要求，</w:t>
                  </w:r>
                  <w:r>
                    <w:rPr>
                      <w:rFonts w:hint="default" w:ascii="Times New Roman" w:hAnsi="Times New Roman" w:eastAsia="宋体" w:cs="Times New Roman"/>
                      <w:color w:val="auto"/>
                      <w:sz w:val="18"/>
                      <w:szCs w:val="18"/>
                      <w:highlight w:val="none"/>
                      <w:lang w:val="en-US" w:eastAsia="zh-CN"/>
                    </w:rPr>
                    <w:t>即无组织</w:t>
                  </w:r>
                  <w:r>
                    <w:rPr>
                      <w:rFonts w:hint="default" w:ascii="Times New Roman" w:hAnsi="Times New Roman" w:eastAsia="宋体" w:cs="Times New Roman"/>
                      <w:bCs/>
                      <w:color w:val="auto"/>
                      <w:sz w:val="18"/>
                      <w:szCs w:val="18"/>
                      <w:highlight w:val="none"/>
                    </w:rPr>
                    <w:t>臭气浓度</w:t>
                  </w:r>
                  <w:r>
                    <w:rPr>
                      <w:rFonts w:hint="default" w:ascii="Times New Roman" w:hAnsi="Times New Roman" w:eastAsia="宋体" w:cs="Times New Roman"/>
                      <w:bCs/>
                      <w:color w:val="auto"/>
                      <w:sz w:val="18"/>
                      <w:szCs w:val="18"/>
                      <w:highlight w:val="none"/>
                      <w:lang w:val="en-US" w:eastAsia="zh-CN"/>
                    </w:rPr>
                    <w:t>≤20（无量纲）</w:t>
                  </w:r>
                  <w:r>
                    <w:rPr>
                      <w:rFonts w:hint="default" w:ascii="Times New Roman" w:hAnsi="Times New Roman" w:eastAsia="宋体" w:cs="Times New Roman"/>
                      <w:color w:val="auto"/>
                      <w:sz w:val="18"/>
                      <w:szCs w:val="18"/>
                      <w:highlight w:val="none"/>
                      <w:lang w:val="zh-CN" w:eastAsia="zh-CN"/>
                    </w:rPr>
                    <w:t>。</w:t>
                  </w:r>
                </w:p>
              </w:tc>
            </w:tr>
            <w:tr w14:paraId="738EC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4" w:type="dxa"/>
                  <w:vMerge w:val="continue"/>
                  <w:vAlign w:val="center"/>
                </w:tcPr>
                <w:p w14:paraId="60CC9AB7">
                  <w:pPr>
                    <w:adjustRightInd w:val="0"/>
                    <w:snapToGrid w:val="0"/>
                    <w:jc w:val="center"/>
                    <w:rPr>
                      <w:color w:val="auto"/>
                      <w:szCs w:val="21"/>
                    </w:rPr>
                  </w:pPr>
                </w:p>
              </w:tc>
              <w:tc>
                <w:tcPr>
                  <w:tcW w:w="1072" w:type="dxa"/>
                  <w:vAlign w:val="center"/>
                </w:tcPr>
                <w:p w14:paraId="32F9F42F">
                  <w:pPr>
                    <w:pStyle w:val="28"/>
                    <w:spacing w:after="0"/>
                    <w:ind w:firstLine="0" w:firstLineChars="0"/>
                    <w:jc w:val="center"/>
                    <w:rPr>
                      <w:color w:val="auto"/>
                      <w:sz w:val="18"/>
                      <w:szCs w:val="18"/>
                    </w:rPr>
                  </w:pPr>
                  <w:r>
                    <w:rPr>
                      <w:rFonts w:hint="eastAsia"/>
                      <w:color w:val="auto"/>
                      <w:sz w:val="18"/>
                      <w:szCs w:val="18"/>
                    </w:rPr>
                    <w:t>食堂</w:t>
                  </w:r>
                  <w:r>
                    <w:rPr>
                      <w:color w:val="auto"/>
                      <w:sz w:val="18"/>
                      <w:szCs w:val="18"/>
                    </w:rPr>
                    <w:t>油烟</w:t>
                  </w:r>
                </w:p>
              </w:tc>
              <w:tc>
                <w:tcPr>
                  <w:tcW w:w="3926" w:type="dxa"/>
                  <w:vAlign w:val="center"/>
                </w:tcPr>
                <w:p w14:paraId="2AE998DA">
                  <w:pPr>
                    <w:jc w:val="center"/>
                    <w:rPr>
                      <w:color w:val="auto"/>
                      <w:sz w:val="18"/>
                      <w:szCs w:val="18"/>
                    </w:rPr>
                  </w:pPr>
                  <w:r>
                    <w:rPr>
                      <w:color w:val="auto"/>
                      <w:sz w:val="18"/>
                      <w:szCs w:val="18"/>
                    </w:rPr>
                    <w:t>食堂油烟配套“1台油烟净化设施+排气筒”，油烟净化器净化效率不低于</w:t>
                  </w:r>
                  <w:r>
                    <w:rPr>
                      <w:rFonts w:hint="eastAsia"/>
                      <w:color w:val="auto"/>
                      <w:sz w:val="18"/>
                      <w:szCs w:val="18"/>
                    </w:rPr>
                    <w:t>60</w:t>
                  </w:r>
                  <w:r>
                    <w:rPr>
                      <w:color w:val="auto"/>
                      <w:sz w:val="18"/>
                      <w:szCs w:val="18"/>
                    </w:rPr>
                    <w:t>%。</w:t>
                  </w:r>
                </w:p>
              </w:tc>
              <w:tc>
                <w:tcPr>
                  <w:tcW w:w="2206" w:type="dxa"/>
                  <w:vAlign w:val="center"/>
                </w:tcPr>
                <w:p w14:paraId="7E7E59A6">
                  <w:pPr>
                    <w:adjustRightInd w:val="0"/>
                    <w:snapToGrid w:val="0"/>
                    <w:jc w:val="center"/>
                    <w:rPr>
                      <w:color w:val="auto"/>
                      <w:sz w:val="18"/>
                      <w:szCs w:val="18"/>
                    </w:rPr>
                  </w:pPr>
                  <w:r>
                    <w:rPr>
                      <w:color w:val="auto"/>
                      <w:sz w:val="18"/>
                      <w:szCs w:val="18"/>
                    </w:rPr>
                    <w:t>《饮食业油烟排放标准（试行）》（GB18483-2001）中的</w:t>
                  </w:r>
                  <w:r>
                    <w:rPr>
                      <w:rFonts w:hint="eastAsia"/>
                      <w:color w:val="auto"/>
                      <w:sz w:val="18"/>
                      <w:szCs w:val="18"/>
                    </w:rPr>
                    <w:t>小</w:t>
                  </w:r>
                  <w:r>
                    <w:rPr>
                      <w:color w:val="auto"/>
                      <w:sz w:val="18"/>
                      <w:szCs w:val="18"/>
                    </w:rPr>
                    <w:t>型规模最高允许排放浓度，即油烟≤2.0mg/m3。</w:t>
                  </w:r>
                </w:p>
              </w:tc>
            </w:tr>
            <w:tr w14:paraId="3C03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4" w:type="dxa"/>
                  <w:vMerge w:val="restart"/>
                  <w:vAlign w:val="center"/>
                </w:tcPr>
                <w:p w14:paraId="2ECB9BEF">
                  <w:pPr>
                    <w:pStyle w:val="19"/>
                    <w:adjustRightInd w:val="0"/>
                    <w:snapToGrid w:val="0"/>
                    <w:jc w:val="center"/>
                    <w:rPr>
                      <w:color w:val="auto"/>
                      <w:sz w:val="18"/>
                      <w:szCs w:val="18"/>
                    </w:rPr>
                  </w:pPr>
                  <w:r>
                    <w:rPr>
                      <w:color w:val="auto"/>
                      <w:sz w:val="18"/>
                      <w:szCs w:val="18"/>
                    </w:rPr>
                    <w:t>废水</w:t>
                  </w:r>
                </w:p>
              </w:tc>
              <w:tc>
                <w:tcPr>
                  <w:tcW w:w="1072" w:type="dxa"/>
                  <w:vAlign w:val="center"/>
                </w:tcPr>
                <w:p w14:paraId="568EE977">
                  <w:pPr>
                    <w:pStyle w:val="28"/>
                    <w:spacing w:after="0"/>
                    <w:ind w:firstLine="0" w:firstLineChars="0"/>
                    <w:jc w:val="center"/>
                    <w:rPr>
                      <w:color w:val="auto"/>
                      <w:sz w:val="18"/>
                      <w:szCs w:val="18"/>
                    </w:rPr>
                  </w:pPr>
                  <w:r>
                    <w:rPr>
                      <w:color w:val="auto"/>
                      <w:sz w:val="18"/>
                      <w:szCs w:val="18"/>
                    </w:rPr>
                    <w:t>雨污分流</w:t>
                  </w:r>
                </w:p>
              </w:tc>
              <w:tc>
                <w:tcPr>
                  <w:tcW w:w="3926" w:type="dxa"/>
                  <w:vAlign w:val="center"/>
                </w:tcPr>
                <w:p w14:paraId="0A834EA3">
                  <w:pPr>
                    <w:jc w:val="center"/>
                    <w:rPr>
                      <w:color w:val="auto"/>
                      <w:sz w:val="18"/>
                      <w:szCs w:val="18"/>
                    </w:rPr>
                  </w:pPr>
                  <w:r>
                    <w:rPr>
                      <w:rFonts w:ascii="Times New Roman" w:hAnsi="Times New Roman" w:eastAsia="宋体" w:cs="Times New Roman"/>
                      <w:color w:val="auto"/>
                      <w:sz w:val="18"/>
                      <w:szCs w:val="18"/>
                    </w:rPr>
                    <w:t>项目排水采用雨污分流的排水方式，项目区建筑物屋面及地面雨水经厂区雨水沟收集后排入园区雨水市政管网。</w:t>
                  </w:r>
                </w:p>
              </w:tc>
              <w:tc>
                <w:tcPr>
                  <w:tcW w:w="2206" w:type="dxa"/>
                  <w:vAlign w:val="center"/>
                </w:tcPr>
                <w:p w14:paraId="6FF17BB3">
                  <w:pPr>
                    <w:jc w:val="center"/>
                    <w:rPr>
                      <w:color w:val="auto"/>
                      <w:sz w:val="18"/>
                      <w:szCs w:val="18"/>
                    </w:rPr>
                  </w:pPr>
                  <w:r>
                    <w:rPr>
                      <w:color w:val="auto"/>
                      <w:sz w:val="18"/>
                      <w:szCs w:val="18"/>
                    </w:rPr>
                    <w:t>雨污分流</w:t>
                  </w:r>
                </w:p>
              </w:tc>
            </w:tr>
            <w:tr w14:paraId="784B2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744" w:type="dxa"/>
                  <w:vMerge w:val="continue"/>
                  <w:vAlign w:val="center"/>
                </w:tcPr>
                <w:p w14:paraId="5DBAF8A0">
                  <w:pPr>
                    <w:pStyle w:val="19"/>
                    <w:adjustRightInd w:val="0"/>
                    <w:snapToGrid w:val="0"/>
                    <w:jc w:val="center"/>
                    <w:rPr>
                      <w:color w:val="auto"/>
                      <w:sz w:val="18"/>
                      <w:szCs w:val="18"/>
                    </w:rPr>
                  </w:pPr>
                </w:p>
              </w:tc>
              <w:tc>
                <w:tcPr>
                  <w:tcW w:w="1072" w:type="dxa"/>
                  <w:vAlign w:val="center"/>
                </w:tcPr>
                <w:p w14:paraId="3E4B5C63">
                  <w:pPr>
                    <w:pStyle w:val="28"/>
                    <w:spacing w:after="0"/>
                    <w:ind w:firstLine="0" w:firstLineChars="0"/>
                    <w:jc w:val="center"/>
                    <w:rPr>
                      <w:color w:val="auto"/>
                      <w:sz w:val="18"/>
                      <w:szCs w:val="18"/>
                    </w:rPr>
                  </w:pPr>
                  <w:r>
                    <w:rPr>
                      <w:color w:val="auto"/>
                      <w:sz w:val="18"/>
                      <w:szCs w:val="18"/>
                    </w:rPr>
                    <w:t>生产过程冷却水</w:t>
                  </w:r>
                </w:p>
              </w:tc>
              <w:tc>
                <w:tcPr>
                  <w:tcW w:w="3926" w:type="dxa"/>
                  <w:vAlign w:val="center"/>
                </w:tcPr>
                <w:p w14:paraId="1C673F03">
                  <w:pPr>
                    <w:jc w:val="center"/>
                    <w:rPr>
                      <w:color w:val="auto"/>
                      <w:sz w:val="18"/>
                      <w:szCs w:val="18"/>
                    </w:rPr>
                  </w:pPr>
                  <w:r>
                    <w:rPr>
                      <w:color w:val="auto"/>
                      <w:sz w:val="18"/>
                      <w:szCs w:val="18"/>
                    </w:rPr>
                    <w:t>经冷却循环水</w:t>
                  </w:r>
                  <w:r>
                    <w:rPr>
                      <w:rFonts w:hint="eastAsia"/>
                      <w:color w:val="auto"/>
                      <w:sz w:val="18"/>
                      <w:szCs w:val="18"/>
                      <w:lang w:val="en-US" w:eastAsia="zh-CN"/>
                    </w:rPr>
                    <w:t>箱</w:t>
                  </w:r>
                  <w:r>
                    <w:rPr>
                      <w:color w:val="auto"/>
                      <w:sz w:val="18"/>
                      <w:szCs w:val="18"/>
                    </w:rPr>
                    <w:t>冷却后循环使用，不外排</w:t>
                  </w:r>
                  <w:r>
                    <w:rPr>
                      <w:rFonts w:hint="eastAsia"/>
                      <w:color w:val="auto"/>
                      <w:sz w:val="18"/>
                      <w:szCs w:val="18"/>
                    </w:rPr>
                    <w:t>。</w:t>
                  </w:r>
                </w:p>
              </w:tc>
              <w:tc>
                <w:tcPr>
                  <w:tcW w:w="2206" w:type="dxa"/>
                  <w:vAlign w:val="center"/>
                </w:tcPr>
                <w:p w14:paraId="5E18BC63">
                  <w:pPr>
                    <w:jc w:val="center"/>
                    <w:rPr>
                      <w:color w:val="auto"/>
                      <w:sz w:val="18"/>
                      <w:szCs w:val="18"/>
                    </w:rPr>
                  </w:pPr>
                  <w:r>
                    <w:rPr>
                      <w:color w:val="auto"/>
                      <w:sz w:val="18"/>
                      <w:szCs w:val="18"/>
                    </w:rPr>
                    <w:t>循环使用，不外排</w:t>
                  </w:r>
                </w:p>
              </w:tc>
            </w:tr>
            <w:tr w14:paraId="7F5A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44" w:type="dxa"/>
                  <w:vMerge w:val="continue"/>
                  <w:vAlign w:val="center"/>
                </w:tcPr>
                <w:p w14:paraId="5BE92C87">
                  <w:pPr>
                    <w:jc w:val="center"/>
                    <w:rPr>
                      <w:color w:val="auto"/>
                    </w:rPr>
                  </w:pPr>
                </w:p>
              </w:tc>
              <w:tc>
                <w:tcPr>
                  <w:tcW w:w="1072" w:type="dxa"/>
                  <w:vMerge w:val="restart"/>
                  <w:vAlign w:val="center"/>
                </w:tcPr>
                <w:p w14:paraId="4D8A8393">
                  <w:pPr>
                    <w:pStyle w:val="28"/>
                    <w:spacing w:after="0"/>
                    <w:ind w:firstLine="0" w:firstLineChars="0"/>
                    <w:jc w:val="center"/>
                    <w:rPr>
                      <w:rFonts w:hint="default" w:ascii="Times New Roman" w:hAnsi="Times New Roman" w:eastAsia="宋体" w:cs="Times New Roman"/>
                      <w:color w:val="auto"/>
                      <w:kern w:val="2"/>
                      <w:sz w:val="18"/>
                      <w:szCs w:val="18"/>
                      <w:lang w:val="en-US" w:eastAsia="zh-CN" w:bidi="ar-SA"/>
                    </w:rPr>
                  </w:pPr>
                  <w:r>
                    <w:rPr>
                      <w:rFonts w:hint="eastAsia" w:ascii="Times New Roman" w:hAnsi="Times New Roman" w:eastAsia="宋体" w:cs="Times New Roman"/>
                      <w:color w:val="auto"/>
                      <w:kern w:val="2"/>
                      <w:sz w:val="18"/>
                      <w:szCs w:val="18"/>
                      <w:lang w:val="en-US" w:eastAsia="zh-CN" w:bidi="ar-SA"/>
                    </w:rPr>
                    <w:t>生活污水</w:t>
                  </w:r>
                </w:p>
                <w:p w14:paraId="694841B9">
                  <w:pPr>
                    <w:pStyle w:val="28"/>
                    <w:spacing w:after="0"/>
                    <w:ind w:firstLine="0" w:firstLineChars="0"/>
                    <w:jc w:val="center"/>
                    <w:rPr>
                      <w:rStyle w:val="106"/>
                      <w:rFonts w:hint="eastAsia"/>
                      <w:color w:val="auto"/>
                      <w:sz w:val="18"/>
                      <w:szCs w:val="18"/>
                    </w:rPr>
                  </w:pPr>
                </w:p>
              </w:tc>
              <w:tc>
                <w:tcPr>
                  <w:tcW w:w="3926" w:type="dxa"/>
                  <w:vAlign w:val="center"/>
                </w:tcPr>
                <w:p w14:paraId="70F99B19">
                  <w:pPr>
                    <w:pStyle w:val="83"/>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360" w:firstLineChars="200"/>
                    <w:textAlignment w:val="auto"/>
                    <w:rPr>
                      <w:rStyle w:val="106"/>
                      <w:rFonts w:hint="eastAsia"/>
                      <w:color w:val="auto"/>
                      <w:sz w:val="18"/>
                      <w:szCs w:val="18"/>
                    </w:rPr>
                  </w:pPr>
                  <w:r>
                    <w:rPr>
                      <w:rFonts w:hint="eastAsia" w:ascii="Times New Roman" w:hAnsi="Times New Roman" w:eastAsia="宋体" w:cs="Times New Roman"/>
                      <w:color w:val="auto"/>
                      <w:kern w:val="2"/>
                      <w:sz w:val="18"/>
                      <w:szCs w:val="18"/>
                      <w:lang w:val="en-US" w:eastAsia="zh-CN" w:bidi="ar-SA"/>
                    </w:rPr>
                    <w:t>项目</w:t>
                  </w:r>
                  <w:r>
                    <w:rPr>
                      <w:rFonts w:hint="default" w:ascii="Times New Roman" w:hAnsi="Times New Roman" w:eastAsia="宋体" w:cs="Times New Roman"/>
                      <w:color w:val="auto"/>
                      <w:sz w:val="18"/>
                      <w:szCs w:val="18"/>
                      <w:highlight w:val="none"/>
                      <w:lang w:val="en-US" w:eastAsia="zh-CN"/>
                    </w:rPr>
                    <w:t>食堂废水经容积为0.</w:t>
                  </w:r>
                  <w:r>
                    <w:rPr>
                      <w:rFonts w:hint="eastAsia" w:cs="Times New Roman"/>
                      <w:color w:val="auto"/>
                      <w:sz w:val="18"/>
                      <w:szCs w:val="18"/>
                      <w:highlight w:val="none"/>
                      <w:lang w:val="en-US" w:eastAsia="zh-CN"/>
                    </w:rPr>
                    <w:t>1</w:t>
                  </w:r>
                  <w:r>
                    <w:rPr>
                      <w:rFonts w:hint="default" w:ascii="Times New Roman" w:hAnsi="Times New Roman" w:eastAsia="宋体" w:cs="Times New Roman"/>
                      <w:color w:val="auto"/>
                      <w:sz w:val="18"/>
                      <w:szCs w:val="18"/>
                      <w:highlight w:val="none"/>
                      <w:lang w:val="en-US" w:eastAsia="zh-CN"/>
                    </w:rPr>
                    <w:t>m</w:t>
                  </w:r>
                  <w:r>
                    <w:rPr>
                      <w:rFonts w:hint="default" w:ascii="Times New Roman" w:hAnsi="Times New Roman" w:eastAsia="宋体" w:cs="Times New Roman"/>
                      <w:color w:val="auto"/>
                      <w:sz w:val="18"/>
                      <w:szCs w:val="18"/>
                      <w:highlight w:val="none"/>
                      <w:vertAlign w:val="superscript"/>
                      <w:lang w:val="en-US" w:eastAsia="zh-CN"/>
                    </w:rPr>
                    <w:t>3</w:t>
                  </w:r>
                  <w:r>
                    <w:rPr>
                      <w:rFonts w:hint="default" w:ascii="Times New Roman" w:hAnsi="Times New Roman" w:eastAsia="宋体" w:cs="Times New Roman"/>
                      <w:color w:val="auto"/>
                      <w:sz w:val="18"/>
                      <w:szCs w:val="18"/>
                      <w:highlight w:val="none"/>
                      <w:lang w:val="en-US" w:eastAsia="zh-CN"/>
                    </w:rPr>
                    <w:t>的隔油池处理后，与其他生活污水一并进入容积为</w:t>
                  </w:r>
                  <w:r>
                    <w:rPr>
                      <w:rFonts w:hint="eastAsia" w:cs="Times New Roman"/>
                      <w:color w:val="auto"/>
                      <w:sz w:val="18"/>
                      <w:szCs w:val="18"/>
                      <w:highlight w:val="none"/>
                      <w:lang w:val="en-US" w:eastAsia="zh-CN"/>
                    </w:rPr>
                    <w:t>6</w:t>
                  </w:r>
                  <w:r>
                    <w:rPr>
                      <w:rFonts w:hint="default" w:ascii="Times New Roman" w:hAnsi="Times New Roman" w:eastAsia="宋体" w:cs="Times New Roman"/>
                      <w:color w:val="auto"/>
                      <w:sz w:val="18"/>
                      <w:szCs w:val="18"/>
                      <w:highlight w:val="none"/>
                      <w:lang w:val="en-US" w:eastAsia="zh-CN"/>
                    </w:rPr>
                    <w:t>m</w:t>
                  </w:r>
                  <w:r>
                    <w:rPr>
                      <w:rFonts w:hint="default" w:ascii="Times New Roman" w:hAnsi="Times New Roman" w:eastAsia="宋体" w:cs="Times New Roman"/>
                      <w:color w:val="auto"/>
                      <w:sz w:val="18"/>
                      <w:szCs w:val="18"/>
                      <w:highlight w:val="none"/>
                      <w:vertAlign w:val="superscript"/>
                      <w:lang w:val="en-US" w:eastAsia="zh-CN"/>
                    </w:rPr>
                    <w:t>3</w:t>
                  </w:r>
                  <w:r>
                    <w:rPr>
                      <w:rFonts w:hint="default" w:ascii="Times New Roman" w:hAnsi="Times New Roman" w:eastAsia="宋体" w:cs="Times New Roman"/>
                      <w:color w:val="auto"/>
                      <w:sz w:val="18"/>
                      <w:szCs w:val="18"/>
                      <w:highlight w:val="none"/>
                      <w:lang w:val="en-US" w:eastAsia="zh-CN"/>
                    </w:rPr>
                    <w:t>的化粪池</w:t>
                  </w:r>
                  <w:r>
                    <w:rPr>
                      <w:rFonts w:hint="eastAsia" w:cs="Times New Roman"/>
                      <w:color w:val="auto"/>
                      <w:sz w:val="18"/>
                      <w:szCs w:val="18"/>
                      <w:highlight w:val="none"/>
                      <w:lang w:val="en-US" w:eastAsia="zh-CN"/>
                    </w:rPr>
                    <w:t>（依托）</w:t>
                  </w:r>
                  <w:r>
                    <w:rPr>
                      <w:rFonts w:hint="default" w:ascii="Times New Roman" w:hAnsi="Times New Roman" w:eastAsia="宋体" w:cs="Times New Roman"/>
                      <w:color w:val="auto"/>
                      <w:sz w:val="18"/>
                      <w:szCs w:val="18"/>
                      <w:highlight w:val="none"/>
                      <w:lang w:val="en-US" w:eastAsia="zh-CN"/>
                    </w:rPr>
                    <w:t>、处理规模为</w:t>
                  </w:r>
                  <w:r>
                    <w:rPr>
                      <w:rFonts w:hint="eastAsia" w:cs="Times New Roman"/>
                      <w:color w:val="auto"/>
                      <w:sz w:val="18"/>
                      <w:szCs w:val="18"/>
                      <w:highlight w:val="none"/>
                      <w:lang w:val="en-US" w:eastAsia="zh-CN"/>
                    </w:rPr>
                    <w:t>15</w:t>
                  </w:r>
                  <w:r>
                    <w:rPr>
                      <w:rFonts w:hint="default" w:ascii="Times New Roman" w:hAnsi="Times New Roman" w:eastAsia="宋体" w:cs="Times New Roman"/>
                      <w:color w:val="auto"/>
                      <w:sz w:val="18"/>
                      <w:szCs w:val="18"/>
                      <w:highlight w:val="none"/>
                      <w:lang w:val="en-US" w:eastAsia="zh-CN"/>
                    </w:rPr>
                    <w:t>m</w:t>
                  </w:r>
                  <w:r>
                    <w:rPr>
                      <w:rFonts w:hint="default" w:ascii="Times New Roman" w:hAnsi="Times New Roman" w:eastAsia="宋体" w:cs="Times New Roman"/>
                      <w:color w:val="auto"/>
                      <w:sz w:val="18"/>
                      <w:szCs w:val="18"/>
                      <w:highlight w:val="none"/>
                      <w:vertAlign w:val="superscript"/>
                      <w:lang w:val="en-US" w:eastAsia="zh-CN"/>
                    </w:rPr>
                    <w:t>3</w:t>
                  </w:r>
                  <w:r>
                    <w:rPr>
                      <w:rFonts w:hint="default" w:ascii="Times New Roman" w:hAnsi="Times New Roman" w:eastAsia="宋体" w:cs="Times New Roman"/>
                      <w:color w:val="auto"/>
                      <w:sz w:val="18"/>
                      <w:szCs w:val="18"/>
                      <w:highlight w:val="none"/>
                      <w:lang w:val="en-US" w:eastAsia="zh-CN"/>
                    </w:rPr>
                    <w:t>/d的</w:t>
                  </w:r>
                  <w:r>
                    <w:rPr>
                      <w:rFonts w:hint="default" w:ascii="Times New Roman" w:hAnsi="Times New Roman" w:eastAsia="宋体" w:cs="Times New Roman"/>
                      <w:color w:val="auto"/>
                      <w:sz w:val="18"/>
                      <w:szCs w:val="18"/>
                      <w:highlight w:val="none"/>
                      <w:lang w:eastAsia="zh-CN" w:bidi="ar"/>
                    </w:rPr>
                    <w:t>一体化</w:t>
                  </w:r>
                  <w:r>
                    <w:rPr>
                      <w:rFonts w:hint="default" w:ascii="Times New Roman" w:hAnsi="Times New Roman" w:eastAsia="宋体" w:cs="Times New Roman"/>
                      <w:color w:val="auto"/>
                      <w:sz w:val="18"/>
                      <w:szCs w:val="18"/>
                      <w:highlight w:val="none"/>
                      <w:lang w:val="en-US" w:eastAsia="zh-CN"/>
                    </w:rPr>
                    <w:t>污水处理站（</w:t>
                  </w:r>
                  <w:r>
                    <w:rPr>
                      <w:rFonts w:hint="eastAsia" w:cs="Times New Roman"/>
                      <w:color w:val="auto"/>
                      <w:sz w:val="18"/>
                      <w:szCs w:val="18"/>
                      <w:highlight w:val="none"/>
                      <w:lang w:val="en-US" w:eastAsia="zh-CN"/>
                    </w:rPr>
                    <w:t>依托，</w:t>
                  </w:r>
                  <w:r>
                    <w:rPr>
                      <w:rFonts w:hint="default" w:ascii="Times New Roman" w:hAnsi="Times New Roman" w:eastAsia="宋体" w:cs="Times New Roman"/>
                      <w:color w:val="auto"/>
                      <w:sz w:val="18"/>
                      <w:szCs w:val="18"/>
                      <w:highlight w:val="none"/>
                      <w:lang w:val="en-US" w:eastAsia="zh-CN"/>
                    </w:rPr>
                    <w:t>处理工艺</w:t>
                  </w:r>
                  <w:r>
                    <w:rPr>
                      <w:rFonts w:hint="eastAsia" w:cs="Times New Roman"/>
                      <w:color w:val="auto"/>
                      <w:sz w:val="18"/>
                      <w:szCs w:val="18"/>
                      <w:highlight w:val="none"/>
                      <w:lang w:val="en-US" w:eastAsia="zh-CN"/>
                    </w:rPr>
                    <w:t>：曝气+沉降+光催化氧化+消毒</w:t>
                  </w:r>
                  <w:r>
                    <w:rPr>
                      <w:rFonts w:hint="default" w:ascii="Times New Roman" w:hAnsi="Times New Roman" w:eastAsia="宋体" w:cs="Times New Roman"/>
                      <w:color w:val="auto"/>
                      <w:sz w:val="18"/>
                      <w:szCs w:val="18"/>
                      <w:highlight w:val="none"/>
                      <w:lang w:val="en-US" w:eastAsia="zh-CN"/>
                    </w:rPr>
                    <w:t>）处理达</w:t>
                  </w:r>
                  <w:r>
                    <w:rPr>
                      <w:rFonts w:hint="default" w:ascii="Times New Roman" w:hAnsi="Times New Roman" w:eastAsia="宋体" w:cs="Times New Roman"/>
                      <w:b w:val="0"/>
                      <w:bCs w:val="0"/>
                      <w:color w:val="auto"/>
                      <w:sz w:val="18"/>
                      <w:szCs w:val="18"/>
                      <w:highlight w:val="none"/>
                      <w:lang w:val="en-US" w:eastAsia="zh-CN"/>
                    </w:rPr>
                    <w:t>标后，用于</w:t>
                  </w:r>
                  <w:r>
                    <w:rPr>
                      <w:rFonts w:hint="eastAsia" w:cs="Times New Roman"/>
                      <w:b w:val="0"/>
                      <w:bCs w:val="0"/>
                      <w:color w:val="auto"/>
                      <w:sz w:val="18"/>
                      <w:szCs w:val="18"/>
                      <w:highlight w:val="none"/>
                      <w:lang w:val="en-US" w:eastAsia="zh-CN"/>
                    </w:rPr>
                    <w:t>本</w:t>
                  </w:r>
                  <w:r>
                    <w:rPr>
                      <w:rFonts w:hint="default" w:ascii="Times New Roman" w:hAnsi="Times New Roman" w:eastAsia="宋体" w:cs="Times New Roman"/>
                      <w:b w:val="0"/>
                      <w:bCs w:val="0"/>
                      <w:color w:val="auto"/>
                      <w:sz w:val="18"/>
                      <w:szCs w:val="18"/>
                      <w:highlight w:val="none"/>
                      <w:lang w:val="en-US" w:eastAsia="zh-CN"/>
                    </w:rPr>
                    <w:t>项目区</w:t>
                  </w:r>
                  <w:r>
                    <w:rPr>
                      <w:rFonts w:hint="eastAsia" w:cs="Times New Roman"/>
                      <w:b w:val="0"/>
                      <w:bCs w:val="0"/>
                      <w:color w:val="auto"/>
                      <w:sz w:val="18"/>
                      <w:szCs w:val="18"/>
                      <w:highlight w:val="none"/>
                      <w:lang w:val="en-US" w:eastAsia="zh-CN"/>
                    </w:rPr>
                    <w:t>及</w:t>
                  </w:r>
                  <w:r>
                    <w:rPr>
                      <w:rFonts w:hint="eastAsia"/>
                      <w:bCs/>
                      <w:color w:val="auto"/>
                      <w:sz w:val="18"/>
                      <w:szCs w:val="18"/>
                      <w:highlight w:val="none"/>
                      <w:lang w:eastAsia="zh-CN"/>
                    </w:rPr>
                    <w:t>云</w:t>
                  </w:r>
                  <w:r>
                    <w:rPr>
                      <w:rFonts w:hint="eastAsia"/>
                      <w:color w:val="auto"/>
                      <w:sz w:val="18"/>
                      <w:szCs w:val="18"/>
                      <w:highlight w:val="none"/>
                      <w:lang w:val="en-US" w:eastAsia="zh-CN"/>
                    </w:rPr>
                    <w:t>南宝泰轻化机械</w:t>
                  </w:r>
                  <w:r>
                    <w:rPr>
                      <w:rFonts w:hint="eastAsia"/>
                      <w:color w:val="auto"/>
                      <w:sz w:val="18"/>
                      <w:szCs w:val="18"/>
                      <w:highlight w:val="none"/>
                      <w:lang w:eastAsia="zh-CN"/>
                    </w:rPr>
                    <w:t>有限公司</w:t>
                  </w:r>
                  <w:r>
                    <w:rPr>
                      <w:rFonts w:hint="default" w:ascii="Times New Roman" w:hAnsi="Times New Roman" w:eastAsia="宋体" w:cs="Times New Roman"/>
                      <w:b w:val="0"/>
                      <w:bCs w:val="0"/>
                      <w:color w:val="auto"/>
                      <w:sz w:val="18"/>
                      <w:szCs w:val="18"/>
                      <w:highlight w:val="none"/>
                      <w:lang w:val="en-US" w:eastAsia="zh-CN"/>
                    </w:rPr>
                    <w:t>内绿化及道路场地洒水降尘，不外排。</w:t>
                  </w:r>
                </w:p>
              </w:tc>
              <w:tc>
                <w:tcPr>
                  <w:tcW w:w="2206" w:type="dxa"/>
                  <w:vMerge w:val="restart"/>
                  <w:vAlign w:val="center"/>
                </w:tcPr>
                <w:p w14:paraId="6CFF8DB6">
                  <w:pPr>
                    <w:jc w:val="center"/>
                    <w:rPr>
                      <w:rStyle w:val="106"/>
                      <w:rFonts w:hint="eastAsia"/>
                      <w:color w:val="auto"/>
                      <w:sz w:val="18"/>
                      <w:szCs w:val="18"/>
                    </w:rPr>
                  </w:pPr>
                  <w:r>
                    <w:rPr>
                      <w:color w:val="auto"/>
                      <w:sz w:val="18"/>
                      <w:szCs w:val="18"/>
                    </w:rPr>
                    <w:t>《城市污水再生利用 城市杂用水水质》（GB/T18920-2020）中的城市绿化、道路清扫、消防、建筑施工标准</w:t>
                  </w:r>
                </w:p>
              </w:tc>
            </w:tr>
            <w:tr w14:paraId="6C83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44" w:type="dxa"/>
                  <w:vMerge w:val="continue"/>
                  <w:vAlign w:val="center"/>
                </w:tcPr>
                <w:p w14:paraId="6A7C9504">
                  <w:pPr>
                    <w:pStyle w:val="83"/>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480" w:firstLineChars="200"/>
                    <w:textAlignment w:val="auto"/>
                    <w:rPr>
                      <w:color w:val="auto"/>
                    </w:rPr>
                  </w:pPr>
                </w:p>
              </w:tc>
              <w:tc>
                <w:tcPr>
                  <w:tcW w:w="1072" w:type="dxa"/>
                  <w:vMerge w:val="continue"/>
                  <w:vAlign w:val="center"/>
                </w:tcPr>
                <w:p w14:paraId="15723C89">
                  <w:pPr>
                    <w:pStyle w:val="83"/>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480" w:firstLineChars="200"/>
                    <w:textAlignment w:val="auto"/>
                    <w:rPr>
                      <w:color w:val="auto"/>
                    </w:rPr>
                  </w:pPr>
                </w:p>
              </w:tc>
              <w:tc>
                <w:tcPr>
                  <w:tcW w:w="3926" w:type="dxa"/>
                  <w:vAlign w:val="center"/>
                </w:tcPr>
                <w:p w14:paraId="2207B449">
                  <w:pPr>
                    <w:widowControl/>
                    <w:adjustRightInd w:val="0"/>
                    <w:snapToGrid w:val="0"/>
                    <w:jc w:val="center"/>
                    <w:rPr>
                      <w:rFonts w:hint="eastAsia" w:ascii="Times New Roman" w:hAnsi="Times New Roman" w:eastAsia="宋体" w:cs="Times New Roman"/>
                      <w:color w:val="auto"/>
                      <w:kern w:val="2"/>
                      <w:sz w:val="18"/>
                      <w:szCs w:val="18"/>
                      <w:highlight w:val="yellow"/>
                      <w:lang w:val="en-US" w:eastAsia="zh-CN" w:bidi="ar-SA"/>
                    </w:rPr>
                  </w:pPr>
                  <w:r>
                    <w:rPr>
                      <w:rFonts w:hint="default" w:ascii="Times New Roman" w:hAnsi="Times New Roman" w:eastAsia="宋体" w:cs="Times New Roman"/>
                      <w:color w:val="auto"/>
                      <w:sz w:val="18"/>
                      <w:szCs w:val="18"/>
                      <w:highlight w:val="none"/>
                    </w:rPr>
                    <w:t>设置1个容积为</w:t>
                  </w:r>
                  <w:r>
                    <w:rPr>
                      <w:rFonts w:hint="eastAsia" w:cs="Times New Roman"/>
                      <w:color w:val="auto"/>
                      <w:sz w:val="18"/>
                      <w:szCs w:val="18"/>
                      <w:highlight w:val="none"/>
                      <w:lang w:val="en-US" w:eastAsia="zh-CN"/>
                    </w:rPr>
                    <w:t>15</w:t>
                  </w:r>
                  <w:r>
                    <w:rPr>
                      <w:rFonts w:hint="default" w:ascii="Times New Roman" w:hAnsi="Times New Roman" w:eastAsia="宋体" w:cs="Times New Roman"/>
                      <w:color w:val="auto"/>
                      <w:sz w:val="18"/>
                      <w:szCs w:val="18"/>
                      <w:highlight w:val="none"/>
                    </w:rPr>
                    <w:t>m</w:t>
                  </w:r>
                  <w:r>
                    <w:rPr>
                      <w:rFonts w:hint="default" w:ascii="Times New Roman" w:hAnsi="Times New Roman" w:eastAsia="宋体" w:cs="Times New Roman"/>
                      <w:color w:val="auto"/>
                      <w:sz w:val="18"/>
                      <w:szCs w:val="18"/>
                      <w:highlight w:val="none"/>
                      <w:vertAlign w:val="superscript"/>
                    </w:rPr>
                    <w:t>3</w:t>
                  </w:r>
                  <w:r>
                    <w:rPr>
                      <w:rFonts w:hint="default" w:ascii="Times New Roman" w:hAnsi="Times New Roman" w:eastAsia="宋体" w:cs="Times New Roman"/>
                      <w:color w:val="auto"/>
                      <w:sz w:val="18"/>
                      <w:szCs w:val="18"/>
                      <w:highlight w:val="none"/>
                    </w:rPr>
                    <w:t>的蓄水池，对雨天项目区内处理达标后的生活污水进行收集暂存。</w:t>
                  </w:r>
                </w:p>
              </w:tc>
              <w:tc>
                <w:tcPr>
                  <w:tcW w:w="2206" w:type="dxa"/>
                  <w:vMerge w:val="continue"/>
                  <w:vAlign w:val="center"/>
                </w:tcPr>
                <w:p w14:paraId="7C647345">
                  <w:pPr>
                    <w:pStyle w:val="83"/>
                    <w:keepNext w:val="0"/>
                    <w:keepLines w:val="0"/>
                    <w:pageBreakBefore w:val="0"/>
                    <w:widowControl w:val="0"/>
                    <w:kinsoku/>
                    <w:wordWrap/>
                    <w:overflowPunct/>
                    <w:topLinePunct w:val="0"/>
                    <w:autoSpaceDE/>
                    <w:autoSpaceDN/>
                    <w:bidi w:val="0"/>
                    <w:adjustRightInd/>
                    <w:snapToGrid/>
                    <w:spacing w:beforeLines="0" w:afterLines="0" w:line="240" w:lineRule="auto"/>
                    <w:ind w:left="0" w:right="0" w:firstLine="360" w:firstLineChars="200"/>
                    <w:textAlignment w:val="auto"/>
                    <w:rPr>
                      <w:rFonts w:hint="eastAsia" w:ascii="Times New Roman" w:hAnsi="Times New Roman" w:eastAsia="宋体" w:cs="Times New Roman"/>
                      <w:color w:val="auto"/>
                      <w:kern w:val="2"/>
                      <w:sz w:val="18"/>
                      <w:szCs w:val="18"/>
                      <w:lang w:val="en-US" w:eastAsia="zh-CN" w:bidi="ar-SA"/>
                    </w:rPr>
                  </w:pPr>
                </w:p>
              </w:tc>
            </w:tr>
            <w:tr w14:paraId="2926C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4" w:type="dxa"/>
                  <w:vAlign w:val="center"/>
                </w:tcPr>
                <w:p w14:paraId="317C86EE">
                  <w:pPr>
                    <w:pStyle w:val="120"/>
                    <w:adjustRightInd w:val="0"/>
                    <w:snapToGrid w:val="0"/>
                    <w:spacing w:before="0" w:beforeAutospacing="0" w:after="0" w:afterAutospacing="0"/>
                    <w:jc w:val="center"/>
                    <w:rPr>
                      <w:rFonts w:ascii="Times New Roman" w:hAnsi="Times New Roman" w:cs="Times New Roman"/>
                      <w:b w:val="0"/>
                      <w:color w:val="auto"/>
                      <w:sz w:val="18"/>
                      <w:szCs w:val="18"/>
                    </w:rPr>
                  </w:pPr>
                  <w:r>
                    <w:rPr>
                      <w:rFonts w:ascii="Times New Roman" w:hAnsi="Times New Roman" w:cs="Times New Roman"/>
                      <w:b w:val="0"/>
                      <w:color w:val="auto"/>
                      <w:sz w:val="18"/>
                      <w:szCs w:val="18"/>
                    </w:rPr>
                    <w:t>噪声</w:t>
                  </w:r>
                </w:p>
              </w:tc>
              <w:tc>
                <w:tcPr>
                  <w:tcW w:w="1072" w:type="dxa"/>
                  <w:vAlign w:val="center"/>
                </w:tcPr>
                <w:p w14:paraId="63D230CD">
                  <w:pPr>
                    <w:pStyle w:val="120"/>
                    <w:adjustRightInd w:val="0"/>
                    <w:snapToGrid w:val="0"/>
                    <w:spacing w:before="0" w:beforeAutospacing="0" w:after="0" w:afterAutospacing="0"/>
                    <w:jc w:val="center"/>
                    <w:rPr>
                      <w:rFonts w:ascii="Times New Roman" w:hAnsi="Times New Roman" w:cs="Times New Roman"/>
                      <w:b w:val="0"/>
                      <w:color w:val="auto"/>
                      <w:sz w:val="18"/>
                      <w:szCs w:val="18"/>
                    </w:rPr>
                  </w:pPr>
                  <w:r>
                    <w:rPr>
                      <w:rFonts w:ascii="Times New Roman" w:hAnsi="Times New Roman" w:cs="Times New Roman"/>
                      <w:b w:val="0"/>
                      <w:color w:val="auto"/>
                      <w:sz w:val="18"/>
                      <w:szCs w:val="18"/>
                    </w:rPr>
                    <w:t>生产设备</w:t>
                  </w:r>
                </w:p>
              </w:tc>
              <w:tc>
                <w:tcPr>
                  <w:tcW w:w="3926" w:type="dxa"/>
                  <w:vAlign w:val="center"/>
                </w:tcPr>
                <w:p w14:paraId="4BE5F5AE">
                  <w:pPr>
                    <w:pStyle w:val="120"/>
                    <w:adjustRightInd w:val="0"/>
                    <w:snapToGrid w:val="0"/>
                    <w:spacing w:before="0" w:beforeAutospacing="0" w:after="0" w:afterAutospacing="0"/>
                    <w:jc w:val="center"/>
                    <w:rPr>
                      <w:rFonts w:ascii="Times New Roman" w:hAnsi="Times New Roman" w:cs="Times New Roman"/>
                      <w:b w:val="0"/>
                      <w:color w:val="auto"/>
                      <w:sz w:val="18"/>
                      <w:szCs w:val="18"/>
                    </w:rPr>
                  </w:pPr>
                  <w:r>
                    <w:rPr>
                      <w:rFonts w:ascii="Times New Roman" w:hAnsi="Times New Roman" w:cs="Times New Roman"/>
                      <w:b w:val="0"/>
                      <w:color w:val="auto"/>
                      <w:sz w:val="18"/>
                      <w:szCs w:val="18"/>
                    </w:rPr>
                    <w:t>项目</w:t>
                  </w:r>
                  <w:r>
                    <w:rPr>
                      <w:rFonts w:hint="eastAsia" w:ascii="Times New Roman" w:hAnsi="Times New Roman" w:cs="Times New Roman"/>
                      <w:b w:val="0"/>
                      <w:color w:val="auto"/>
                      <w:sz w:val="18"/>
                      <w:szCs w:val="18"/>
                    </w:rPr>
                    <w:t>优先选用先进低噪声设备；主要产噪设备安装减震垫；加强设备管理与维护等措施。</w:t>
                  </w:r>
                </w:p>
              </w:tc>
              <w:tc>
                <w:tcPr>
                  <w:tcW w:w="2206" w:type="dxa"/>
                  <w:vAlign w:val="center"/>
                </w:tcPr>
                <w:p w14:paraId="02CFDAC7">
                  <w:pPr>
                    <w:pStyle w:val="120"/>
                    <w:adjustRightInd w:val="0"/>
                    <w:snapToGrid w:val="0"/>
                    <w:spacing w:before="0" w:beforeAutospacing="0" w:after="0" w:afterAutospacing="0"/>
                    <w:jc w:val="center"/>
                    <w:rPr>
                      <w:rFonts w:ascii="Times New Roman" w:hAnsi="Times New Roman" w:cs="Times New Roman"/>
                      <w:b w:val="0"/>
                      <w:color w:val="auto"/>
                      <w:sz w:val="18"/>
                      <w:szCs w:val="18"/>
                    </w:rPr>
                  </w:pPr>
                  <w:r>
                    <w:rPr>
                      <w:rFonts w:ascii="Times New Roman" w:hAnsi="Times New Roman" w:cs="Times New Roman"/>
                      <w:b w:val="0"/>
                      <w:color w:val="auto"/>
                      <w:sz w:val="18"/>
                      <w:szCs w:val="18"/>
                    </w:rPr>
                    <w:t>《工业企业厂界环境噪声排放标准》（GB12348-2008）</w:t>
                  </w:r>
                  <w:r>
                    <w:rPr>
                      <w:rFonts w:hint="eastAsia" w:ascii="Times New Roman" w:hAnsi="Times New Roman" w:cs="Times New Roman"/>
                      <w:b w:val="0"/>
                      <w:color w:val="auto"/>
                      <w:sz w:val="18"/>
                      <w:szCs w:val="18"/>
                      <w:lang w:val="en-US" w:eastAsia="zh-CN"/>
                    </w:rPr>
                    <w:t>3</w:t>
                  </w:r>
                  <w:r>
                    <w:rPr>
                      <w:rFonts w:hint="eastAsia" w:ascii="Times New Roman" w:hAnsi="Times New Roman" w:cs="Times New Roman"/>
                      <w:b w:val="0"/>
                      <w:color w:val="auto"/>
                      <w:sz w:val="18"/>
                      <w:szCs w:val="18"/>
                    </w:rPr>
                    <w:t>类</w:t>
                  </w:r>
                  <w:r>
                    <w:rPr>
                      <w:rFonts w:ascii="Times New Roman" w:hAnsi="Times New Roman" w:cs="Times New Roman"/>
                      <w:b w:val="0"/>
                      <w:color w:val="auto"/>
                      <w:sz w:val="18"/>
                      <w:szCs w:val="18"/>
                    </w:rPr>
                    <w:t>标准</w:t>
                  </w:r>
                </w:p>
              </w:tc>
            </w:tr>
            <w:tr w14:paraId="4294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744" w:type="dxa"/>
                  <w:vMerge w:val="restart"/>
                  <w:vAlign w:val="center"/>
                </w:tcPr>
                <w:p w14:paraId="7EC3F925">
                  <w:pPr>
                    <w:pStyle w:val="120"/>
                    <w:adjustRightInd w:val="0"/>
                    <w:snapToGrid w:val="0"/>
                    <w:spacing w:before="0" w:beforeAutospacing="0" w:after="0" w:afterAutospacing="0"/>
                    <w:jc w:val="center"/>
                    <w:rPr>
                      <w:rFonts w:ascii="Times New Roman" w:hAnsi="Times New Roman" w:cs="Times New Roman"/>
                      <w:b w:val="0"/>
                      <w:color w:val="auto"/>
                      <w:sz w:val="18"/>
                      <w:szCs w:val="18"/>
                    </w:rPr>
                  </w:pPr>
                  <w:r>
                    <w:rPr>
                      <w:rFonts w:ascii="Times New Roman" w:hAnsi="Times New Roman" w:cs="Times New Roman"/>
                      <w:b w:val="0"/>
                      <w:color w:val="auto"/>
                      <w:sz w:val="18"/>
                      <w:szCs w:val="18"/>
                    </w:rPr>
                    <w:t>固体废物</w:t>
                  </w:r>
                </w:p>
              </w:tc>
              <w:tc>
                <w:tcPr>
                  <w:tcW w:w="1072" w:type="dxa"/>
                  <w:vAlign w:val="center"/>
                </w:tcPr>
                <w:p w14:paraId="23E81ED6">
                  <w:pPr>
                    <w:widowControl/>
                    <w:adjustRightInd w:val="0"/>
                    <w:snapToGrid w:val="0"/>
                    <w:jc w:val="center"/>
                    <w:rPr>
                      <w:color w:val="auto"/>
                      <w:kern w:val="0"/>
                      <w:sz w:val="18"/>
                      <w:szCs w:val="18"/>
                    </w:rPr>
                  </w:pPr>
                  <w:r>
                    <w:rPr>
                      <w:color w:val="auto"/>
                      <w:sz w:val="18"/>
                      <w:szCs w:val="18"/>
                    </w:rPr>
                    <w:t>带盖垃圾收集桶</w:t>
                  </w:r>
                </w:p>
              </w:tc>
              <w:tc>
                <w:tcPr>
                  <w:tcW w:w="3926" w:type="dxa"/>
                  <w:vAlign w:val="center"/>
                </w:tcPr>
                <w:p w14:paraId="3593E834">
                  <w:pPr>
                    <w:widowControl/>
                    <w:adjustRightInd w:val="0"/>
                    <w:snapToGrid w:val="0"/>
                    <w:jc w:val="center"/>
                    <w:rPr>
                      <w:color w:val="auto"/>
                      <w:kern w:val="0"/>
                      <w:sz w:val="18"/>
                      <w:szCs w:val="18"/>
                    </w:rPr>
                  </w:pPr>
                  <w:r>
                    <w:rPr>
                      <w:color w:val="auto"/>
                      <w:sz w:val="18"/>
                      <w:szCs w:val="18"/>
                    </w:rPr>
                    <w:t>厂区内分散设置若干带盖垃圾收集桶，用于收集生活垃圾。</w:t>
                  </w:r>
                </w:p>
              </w:tc>
              <w:tc>
                <w:tcPr>
                  <w:tcW w:w="2206" w:type="dxa"/>
                  <w:vMerge w:val="restart"/>
                  <w:vAlign w:val="center"/>
                </w:tcPr>
                <w:p w14:paraId="25DDB789">
                  <w:pPr>
                    <w:pStyle w:val="120"/>
                    <w:adjustRightInd w:val="0"/>
                    <w:snapToGrid w:val="0"/>
                    <w:spacing w:before="0" w:beforeAutospacing="0" w:after="0" w:afterAutospacing="0"/>
                    <w:jc w:val="center"/>
                    <w:rPr>
                      <w:rFonts w:ascii="Times New Roman" w:hAnsi="Times New Roman" w:cs="Times New Roman"/>
                      <w:b w:val="0"/>
                      <w:color w:val="auto"/>
                      <w:sz w:val="18"/>
                      <w:szCs w:val="18"/>
                    </w:rPr>
                  </w:pPr>
                  <w:r>
                    <w:rPr>
                      <w:rFonts w:ascii="Times New Roman" w:hAnsi="Times New Roman" w:cs="Times New Roman"/>
                      <w:b w:val="0"/>
                      <w:color w:val="auto"/>
                      <w:sz w:val="18"/>
                      <w:szCs w:val="18"/>
                    </w:rPr>
                    <w:t>处置率100%</w:t>
                  </w:r>
                </w:p>
              </w:tc>
            </w:tr>
            <w:tr w14:paraId="35D7D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744" w:type="dxa"/>
                  <w:vMerge w:val="continue"/>
                  <w:vAlign w:val="center"/>
                </w:tcPr>
                <w:p w14:paraId="7678FD6E">
                  <w:pPr>
                    <w:widowControl/>
                    <w:adjustRightInd w:val="0"/>
                    <w:snapToGrid w:val="0"/>
                    <w:jc w:val="center"/>
                    <w:rPr>
                      <w:color w:val="auto"/>
                    </w:rPr>
                  </w:pPr>
                </w:p>
              </w:tc>
              <w:tc>
                <w:tcPr>
                  <w:tcW w:w="1072" w:type="dxa"/>
                  <w:vAlign w:val="center"/>
                </w:tcPr>
                <w:p w14:paraId="1318B6A8">
                  <w:pPr>
                    <w:widowControl/>
                    <w:adjustRightInd w:val="0"/>
                    <w:snapToGrid w:val="0"/>
                    <w:jc w:val="center"/>
                    <w:rPr>
                      <w:color w:val="auto"/>
                      <w:sz w:val="18"/>
                      <w:szCs w:val="18"/>
                    </w:rPr>
                  </w:pPr>
                  <w:r>
                    <w:rPr>
                      <w:color w:val="auto"/>
                      <w:sz w:val="18"/>
                      <w:szCs w:val="18"/>
                    </w:rPr>
                    <w:t>泔水桶</w:t>
                  </w:r>
                </w:p>
              </w:tc>
              <w:tc>
                <w:tcPr>
                  <w:tcW w:w="3926" w:type="dxa"/>
                  <w:vAlign w:val="center"/>
                </w:tcPr>
                <w:p w14:paraId="26ED6CE3">
                  <w:pPr>
                    <w:widowControl/>
                    <w:adjustRightInd w:val="0"/>
                    <w:snapToGrid w:val="0"/>
                    <w:jc w:val="center"/>
                    <w:rPr>
                      <w:color w:val="auto"/>
                      <w:sz w:val="18"/>
                      <w:szCs w:val="18"/>
                    </w:rPr>
                  </w:pPr>
                  <w:r>
                    <w:rPr>
                      <w:color w:val="auto"/>
                      <w:sz w:val="18"/>
                      <w:szCs w:val="18"/>
                    </w:rPr>
                    <w:t>食堂内设置2只泔水桶，1用1备，用于收集食堂泔水。</w:t>
                  </w:r>
                </w:p>
              </w:tc>
              <w:tc>
                <w:tcPr>
                  <w:tcW w:w="2206" w:type="dxa"/>
                  <w:vMerge w:val="continue"/>
                  <w:vAlign w:val="center"/>
                </w:tcPr>
                <w:p w14:paraId="05D0FD94">
                  <w:pPr>
                    <w:widowControl/>
                    <w:adjustRightInd w:val="0"/>
                    <w:snapToGrid w:val="0"/>
                    <w:jc w:val="center"/>
                    <w:rPr>
                      <w:color w:val="auto"/>
                      <w:sz w:val="18"/>
                      <w:szCs w:val="18"/>
                    </w:rPr>
                  </w:pPr>
                </w:p>
              </w:tc>
            </w:tr>
            <w:tr w14:paraId="645A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744" w:type="dxa"/>
                  <w:vMerge w:val="continue"/>
                  <w:vAlign w:val="center"/>
                </w:tcPr>
                <w:p w14:paraId="3D6B0C1F">
                  <w:pPr>
                    <w:widowControl/>
                    <w:adjustRightInd w:val="0"/>
                    <w:snapToGrid w:val="0"/>
                    <w:jc w:val="center"/>
                    <w:rPr>
                      <w:color w:val="auto"/>
                    </w:rPr>
                  </w:pPr>
                </w:p>
              </w:tc>
              <w:tc>
                <w:tcPr>
                  <w:tcW w:w="1072" w:type="dxa"/>
                  <w:vAlign w:val="center"/>
                </w:tcPr>
                <w:p w14:paraId="52433E0A">
                  <w:pPr>
                    <w:widowControl/>
                    <w:adjustRightInd w:val="0"/>
                    <w:snapToGrid w:val="0"/>
                    <w:jc w:val="center"/>
                    <w:rPr>
                      <w:color w:val="auto"/>
                      <w:sz w:val="18"/>
                      <w:szCs w:val="18"/>
                    </w:rPr>
                  </w:pPr>
                  <w:r>
                    <w:rPr>
                      <w:color w:val="auto"/>
                      <w:sz w:val="18"/>
                      <w:szCs w:val="18"/>
                    </w:rPr>
                    <w:t>废油脂收集桶</w:t>
                  </w:r>
                </w:p>
              </w:tc>
              <w:tc>
                <w:tcPr>
                  <w:tcW w:w="3926" w:type="dxa"/>
                  <w:vAlign w:val="center"/>
                </w:tcPr>
                <w:p w14:paraId="164E04CA">
                  <w:pPr>
                    <w:widowControl/>
                    <w:adjustRightInd w:val="0"/>
                    <w:snapToGrid w:val="0"/>
                    <w:jc w:val="center"/>
                    <w:rPr>
                      <w:color w:val="auto"/>
                      <w:sz w:val="18"/>
                      <w:szCs w:val="18"/>
                    </w:rPr>
                  </w:pPr>
                  <w:r>
                    <w:rPr>
                      <w:color w:val="auto"/>
                      <w:sz w:val="18"/>
                      <w:szCs w:val="18"/>
                    </w:rPr>
                    <w:t>2只，1用1备，用于收集食堂隔油池</w:t>
                  </w:r>
                  <w:r>
                    <w:rPr>
                      <w:rFonts w:hint="eastAsia"/>
                      <w:color w:val="auto"/>
                      <w:sz w:val="18"/>
                      <w:szCs w:val="18"/>
                      <w:lang w:eastAsia="zh-CN"/>
                    </w:rPr>
                    <w:t>油污</w:t>
                  </w:r>
                  <w:r>
                    <w:rPr>
                      <w:color w:val="auto"/>
                      <w:sz w:val="18"/>
                      <w:szCs w:val="18"/>
                    </w:rPr>
                    <w:t>。</w:t>
                  </w:r>
                </w:p>
              </w:tc>
              <w:tc>
                <w:tcPr>
                  <w:tcW w:w="2206" w:type="dxa"/>
                  <w:vMerge w:val="continue"/>
                  <w:vAlign w:val="center"/>
                </w:tcPr>
                <w:p w14:paraId="66881372">
                  <w:pPr>
                    <w:widowControl/>
                    <w:adjustRightInd w:val="0"/>
                    <w:snapToGrid w:val="0"/>
                    <w:jc w:val="center"/>
                    <w:rPr>
                      <w:color w:val="auto"/>
                      <w:sz w:val="18"/>
                      <w:szCs w:val="18"/>
                    </w:rPr>
                  </w:pPr>
                </w:p>
              </w:tc>
            </w:tr>
            <w:tr w14:paraId="612CC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4" w:type="dxa"/>
                  <w:vMerge w:val="continue"/>
                  <w:vAlign w:val="center"/>
                </w:tcPr>
                <w:p w14:paraId="0EA7C036">
                  <w:pPr>
                    <w:pStyle w:val="120"/>
                    <w:adjustRightInd w:val="0"/>
                    <w:snapToGrid w:val="0"/>
                    <w:spacing w:before="0" w:beforeAutospacing="0" w:after="0" w:afterAutospacing="0"/>
                    <w:jc w:val="center"/>
                    <w:rPr>
                      <w:rFonts w:ascii="Times New Roman" w:hAnsi="Times New Roman" w:cs="Times New Roman"/>
                      <w:b w:val="0"/>
                      <w:color w:val="auto"/>
                      <w:sz w:val="18"/>
                      <w:szCs w:val="18"/>
                    </w:rPr>
                  </w:pPr>
                </w:p>
              </w:tc>
              <w:tc>
                <w:tcPr>
                  <w:tcW w:w="1072" w:type="dxa"/>
                  <w:vAlign w:val="center"/>
                </w:tcPr>
                <w:p w14:paraId="6E3DBCDF">
                  <w:pPr>
                    <w:widowControl/>
                    <w:adjustRightInd w:val="0"/>
                    <w:snapToGrid w:val="0"/>
                    <w:jc w:val="center"/>
                    <w:rPr>
                      <w:color w:val="auto"/>
                      <w:kern w:val="0"/>
                      <w:sz w:val="18"/>
                      <w:szCs w:val="18"/>
                    </w:rPr>
                  </w:pPr>
                  <w:r>
                    <w:rPr>
                      <w:color w:val="auto"/>
                      <w:sz w:val="18"/>
                      <w:szCs w:val="18"/>
                    </w:rPr>
                    <w:t>一般固废暂存</w:t>
                  </w:r>
                  <w:r>
                    <w:rPr>
                      <w:rFonts w:hint="eastAsia"/>
                      <w:color w:val="auto"/>
                      <w:sz w:val="18"/>
                      <w:szCs w:val="18"/>
                    </w:rPr>
                    <w:t>间</w:t>
                  </w:r>
                </w:p>
              </w:tc>
              <w:tc>
                <w:tcPr>
                  <w:tcW w:w="3926" w:type="dxa"/>
                  <w:vAlign w:val="center"/>
                </w:tcPr>
                <w:p w14:paraId="206E44DF">
                  <w:pPr>
                    <w:widowControl/>
                    <w:adjustRightInd w:val="0"/>
                    <w:snapToGrid w:val="0"/>
                    <w:jc w:val="center"/>
                    <w:rPr>
                      <w:color w:val="auto"/>
                      <w:kern w:val="0"/>
                      <w:sz w:val="18"/>
                      <w:szCs w:val="18"/>
                    </w:rPr>
                  </w:pPr>
                  <w:r>
                    <w:rPr>
                      <w:color w:val="auto"/>
                      <w:sz w:val="18"/>
                      <w:szCs w:val="18"/>
                    </w:rPr>
                    <w:t>设置1间建筑面积</w:t>
                  </w:r>
                  <w:r>
                    <w:rPr>
                      <w:rFonts w:hint="eastAsia"/>
                      <w:color w:val="auto"/>
                      <w:sz w:val="18"/>
                      <w:szCs w:val="18"/>
                    </w:rPr>
                    <w:t>为10</w:t>
                  </w:r>
                  <w:r>
                    <w:rPr>
                      <w:color w:val="auto"/>
                      <w:sz w:val="18"/>
                      <w:szCs w:val="18"/>
                    </w:rPr>
                    <w:t>m</w:t>
                  </w:r>
                  <w:r>
                    <w:rPr>
                      <w:color w:val="auto"/>
                      <w:sz w:val="18"/>
                      <w:szCs w:val="18"/>
                      <w:vertAlign w:val="superscript"/>
                    </w:rPr>
                    <w:t>2</w:t>
                  </w:r>
                  <w:r>
                    <w:rPr>
                      <w:rFonts w:hint="eastAsia"/>
                      <w:color w:val="auto"/>
                      <w:sz w:val="18"/>
                      <w:szCs w:val="18"/>
                    </w:rPr>
                    <w:t>的</w:t>
                  </w:r>
                  <w:r>
                    <w:rPr>
                      <w:color w:val="auto"/>
                      <w:sz w:val="18"/>
                      <w:szCs w:val="18"/>
                    </w:rPr>
                    <w:t>一般固废暂存</w:t>
                  </w:r>
                  <w:r>
                    <w:rPr>
                      <w:rFonts w:hint="eastAsia"/>
                      <w:color w:val="auto"/>
                      <w:sz w:val="18"/>
                      <w:szCs w:val="18"/>
                    </w:rPr>
                    <w:t>间</w:t>
                  </w:r>
                  <w:r>
                    <w:rPr>
                      <w:color w:val="auto"/>
                      <w:sz w:val="18"/>
                      <w:szCs w:val="18"/>
                    </w:rPr>
                    <w:t>，</w:t>
                  </w:r>
                  <w:r>
                    <w:rPr>
                      <w:rFonts w:hint="eastAsia"/>
                      <w:color w:val="auto"/>
                      <w:sz w:val="18"/>
                      <w:szCs w:val="18"/>
                    </w:rPr>
                    <w:t>位于项目区南侧，</w:t>
                  </w:r>
                  <w:r>
                    <w:rPr>
                      <w:color w:val="auto"/>
                      <w:sz w:val="18"/>
                      <w:szCs w:val="18"/>
                    </w:rPr>
                    <w:t>用于收集暂存生产过程产生的一般固体废弃物，一般固废暂存</w:t>
                  </w:r>
                  <w:r>
                    <w:rPr>
                      <w:rFonts w:hint="eastAsia"/>
                      <w:color w:val="auto"/>
                      <w:sz w:val="18"/>
                      <w:szCs w:val="18"/>
                    </w:rPr>
                    <w:t>间建设需满足《一般工业固体废物贮存和填埋污染控制标准》（GB18599-2020）相关要求</w:t>
                  </w:r>
                  <w:r>
                    <w:rPr>
                      <w:color w:val="auto"/>
                      <w:sz w:val="18"/>
                      <w:szCs w:val="18"/>
                    </w:rPr>
                    <w:t>。</w:t>
                  </w:r>
                </w:p>
              </w:tc>
              <w:tc>
                <w:tcPr>
                  <w:tcW w:w="2206" w:type="dxa"/>
                  <w:vMerge w:val="continue"/>
                  <w:vAlign w:val="center"/>
                </w:tcPr>
                <w:p w14:paraId="7E801F85">
                  <w:pPr>
                    <w:pStyle w:val="120"/>
                    <w:adjustRightInd w:val="0"/>
                    <w:snapToGrid w:val="0"/>
                    <w:spacing w:before="0" w:beforeAutospacing="0" w:after="0" w:afterAutospacing="0"/>
                    <w:jc w:val="center"/>
                    <w:rPr>
                      <w:rFonts w:ascii="Times New Roman" w:hAnsi="Times New Roman" w:cs="Times New Roman"/>
                      <w:b w:val="0"/>
                      <w:color w:val="auto"/>
                      <w:sz w:val="18"/>
                      <w:szCs w:val="18"/>
                    </w:rPr>
                  </w:pPr>
                </w:p>
              </w:tc>
            </w:tr>
            <w:tr w14:paraId="68FB5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4" w:type="dxa"/>
                  <w:vMerge w:val="continue"/>
                  <w:vAlign w:val="center"/>
                </w:tcPr>
                <w:p w14:paraId="1E5B47A6">
                  <w:pPr>
                    <w:pStyle w:val="120"/>
                    <w:adjustRightInd w:val="0"/>
                    <w:snapToGrid w:val="0"/>
                    <w:spacing w:before="0" w:beforeAutospacing="0" w:after="0" w:afterAutospacing="0"/>
                    <w:jc w:val="center"/>
                    <w:rPr>
                      <w:rFonts w:ascii="Times New Roman" w:hAnsi="Times New Roman" w:cs="Times New Roman"/>
                      <w:b w:val="0"/>
                      <w:color w:val="auto"/>
                      <w:sz w:val="18"/>
                      <w:szCs w:val="18"/>
                    </w:rPr>
                  </w:pPr>
                </w:p>
              </w:tc>
              <w:tc>
                <w:tcPr>
                  <w:tcW w:w="1072" w:type="dxa"/>
                  <w:vAlign w:val="center"/>
                </w:tcPr>
                <w:p w14:paraId="0C429191">
                  <w:pPr>
                    <w:widowControl/>
                    <w:adjustRightInd w:val="0"/>
                    <w:snapToGrid w:val="0"/>
                    <w:jc w:val="center"/>
                    <w:rPr>
                      <w:color w:val="auto"/>
                      <w:kern w:val="0"/>
                      <w:sz w:val="18"/>
                      <w:szCs w:val="18"/>
                    </w:rPr>
                  </w:pPr>
                  <w:r>
                    <w:rPr>
                      <w:color w:val="auto"/>
                      <w:sz w:val="18"/>
                      <w:szCs w:val="18"/>
                    </w:rPr>
                    <w:t>危险废物</w:t>
                  </w:r>
                  <w:r>
                    <w:rPr>
                      <w:rFonts w:hint="eastAsia" w:eastAsia="宋体"/>
                      <w:color w:val="auto"/>
                      <w:sz w:val="18"/>
                      <w:szCs w:val="18"/>
                      <w:lang w:val="en-US" w:eastAsia="zh-CN"/>
                    </w:rPr>
                    <w:t>贮存库</w:t>
                  </w:r>
                </w:p>
              </w:tc>
              <w:tc>
                <w:tcPr>
                  <w:tcW w:w="3926" w:type="dxa"/>
                  <w:vAlign w:val="center"/>
                </w:tcPr>
                <w:p w14:paraId="213886D8">
                  <w:pPr>
                    <w:widowControl/>
                    <w:adjustRightInd w:val="0"/>
                    <w:snapToGrid w:val="0"/>
                    <w:jc w:val="center"/>
                    <w:rPr>
                      <w:color w:val="auto"/>
                      <w:kern w:val="0"/>
                      <w:sz w:val="18"/>
                      <w:szCs w:val="18"/>
                    </w:rPr>
                  </w:pPr>
                  <w:r>
                    <w:rPr>
                      <w:color w:val="auto"/>
                      <w:sz w:val="18"/>
                      <w:szCs w:val="18"/>
                    </w:rPr>
                    <w:t>设置1间占地面积为</w:t>
                  </w:r>
                  <w:r>
                    <w:rPr>
                      <w:rFonts w:hint="eastAsia"/>
                      <w:color w:val="auto"/>
                      <w:sz w:val="18"/>
                      <w:szCs w:val="18"/>
                      <w:lang w:val="en-US" w:eastAsia="zh-CN"/>
                    </w:rPr>
                    <w:t>8</w:t>
                  </w:r>
                  <w:r>
                    <w:rPr>
                      <w:color w:val="auto"/>
                      <w:sz w:val="18"/>
                      <w:szCs w:val="18"/>
                    </w:rPr>
                    <w:t>m</w:t>
                  </w:r>
                  <w:r>
                    <w:rPr>
                      <w:color w:val="auto"/>
                      <w:sz w:val="18"/>
                      <w:szCs w:val="18"/>
                      <w:vertAlign w:val="superscript"/>
                    </w:rPr>
                    <w:t>2</w:t>
                  </w:r>
                  <w:r>
                    <w:rPr>
                      <w:color w:val="auto"/>
                      <w:sz w:val="18"/>
                      <w:szCs w:val="18"/>
                    </w:rPr>
                    <w:t>的危险废物</w:t>
                  </w:r>
                  <w:r>
                    <w:rPr>
                      <w:rFonts w:hint="eastAsia" w:eastAsia="宋体"/>
                      <w:color w:val="auto"/>
                      <w:sz w:val="18"/>
                      <w:szCs w:val="18"/>
                      <w:lang w:val="en-US" w:eastAsia="zh-CN"/>
                    </w:rPr>
                    <w:t>贮存库</w:t>
                  </w:r>
                  <w:r>
                    <w:rPr>
                      <w:rFonts w:hint="eastAsia"/>
                      <w:color w:val="auto"/>
                      <w:sz w:val="18"/>
                      <w:szCs w:val="18"/>
                    </w:rPr>
                    <w:t>，</w:t>
                  </w:r>
                  <w:r>
                    <w:rPr>
                      <w:color w:val="auto"/>
                      <w:sz w:val="18"/>
                      <w:szCs w:val="18"/>
                    </w:rPr>
                    <w:t>配套</w:t>
                  </w:r>
                  <w:r>
                    <w:rPr>
                      <w:rFonts w:hint="eastAsia"/>
                      <w:color w:val="auto"/>
                      <w:sz w:val="18"/>
                      <w:szCs w:val="18"/>
                      <w:lang w:val="en-US" w:eastAsia="zh-CN"/>
                    </w:rPr>
                    <w:t>3</w:t>
                  </w:r>
                  <w:r>
                    <w:rPr>
                      <w:color w:val="auto"/>
                      <w:sz w:val="18"/>
                      <w:szCs w:val="18"/>
                    </w:rPr>
                    <w:t>个危险废物专用收集容器，用于收集暂存</w:t>
                  </w:r>
                  <w:r>
                    <w:rPr>
                      <w:rFonts w:hint="eastAsia"/>
                      <w:color w:val="auto"/>
                      <w:sz w:val="18"/>
                      <w:szCs w:val="18"/>
                      <w:lang w:eastAsia="zh-CN"/>
                    </w:rPr>
                    <w:t>废气处理过程中产生的废活性炭、</w:t>
                  </w:r>
                  <w:r>
                    <w:rPr>
                      <w:rFonts w:hint="eastAsia"/>
                      <w:color w:val="auto"/>
                      <w:sz w:val="18"/>
                      <w:szCs w:val="18"/>
                      <w:lang w:val="en-US" w:eastAsia="zh-CN"/>
                    </w:rPr>
                    <w:t>设备维护保养</w:t>
                  </w:r>
                  <w:r>
                    <w:rPr>
                      <w:color w:val="auto"/>
                      <w:sz w:val="18"/>
                      <w:szCs w:val="18"/>
                    </w:rPr>
                    <w:t>过程产生的废机油</w:t>
                  </w:r>
                  <w:r>
                    <w:rPr>
                      <w:rFonts w:hint="eastAsia"/>
                      <w:color w:val="auto"/>
                      <w:sz w:val="18"/>
                      <w:szCs w:val="18"/>
                      <w:lang w:eastAsia="zh-CN"/>
                    </w:rPr>
                    <w:t>及</w:t>
                  </w:r>
                  <w:r>
                    <w:rPr>
                      <w:rFonts w:hint="eastAsia"/>
                      <w:color w:val="auto"/>
                      <w:sz w:val="18"/>
                      <w:szCs w:val="18"/>
                      <w:lang w:val="en-US" w:eastAsia="zh-CN"/>
                    </w:rPr>
                    <w:t>维护保养</w:t>
                  </w:r>
                  <w:r>
                    <w:rPr>
                      <w:color w:val="auto"/>
                      <w:sz w:val="18"/>
                      <w:szCs w:val="18"/>
                    </w:rPr>
                    <w:t>废物。危险废物</w:t>
                  </w:r>
                  <w:r>
                    <w:rPr>
                      <w:rFonts w:hint="eastAsia" w:eastAsia="宋体"/>
                      <w:color w:val="auto"/>
                      <w:sz w:val="18"/>
                      <w:szCs w:val="18"/>
                      <w:lang w:val="en-US" w:eastAsia="zh-CN"/>
                    </w:rPr>
                    <w:t>贮存库</w:t>
                  </w:r>
                  <w:r>
                    <w:rPr>
                      <w:color w:val="auto"/>
                      <w:sz w:val="18"/>
                      <w:szCs w:val="18"/>
                    </w:rPr>
                    <w:t>地面和四周墙裙脚</w:t>
                  </w:r>
                  <w:r>
                    <w:rPr>
                      <w:color w:val="auto"/>
                      <w:sz w:val="18"/>
                      <w:szCs w:val="18"/>
                      <w:lang w:val="zh-CN"/>
                    </w:rPr>
                    <w:t>采用“</w:t>
                  </w:r>
                  <w:r>
                    <w:rPr>
                      <w:color w:val="auto"/>
                      <w:sz w:val="18"/>
                      <w:szCs w:val="18"/>
                    </w:rPr>
                    <w:t>混凝土</w:t>
                  </w:r>
                  <w:r>
                    <w:rPr>
                      <w:color w:val="auto"/>
                      <w:sz w:val="18"/>
                      <w:szCs w:val="18"/>
                      <w:lang w:val="zh-CN"/>
                    </w:rPr>
                    <w:t>+2mm厚HDPE+环氧树脂”</w:t>
                  </w:r>
                  <w:r>
                    <w:rPr>
                      <w:color w:val="auto"/>
                      <w:sz w:val="18"/>
                      <w:szCs w:val="18"/>
                    </w:rPr>
                    <w:t>进行重点防渗处理</w:t>
                  </w:r>
                  <w:r>
                    <w:rPr>
                      <w:color w:val="auto"/>
                      <w:sz w:val="18"/>
                      <w:szCs w:val="18"/>
                      <w:lang w:val="zh-CN"/>
                    </w:rPr>
                    <w:t>，渗透系数≤10</w:t>
                  </w:r>
                  <w:r>
                    <w:rPr>
                      <w:color w:val="auto"/>
                      <w:sz w:val="18"/>
                      <w:szCs w:val="18"/>
                      <w:vertAlign w:val="superscript"/>
                      <w:lang w:val="zh-CN"/>
                    </w:rPr>
                    <w:t>-10</w:t>
                  </w:r>
                  <w:r>
                    <w:rPr>
                      <w:color w:val="auto"/>
                      <w:sz w:val="18"/>
                      <w:szCs w:val="18"/>
                      <w:lang w:val="zh-CN"/>
                    </w:rPr>
                    <w:t>cm/s</w:t>
                  </w:r>
                  <w:r>
                    <w:rPr>
                      <w:color w:val="auto"/>
                      <w:sz w:val="18"/>
                      <w:szCs w:val="18"/>
                    </w:rPr>
                    <w:t>，并按照要求设置规范的标识标牌。危险废物</w:t>
                  </w:r>
                  <w:r>
                    <w:rPr>
                      <w:rFonts w:hint="eastAsia" w:eastAsia="宋体"/>
                      <w:color w:val="auto"/>
                      <w:sz w:val="18"/>
                      <w:szCs w:val="18"/>
                      <w:lang w:val="en-US" w:eastAsia="zh-CN"/>
                    </w:rPr>
                    <w:t>贮存库</w:t>
                  </w:r>
                  <w:r>
                    <w:rPr>
                      <w:rFonts w:hint="eastAsia"/>
                      <w:color w:val="auto"/>
                      <w:sz w:val="18"/>
                      <w:szCs w:val="18"/>
                    </w:rPr>
                    <w:t>建设需满足《危险废物贮存污染控制标准》（GB18597-2023）相关要求。</w:t>
                  </w:r>
                </w:p>
              </w:tc>
              <w:tc>
                <w:tcPr>
                  <w:tcW w:w="2206" w:type="dxa"/>
                  <w:vMerge w:val="continue"/>
                  <w:vAlign w:val="center"/>
                </w:tcPr>
                <w:p w14:paraId="46B0503B">
                  <w:pPr>
                    <w:pStyle w:val="120"/>
                    <w:adjustRightInd w:val="0"/>
                    <w:snapToGrid w:val="0"/>
                    <w:spacing w:before="0" w:beforeAutospacing="0" w:after="0" w:afterAutospacing="0"/>
                    <w:jc w:val="center"/>
                    <w:rPr>
                      <w:rFonts w:ascii="Times New Roman" w:hAnsi="Times New Roman" w:cs="Times New Roman"/>
                      <w:b w:val="0"/>
                      <w:color w:val="auto"/>
                      <w:sz w:val="18"/>
                      <w:szCs w:val="18"/>
                    </w:rPr>
                  </w:pPr>
                </w:p>
              </w:tc>
            </w:tr>
            <w:tr w14:paraId="02B3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4" w:type="dxa"/>
                  <w:vAlign w:val="center"/>
                </w:tcPr>
                <w:p w14:paraId="5938304F">
                  <w:pPr>
                    <w:pStyle w:val="120"/>
                    <w:adjustRightInd w:val="0"/>
                    <w:snapToGrid w:val="0"/>
                    <w:spacing w:before="0" w:beforeAutospacing="0" w:after="0" w:afterAutospacing="0"/>
                    <w:jc w:val="center"/>
                    <w:rPr>
                      <w:rFonts w:ascii="Times New Roman" w:hAnsi="Times New Roman" w:cs="Times New Roman"/>
                      <w:b w:val="0"/>
                      <w:color w:val="auto"/>
                      <w:sz w:val="18"/>
                      <w:szCs w:val="18"/>
                    </w:rPr>
                  </w:pPr>
                  <w:r>
                    <w:rPr>
                      <w:rFonts w:ascii="Times New Roman" w:hAnsi="Times New Roman" w:cs="Times New Roman"/>
                      <w:b w:val="0"/>
                      <w:bCs w:val="0"/>
                      <w:color w:val="auto"/>
                      <w:sz w:val="18"/>
                      <w:szCs w:val="18"/>
                    </w:rPr>
                    <w:t>土壤及地下水</w:t>
                  </w:r>
                </w:p>
              </w:tc>
              <w:tc>
                <w:tcPr>
                  <w:tcW w:w="1072" w:type="dxa"/>
                  <w:vAlign w:val="center"/>
                </w:tcPr>
                <w:p w14:paraId="48C8DA99">
                  <w:pPr>
                    <w:widowControl/>
                    <w:adjustRightInd w:val="0"/>
                    <w:snapToGrid w:val="0"/>
                    <w:jc w:val="center"/>
                    <w:rPr>
                      <w:color w:val="auto"/>
                      <w:sz w:val="18"/>
                      <w:szCs w:val="18"/>
                    </w:rPr>
                  </w:pPr>
                  <w:r>
                    <w:rPr>
                      <w:color w:val="auto"/>
                      <w:sz w:val="18"/>
                      <w:szCs w:val="18"/>
                    </w:rPr>
                    <w:t>分区防渗</w:t>
                  </w:r>
                </w:p>
              </w:tc>
              <w:tc>
                <w:tcPr>
                  <w:tcW w:w="3926" w:type="dxa"/>
                  <w:vAlign w:val="center"/>
                </w:tcPr>
                <w:p w14:paraId="0B62D8EE">
                  <w:pPr>
                    <w:widowControl/>
                    <w:adjustRightInd w:val="0"/>
                    <w:snapToGrid w:val="0"/>
                    <w:jc w:val="center"/>
                    <w:rPr>
                      <w:color w:val="auto"/>
                      <w:sz w:val="18"/>
                      <w:szCs w:val="18"/>
                    </w:rPr>
                  </w:pPr>
                  <w:r>
                    <w:rPr>
                      <w:b/>
                      <w:bCs/>
                      <w:color w:val="auto"/>
                      <w:sz w:val="18"/>
                      <w:szCs w:val="18"/>
                    </w:rPr>
                    <w:t>重点防渗：</w:t>
                  </w:r>
                  <w:r>
                    <w:rPr>
                      <w:color w:val="auto"/>
                      <w:sz w:val="18"/>
                      <w:szCs w:val="18"/>
                      <w:lang w:val="zh-CN"/>
                    </w:rPr>
                    <w:t>危险废物</w:t>
                  </w:r>
                  <w:r>
                    <w:rPr>
                      <w:rFonts w:hint="eastAsia" w:eastAsia="宋体"/>
                      <w:color w:val="auto"/>
                      <w:sz w:val="18"/>
                      <w:szCs w:val="18"/>
                      <w:lang w:val="en-US" w:eastAsia="zh-CN"/>
                    </w:rPr>
                    <w:t>贮存库</w:t>
                  </w:r>
                  <w:r>
                    <w:rPr>
                      <w:color w:val="auto"/>
                      <w:sz w:val="18"/>
                      <w:szCs w:val="18"/>
                      <w:lang w:val="zh-CN"/>
                    </w:rPr>
                    <w:t>地面及</w:t>
                  </w:r>
                  <w:r>
                    <w:rPr>
                      <w:color w:val="auto"/>
                      <w:sz w:val="18"/>
                      <w:szCs w:val="18"/>
                    </w:rPr>
                    <w:t>四周墙裙脚</w:t>
                  </w:r>
                  <w:r>
                    <w:rPr>
                      <w:color w:val="auto"/>
                      <w:sz w:val="18"/>
                      <w:szCs w:val="18"/>
                      <w:lang w:val="zh-CN"/>
                    </w:rPr>
                    <w:t>采用“</w:t>
                  </w:r>
                  <w:r>
                    <w:rPr>
                      <w:color w:val="auto"/>
                      <w:sz w:val="18"/>
                      <w:szCs w:val="18"/>
                    </w:rPr>
                    <w:t>混凝土</w:t>
                  </w:r>
                  <w:r>
                    <w:rPr>
                      <w:color w:val="auto"/>
                      <w:sz w:val="18"/>
                      <w:szCs w:val="18"/>
                      <w:lang w:val="zh-CN"/>
                    </w:rPr>
                    <w:t>+2mm厚HDPE+环氧树脂”</w:t>
                  </w:r>
                  <w:r>
                    <w:rPr>
                      <w:color w:val="auto"/>
                      <w:sz w:val="18"/>
                      <w:szCs w:val="18"/>
                    </w:rPr>
                    <w:t>进行重点防渗处理</w:t>
                  </w:r>
                  <w:r>
                    <w:rPr>
                      <w:color w:val="auto"/>
                      <w:sz w:val="18"/>
                      <w:szCs w:val="18"/>
                      <w:lang w:val="zh-CN"/>
                    </w:rPr>
                    <w:t>，渗透系数≤10</w:t>
                  </w:r>
                  <w:r>
                    <w:rPr>
                      <w:color w:val="auto"/>
                      <w:sz w:val="18"/>
                      <w:szCs w:val="18"/>
                      <w:vertAlign w:val="superscript"/>
                      <w:lang w:val="zh-CN"/>
                    </w:rPr>
                    <w:t>-10</w:t>
                  </w:r>
                  <w:r>
                    <w:rPr>
                      <w:color w:val="auto"/>
                      <w:sz w:val="18"/>
                      <w:szCs w:val="18"/>
                      <w:lang w:val="zh-CN"/>
                    </w:rPr>
                    <w:t>cm/s</w:t>
                  </w:r>
                  <w:r>
                    <w:rPr>
                      <w:color w:val="auto"/>
                      <w:sz w:val="18"/>
                      <w:szCs w:val="18"/>
                    </w:rPr>
                    <w:t>，并按照要求设置规范的标识、标牌。</w:t>
                  </w:r>
                </w:p>
                <w:p w14:paraId="376BF728">
                  <w:pPr>
                    <w:widowControl/>
                    <w:adjustRightInd w:val="0"/>
                    <w:snapToGrid w:val="0"/>
                    <w:jc w:val="center"/>
                    <w:rPr>
                      <w:color w:val="auto"/>
                      <w:sz w:val="18"/>
                      <w:szCs w:val="18"/>
                    </w:rPr>
                  </w:pPr>
                  <w:r>
                    <w:rPr>
                      <w:b/>
                      <w:bCs/>
                      <w:color w:val="auto"/>
                      <w:sz w:val="18"/>
                      <w:szCs w:val="18"/>
                    </w:rPr>
                    <w:t>一般防渗区：</w:t>
                  </w:r>
                  <w:r>
                    <w:rPr>
                      <w:rFonts w:hint="eastAsia" w:ascii="Times New Roman" w:hAnsi="Times New Roman" w:eastAsia="宋体" w:cs="Times New Roman"/>
                      <w:color w:val="auto"/>
                      <w:sz w:val="18"/>
                      <w:szCs w:val="18"/>
                      <w:highlight w:val="none"/>
                      <w:lang w:val="en-US" w:eastAsia="zh-CN"/>
                    </w:rPr>
                    <w:t>一体化</w:t>
                  </w:r>
                  <w:r>
                    <w:rPr>
                      <w:rFonts w:hint="eastAsia" w:ascii="Times New Roman" w:hAnsi="Times New Roman" w:eastAsia="宋体" w:cs="Times New Roman"/>
                      <w:color w:val="auto"/>
                      <w:sz w:val="18"/>
                      <w:szCs w:val="18"/>
                      <w:highlight w:val="none"/>
                    </w:rPr>
                    <w:t>污水处理</w:t>
                  </w:r>
                  <w:r>
                    <w:rPr>
                      <w:rFonts w:hint="eastAsia" w:ascii="Times New Roman" w:hAnsi="Times New Roman" w:eastAsia="宋体" w:cs="Times New Roman"/>
                      <w:color w:val="auto"/>
                      <w:sz w:val="18"/>
                      <w:szCs w:val="18"/>
                      <w:highlight w:val="none"/>
                      <w:lang w:val="en-US" w:eastAsia="zh-CN"/>
                    </w:rPr>
                    <w:t>站</w:t>
                  </w:r>
                  <w:r>
                    <w:rPr>
                      <w:rFonts w:hint="eastAsia" w:ascii="Times New Roman" w:hAnsi="Times New Roman" w:eastAsia="宋体" w:cs="Times New Roman"/>
                      <w:color w:val="auto"/>
                      <w:sz w:val="18"/>
                      <w:szCs w:val="18"/>
                      <w:highlight w:val="none"/>
                    </w:rPr>
                    <w:t>、化粪池、隔油池、</w:t>
                  </w:r>
                  <w:r>
                    <w:rPr>
                      <w:rFonts w:hint="eastAsia" w:ascii="Times New Roman" w:hAnsi="Times New Roman" w:eastAsia="宋体" w:cs="Times New Roman"/>
                      <w:color w:val="auto"/>
                      <w:sz w:val="18"/>
                      <w:szCs w:val="18"/>
                      <w:highlight w:val="none"/>
                      <w:lang w:val="en-US" w:eastAsia="zh-CN"/>
                    </w:rPr>
                    <w:t>蓄水池、</w:t>
                  </w:r>
                  <w:r>
                    <w:rPr>
                      <w:rFonts w:ascii="Times New Roman" w:hAnsi="Times New Roman" w:eastAsia="宋体" w:cs="Times New Roman"/>
                      <w:color w:val="auto"/>
                      <w:sz w:val="18"/>
                      <w:szCs w:val="18"/>
                    </w:rPr>
                    <w:t>一般固体废物暂存</w:t>
                  </w:r>
                  <w:r>
                    <w:rPr>
                      <w:rFonts w:hint="eastAsia" w:ascii="Times New Roman" w:hAnsi="Times New Roman" w:eastAsia="宋体" w:cs="Times New Roman"/>
                      <w:color w:val="auto"/>
                      <w:sz w:val="18"/>
                      <w:szCs w:val="18"/>
                    </w:rPr>
                    <w:t>间</w:t>
                  </w:r>
                  <w:r>
                    <w:rPr>
                      <w:rFonts w:ascii="Times New Roman" w:hAnsi="Times New Roman" w:eastAsia="宋体" w:cs="Times New Roman"/>
                      <w:color w:val="auto"/>
                      <w:sz w:val="18"/>
                      <w:szCs w:val="18"/>
                      <w:lang w:val="zh-CN"/>
                    </w:rPr>
                    <w:t>防渗技术要求达到等</w:t>
                  </w:r>
                  <w:r>
                    <w:rPr>
                      <w:color w:val="auto"/>
                      <w:sz w:val="18"/>
                      <w:szCs w:val="18"/>
                      <w:lang w:val="zh-CN"/>
                    </w:rPr>
                    <w:t>效黏土防渗层Mb≥1.5m，渗透系数≤10</w:t>
                  </w:r>
                  <w:r>
                    <w:rPr>
                      <w:color w:val="auto"/>
                      <w:sz w:val="18"/>
                      <w:szCs w:val="18"/>
                      <w:vertAlign w:val="superscript"/>
                      <w:lang w:val="zh-CN"/>
                    </w:rPr>
                    <w:t>-</w:t>
                  </w:r>
                  <w:r>
                    <w:rPr>
                      <w:color w:val="auto"/>
                      <w:sz w:val="18"/>
                      <w:szCs w:val="18"/>
                      <w:vertAlign w:val="superscript"/>
                    </w:rPr>
                    <w:t>7</w:t>
                  </w:r>
                  <w:r>
                    <w:rPr>
                      <w:color w:val="auto"/>
                      <w:sz w:val="18"/>
                      <w:szCs w:val="18"/>
                      <w:lang w:val="zh-CN"/>
                    </w:rPr>
                    <w:t>cm/s。</w:t>
                  </w:r>
                </w:p>
                <w:p w14:paraId="69D6B936">
                  <w:pPr>
                    <w:widowControl/>
                    <w:adjustRightInd w:val="0"/>
                    <w:snapToGrid w:val="0"/>
                    <w:jc w:val="center"/>
                    <w:rPr>
                      <w:color w:val="auto"/>
                      <w:sz w:val="18"/>
                      <w:szCs w:val="18"/>
                    </w:rPr>
                  </w:pPr>
                  <w:r>
                    <w:rPr>
                      <w:b/>
                      <w:bCs/>
                      <w:color w:val="auto"/>
                      <w:sz w:val="18"/>
                      <w:szCs w:val="18"/>
                    </w:rPr>
                    <w:t>简单防渗区：</w:t>
                  </w:r>
                  <w:r>
                    <w:rPr>
                      <w:color w:val="auto"/>
                      <w:sz w:val="18"/>
                      <w:szCs w:val="18"/>
                      <w:lang w:val="zh-CN"/>
                    </w:rPr>
                    <w:t>生产区、道路及办公区域（除绿化外）进行一般</w:t>
                  </w:r>
                  <w:r>
                    <w:rPr>
                      <w:color w:val="auto"/>
                      <w:sz w:val="18"/>
                      <w:szCs w:val="18"/>
                    </w:rPr>
                    <w:t>硬化处理。</w:t>
                  </w:r>
                </w:p>
              </w:tc>
              <w:tc>
                <w:tcPr>
                  <w:tcW w:w="2206" w:type="dxa"/>
                  <w:vAlign w:val="center"/>
                </w:tcPr>
                <w:p w14:paraId="368052A3">
                  <w:pPr>
                    <w:pStyle w:val="120"/>
                    <w:adjustRightInd w:val="0"/>
                    <w:snapToGrid w:val="0"/>
                    <w:spacing w:before="0" w:beforeAutospacing="0" w:after="0" w:afterAutospacing="0"/>
                    <w:jc w:val="center"/>
                    <w:rPr>
                      <w:rFonts w:ascii="Times New Roman" w:hAnsi="Times New Roman" w:cs="Times New Roman"/>
                      <w:b w:val="0"/>
                      <w:color w:val="auto"/>
                      <w:sz w:val="18"/>
                      <w:szCs w:val="18"/>
                    </w:rPr>
                  </w:pPr>
                  <w:r>
                    <w:rPr>
                      <w:rFonts w:hint="eastAsia" w:ascii="Times New Roman" w:hAnsi="Times New Roman" w:cs="Times New Roman"/>
                      <w:b w:val="0"/>
                      <w:color w:val="auto"/>
                      <w:sz w:val="18"/>
                      <w:szCs w:val="18"/>
                    </w:rPr>
                    <w:t>/</w:t>
                  </w:r>
                </w:p>
              </w:tc>
            </w:tr>
          </w:tbl>
          <w:p w14:paraId="201FEBF4">
            <w:pPr>
              <w:pStyle w:val="17"/>
              <w:rPr>
                <w:rFonts w:ascii="Times New Roman" w:hAnsi="Times New Roman"/>
                <w:color w:val="auto"/>
                <w:szCs w:val="21"/>
              </w:rPr>
            </w:pPr>
          </w:p>
          <w:p w14:paraId="33BC73A4">
            <w:pPr>
              <w:rPr>
                <w:rFonts w:ascii="Times New Roman" w:hAnsi="Times New Roman"/>
                <w:color w:val="auto"/>
                <w:szCs w:val="21"/>
              </w:rPr>
            </w:pPr>
          </w:p>
          <w:p w14:paraId="223EC9B3">
            <w:pPr>
              <w:rPr>
                <w:rFonts w:ascii="Times New Roman" w:hAnsi="Times New Roman"/>
                <w:color w:val="auto"/>
                <w:szCs w:val="21"/>
              </w:rPr>
            </w:pPr>
          </w:p>
          <w:p w14:paraId="5FC62644">
            <w:pPr>
              <w:rPr>
                <w:rFonts w:ascii="Times New Roman" w:hAnsi="Times New Roman"/>
                <w:color w:val="auto"/>
                <w:szCs w:val="21"/>
              </w:rPr>
            </w:pPr>
          </w:p>
          <w:p w14:paraId="5030FB24">
            <w:pPr>
              <w:rPr>
                <w:rFonts w:ascii="Times New Roman" w:hAnsi="Times New Roman"/>
                <w:color w:val="auto"/>
                <w:szCs w:val="21"/>
              </w:rPr>
            </w:pPr>
          </w:p>
          <w:p w14:paraId="78617C66">
            <w:pPr>
              <w:rPr>
                <w:rFonts w:ascii="Times New Roman" w:hAnsi="Times New Roman"/>
                <w:color w:val="auto"/>
                <w:szCs w:val="21"/>
              </w:rPr>
            </w:pPr>
          </w:p>
          <w:p w14:paraId="0833ECAF">
            <w:pPr>
              <w:rPr>
                <w:rFonts w:ascii="Times New Roman" w:hAnsi="Times New Roman"/>
                <w:color w:val="auto"/>
                <w:szCs w:val="21"/>
              </w:rPr>
            </w:pPr>
          </w:p>
          <w:p w14:paraId="3A58DF58">
            <w:pPr>
              <w:rPr>
                <w:rFonts w:ascii="Times New Roman" w:hAnsi="Times New Roman"/>
                <w:color w:val="auto"/>
                <w:szCs w:val="21"/>
              </w:rPr>
            </w:pPr>
          </w:p>
          <w:p w14:paraId="235925BA">
            <w:pPr>
              <w:rPr>
                <w:rFonts w:ascii="Times New Roman" w:hAnsi="Times New Roman"/>
                <w:color w:val="auto"/>
                <w:szCs w:val="21"/>
              </w:rPr>
            </w:pPr>
          </w:p>
          <w:p w14:paraId="7CD62B6F">
            <w:pPr>
              <w:rPr>
                <w:rFonts w:ascii="Times New Roman" w:hAnsi="Times New Roman"/>
                <w:color w:val="auto"/>
                <w:szCs w:val="21"/>
              </w:rPr>
            </w:pPr>
          </w:p>
          <w:p w14:paraId="18E2D009">
            <w:pPr>
              <w:rPr>
                <w:rFonts w:ascii="Times New Roman" w:hAnsi="Times New Roman"/>
                <w:color w:val="auto"/>
                <w:szCs w:val="21"/>
              </w:rPr>
            </w:pPr>
          </w:p>
          <w:p w14:paraId="2E4C419F">
            <w:pPr>
              <w:rPr>
                <w:rFonts w:ascii="Times New Roman" w:hAnsi="Times New Roman"/>
                <w:color w:val="auto"/>
                <w:szCs w:val="21"/>
              </w:rPr>
            </w:pPr>
          </w:p>
          <w:p w14:paraId="6D6790D9">
            <w:pPr>
              <w:rPr>
                <w:rFonts w:ascii="Times New Roman" w:hAnsi="Times New Roman"/>
                <w:color w:val="auto"/>
                <w:szCs w:val="21"/>
              </w:rPr>
            </w:pPr>
          </w:p>
          <w:p w14:paraId="3DE084A6">
            <w:pPr>
              <w:rPr>
                <w:rFonts w:ascii="Times New Roman" w:hAnsi="Times New Roman"/>
                <w:color w:val="auto"/>
                <w:szCs w:val="21"/>
              </w:rPr>
            </w:pPr>
          </w:p>
          <w:p w14:paraId="3E303F3A">
            <w:pPr>
              <w:rPr>
                <w:color w:val="auto"/>
                <w:spacing w:val="-3"/>
                <w:sz w:val="21"/>
                <w:szCs w:val="21"/>
              </w:rPr>
            </w:pPr>
          </w:p>
        </w:tc>
      </w:tr>
    </w:tbl>
    <w:p w14:paraId="01D39D6A">
      <w:pPr>
        <w:pStyle w:val="27"/>
        <w:adjustRightInd w:val="0"/>
        <w:snapToGrid w:val="0"/>
        <w:spacing w:before="0" w:beforeAutospacing="0" w:after="0" w:afterAutospacing="0"/>
        <w:jc w:val="center"/>
        <w:outlineLvl w:val="0"/>
        <w:rPr>
          <w:rFonts w:ascii="Times New Roman" w:hAnsi="Times New Roman"/>
          <w:b/>
          <w:bCs/>
          <w:snapToGrid w:val="0"/>
          <w:color w:val="auto"/>
          <w:sz w:val="30"/>
          <w:szCs w:val="30"/>
        </w:rPr>
      </w:pPr>
      <w:r>
        <w:rPr>
          <w:rFonts w:ascii="Times New Roman" w:hAnsi="Times New Roman"/>
          <w:snapToGrid w:val="0"/>
          <w:color w:val="auto"/>
        </w:rPr>
        <w:br w:type="page"/>
      </w:r>
      <w:bookmarkStart w:id="28" w:name="_Toc24787"/>
      <w:bookmarkStart w:id="29" w:name="_Toc1582"/>
      <w:r>
        <w:rPr>
          <w:rFonts w:ascii="Times New Roman" w:hAnsi="Times New Roman"/>
          <w:b/>
          <w:bCs/>
          <w:snapToGrid w:val="0"/>
          <w:color w:val="auto"/>
          <w:sz w:val="30"/>
          <w:szCs w:val="30"/>
        </w:rPr>
        <w:t>六、结论</w:t>
      </w:r>
      <w:bookmarkEnd w:id="28"/>
      <w:bookmarkEnd w:id="29"/>
    </w:p>
    <w:tbl>
      <w:tblPr>
        <w:tblStyle w:val="30"/>
        <w:tblW w:w="886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51CB6D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2228A1FE">
            <w:pPr>
              <w:spacing w:line="360" w:lineRule="auto"/>
              <w:ind w:firstLine="480" w:firstLineChars="200"/>
              <w:rPr>
                <w:color w:val="auto"/>
                <w:sz w:val="24"/>
              </w:rPr>
            </w:pPr>
            <w:r>
              <w:rPr>
                <w:color w:val="auto"/>
                <w:sz w:val="24"/>
              </w:rPr>
              <w:t>本项目的建设符合国家、地方产业政策，以及相关规划，不涉及自然保护区、风景名胜区、水源保护区等环境敏感区，与周围居民点、学校、医院等关心点距离较远，选址合理。在采取环评提出的措施后，项目产生的废气、噪声均可达标排放，</w:t>
            </w:r>
            <w:r>
              <w:rPr>
                <w:rFonts w:hint="eastAsia"/>
                <w:color w:val="auto"/>
                <w:sz w:val="24"/>
              </w:rPr>
              <w:t>废水不外排，</w:t>
            </w:r>
            <w:r>
              <w:rPr>
                <w:color w:val="auto"/>
                <w:sz w:val="24"/>
              </w:rPr>
              <w:t>固废处置率100%，对当地环境质量及主要关心点环境影响较小，符合达标排放、总量控制和不降低当地环境功能的原则要求，符合国家法律法规要求。</w:t>
            </w:r>
          </w:p>
          <w:p w14:paraId="61B4E13A">
            <w:pPr>
              <w:spacing w:line="360" w:lineRule="auto"/>
              <w:ind w:firstLine="480" w:firstLineChars="200"/>
              <w:rPr>
                <w:color w:val="auto"/>
                <w:sz w:val="24"/>
              </w:rPr>
            </w:pPr>
            <w:r>
              <w:rPr>
                <w:color w:val="auto"/>
                <w:sz w:val="24"/>
              </w:rPr>
              <w:t>本项目在严格执行环境保护“三同时”制度，严格进行环境管理，保证项目内的废气处理设施及其他环保设施的正常运行，污染物达标排放的条件下，从环境保护角度论证，本项目的建设是可行的。</w:t>
            </w:r>
          </w:p>
        </w:tc>
      </w:tr>
    </w:tbl>
    <w:p w14:paraId="45EFB4A4">
      <w:pPr>
        <w:rPr>
          <w:color w:val="auto"/>
        </w:rPr>
        <w:sectPr>
          <w:pgSz w:w="11906" w:h="16838"/>
          <w:pgMar w:top="1440" w:right="1800" w:bottom="1440" w:left="1800" w:header="851" w:footer="992" w:gutter="0"/>
          <w:pgNumType w:fmt="decimal"/>
          <w:cols w:space="425" w:num="1"/>
          <w:docGrid w:type="lines" w:linePitch="312" w:charSpace="0"/>
        </w:sectPr>
      </w:pPr>
    </w:p>
    <w:p w14:paraId="41919C36">
      <w:pPr>
        <w:pStyle w:val="27"/>
        <w:adjustRightInd w:val="0"/>
        <w:snapToGrid w:val="0"/>
        <w:spacing w:before="0" w:beforeAutospacing="0" w:after="0" w:afterAutospacing="0"/>
        <w:jc w:val="both"/>
        <w:outlineLvl w:val="0"/>
        <w:rPr>
          <w:rFonts w:ascii="Times New Roman" w:hAnsi="Times New Roman"/>
          <w:b/>
          <w:bCs/>
          <w:snapToGrid w:val="0"/>
          <w:color w:val="auto"/>
          <w:sz w:val="30"/>
          <w:szCs w:val="30"/>
        </w:rPr>
      </w:pPr>
      <w:bookmarkStart w:id="30" w:name="_Toc24156"/>
      <w:bookmarkStart w:id="31" w:name="_Toc9427"/>
      <w:bookmarkStart w:id="32" w:name="_Toc6881"/>
      <w:r>
        <w:rPr>
          <w:rFonts w:ascii="Times New Roman" w:hAnsi="Times New Roman"/>
          <w:b/>
          <w:bCs/>
          <w:snapToGrid w:val="0"/>
          <w:color w:val="auto"/>
          <w:sz w:val="30"/>
          <w:szCs w:val="30"/>
        </w:rPr>
        <w:t>附表</w:t>
      </w:r>
      <w:bookmarkEnd w:id="30"/>
      <w:bookmarkEnd w:id="31"/>
      <w:bookmarkEnd w:id="32"/>
    </w:p>
    <w:p w14:paraId="38E1FC57">
      <w:pPr>
        <w:pStyle w:val="27"/>
        <w:adjustRightInd w:val="0"/>
        <w:snapToGrid w:val="0"/>
        <w:spacing w:before="0" w:beforeAutospacing="0" w:after="0" w:afterAutospacing="0"/>
        <w:jc w:val="center"/>
        <w:rPr>
          <w:rFonts w:ascii="Times New Roman" w:hAnsi="Times New Roman"/>
          <w:snapToGrid w:val="0"/>
          <w:color w:val="auto"/>
          <w:szCs w:val="24"/>
        </w:rPr>
      </w:pPr>
      <w:bookmarkStart w:id="33" w:name="_Toc18631"/>
      <w:bookmarkStart w:id="34" w:name="_Toc29979"/>
      <w:r>
        <w:rPr>
          <w:rFonts w:ascii="Times New Roman" w:hAnsi="Times New Roman"/>
          <w:snapToGrid w:val="0"/>
          <w:color w:val="auto"/>
          <w:szCs w:val="24"/>
        </w:rPr>
        <w:t>建设项目污染物排放量汇总表</w:t>
      </w:r>
      <w:bookmarkEnd w:id="33"/>
      <w:bookmarkEnd w:id="34"/>
      <w:r>
        <w:rPr>
          <w:rFonts w:ascii="Times New Roman" w:hAnsi="Times New Roman"/>
          <w:snapToGrid w:val="0"/>
          <w:color w:val="auto"/>
          <w:szCs w:val="24"/>
        </w:rPr>
        <w:t>（单位：t/a）</w:t>
      </w:r>
    </w:p>
    <w:tbl>
      <w:tblPr>
        <w:tblStyle w:val="30"/>
        <w:tblW w:w="1378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9"/>
        <w:gridCol w:w="3255"/>
        <w:gridCol w:w="1378"/>
        <w:gridCol w:w="1488"/>
        <w:gridCol w:w="1402"/>
        <w:gridCol w:w="1415"/>
        <w:gridCol w:w="1317"/>
        <w:gridCol w:w="1627"/>
        <w:gridCol w:w="1017"/>
      </w:tblGrid>
      <w:tr w14:paraId="235036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tcBorders>
              <w:tl2br w:val="single" w:color="auto" w:sz="4" w:space="0"/>
            </w:tcBorders>
            <w:tcMar>
              <w:left w:w="28" w:type="dxa"/>
              <w:right w:w="28" w:type="dxa"/>
            </w:tcMar>
            <w:vAlign w:val="center"/>
          </w:tcPr>
          <w:p w14:paraId="0CA91F99">
            <w:pPr>
              <w:adjustRightInd w:val="0"/>
              <w:snapToGrid w:val="0"/>
              <w:jc w:val="center"/>
              <w:rPr>
                <w:color w:val="auto"/>
                <w:szCs w:val="21"/>
              </w:rPr>
            </w:pPr>
            <w:r>
              <w:rPr>
                <w:color w:val="auto"/>
                <w:szCs w:val="21"/>
              </w:rPr>
              <w:t>项目</w:t>
            </w:r>
          </w:p>
          <w:p w14:paraId="63D74311">
            <w:pPr>
              <w:adjustRightInd w:val="0"/>
              <w:snapToGrid w:val="0"/>
              <w:jc w:val="center"/>
              <w:rPr>
                <w:color w:val="auto"/>
                <w:szCs w:val="21"/>
              </w:rPr>
            </w:pPr>
            <w:r>
              <w:rPr>
                <w:color w:val="auto"/>
                <w:szCs w:val="21"/>
              </w:rPr>
              <w:t>分类</w:t>
            </w:r>
          </w:p>
        </w:tc>
        <w:tc>
          <w:tcPr>
            <w:tcW w:w="3255" w:type="dxa"/>
            <w:tcMar>
              <w:left w:w="28" w:type="dxa"/>
              <w:right w:w="28" w:type="dxa"/>
            </w:tcMar>
            <w:vAlign w:val="center"/>
          </w:tcPr>
          <w:p w14:paraId="569EE155">
            <w:pPr>
              <w:adjustRightInd w:val="0"/>
              <w:snapToGrid w:val="0"/>
              <w:jc w:val="center"/>
              <w:rPr>
                <w:color w:val="auto"/>
                <w:szCs w:val="21"/>
              </w:rPr>
            </w:pPr>
            <w:r>
              <w:rPr>
                <w:color w:val="auto"/>
                <w:szCs w:val="21"/>
              </w:rPr>
              <w:t>污染物名称</w:t>
            </w:r>
          </w:p>
        </w:tc>
        <w:tc>
          <w:tcPr>
            <w:tcW w:w="1378" w:type="dxa"/>
            <w:tcMar>
              <w:left w:w="28" w:type="dxa"/>
              <w:right w:w="28" w:type="dxa"/>
            </w:tcMar>
            <w:vAlign w:val="center"/>
          </w:tcPr>
          <w:p w14:paraId="6DA43843">
            <w:pPr>
              <w:adjustRightInd w:val="0"/>
              <w:snapToGrid w:val="0"/>
              <w:jc w:val="center"/>
              <w:rPr>
                <w:color w:val="auto"/>
                <w:szCs w:val="21"/>
              </w:rPr>
            </w:pPr>
            <w:r>
              <w:rPr>
                <w:color w:val="auto"/>
                <w:szCs w:val="21"/>
              </w:rPr>
              <w:t>现有工程排放量（固体废物产生量）</w:t>
            </w:r>
            <w:r>
              <w:rPr>
                <w:color w:val="auto"/>
                <w:szCs w:val="21"/>
              </w:rPr>
              <w:fldChar w:fldCharType="begin"/>
            </w:r>
            <w:r>
              <w:rPr>
                <w:color w:val="auto"/>
                <w:szCs w:val="21"/>
              </w:rPr>
              <w:instrText xml:space="preserve"> = 1 \* GB3 \* MERGEFORMAT </w:instrText>
            </w:r>
            <w:r>
              <w:rPr>
                <w:color w:val="auto"/>
                <w:szCs w:val="21"/>
              </w:rPr>
              <w:fldChar w:fldCharType="separate"/>
            </w:r>
            <w:r>
              <w:rPr>
                <w:color w:val="auto"/>
                <w:szCs w:val="21"/>
              </w:rPr>
              <w:t>①</w:t>
            </w:r>
            <w:r>
              <w:rPr>
                <w:color w:val="auto"/>
                <w:szCs w:val="21"/>
              </w:rPr>
              <w:fldChar w:fldCharType="end"/>
            </w:r>
          </w:p>
        </w:tc>
        <w:tc>
          <w:tcPr>
            <w:tcW w:w="1488" w:type="dxa"/>
            <w:tcMar>
              <w:left w:w="28" w:type="dxa"/>
              <w:right w:w="28" w:type="dxa"/>
            </w:tcMar>
            <w:vAlign w:val="center"/>
          </w:tcPr>
          <w:p w14:paraId="1FDE84BF">
            <w:pPr>
              <w:adjustRightInd w:val="0"/>
              <w:snapToGrid w:val="0"/>
              <w:jc w:val="center"/>
              <w:rPr>
                <w:color w:val="auto"/>
                <w:szCs w:val="21"/>
              </w:rPr>
            </w:pPr>
            <w:r>
              <w:rPr>
                <w:color w:val="auto"/>
                <w:szCs w:val="21"/>
              </w:rPr>
              <w:t>现有工程许可排放量</w:t>
            </w:r>
            <w:r>
              <w:rPr>
                <w:color w:val="auto"/>
                <w:szCs w:val="21"/>
              </w:rPr>
              <w:fldChar w:fldCharType="begin"/>
            </w:r>
            <w:r>
              <w:rPr>
                <w:color w:val="auto"/>
                <w:szCs w:val="21"/>
              </w:rPr>
              <w:instrText xml:space="preserve"> = 2 \* GB3 \* MERGEFORMAT </w:instrText>
            </w:r>
            <w:r>
              <w:rPr>
                <w:color w:val="auto"/>
                <w:szCs w:val="21"/>
              </w:rPr>
              <w:fldChar w:fldCharType="separate"/>
            </w:r>
            <w:r>
              <w:rPr>
                <w:color w:val="auto"/>
                <w:szCs w:val="21"/>
              </w:rPr>
              <w:t>②</w:t>
            </w:r>
            <w:r>
              <w:rPr>
                <w:color w:val="auto"/>
                <w:szCs w:val="21"/>
              </w:rPr>
              <w:fldChar w:fldCharType="end"/>
            </w:r>
          </w:p>
        </w:tc>
        <w:tc>
          <w:tcPr>
            <w:tcW w:w="1402" w:type="dxa"/>
            <w:tcMar>
              <w:left w:w="28" w:type="dxa"/>
              <w:right w:w="28" w:type="dxa"/>
            </w:tcMar>
            <w:vAlign w:val="center"/>
          </w:tcPr>
          <w:p w14:paraId="73C81574">
            <w:pPr>
              <w:adjustRightInd w:val="0"/>
              <w:snapToGrid w:val="0"/>
              <w:jc w:val="center"/>
              <w:rPr>
                <w:color w:val="auto"/>
                <w:szCs w:val="21"/>
              </w:rPr>
            </w:pPr>
            <w:r>
              <w:rPr>
                <w:color w:val="auto"/>
                <w:szCs w:val="21"/>
              </w:rPr>
              <w:t>在建工程排放量（固体废物产生量）</w:t>
            </w:r>
            <w:r>
              <w:rPr>
                <w:color w:val="auto"/>
                <w:szCs w:val="21"/>
              </w:rPr>
              <w:fldChar w:fldCharType="begin"/>
            </w:r>
            <w:r>
              <w:rPr>
                <w:color w:val="auto"/>
                <w:szCs w:val="21"/>
              </w:rPr>
              <w:instrText xml:space="preserve"> = 3 \* GB3 \* MERGEFORMAT </w:instrText>
            </w:r>
            <w:r>
              <w:rPr>
                <w:color w:val="auto"/>
                <w:szCs w:val="21"/>
              </w:rPr>
              <w:fldChar w:fldCharType="separate"/>
            </w:r>
            <w:r>
              <w:rPr>
                <w:color w:val="auto"/>
                <w:szCs w:val="21"/>
              </w:rPr>
              <w:t>③</w:t>
            </w:r>
            <w:r>
              <w:rPr>
                <w:color w:val="auto"/>
                <w:szCs w:val="21"/>
              </w:rPr>
              <w:fldChar w:fldCharType="end"/>
            </w:r>
          </w:p>
        </w:tc>
        <w:tc>
          <w:tcPr>
            <w:tcW w:w="1415" w:type="dxa"/>
            <w:tcMar>
              <w:left w:w="28" w:type="dxa"/>
              <w:right w:w="28" w:type="dxa"/>
            </w:tcMar>
            <w:vAlign w:val="center"/>
          </w:tcPr>
          <w:p w14:paraId="7721E68B">
            <w:pPr>
              <w:adjustRightInd w:val="0"/>
              <w:snapToGrid w:val="0"/>
              <w:jc w:val="center"/>
              <w:rPr>
                <w:color w:val="auto"/>
                <w:szCs w:val="21"/>
              </w:rPr>
            </w:pPr>
            <w:r>
              <w:rPr>
                <w:color w:val="auto"/>
                <w:szCs w:val="21"/>
              </w:rPr>
              <w:t>本项目排放量（固体废物产生量）</w:t>
            </w:r>
            <w:r>
              <w:rPr>
                <w:color w:val="auto"/>
                <w:szCs w:val="21"/>
              </w:rPr>
              <w:fldChar w:fldCharType="begin"/>
            </w:r>
            <w:r>
              <w:rPr>
                <w:color w:val="auto"/>
                <w:szCs w:val="21"/>
              </w:rPr>
              <w:instrText xml:space="preserve"> = 4 \* GB3 \* MERGEFORMAT </w:instrText>
            </w:r>
            <w:r>
              <w:rPr>
                <w:color w:val="auto"/>
                <w:szCs w:val="21"/>
              </w:rPr>
              <w:fldChar w:fldCharType="separate"/>
            </w:r>
            <w:r>
              <w:rPr>
                <w:color w:val="auto"/>
                <w:szCs w:val="21"/>
              </w:rPr>
              <w:t>④</w:t>
            </w:r>
            <w:r>
              <w:rPr>
                <w:color w:val="auto"/>
                <w:szCs w:val="21"/>
              </w:rPr>
              <w:fldChar w:fldCharType="end"/>
            </w:r>
          </w:p>
        </w:tc>
        <w:tc>
          <w:tcPr>
            <w:tcW w:w="1317" w:type="dxa"/>
            <w:tcMar>
              <w:left w:w="28" w:type="dxa"/>
              <w:right w:w="28" w:type="dxa"/>
            </w:tcMar>
            <w:vAlign w:val="center"/>
          </w:tcPr>
          <w:p w14:paraId="5B739339">
            <w:pPr>
              <w:adjustRightInd w:val="0"/>
              <w:snapToGrid w:val="0"/>
              <w:jc w:val="center"/>
              <w:rPr>
                <w:color w:val="auto"/>
                <w:szCs w:val="21"/>
              </w:rPr>
            </w:pPr>
            <w:r>
              <w:rPr>
                <w:color w:val="auto"/>
                <w:szCs w:val="21"/>
              </w:rPr>
              <w:t>以新带老削减量（新建项目不填）</w:t>
            </w:r>
            <w:r>
              <w:rPr>
                <w:color w:val="auto"/>
                <w:szCs w:val="21"/>
              </w:rPr>
              <w:fldChar w:fldCharType="begin"/>
            </w:r>
            <w:r>
              <w:rPr>
                <w:color w:val="auto"/>
                <w:szCs w:val="21"/>
              </w:rPr>
              <w:instrText xml:space="preserve"> = 5 \* GB3 \* MERGEFORMAT </w:instrText>
            </w:r>
            <w:r>
              <w:rPr>
                <w:color w:val="auto"/>
                <w:szCs w:val="21"/>
              </w:rPr>
              <w:fldChar w:fldCharType="separate"/>
            </w:r>
            <w:r>
              <w:rPr>
                <w:color w:val="auto"/>
                <w:szCs w:val="21"/>
              </w:rPr>
              <w:t>⑤</w:t>
            </w:r>
            <w:r>
              <w:rPr>
                <w:color w:val="auto"/>
                <w:szCs w:val="21"/>
              </w:rPr>
              <w:fldChar w:fldCharType="end"/>
            </w:r>
          </w:p>
        </w:tc>
        <w:tc>
          <w:tcPr>
            <w:tcW w:w="1627" w:type="dxa"/>
            <w:tcMar>
              <w:left w:w="28" w:type="dxa"/>
              <w:right w:w="28" w:type="dxa"/>
            </w:tcMar>
            <w:vAlign w:val="center"/>
          </w:tcPr>
          <w:p w14:paraId="14CF28ED">
            <w:pPr>
              <w:adjustRightInd w:val="0"/>
              <w:snapToGrid w:val="0"/>
              <w:jc w:val="center"/>
              <w:rPr>
                <w:color w:val="auto"/>
                <w:szCs w:val="21"/>
              </w:rPr>
            </w:pPr>
            <w:r>
              <w:rPr>
                <w:color w:val="auto"/>
                <w:szCs w:val="21"/>
              </w:rPr>
              <w:t>本项目建成后全厂排放量（固体废物产生量）</w:t>
            </w:r>
            <w:r>
              <w:rPr>
                <w:color w:val="auto"/>
                <w:szCs w:val="21"/>
              </w:rPr>
              <w:fldChar w:fldCharType="begin"/>
            </w:r>
            <w:r>
              <w:rPr>
                <w:color w:val="auto"/>
                <w:szCs w:val="21"/>
              </w:rPr>
              <w:instrText xml:space="preserve"> = 6 \* GB3 \* MERGEFORMAT </w:instrText>
            </w:r>
            <w:r>
              <w:rPr>
                <w:color w:val="auto"/>
                <w:szCs w:val="21"/>
              </w:rPr>
              <w:fldChar w:fldCharType="separate"/>
            </w:r>
            <w:r>
              <w:rPr>
                <w:color w:val="auto"/>
                <w:szCs w:val="21"/>
              </w:rPr>
              <w:t>⑥</w:t>
            </w:r>
            <w:r>
              <w:rPr>
                <w:color w:val="auto"/>
                <w:szCs w:val="21"/>
              </w:rPr>
              <w:fldChar w:fldCharType="end"/>
            </w:r>
          </w:p>
        </w:tc>
        <w:tc>
          <w:tcPr>
            <w:tcW w:w="1017" w:type="dxa"/>
            <w:tcMar>
              <w:left w:w="28" w:type="dxa"/>
              <w:right w:w="28" w:type="dxa"/>
            </w:tcMar>
            <w:vAlign w:val="center"/>
          </w:tcPr>
          <w:p w14:paraId="73097F94">
            <w:pPr>
              <w:adjustRightInd w:val="0"/>
              <w:snapToGrid w:val="0"/>
              <w:jc w:val="center"/>
              <w:rPr>
                <w:color w:val="auto"/>
                <w:szCs w:val="21"/>
              </w:rPr>
            </w:pPr>
            <w:r>
              <w:rPr>
                <w:color w:val="auto"/>
                <w:szCs w:val="21"/>
              </w:rPr>
              <w:t>变化量</w:t>
            </w:r>
          </w:p>
          <w:p w14:paraId="0475F1B6">
            <w:pPr>
              <w:adjustRightInd w:val="0"/>
              <w:snapToGrid w:val="0"/>
              <w:jc w:val="center"/>
              <w:rPr>
                <w:color w:val="auto"/>
                <w:szCs w:val="21"/>
              </w:rPr>
            </w:pPr>
            <w:r>
              <w:rPr>
                <w:color w:val="auto"/>
                <w:szCs w:val="21"/>
              </w:rPr>
              <w:fldChar w:fldCharType="begin"/>
            </w:r>
            <w:r>
              <w:rPr>
                <w:color w:val="auto"/>
                <w:szCs w:val="21"/>
              </w:rPr>
              <w:instrText xml:space="preserve"> = 7 \* GB3 \* MERGEFORMAT </w:instrText>
            </w:r>
            <w:r>
              <w:rPr>
                <w:color w:val="auto"/>
                <w:szCs w:val="21"/>
              </w:rPr>
              <w:fldChar w:fldCharType="separate"/>
            </w:r>
            <w:r>
              <w:rPr>
                <w:color w:val="auto"/>
                <w:szCs w:val="21"/>
              </w:rPr>
              <w:t>⑦</w:t>
            </w:r>
            <w:r>
              <w:rPr>
                <w:color w:val="auto"/>
                <w:szCs w:val="21"/>
              </w:rPr>
              <w:fldChar w:fldCharType="end"/>
            </w:r>
          </w:p>
        </w:tc>
      </w:tr>
      <w:tr w14:paraId="0A8B26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vMerge w:val="restart"/>
            <w:vAlign w:val="center"/>
          </w:tcPr>
          <w:p w14:paraId="57805445">
            <w:pPr>
              <w:adjustRightInd w:val="0"/>
              <w:snapToGrid w:val="0"/>
              <w:jc w:val="center"/>
              <w:rPr>
                <w:color w:val="auto"/>
                <w:szCs w:val="21"/>
              </w:rPr>
            </w:pPr>
            <w:r>
              <w:rPr>
                <w:color w:val="auto"/>
                <w:szCs w:val="21"/>
              </w:rPr>
              <w:t>废气</w:t>
            </w:r>
          </w:p>
        </w:tc>
        <w:tc>
          <w:tcPr>
            <w:tcW w:w="3255" w:type="dxa"/>
            <w:vAlign w:val="center"/>
          </w:tcPr>
          <w:p w14:paraId="0316551E">
            <w:pPr>
              <w:snapToGrid w:val="0"/>
              <w:spacing w:afterLines="0"/>
              <w:jc w:val="center"/>
              <w:rPr>
                <w:color w:val="auto"/>
                <w:szCs w:val="21"/>
              </w:rPr>
            </w:pPr>
            <w:r>
              <w:rPr>
                <w:rFonts w:hint="default" w:ascii="Times New Roman" w:hAnsi="Times New Roman" w:eastAsia="宋体" w:cs="Times New Roman"/>
                <w:b w:val="0"/>
                <w:bCs/>
                <w:color w:val="auto"/>
                <w:spacing w:val="-10"/>
                <w:sz w:val="21"/>
                <w:szCs w:val="21"/>
                <w:highlight w:val="none"/>
                <w:vertAlign w:val="baseline"/>
                <w:lang w:val="en-US" w:eastAsia="zh-CN"/>
              </w:rPr>
              <w:t>颗粒物</w:t>
            </w:r>
          </w:p>
        </w:tc>
        <w:tc>
          <w:tcPr>
            <w:tcW w:w="1378" w:type="dxa"/>
            <w:vAlign w:val="center"/>
          </w:tcPr>
          <w:p w14:paraId="1B4E32FE">
            <w:pPr>
              <w:adjustRightInd w:val="0"/>
              <w:snapToGrid w:val="0"/>
              <w:jc w:val="center"/>
              <w:rPr>
                <w:color w:val="auto"/>
                <w:szCs w:val="21"/>
              </w:rPr>
            </w:pPr>
            <w:r>
              <w:rPr>
                <w:color w:val="auto"/>
                <w:szCs w:val="21"/>
              </w:rPr>
              <w:t>/</w:t>
            </w:r>
          </w:p>
        </w:tc>
        <w:tc>
          <w:tcPr>
            <w:tcW w:w="1488" w:type="dxa"/>
            <w:vAlign w:val="center"/>
          </w:tcPr>
          <w:p w14:paraId="6769CE5F">
            <w:pPr>
              <w:adjustRightInd w:val="0"/>
              <w:snapToGrid w:val="0"/>
              <w:jc w:val="center"/>
              <w:rPr>
                <w:color w:val="auto"/>
                <w:szCs w:val="21"/>
              </w:rPr>
            </w:pPr>
            <w:r>
              <w:rPr>
                <w:color w:val="auto"/>
                <w:szCs w:val="21"/>
              </w:rPr>
              <w:t>/</w:t>
            </w:r>
          </w:p>
        </w:tc>
        <w:tc>
          <w:tcPr>
            <w:tcW w:w="1402" w:type="dxa"/>
            <w:vAlign w:val="center"/>
          </w:tcPr>
          <w:p w14:paraId="00A8CBB2">
            <w:pPr>
              <w:adjustRightInd w:val="0"/>
              <w:snapToGrid w:val="0"/>
              <w:jc w:val="center"/>
              <w:rPr>
                <w:color w:val="auto"/>
                <w:szCs w:val="21"/>
              </w:rPr>
            </w:pPr>
            <w:r>
              <w:rPr>
                <w:color w:val="auto"/>
                <w:szCs w:val="21"/>
              </w:rPr>
              <w:t>/</w:t>
            </w:r>
          </w:p>
        </w:tc>
        <w:tc>
          <w:tcPr>
            <w:tcW w:w="1415" w:type="dxa"/>
            <w:vAlign w:val="center"/>
          </w:tcPr>
          <w:p w14:paraId="1FA0D65C">
            <w:pPr>
              <w:keepNext w:val="0"/>
              <w:keepLines w:val="0"/>
              <w:widowControl/>
              <w:suppressLineNumbers w:val="0"/>
              <w:jc w:val="center"/>
              <w:textAlignment w:val="center"/>
              <w:rPr>
                <w:rFonts w:hint="default"/>
                <w:color w:val="auto"/>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0019</w:t>
            </w:r>
          </w:p>
        </w:tc>
        <w:tc>
          <w:tcPr>
            <w:tcW w:w="1317" w:type="dxa"/>
            <w:vAlign w:val="center"/>
          </w:tcPr>
          <w:p w14:paraId="2E1C8DB6">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627" w:type="dxa"/>
            <w:vAlign w:val="center"/>
          </w:tcPr>
          <w:p w14:paraId="06848915">
            <w:pPr>
              <w:keepNext w:val="0"/>
              <w:keepLines w:val="0"/>
              <w:widowControl/>
              <w:suppressLineNumbers w:val="0"/>
              <w:jc w:val="center"/>
              <w:textAlignment w:val="center"/>
              <w:rPr>
                <w:rFonts w:hint="default"/>
                <w:color w:val="auto"/>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0019</w:t>
            </w:r>
          </w:p>
        </w:tc>
        <w:tc>
          <w:tcPr>
            <w:tcW w:w="1017" w:type="dxa"/>
            <w:vAlign w:val="center"/>
          </w:tcPr>
          <w:p w14:paraId="2DF46FA0">
            <w:pPr>
              <w:keepNext w:val="0"/>
              <w:keepLines w:val="0"/>
              <w:widowControl/>
              <w:suppressLineNumbers w:val="0"/>
              <w:jc w:val="center"/>
              <w:textAlignment w:val="center"/>
              <w:rPr>
                <w:rFonts w:hint="default"/>
                <w:color w:val="auto"/>
                <w:szCs w:val="21"/>
                <w:lang w:val="en-US"/>
              </w:rPr>
            </w:pP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0019</w:t>
            </w:r>
          </w:p>
        </w:tc>
      </w:tr>
      <w:tr w14:paraId="7703E2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vMerge w:val="continue"/>
            <w:vAlign w:val="center"/>
          </w:tcPr>
          <w:p w14:paraId="32982A7F">
            <w:pPr>
              <w:adjustRightInd w:val="0"/>
              <w:snapToGrid w:val="0"/>
              <w:jc w:val="center"/>
              <w:rPr>
                <w:color w:val="auto"/>
                <w:szCs w:val="21"/>
              </w:rPr>
            </w:pPr>
          </w:p>
        </w:tc>
        <w:tc>
          <w:tcPr>
            <w:tcW w:w="3255" w:type="dxa"/>
            <w:vAlign w:val="center"/>
          </w:tcPr>
          <w:p w14:paraId="7FA7D8C8">
            <w:pPr>
              <w:keepNext w:val="0"/>
              <w:keepLines w:val="0"/>
              <w:pageBreakBefore w:val="0"/>
              <w:widowControl w:val="0"/>
              <w:kinsoku/>
              <w:wordWrap/>
              <w:overflowPunct/>
              <w:topLinePunct w:val="0"/>
              <w:autoSpaceDE/>
              <w:autoSpaceDN/>
              <w:bidi w:val="0"/>
              <w:adjustRightInd w:val="0"/>
              <w:snapToGrid w:val="0"/>
              <w:ind w:left="0" w:leftChars="0" w:right="0" w:rightChars="0" w:firstLine="0" w:firstLineChars="0"/>
              <w:jc w:val="center"/>
              <w:rPr>
                <w:color w:val="auto"/>
                <w:szCs w:val="21"/>
              </w:rPr>
            </w:pPr>
            <w:r>
              <w:rPr>
                <w:rFonts w:hint="default" w:ascii="Times New Roman" w:hAnsi="Times New Roman" w:eastAsia="宋体" w:cs="Times New Roman"/>
                <w:color w:val="auto"/>
                <w:sz w:val="21"/>
                <w:szCs w:val="21"/>
                <w:lang w:val="en-US" w:eastAsia="zh-CN"/>
              </w:rPr>
              <w:t>非甲烷总烃</w:t>
            </w:r>
          </w:p>
        </w:tc>
        <w:tc>
          <w:tcPr>
            <w:tcW w:w="1378" w:type="dxa"/>
            <w:vAlign w:val="center"/>
          </w:tcPr>
          <w:p w14:paraId="6734DEDF">
            <w:pPr>
              <w:adjustRightInd w:val="0"/>
              <w:snapToGrid w:val="0"/>
              <w:jc w:val="center"/>
              <w:rPr>
                <w:color w:val="auto"/>
                <w:szCs w:val="21"/>
              </w:rPr>
            </w:pPr>
            <w:r>
              <w:rPr>
                <w:color w:val="auto"/>
                <w:szCs w:val="21"/>
              </w:rPr>
              <w:t>/</w:t>
            </w:r>
          </w:p>
        </w:tc>
        <w:tc>
          <w:tcPr>
            <w:tcW w:w="1488" w:type="dxa"/>
            <w:vAlign w:val="center"/>
          </w:tcPr>
          <w:p w14:paraId="0B1A05DF">
            <w:pPr>
              <w:adjustRightInd w:val="0"/>
              <w:snapToGrid w:val="0"/>
              <w:jc w:val="center"/>
              <w:rPr>
                <w:color w:val="auto"/>
                <w:szCs w:val="21"/>
              </w:rPr>
            </w:pPr>
            <w:r>
              <w:rPr>
                <w:color w:val="auto"/>
                <w:szCs w:val="21"/>
              </w:rPr>
              <w:t>/</w:t>
            </w:r>
          </w:p>
        </w:tc>
        <w:tc>
          <w:tcPr>
            <w:tcW w:w="1402" w:type="dxa"/>
            <w:vAlign w:val="center"/>
          </w:tcPr>
          <w:p w14:paraId="596982BA">
            <w:pPr>
              <w:adjustRightInd w:val="0"/>
              <w:snapToGrid w:val="0"/>
              <w:jc w:val="center"/>
              <w:rPr>
                <w:color w:val="auto"/>
                <w:szCs w:val="21"/>
              </w:rPr>
            </w:pPr>
            <w:r>
              <w:rPr>
                <w:color w:val="auto"/>
                <w:szCs w:val="21"/>
              </w:rPr>
              <w:t>/</w:t>
            </w:r>
          </w:p>
        </w:tc>
        <w:tc>
          <w:tcPr>
            <w:tcW w:w="1415" w:type="dxa"/>
            <w:vAlign w:val="center"/>
          </w:tcPr>
          <w:p w14:paraId="231B5FAD">
            <w:pPr>
              <w:keepNext w:val="0"/>
              <w:keepLines w:val="0"/>
              <w:widowControl/>
              <w:suppressLineNumbers w:val="0"/>
              <w:jc w:val="center"/>
              <w:textAlignment w:val="center"/>
              <w:rPr>
                <w:rFonts w:hint="eastAsia"/>
                <w:color w:val="auto"/>
                <w:szCs w:val="21"/>
                <w:lang w:val="en-US" w:eastAsia="zh-CN"/>
              </w:rPr>
            </w:pPr>
            <w:r>
              <w:rPr>
                <w:rFonts w:hint="eastAsia" w:cs="Times New Roman"/>
                <w:i w:val="0"/>
                <w:iCs w:val="0"/>
                <w:color w:val="auto"/>
                <w:kern w:val="0"/>
                <w:sz w:val="21"/>
                <w:szCs w:val="21"/>
                <w:u w:val="none"/>
                <w:lang w:val="en-US" w:eastAsia="zh-CN" w:bidi="ar"/>
              </w:rPr>
              <w:t>8.4476</w:t>
            </w:r>
          </w:p>
        </w:tc>
        <w:tc>
          <w:tcPr>
            <w:tcW w:w="1317" w:type="dxa"/>
            <w:vAlign w:val="center"/>
          </w:tcPr>
          <w:p w14:paraId="70788527">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627" w:type="dxa"/>
            <w:vAlign w:val="center"/>
          </w:tcPr>
          <w:p w14:paraId="6ECA9C27">
            <w:pPr>
              <w:keepNext w:val="0"/>
              <w:keepLines w:val="0"/>
              <w:widowControl/>
              <w:suppressLineNumbers w:val="0"/>
              <w:jc w:val="center"/>
              <w:textAlignment w:val="center"/>
              <w:rPr>
                <w:rFonts w:hint="eastAsia"/>
                <w:color w:val="auto"/>
                <w:szCs w:val="21"/>
                <w:lang w:val="en-US" w:eastAsia="zh-CN"/>
              </w:rPr>
            </w:pPr>
            <w:r>
              <w:rPr>
                <w:rFonts w:hint="eastAsia" w:cs="Times New Roman"/>
                <w:i w:val="0"/>
                <w:iCs w:val="0"/>
                <w:color w:val="auto"/>
                <w:kern w:val="0"/>
                <w:sz w:val="21"/>
                <w:szCs w:val="21"/>
                <w:u w:val="none"/>
                <w:lang w:val="en-US" w:eastAsia="zh-CN" w:bidi="ar"/>
              </w:rPr>
              <w:t>8.4476</w:t>
            </w:r>
          </w:p>
        </w:tc>
        <w:tc>
          <w:tcPr>
            <w:tcW w:w="1017" w:type="dxa"/>
            <w:vAlign w:val="center"/>
          </w:tcPr>
          <w:p w14:paraId="3E4E7024">
            <w:pPr>
              <w:keepNext w:val="0"/>
              <w:keepLines w:val="0"/>
              <w:widowControl/>
              <w:suppressLineNumbers w:val="0"/>
              <w:jc w:val="center"/>
              <w:textAlignment w:val="center"/>
              <w:rPr>
                <w:rFonts w:hint="eastAsia"/>
                <w:color w:val="auto"/>
                <w:szCs w:val="21"/>
              </w:rPr>
            </w:pPr>
            <w:r>
              <w:rPr>
                <w:rFonts w:hint="eastAsia" w:cs="Times New Roman"/>
                <w:i w:val="0"/>
                <w:iCs w:val="0"/>
                <w:color w:val="auto"/>
                <w:kern w:val="0"/>
                <w:sz w:val="21"/>
                <w:szCs w:val="21"/>
                <w:u w:val="none"/>
                <w:lang w:val="en-US" w:eastAsia="zh-CN" w:bidi="ar"/>
              </w:rPr>
              <w:t>+8.4476</w:t>
            </w:r>
          </w:p>
        </w:tc>
      </w:tr>
      <w:tr w14:paraId="4931AA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vMerge w:val="continue"/>
            <w:vAlign w:val="center"/>
          </w:tcPr>
          <w:p w14:paraId="62060A80">
            <w:pPr>
              <w:adjustRightInd w:val="0"/>
              <w:snapToGrid w:val="0"/>
              <w:jc w:val="center"/>
              <w:rPr>
                <w:color w:val="auto"/>
                <w:szCs w:val="21"/>
              </w:rPr>
            </w:pPr>
          </w:p>
        </w:tc>
        <w:tc>
          <w:tcPr>
            <w:tcW w:w="3255" w:type="dxa"/>
            <w:vAlign w:val="center"/>
          </w:tcPr>
          <w:p w14:paraId="1FAB126E">
            <w:pPr>
              <w:keepNext w:val="0"/>
              <w:keepLines w:val="0"/>
              <w:widowControl/>
              <w:suppressLineNumbers w:val="0"/>
              <w:jc w:val="center"/>
              <w:textAlignment w:val="center"/>
              <w:rPr>
                <w:color w:val="auto"/>
                <w:szCs w:val="21"/>
              </w:rPr>
            </w:pPr>
            <w:r>
              <w:rPr>
                <w:rFonts w:hint="eastAsia" w:cs="Times New Roman"/>
                <w:color w:val="auto"/>
                <w:sz w:val="21"/>
                <w:szCs w:val="21"/>
                <w:lang w:val="en-US" w:eastAsia="zh-CN"/>
              </w:rPr>
              <w:t>臭气浓度</w:t>
            </w:r>
          </w:p>
        </w:tc>
        <w:tc>
          <w:tcPr>
            <w:tcW w:w="1378" w:type="dxa"/>
            <w:vAlign w:val="center"/>
          </w:tcPr>
          <w:p w14:paraId="275FB301">
            <w:pPr>
              <w:adjustRightInd w:val="0"/>
              <w:snapToGrid w:val="0"/>
              <w:jc w:val="center"/>
              <w:rPr>
                <w:color w:val="auto"/>
                <w:szCs w:val="21"/>
              </w:rPr>
            </w:pPr>
            <w:r>
              <w:rPr>
                <w:color w:val="auto"/>
                <w:szCs w:val="21"/>
              </w:rPr>
              <w:t>/</w:t>
            </w:r>
          </w:p>
        </w:tc>
        <w:tc>
          <w:tcPr>
            <w:tcW w:w="1488" w:type="dxa"/>
            <w:vAlign w:val="center"/>
          </w:tcPr>
          <w:p w14:paraId="74807D0F">
            <w:pPr>
              <w:adjustRightInd w:val="0"/>
              <w:snapToGrid w:val="0"/>
              <w:jc w:val="center"/>
              <w:rPr>
                <w:color w:val="auto"/>
                <w:szCs w:val="21"/>
              </w:rPr>
            </w:pPr>
            <w:r>
              <w:rPr>
                <w:color w:val="auto"/>
                <w:szCs w:val="21"/>
              </w:rPr>
              <w:t>/</w:t>
            </w:r>
          </w:p>
        </w:tc>
        <w:tc>
          <w:tcPr>
            <w:tcW w:w="1402" w:type="dxa"/>
            <w:vAlign w:val="center"/>
          </w:tcPr>
          <w:p w14:paraId="59E9019B">
            <w:pPr>
              <w:adjustRightInd w:val="0"/>
              <w:snapToGrid w:val="0"/>
              <w:jc w:val="center"/>
              <w:rPr>
                <w:color w:val="auto"/>
                <w:szCs w:val="21"/>
              </w:rPr>
            </w:pPr>
            <w:r>
              <w:rPr>
                <w:color w:val="auto"/>
                <w:szCs w:val="21"/>
              </w:rPr>
              <w:t>/</w:t>
            </w:r>
          </w:p>
        </w:tc>
        <w:tc>
          <w:tcPr>
            <w:tcW w:w="1415" w:type="dxa"/>
            <w:vAlign w:val="center"/>
          </w:tcPr>
          <w:p w14:paraId="5FA41FB8">
            <w:pPr>
              <w:keepNext w:val="0"/>
              <w:keepLines w:val="0"/>
              <w:widowControl/>
              <w:suppressLineNumbers w:val="0"/>
              <w:jc w:val="center"/>
              <w:textAlignment w:val="center"/>
              <w:rPr>
                <w:rFonts w:hint="default" w:eastAsia="宋体"/>
                <w:color w:val="auto"/>
                <w:szCs w:val="21"/>
                <w:lang w:val="en-US" w:eastAsia="zh-CN"/>
              </w:rPr>
            </w:pPr>
            <w:r>
              <w:rPr>
                <w:rFonts w:hint="eastAsia" w:cs="Times New Roman"/>
                <w:color w:val="auto"/>
                <w:sz w:val="21"/>
                <w:szCs w:val="21"/>
                <w:lang w:val="en-US" w:eastAsia="zh-CN"/>
              </w:rPr>
              <w:t>少量</w:t>
            </w:r>
          </w:p>
        </w:tc>
        <w:tc>
          <w:tcPr>
            <w:tcW w:w="1317" w:type="dxa"/>
            <w:vAlign w:val="center"/>
          </w:tcPr>
          <w:p w14:paraId="03A98171">
            <w:pPr>
              <w:adjustRightInd w:val="0"/>
              <w:snapToGrid w:val="0"/>
              <w:jc w:val="center"/>
              <w:rPr>
                <w:color w:val="auto"/>
                <w:szCs w:val="21"/>
              </w:rPr>
            </w:pPr>
            <w:r>
              <w:rPr>
                <w:color w:val="auto"/>
                <w:szCs w:val="21"/>
              </w:rPr>
              <w:t>/</w:t>
            </w:r>
          </w:p>
        </w:tc>
        <w:tc>
          <w:tcPr>
            <w:tcW w:w="1627" w:type="dxa"/>
            <w:vAlign w:val="center"/>
          </w:tcPr>
          <w:p w14:paraId="12F01F60">
            <w:pPr>
              <w:keepNext w:val="0"/>
              <w:keepLines w:val="0"/>
              <w:widowControl/>
              <w:suppressLineNumbers w:val="0"/>
              <w:jc w:val="center"/>
              <w:textAlignment w:val="center"/>
              <w:rPr>
                <w:rFonts w:hint="default" w:eastAsia="宋体"/>
                <w:color w:val="auto"/>
                <w:szCs w:val="21"/>
                <w:lang w:val="en-US" w:eastAsia="zh-CN"/>
              </w:rPr>
            </w:pPr>
            <w:r>
              <w:rPr>
                <w:rFonts w:hint="eastAsia" w:cs="Times New Roman"/>
                <w:color w:val="auto"/>
                <w:sz w:val="21"/>
                <w:szCs w:val="21"/>
                <w:lang w:val="en-US" w:eastAsia="zh-CN"/>
              </w:rPr>
              <w:t>少量</w:t>
            </w:r>
          </w:p>
        </w:tc>
        <w:tc>
          <w:tcPr>
            <w:tcW w:w="1017" w:type="dxa"/>
            <w:vAlign w:val="center"/>
          </w:tcPr>
          <w:p w14:paraId="5751916D">
            <w:pPr>
              <w:keepNext w:val="0"/>
              <w:keepLines w:val="0"/>
              <w:widowControl/>
              <w:suppressLineNumbers w:val="0"/>
              <w:jc w:val="center"/>
              <w:textAlignment w:val="center"/>
              <w:rPr>
                <w:rFonts w:hint="default" w:eastAsia="宋体"/>
                <w:color w:val="auto"/>
                <w:szCs w:val="21"/>
                <w:lang w:val="en-US" w:eastAsia="zh-CN"/>
              </w:rPr>
            </w:pPr>
            <w:r>
              <w:rPr>
                <w:rFonts w:hint="eastAsia" w:cs="Times New Roman"/>
                <w:color w:val="auto"/>
                <w:sz w:val="21"/>
                <w:szCs w:val="21"/>
                <w:lang w:val="en-US" w:eastAsia="zh-CN"/>
              </w:rPr>
              <w:t>+少量</w:t>
            </w:r>
          </w:p>
        </w:tc>
      </w:tr>
      <w:tr w14:paraId="40C14E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889" w:type="dxa"/>
            <w:vAlign w:val="center"/>
          </w:tcPr>
          <w:p w14:paraId="2441A27D">
            <w:pPr>
              <w:adjustRightInd w:val="0"/>
              <w:snapToGrid w:val="0"/>
              <w:jc w:val="center"/>
              <w:rPr>
                <w:color w:val="auto"/>
                <w:szCs w:val="21"/>
              </w:rPr>
            </w:pPr>
            <w:r>
              <w:rPr>
                <w:color w:val="auto"/>
                <w:szCs w:val="21"/>
              </w:rPr>
              <w:t>废水</w:t>
            </w:r>
          </w:p>
        </w:tc>
        <w:tc>
          <w:tcPr>
            <w:tcW w:w="3255" w:type="dxa"/>
            <w:vAlign w:val="center"/>
          </w:tcPr>
          <w:p w14:paraId="7CD65283">
            <w:pPr>
              <w:adjustRightInd w:val="0"/>
              <w:snapToGrid w:val="0"/>
              <w:jc w:val="center"/>
              <w:rPr>
                <w:color w:val="auto"/>
                <w:szCs w:val="21"/>
              </w:rPr>
            </w:pPr>
            <w:r>
              <w:rPr>
                <w:color w:val="auto"/>
                <w:szCs w:val="21"/>
              </w:rPr>
              <w:t>/</w:t>
            </w:r>
          </w:p>
        </w:tc>
        <w:tc>
          <w:tcPr>
            <w:tcW w:w="1378" w:type="dxa"/>
            <w:vAlign w:val="center"/>
          </w:tcPr>
          <w:p w14:paraId="3C754530">
            <w:pPr>
              <w:adjustRightInd w:val="0"/>
              <w:snapToGrid w:val="0"/>
              <w:jc w:val="center"/>
              <w:rPr>
                <w:color w:val="auto"/>
                <w:szCs w:val="21"/>
              </w:rPr>
            </w:pPr>
            <w:r>
              <w:rPr>
                <w:color w:val="auto"/>
                <w:szCs w:val="21"/>
              </w:rPr>
              <w:t>/</w:t>
            </w:r>
          </w:p>
        </w:tc>
        <w:tc>
          <w:tcPr>
            <w:tcW w:w="1488" w:type="dxa"/>
            <w:vAlign w:val="center"/>
          </w:tcPr>
          <w:p w14:paraId="28D6BDDC">
            <w:pPr>
              <w:adjustRightInd w:val="0"/>
              <w:snapToGrid w:val="0"/>
              <w:jc w:val="center"/>
              <w:rPr>
                <w:color w:val="auto"/>
                <w:szCs w:val="21"/>
              </w:rPr>
            </w:pPr>
            <w:r>
              <w:rPr>
                <w:color w:val="auto"/>
                <w:szCs w:val="21"/>
              </w:rPr>
              <w:t>/</w:t>
            </w:r>
          </w:p>
        </w:tc>
        <w:tc>
          <w:tcPr>
            <w:tcW w:w="1402" w:type="dxa"/>
            <w:vAlign w:val="center"/>
          </w:tcPr>
          <w:p w14:paraId="7AD6E133">
            <w:pPr>
              <w:adjustRightInd w:val="0"/>
              <w:snapToGrid w:val="0"/>
              <w:jc w:val="center"/>
              <w:rPr>
                <w:color w:val="auto"/>
                <w:szCs w:val="21"/>
              </w:rPr>
            </w:pPr>
            <w:r>
              <w:rPr>
                <w:color w:val="auto"/>
                <w:szCs w:val="21"/>
              </w:rPr>
              <w:t>/</w:t>
            </w:r>
          </w:p>
        </w:tc>
        <w:tc>
          <w:tcPr>
            <w:tcW w:w="1415" w:type="dxa"/>
            <w:vAlign w:val="center"/>
          </w:tcPr>
          <w:p w14:paraId="774DE194">
            <w:pPr>
              <w:adjustRightInd w:val="0"/>
              <w:snapToGrid w:val="0"/>
              <w:jc w:val="center"/>
              <w:rPr>
                <w:color w:val="auto"/>
                <w:szCs w:val="21"/>
              </w:rPr>
            </w:pPr>
            <w:r>
              <w:rPr>
                <w:color w:val="auto"/>
                <w:szCs w:val="21"/>
              </w:rPr>
              <w:t>/</w:t>
            </w:r>
          </w:p>
        </w:tc>
        <w:tc>
          <w:tcPr>
            <w:tcW w:w="1317" w:type="dxa"/>
            <w:vAlign w:val="center"/>
          </w:tcPr>
          <w:p w14:paraId="21DEF70B">
            <w:pPr>
              <w:adjustRightInd w:val="0"/>
              <w:snapToGrid w:val="0"/>
              <w:jc w:val="center"/>
              <w:rPr>
                <w:color w:val="auto"/>
                <w:szCs w:val="21"/>
              </w:rPr>
            </w:pPr>
            <w:r>
              <w:rPr>
                <w:color w:val="auto"/>
                <w:szCs w:val="21"/>
              </w:rPr>
              <w:t>/</w:t>
            </w:r>
          </w:p>
        </w:tc>
        <w:tc>
          <w:tcPr>
            <w:tcW w:w="1627" w:type="dxa"/>
            <w:vAlign w:val="center"/>
          </w:tcPr>
          <w:p w14:paraId="41C1CBD2">
            <w:pPr>
              <w:adjustRightInd w:val="0"/>
              <w:snapToGrid w:val="0"/>
              <w:jc w:val="center"/>
              <w:rPr>
                <w:color w:val="auto"/>
                <w:kern w:val="0"/>
                <w:szCs w:val="21"/>
                <w:lang w:bidi="ar"/>
              </w:rPr>
            </w:pPr>
            <w:r>
              <w:rPr>
                <w:color w:val="auto"/>
                <w:szCs w:val="21"/>
              </w:rPr>
              <w:t>/</w:t>
            </w:r>
          </w:p>
        </w:tc>
        <w:tc>
          <w:tcPr>
            <w:tcW w:w="1017" w:type="dxa"/>
            <w:vAlign w:val="center"/>
          </w:tcPr>
          <w:p w14:paraId="5F71B2AF">
            <w:pPr>
              <w:adjustRightInd w:val="0"/>
              <w:snapToGrid w:val="0"/>
              <w:jc w:val="center"/>
              <w:rPr>
                <w:color w:val="auto"/>
                <w:kern w:val="0"/>
                <w:szCs w:val="21"/>
                <w:lang w:bidi="ar"/>
              </w:rPr>
            </w:pPr>
            <w:r>
              <w:rPr>
                <w:color w:val="auto"/>
                <w:szCs w:val="21"/>
              </w:rPr>
              <w:t>/</w:t>
            </w:r>
          </w:p>
        </w:tc>
      </w:tr>
      <w:tr w14:paraId="11085C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vMerge w:val="restart"/>
            <w:vAlign w:val="center"/>
          </w:tcPr>
          <w:p w14:paraId="1CA0ADB8">
            <w:pPr>
              <w:adjustRightInd w:val="0"/>
              <w:snapToGrid w:val="0"/>
              <w:jc w:val="center"/>
              <w:rPr>
                <w:color w:val="auto"/>
                <w:szCs w:val="21"/>
              </w:rPr>
            </w:pPr>
            <w:r>
              <w:rPr>
                <w:color w:val="auto"/>
                <w:szCs w:val="21"/>
              </w:rPr>
              <w:t>一般固体废物</w:t>
            </w:r>
          </w:p>
        </w:tc>
        <w:tc>
          <w:tcPr>
            <w:tcW w:w="3255" w:type="dxa"/>
            <w:vAlign w:val="center"/>
          </w:tcPr>
          <w:p w14:paraId="1C120487">
            <w:pPr>
              <w:adjustRightInd w:val="0"/>
              <w:snapToGrid w:val="0"/>
              <w:jc w:val="center"/>
              <w:rPr>
                <w:rFonts w:hint="eastAsia" w:ascii="Times New Roman" w:hAnsi="Times New Roman" w:eastAsia="宋体" w:cs="Times New Roman"/>
                <w:color w:val="auto"/>
                <w:szCs w:val="21"/>
              </w:rPr>
            </w:pPr>
            <w:r>
              <w:rPr>
                <w:rFonts w:hint="default" w:ascii="Times New Roman" w:hAnsi="Times New Roman" w:eastAsia="宋体" w:cs="Times New Roman"/>
                <w:color w:val="auto"/>
                <w:szCs w:val="21"/>
              </w:rPr>
              <w:t>废包装材料</w:t>
            </w:r>
          </w:p>
        </w:tc>
        <w:tc>
          <w:tcPr>
            <w:tcW w:w="1378" w:type="dxa"/>
            <w:vAlign w:val="center"/>
          </w:tcPr>
          <w:p w14:paraId="2790B75F">
            <w:pPr>
              <w:adjustRightInd w:val="0"/>
              <w:snapToGrid w:val="0"/>
              <w:jc w:val="center"/>
              <w:rPr>
                <w:color w:val="auto"/>
                <w:kern w:val="0"/>
                <w:szCs w:val="21"/>
                <w:lang w:bidi="ar"/>
              </w:rPr>
            </w:pPr>
            <w:r>
              <w:rPr>
                <w:color w:val="auto"/>
                <w:szCs w:val="21"/>
              </w:rPr>
              <w:t>/</w:t>
            </w:r>
          </w:p>
        </w:tc>
        <w:tc>
          <w:tcPr>
            <w:tcW w:w="1488" w:type="dxa"/>
            <w:vAlign w:val="center"/>
          </w:tcPr>
          <w:p w14:paraId="4E45A600">
            <w:pPr>
              <w:adjustRightInd w:val="0"/>
              <w:snapToGrid w:val="0"/>
              <w:jc w:val="center"/>
              <w:rPr>
                <w:color w:val="auto"/>
                <w:szCs w:val="21"/>
              </w:rPr>
            </w:pPr>
            <w:r>
              <w:rPr>
                <w:color w:val="auto"/>
                <w:szCs w:val="21"/>
              </w:rPr>
              <w:t>/</w:t>
            </w:r>
          </w:p>
        </w:tc>
        <w:tc>
          <w:tcPr>
            <w:tcW w:w="1402" w:type="dxa"/>
            <w:vAlign w:val="center"/>
          </w:tcPr>
          <w:p w14:paraId="253E0314">
            <w:pPr>
              <w:adjustRightInd w:val="0"/>
              <w:snapToGrid w:val="0"/>
              <w:jc w:val="center"/>
              <w:rPr>
                <w:color w:val="auto"/>
                <w:szCs w:val="21"/>
              </w:rPr>
            </w:pPr>
            <w:r>
              <w:rPr>
                <w:color w:val="auto"/>
                <w:szCs w:val="21"/>
              </w:rPr>
              <w:t>/</w:t>
            </w:r>
          </w:p>
        </w:tc>
        <w:tc>
          <w:tcPr>
            <w:tcW w:w="1415" w:type="dxa"/>
            <w:vAlign w:val="center"/>
          </w:tcPr>
          <w:p w14:paraId="7F267F7E">
            <w:pPr>
              <w:adjustRightInd w:val="0"/>
              <w:snapToGrid w:val="0"/>
              <w:jc w:val="center"/>
              <w:rPr>
                <w:rFonts w:hint="default" w:eastAsia="宋体"/>
                <w:color w:val="auto"/>
                <w:szCs w:val="21"/>
                <w:lang w:val="en-US" w:eastAsia="zh-CN"/>
              </w:rPr>
            </w:pPr>
            <w:r>
              <w:rPr>
                <w:rFonts w:hint="eastAsia"/>
                <w:color w:val="auto"/>
                <w:szCs w:val="21"/>
                <w:lang w:val="en-US" w:eastAsia="zh-CN"/>
              </w:rPr>
              <w:t>52.4172</w:t>
            </w:r>
          </w:p>
        </w:tc>
        <w:tc>
          <w:tcPr>
            <w:tcW w:w="1317" w:type="dxa"/>
            <w:vAlign w:val="center"/>
          </w:tcPr>
          <w:p w14:paraId="2001699B">
            <w:pPr>
              <w:adjustRightInd w:val="0"/>
              <w:snapToGrid w:val="0"/>
              <w:jc w:val="center"/>
              <w:rPr>
                <w:color w:val="auto"/>
                <w:szCs w:val="21"/>
              </w:rPr>
            </w:pPr>
            <w:r>
              <w:rPr>
                <w:color w:val="auto"/>
                <w:szCs w:val="21"/>
              </w:rPr>
              <w:t>/</w:t>
            </w:r>
          </w:p>
        </w:tc>
        <w:tc>
          <w:tcPr>
            <w:tcW w:w="1627" w:type="dxa"/>
            <w:vAlign w:val="center"/>
          </w:tcPr>
          <w:p w14:paraId="5A5670D8">
            <w:pPr>
              <w:adjustRightInd w:val="0"/>
              <w:snapToGrid w:val="0"/>
              <w:jc w:val="center"/>
              <w:rPr>
                <w:rFonts w:hint="default" w:eastAsia="宋体"/>
                <w:color w:val="auto"/>
                <w:kern w:val="0"/>
                <w:szCs w:val="21"/>
                <w:lang w:val="en-US" w:eastAsia="zh-CN" w:bidi="ar"/>
              </w:rPr>
            </w:pPr>
            <w:r>
              <w:rPr>
                <w:rFonts w:hint="eastAsia"/>
                <w:color w:val="auto"/>
                <w:szCs w:val="21"/>
                <w:lang w:val="en-US" w:eastAsia="zh-CN"/>
              </w:rPr>
              <w:t>52.4172</w:t>
            </w:r>
          </w:p>
        </w:tc>
        <w:tc>
          <w:tcPr>
            <w:tcW w:w="1017" w:type="dxa"/>
            <w:vAlign w:val="center"/>
          </w:tcPr>
          <w:p w14:paraId="3D837D3E">
            <w:pPr>
              <w:adjustRightInd w:val="0"/>
              <w:snapToGrid w:val="0"/>
              <w:jc w:val="center"/>
              <w:rPr>
                <w:rFonts w:hint="default" w:eastAsia="宋体"/>
                <w:color w:val="auto"/>
                <w:kern w:val="0"/>
                <w:szCs w:val="21"/>
                <w:lang w:val="en-US" w:eastAsia="zh-CN" w:bidi="ar"/>
              </w:rPr>
            </w:pPr>
            <w:r>
              <w:rPr>
                <w:rFonts w:hint="eastAsia"/>
                <w:color w:val="auto"/>
                <w:szCs w:val="21"/>
                <w:lang w:val="en-US" w:eastAsia="zh-CN"/>
              </w:rPr>
              <w:t>+52.4172</w:t>
            </w:r>
          </w:p>
        </w:tc>
      </w:tr>
      <w:tr w14:paraId="14FAE9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89" w:type="dxa"/>
            <w:vMerge w:val="continue"/>
            <w:vAlign w:val="center"/>
          </w:tcPr>
          <w:p w14:paraId="174EECBD">
            <w:pPr>
              <w:adjustRightInd w:val="0"/>
              <w:snapToGrid w:val="0"/>
              <w:jc w:val="center"/>
              <w:rPr>
                <w:color w:val="auto"/>
                <w:szCs w:val="21"/>
              </w:rPr>
            </w:pPr>
          </w:p>
        </w:tc>
        <w:tc>
          <w:tcPr>
            <w:tcW w:w="3255" w:type="dxa"/>
            <w:vAlign w:val="center"/>
          </w:tcPr>
          <w:p w14:paraId="155EB501">
            <w:pPr>
              <w:adjustRightInd w:val="0"/>
              <w:snapToGrid w:val="0"/>
              <w:jc w:val="center"/>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边角料、不合格产品</w:t>
            </w:r>
            <w:r>
              <w:rPr>
                <w:rFonts w:hint="eastAsia" w:ascii="Times New Roman" w:hAnsi="Times New Roman" w:eastAsia="宋体" w:cs="Times New Roman"/>
                <w:color w:val="auto"/>
                <w:szCs w:val="21"/>
                <w:lang w:eastAsia="zh-CN"/>
              </w:rPr>
              <w:t>、</w:t>
            </w:r>
            <w:r>
              <w:rPr>
                <w:rFonts w:hint="eastAsia" w:ascii="Times New Roman" w:hAnsi="Times New Roman" w:eastAsia="宋体" w:cs="Times New Roman"/>
                <w:color w:val="auto"/>
                <w:szCs w:val="21"/>
                <w:lang w:val="en-US" w:eastAsia="zh-CN"/>
              </w:rPr>
              <w:t>未成形产品</w:t>
            </w:r>
          </w:p>
        </w:tc>
        <w:tc>
          <w:tcPr>
            <w:tcW w:w="1378" w:type="dxa"/>
            <w:vAlign w:val="center"/>
          </w:tcPr>
          <w:p w14:paraId="6071101C">
            <w:pPr>
              <w:adjustRightInd w:val="0"/>
              <w:snapToGrid w:val="0"/>
              <w:jc w:val="center"/>
              <w:rPr>
                <w:color w:val="auto"/>
                <w:kern w:val="0"/>
                <w:szCs w:val="21"/>
                <w:lang w:bidi="ar"/>
              </w:rPr>
            </w:pPr>
            <w:r>
              <w:rPr>
                <w:color w:val="auto"/>
                <w:szCs w:val="21"/>
              </w:rPr>
              <w:t>/</w:t>
            </w:r>
          </w:p>
        </w:tc>
        <w:tc>
          <w:tcPr>
            <w:tcW w:w="1488" w:type="dxa"/>
            <w:vAlign w:val="center"/>
          </w:tcPr>
          <w:p w14:paraId="4E7E3937">
            <w:pPr>
              <w:adjustRightInd w:val="0"/>
              <w:snapToGrid w:val="0"/>
              <w:jc w:val="center"/>
              <w:rPr>
                <w:color w:val="auto"/>
                <w:szCs w:val="21"/>
              </w:rPr>
            </w:pPr>
            <w:r>
              <w:rPr>
                <w:color w:val="auto"/>
                <w:szCs w:val="21"/>
              </w:rPr>
              <w:t>/</w:t>
            </w:r>
          </w:p>
        </w:tc>
        <w:tc>
          <w:tcPr>
            <w:tcW w:w="1402" w:type="dxa"/>
            <w:vAlign w:val="center"/>
          </w:tcPr>
          <w:p w14:paraId="252756B7">
            <w:pPr>
              <w:adjustRightInd w:val="0"/>
              <w:snapToGrid w:val="0"/>
              <w:jc w:val="center"/>
              <w:rPr>
                <w:color w:val="auto"/>
                <w:szCs w:val="21"/>
              </w:rPr>
            </w:pPr>
            <w:r>
              <w:rPr>
                <w:color w:val="auto"/>
                <w:szCs w:val="21"/>
              </w:rPr>
              <w:t>/</w:t>
            </w:r>
          </w:p>
        </w:tc>
        <w:tc>
          <w:tcPr>
            <w:tcW w:w="1415" w:type="dxa"/>
            <w:vAlign w:val="center"/>
          </w:tcPr>
          <w:p w14:paraId="48175CFB">
            <w:pPr>
              <w:adjustRightInd w:val="0"/>
              <w:snapToGrid w:val="0"/>
              <w:jc w:val="center"/>
              <w:rPr>
                <w:rFonts w:hint="default" w:eastAsia="宋体"/>
                <w:color w:val="auto"/>
                <w:szCs w:val="21"/>
                <w:lang w:val="en-US" w:eastAsia="zh-CN"/>
              </w:rPr>
            </w:pPr>
            <w:r>
              <w:rPr>
                <w:rFonts w:hint="eastAsia"/>
                <w:color w:val="auto"/>
                <w:szCs w:val="21"/>
                <w:lang w:val="en-US" w:eastAsia="zh-CN"/>
              </w:rPr>
              <w:t>21.7275</w:t>
            </w:r>
          </w:p>
        </w:tc>
        <w:tc>
          <w:tcPr>
            <w:tcW w:w="1317" w:type="dxa"/>
            <w:vAlign w:val="center"/>
          </w:tcPr>
          <w:p w14:paraId="03A0C2CF">
            <w:pPr>
              <w:adjustRightInd w:val="0"/>
              <w:snapToGrid w:val="0"/>
              <w:jc w:val="center"/>
              <w:rPr>
                <w:color w:val="auto"/>
                <w:szCs w:val="21"/>
              </w:rPr>
            </w:pPr>
            <w:r>
              <w:rPr>
                <w:color w:val="auto"/>
                <w:szCs w:val="21"/>
              </w:rPr>
              <w:t>/</w:t>
            </w:r>
          </w:p>
        </w:tc>
        <w:tc>
          <w:tcPr>
            <w:tcW w:w="1627" w:type="dxa"/>
            <w:vAlign w:val="center"/>
          </w:tcPr>
          <w:p w14:paraId="09AA1D56">
            <w:pPr>
              <w:adjustRightInd w:val="0"/>
              <w:snapToGrid w:val="0"/>
              <w:jc w:val="center"/>
              <w:rPr>
                <w:color w:val="auto"/>
                <w:kern w:val="0"/>
                <w:szCs w:val="21"/>
                <w:lang w:bidi="ar"/>
              </w:rPr>
            </w:pPr>
            <w:r>
              <w:rPr>
                <w:rFonts w:hint="eastAsia"/>
                <w:color w:val="auto"/>
                <w:szCs w:val="21"/>
                <w:lang w:val="en-US" w:eastAsia="zh-CN"/>
              </w:rPr>
              <w:t>21.7275</w:t>
            </w:r>
          </w:p>
        </w:tc>
        <w:tc>
          <w:tcPr>
            <w:tcW w:w="1017" w:type="dxa"/>
            <w:vAlign w:val="center"/>
          </w:tcPr>
          <w:p w14:paraId="1A2BB2A1">
            <w:pPr>
              <w:adjustRightInd w:val="0"/>
              <w:snapToGrid w:val="0"/>
              <w:jc w:val="center"/>
              <w:rPr>
                <w:color w:val="auto"/>
                <w:kern w:val="0"/>
                <w:szCs w:val="21"/>
                <w:lang w:bidi="ar"/>
              </w:rPr>
            </w:pPr>
            <w:r>
              <w:rPr>
                <w:rFonts w:hint="eastAsia"/>
                <w:color w:val="auto"/>
                <w:szCs w:val="21"/>
                <w:lang w:val="en-US" w:eastAsia="zh-CN"/>
              </w:rPr>
              <w:t>+21.7275</w:t>
            </w:r>
          </w:p>
        </w:tc>
      </w:tr>
      <w:tr w14:paraId="1B725D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vMerge w:val="continue"/>
            <w:vAlign w:val="center"/>
          </w:tcPr>
          <w:p w14:paraId="237D1433">
            <w:pPr>
              <w:adjustRightInd w:val="0"/>
              <w:snapToGrid w:val="0"/>
              <w:jc w:val="center"/>
              <w:rPr>
                <w:color w:val="auto"/>
                <w:szCs w:val="21"/>
              </w:rPr>
            </w:pPr>
          </w:p>
        </w:tc>
        <w:tc>
          <w:tcPr>
            <w:tcW w:w="3255" w:type="dxa"/>
            <w:vAlign w:val="center"/>
          </w:tcPr>
          <w:p w14:paraId="64B391FF">
            <w:pPr>
              <w:adjustRightInd w:val="0"/>
              <w:snapToGrid w:val="0"/>
              <w:jc w:val="center"/>
              <w:rPr>
                <w:rFonts w:hint="eastAsia" w:ascii="Times New Roman" w:hAnsi="Times New Roman" w:eastAsia="宋体" w:cs="Times New Roman"/>
                <w:color w:val="auto"/>
                <w:szCs w:val="21"/>
                <w:lang w:eastAsia="zh-CN"/>
              </w:rPr>
            </w:pPr>
            <w:r>
              <w:rPr>
                <w:rFonts w:hint="eastAsia" w:cs="Times New Roman"/>
                <w:color w:val="auto"/>
                <w:szCs w:val="21"/>
                <w:lang w:eastAsia="zh-CN"/>
              </w:rPr>
              <w:t>布袋除尘器除尘灰</w:t>
            </w:r>
          </w:p>
        </w:tc>
        <w:tc>
          <w:tcPr>
            <w:tcW w:w="1378" w:type="dxa"/>
            <w:vAlign w:val="center"/>
          </w:tcPr>
          <w:p w14:paraId="576D518E">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488" w:type="dxa"/>
            <w:vAlign w:val="center"/>
          </w:tcPr>
          <w:p w14:paraId="5141D5B2">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402" w:type="dxa"/>
            <w:vAlign w:val="center"/>
          </w:tcPr>
          <w:p w14:paraId="751DA7AD">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415" w:type="dxa"/>
            <w:vAlign w:val="center"/>
          </w:tcPr>
          <w:p w14:paraId="26B2366A">
            <w:pPr>
              <w:adjustRightInd w:val="0"/>
              <w:snapToGrid w:val="0"/>
              <w:jc w:val="center"/>
              <w:rPr>
                <w:rFonts w:hint="default"/>
                <w:color w:val="auto"/>
                <w:szCs w:val="21"/>
                <w:lang w:val="en-US" w:eastAsia="zh-CN"/>
              </w:rPr>
            </w:pPr>
            <w:r>
              <w:rPr>
                <w:rFonts w:hint="eastAsia"/>
                <w:color w:val="auto"/>
                <w:szCs w:val="21"/>
                <w:lang w:val="en-US" w:eastAsia="zh-CN"/>
              </w:rPr>
              <w:t>0.0062</w:t>
            </w:r>
          </w:p>
        </w:tc>
        <w:tc>
          <w:tcPr>
            <w:tcW w:w="1317" w:type="dxa"/>
            <w:vAlign w:val="center"/>
          </w:tcPr>
          <w:p w14:paraId="1384470A">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627" w:type="dxa"/>
            <w:vAlign w:val="center"/>
          </w:tcPr>
          <w:p w14:paraId="5758D30A">
            <w:pPr>
              <w:adjustRightInd w:val="0"/>
              <w:snapToGrid w:val="0"/>
              <w:jc w:val="center"/>
              <w:rPr>
                <w:rFonts w:hint="default"/>
                <w:color w:val="auto"/>
                <w:szCs w:val="21"/>
                <w:lang w:val="en-US" w:eastAsia="zh-CN"/>
              </w:rPr>
            </w:pPr>
            <w:r>
              <w:rPr>
                <w:rFonts w:hint="eastAsia"/>
                <w:color w:val="auto"/>
                <w:szCs w:val="21"/>
                <w:lang w:val="en-US" w:eastAsia="zh-CN"/>
              </w:rPr>
              <w:t>0.0062</w:t>
            </w:r>
          </w:p>
        </w:tc>
        <w:tc>
          <w:tcPr>
            <w:tcW w:w="1017" w:type="dxa"/>
            <w:vAlign w:val="center"/>
          </w:tcPr>
          <w:p w14:paraId="0D6F91FF">
            <w:pPr>
              <w:adjustRightInd w:val="0"/>
              <w:snapToGrid w:val="0"/>
              <w:jc w:val="center"/>
              <w:rPr>
                <w:rFonts w:hint="default"/>
                <w:color w:val="auto"/>
                <w:szCs w:val="21"/>
                <w:lang w:val="en-US" w:eastAsia="zh-CN"/>
              </w:rPr>
            </w:pPr>
            <w:r>
              <w:rPr>
                <w:rFonts w:hint="eastAsia"/>
                <w:color w:val="auto"/>
                <w:szCs w:val="21"/>
                <w:lang w:val="en-US" w:eastAsia="zh-CN"/>
              </w:rPr>
              <w:t>+0.0062</w:t>
            </w:r>
          </w:p>
        </w:tc>
      </w:tr>
      <w:tr w14:paraId="39771A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vMerge w:val="continue"/>
            <w:vAlign w:val="center"/>
          </w:tcPr>
          <w:p w14:paraId="4287303B">
            <w:pPr>
              <w:adjustRightInd w:val="0"/>
              <w:snapToGrid w:val="0"/>
              <w:jc w:val="center"/>
              <w:rPr>
                <w:color w:val="auto"/>
                <w:szCs w:val="21"/>
              </w:rPr>
            </w:pPr>
          </w:p>
        </w:tc>
        <w:tc>
          <w:tcPr>
            <w:tcW w:w="3255" w:type="dxa"/>
            <w:vAlign w:val="center"/>
          </w:tcPr>
          <w:p w14:paraId="546815C7">
            <w:pPr>
              <w:adjustRightInd w:val="0"/>
              <w:snapToGrid w:val="0"/>
              <w:jc w:val="center"/>
              <w:rPr>
                <w:rFonts w:hint="default" w:cs="Times New Roman"/>
                <w:color w:val="auto"/>
                <w:szCs w:val="21"/>
                <w:lang w:val="en-US" w:eastAsia="zh-CN"/>
              </w:rPr>
            </w:pPr>
            <w:r>
              <w:rPr>
                <w:rFonts w:hint="eastAsia" w:cs="Times New Roman"/>
                <w:color w:val="auto"/>
                <w:szCs w:val="21"/>
                <w:lang w:val="en-US" w:eastAsia="zh-CN"/>
              </w:rPr>
              <w:t>需保养的模具</w:t>
            </w:r>
          </w:p>
        </w:tc>
        <w:tc>
          <w:tcPr>
            <w:tcW w:w="1378" w:type="dxa"/>
            <w:vAlign w:val="center"/>
          </w:tcPr>
          <w:p w14:paraId="25DF5632">
            <w:pPr>
              <w:adjustRightInd w:val="0"/>
              <w:snapToGrid w:val="0"/>
              <w:jc w:val="center"/>
              <w:rPr>
                <w:rFonts w:hint="eastAsia"/>
                <w:color w:val="auto"/>
                <w:szCs w:val="21"/>
                <w:lang w:val="en-US" w:eastAsia="zh-CN"/>
              </w:rPr>
            </w:pPr>
            <w:r>
              <w:rPr>
                <w:rFonts w:hint="eastAsia"/>
                <w:color w:val="auto"/>
                <w:szCs w:val="21"/>
                <w:lang w:val="en-US" w:eastAsia="zh-CN"/>
              </w:rPr>
              <w:t>/</w:t>
            </w:r>
          </w:p>
        </w:tc>
        <w:tc>
          <w:tcPr>
            <w:tcW w:w="1488" w:type="dxa"/>
            <w:vAlign w:val="center"/>
          </w:tcPr>
          <w:p w14:paraId="48DFA6D2">
            <w:pPr>
              <w:adjustRightInd w:val="0"/>
              <w:snapToGrid w:val="0"/>
              <w:jc w:val="center"/>
              <w:rPr>
                <w:rFonts w:hint="eastAsia"/>
                <w:color w:val="auto"/>
                <w:szCs w:val="21"/>
                <w:lang w:val="en-US" w:eastAsia="zh-CN"/>
              </w:rPr>
            </w:pPr>
            <w:r>
              <w:rPr>
                <w:rFonts w:hint="eastAsia"/>
                <w:color w:val="auto"/>
                <w:szCs w:val="21"/>
                <w:lang w:val="en-US" w:eastAsia="zh-CN"/>
              </w:rPr>
              <w:t>/</w:t>
            </w:r>
          </w:p>
        </w:tc>
        <w:tc>
          <w:tcPr>
            <w:tcW w:w="1402" w:type="dxa"/>
            <w:vAlign w:val="center"/>
          </w:tcPr>
          <w:p w14:paraId="70FD484D">
            <w:pPr>
              <w:adjustRightInd w:val="0"/>
              <w:snapToGrid w:val="0"/>
              <w:jc w:val="center"/>
              <w:rPr>
                <w:rFonts w:hint="eastAsia"/>
                <w:color w:val="auto"/>
                <w:szCs w:val="21"/>
                <w:lang w:val="en-US" w:eastAsia="zh-CN"/>
              </w:rPr>
            </w:pPr>
            <w:r>
              <w:rPr>
                <w:rFonts w:hint="eastAsia"/>
                <w:color w:val="auto"/>
                <w:szCs w:val="21"/>
                <w:lang w:val="en-US" w:eastAsia="zh-CN"/>
              </w:rPr>
              <w:t>/</w:t>
            </w:r>
          </w:p>
        </w:tc>
        <w:tc>
          <w:tcPr>
            <w:tcW w:w="1415" w:type="dxa"/>
            <w:vAlign w:val="center"/>
          </w:tcPr>
          <w:p w14:paraId="415D8D1A">
            <w:pPr>
              <w:adjustRightInd w:val="0"/>
              <w:snapToGrid w:val="0"/>
              <w:jc w:val="center"/>
              <w:rPr>
                <w:rFonts w:hint="default"/>
                <w:color w:val="auto"/>
                <w:szCs w:val="21"/>
                <w:lang w:val="en-US" w:eastAsia="zh-CN"/>
              </w:rPr>
            </w:pPr>
            <w:r>
              <w:rPr>
                <w:rFonts w:hint="eastAsia"/>
                <w:color w:val="auto"/>
                <w:szCs w:val="21"/>
                <w:lang w:val="en-US" w:eastAsia="zh-CN"/>
              </w:rPr>
              <w:t>4次/a</w:t>
            </w:r>
          </w:p>
        </w:tc>
        <w:tc>
          <w:tcPr>
            <w:tcW w:w="1317" w:type="dxa"/>
            <w:vAlign w:val="center"/>
          </w:tcPr>
          <w:p w14:paraId="17D38DDD">
            <w:pPr>
              <w:adjustRightInd w:val="0"/>
              <w:snapToGrid w:val="0"/>
              <w:jc w:val="center"/>
              <w:rPr>
                <w:rFonts w:hint="default"/>
                <w:color w:val="auto"/>
                <w:szCs w:val="21"/>
                <w:lang w:val="en-US" w:eastAsia="zh-CN"/>
              </w:rPr>
            </w:pPr>
            <w:r>
              <w:rPr>
                <w:rFonts w:hint="eastAsia"/>
                <w:color w:val="auto"/>
                <w:szCs w:val="21"/>
                <w:lang w:val="en-US" w:eastAsia="zh-CN"/>
              </w:rPr>
              <w:t>/</w:t>
            </w:r>
          </w:p>
        </w:tc>
        <w:tc>
          <w:tcPr>
            <w:tcW w:w="1627" w:type="dxa"/>
            <w:vAlign w:val="center"/>
          </w:tcPr>
          <w:p w14:paraId="2B223DF4">
            <w:pPr>
              <w:adjustRightInd w:val="0"/>
              <w:snapToGrid w:val="0"/>
              <w:jc w:val="center"/>
              <w:rPr>
                <w:rFonts w:hint="eastAsia"/>
                <w:color w:val="auto"/>
                <w:szCs w:val="21"/>
                <w:lang w:val="en-US" w:eastAsia="zh-CN"/>
              </w:rPr>
            </w:pPr>
            <w:r>
              <w:rPr>
                <w:rFonts w:hint="eastAsia"/>
                <w:color w:val="auto"/>
                <w:szCs w:val="21"/>
                <w:lang w:val="en-US" w:eastAsia="zh-CN"/>
              </w:rPr>
              <w:t>4次/a</w:t>
            </w:r>
          </w:p>
        </w:tc>
        <w:tc>
          <w:tcPr>
            <w:tcW w:w="1017" w:type="dxa"/>
            <w:vAlign w:val="center"/>
          </w:tcPr>
          <w:p w14:paraId="32175F0D">
            <w:pPr>
              <w:adjustRightInd w:val="0"/>
              <w:snapToGrid w:val="0"/>
              <w:jc w:val="center"/>
              <w:rPr>
                <w:rFonts w:hint="eastAsia"/>
                <w:color w:val="auto"/>
                <w:szCs w:val="21"/>
                <w:lang w:val="en-US" w:eastAsia="zh-CN"/>
              </w:rPr>
            </w:pPr>
            <w:r>
              <w:rPr>
                <w:rFonts w:hint="eastAsia"/>
                <w:color w:val="auto"/>
                <w:szCs w:val="21"/>
                <w:lang w:val="en-US" w:eastAsia="zh-CN"/>
              </w:rPr>
              <w:t>+4次/a</w:t>
            </w:r>
          </w:p>
        </w:tc>
      </w:tr>
      <w:tr w14:paraId="18196E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7" w:hRule="atLeast"/>
          <w:jc w:val="center"/>
        </w:trPr>
        <w:tc>
          <w:tcPr>
            <w:tcW w:w="889" w:type="dxa"/>
            <w:vMerge w:val="continue"/>
            <w:vAlign w:val="center"/>
          </w:tcPr>
          <w:p w14:paraId="753B90C2">
            <w:pPr>
              <w:adjustRightInd w:val="0"/>
              <w:snapToGrid w:val="0"/>
              <w:jc w:val="center"/>
              <w:rPr>
                <w:color w:val="auto"/>
              </w:rPr>
            </w:pPr>
          </w:p>
        </w:tc>
        <w:tc>
          <w:tcPr>
            <w:tcW w:w="3255" w:type="dxa"/>
            <w:vAlign w:val="center"/>
          </w:tcPr>
          <w:p w14:paraId="0F2E0F07">
            <w:pPr>
              <w:adjustRightInd w:val="0"/>
              <w:snapToGrid w:val="0"/>
              <w:jc w:val="center"/>
              <w:rPr>
                <w:color w:val="auto"/>
                <w:szCs w:val="21"/>
              </w:rPr>
            </w:pPr>
            <w:r>
              <w:rPr>
                <w:rFonts w:hint="eastAsia"/>
                <w:color w:val="auto"/>
                <w:szCs w:val="21"/>
              </w:rPr>
              <w:t>生活垃圾</w:t>
            </w:r>
          </w:p>
        </w:tc>
        <w:tc>
          <w:tcPr>
            <w:tcW w:w="1378" w:type="dxa"/>
            <w:vAlign w:val="center"/>
          </w:tcPr>
          <w:p w14:paraId="696725DB">
            <w:pPr>
              <w:adjustRightInd w:val="0"/>
              <w:snapToGrid w:val="0"/>
              <w:jc w:val="center"/>
              <w:rPr>
                <w:color w:val="auto"/>
                <w:szCs w:val="21"/>
              </w:rPr>
            </w:pPr>
            <w:r>
              <w:rPr>
                <w:color w:val="auto"/>
                <w:szCs w:val="21"/>
              </w:rPr>
              <w:t>/</w:t>
            </w:r>
          </w:p>
        </w:tc>
        <w:tc>
          <w:tcPr>
            <w:tcW w:w="1488" w:type="dxa"/>
            <w:vAlign w:val="center"/>
          </w:tcPr>
          <w:p w14:paraId="11FF05E1">
            <w:pPr>
              <w:adjustRightInd w:val="0"/>
              <w:snapToGrid w:val="0"/>
              <w:jc w:val="center"/>
              <w:rPr>
                <w:color w:val="auto"/>
                <w:szCs w:val="21"/>
              </w:rPr>
            </w:pPr>
            <w:r>
              <w:rPr>
                <w:color w:val="auto"/>
                <w:szCs w:val="21"/>
              </w:rPr>
              <w:t>/</w:t>
            </w:r>
          </w:p>
        </w:tc>
        <w:tc>
          <w:tcPr>
            <w:tcW w:w="1402" w:type="dxa"/>
            <w:vAlign w:val="center"/>
          </w:tcPr>
          <w:p w14:paraId="068FB09A">
            <w:pPr>
              <w:adjustRightInd w:val="0"/>
              <w:snapToGrid w:val="0"/>
              <w:jc w:val="center"/>
              <w:rPr>
                <w:color w:val="auto"/>
                <w:szCs w:val="21"/>
              </w:rPr>
            </w:pPr>
            <w:r>
              <w:rPr>
                <w:color w:val="auto"/>
                <w:szCs w:val="21"/>
              </w:rPr>
              <w:t>/</w:t>
            </w:r>
          </w:p>
        </w:tc>
        <w:tc>
          <w:tcPr>
            <w:tcW w:w="1415" w:type="dxa"/>
            <w:vAlign w:val="center"/>
          </w:tcPr>
          <w:p w14:paraId="62295D09">
            <w:pPr>
              <w:adjustRightInd w:val="0"/>
              <w:snapToGrid w:val="0"/>
              <w:jc w:val="center"/>
              <w:rPr>
                <w:rFonts w:hint="eastAsia" w:eastAsia="宋体"/>
                <w:color w:val="auto"/>
                <w:szCs w:val="21"/>
                <w:lang w:eastAsia="zh-CN"/>
              </w:rPr>
            </w:pPr>
            <w:r>
              <w:rPr>
                <w:rFonts w:hint="eastAsia"/>
                <w:color w:val="auto"/>
                <w:szCs w:val="21"/>
                <w:lang w:val="en-US" w:eastAsia="zh-CN"/>
              </w:rPr>
              <w:t>9</w:t>
            </w:r>
          </w:p>
        </w:tc>
        <w:tc>
          <w:tcPr>
            <w:tcW w:w="1317" w:type="dxa"/>
            <w:vAlign w:val="center"/>
          </w:tcPr>
          <w:p w14:paraId="46C5692B">
            <w:pPr>
              <w:adjustRightInd w:val="0"/>
              <w:snapToGrid w:val="0"/>
              <w:jc w:val="center"/>
              <w:rPr>
                <w:color w:val="auto"/>
                <w:szCs w:val="21"/>
              </w:rPr>
            </w:pPr>
            <w:r>
              <w:rPr>
                <w:color w:val="auto"/>
                <w:szCs w:val="21"/>
              </w:rPr>
              <w:t>/</w:t>
            </w:r>
          </w:p>
        </w:tc>
        <w:tc>
          <w:tcPr>
            <w:tcW w:w="1627" w:type="dxa"/>
            <w:vAlign w:val="center"/>
          </w:tcPr>
          <w:p w14:paraId="2474D915">
            <w:pPr>
              <w:adjustRightInd w:val="0"/>
              <w:snapToGrid w:val="0"/>
              <w:jc w:val="center"/>
              <w:rPr>
                <w:color w:val="auto"/>
                <w:szCs w:val="21"/>
              </w:rPr>
            </w:pPr>
            <w:r>
              <w:rPr>
                <w:rFonts w:hint="eastAsia"/>
                <w:color w:val="auto"/>
                <w:szCs w:val="21"/>
                <w:lang w:val="en-US" w:eastAsia="zh-CN"/>
              </w:rPr>
              <w:t>9</w:t>
            </w:r>
          </w:p>
        </w:tc>
        <w:tc>
          <w:tcPr>
            <w:tcW w:w="1017" w:type="dxa"/>
            <w:vAlign w:val="center"/>
          </w:tcPr>
          <w:p w14:paraId="6BF00CCB">
            <w:pPr>
              <w:adjustRightInd w:val="0"/>
              <w:snapToGrid w:val="0"/>
              <w:jc w:val="center"/>
              <w:rPr>
                <w:color w:val="auto"/>
                <w:szCs w:val="21"/>
              </w:rPr>
            </w:pPr>
            <w:r>
              <w:rPr>
                <w:rFonts w:hint="eastAsia"/>
                <w:color w:val="auto"/>
                <w:szCs w:val="21"/>
                <w:lang w:val="en-US" w:eastAsia="zh-CN"/>
              </w:rPr>
              <w:t>+9</w:t>
            </w:r>
          </w:p>
        </w:tc>
      </w:tr>
      <w:tr w14:paraId="3E69A8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889" w:type="dxa"/>
            <w:vMerge w:val="continue"/>
            <w:vAlign w:val="center"/>
          </w:tcPr>
          <w:p w14:paraId="59248044">
            <w:pPr>
              <w:adjustRightInd w:val="0"/>
              <w:snapToGrid w:val="0"/>
              <w:jc w:val="center"/>
              <w:rPr>
                <w:color w:val="auto"/>
                <w:szCs w:val="21"/>
              </w:rPr>
            </w:pPr>
          </w:p>
        </w:tc>
        <w:tc>
          <w:tcPr>
            <w:tcW w:w="3255" w:type="dxa"/>
            <w:vAlign w:val="center"/>
          </w:tcPr>
          <w:p w14:paraId="1B38B264">
            <w:pPr>
              <w:adjustRightInd w:val="0"/>
              <w:snapToGrid w:val="0"/>
              <w:jc w:val="center"/>
              <w:rPr>
                <w:color w:val="auto"/>
                <w:szCs w:val="21"/>
              </w:rPr>
            </w:pPr>
            <w:r>
              <w:rPr>
                <w:rFonts w:hint="eastAsia"/>
                <w:color w:val="auto"/>
                <w:szCs w:val="21"/>
              </w:rPr>
              <w:t>餐厨垃圾</w:t>
            </w:r>
          </w:p>
        </w:tc>
        <w:tc>
          <w:tcPr>
            <w:tcW w:w="1378" w:type="dxa"/>
            <w:vAlign w:val="center"/>
          </w:tcPr>
          <w:p w14:paraId="60ED5E50">
            <w:pPr>
              <w:adjustRightInd w:val="0"/>
              <w:snapToGrid w:val="0"/>
              <w:jc w:val="center"/>
              <w:rPr>
                <w:color w:val="auto"/>
                <w:szCs w:val="21"/>
              </w:rPr>
            </w:pPr>
            <w:r>
              <w:rPr>
                <w:color w:val="auto"/>
                <w:szCs w:val="21"/>
              </w:rPr>
              <w:t>/</w:t>
            </w:r>
          </w:p>
        </w:tc>
        <w:tc>
          <w:tcPr>
            <w:tcW w:w="1488" w:type="dxa"/>
            <w:vAlign w:val="center"/>
          </w:tcPr>
          <w:p w14:paraId="22FD2BF8">
            <w:pPr>
              <w:adjustRightInd w:val="0"/>
              <w:snapToGrid w:val="0"/>
              <w:jc w:val="center"/>
              <w:rPr>
                <w:color w:val="auto"/>
                <w:szCs w:val="21"/>
              </w:rPr>
            </w:pPr>
            <w:r>
              <w:rPr>
                <w:color w:val="auto"/>
                <w:szCs w:val="21"/>
              </w:rPr>
              <w:t>/</w:t>
            </w:r>
          </w:p>
        </w:tc>
        <w:tc>
          <w:tcPr>
            <w:tcW w:w="1402" w:type="dxa"/>
            <w:vAlign w:val="center"/>
          </w:tcPr>
          <w:p w14:paraId="7EC1D38F">
            <w:pPr>
              <w:adjustRightInd w:val="0"/>
              <w:snapToGrid w:val="0"/>
              <w:jc w:val="center"/>
              <w:rPr>
                <w:color w:val="auto"/>
                <w:szCs w:val="21"/>
              </w:rPr>
            </w:pPr>
            <w:r>
              <w:rPr>
                <w:color w:val="auto"/>
                <w:szCs w:val="21"/>
              </w:rPr>
              <w:t>/</w:t>
            </w:r>
          </w:p>
        </w:tc>
        <w:tc>
          <w:tcPr>
            <w:tcW w:w="1415" w:type="dxa"/>
            <w:vAlign w:val="center"/>
          </w:tcPr>
          <w:p w14:paraId="3D47804A">
            <w:pPr>
              <w:adjustRightInd w:val="0"/>
              <w:snapToGrid w:val="0"/>
              <w:jc w:val="center"/>
              <w:rPr>
                <w:rFonts w:hint="default" w:eastAsia="宋体"/>
                <w:color w:val="auto"/>
                <w:szCs w:val="21"/>
                <w:lang w:val="en-US" w:eastAsia="zh-CN"/>
              </w:rPr>
            </w:pPr>
            <w:r>
              <w:rPr>
                <w:rFonts w:hint="eastAsia"/>
                <w:color w:val="auto"/>
                <w:szCs w:val="21"/>
                <w:lang w:val="en-US" w:eastAsia="zh-CN"/>
              </w:rPr>
              <w:t>1.8</w:t>
            </w:r>
          </w:p>
        </w:tc>
        <w:tc>
          <w:tcPr>
            <w:tcW w:w="1317" w:type="dxa"/>
            <w:vAlign w:val="center"/>
          </w:tcPr>
          <w:p w14:paraId="44344B19">
            <w:pPr>
              <w:adjustRightInd w:val="0"/>
              <w:snapToGrid w:val="0"/>
              <w:jc w:val="center"/>
              <w:rPr>
                <w:color w:val="auto"/>
                <w:szCs w:val="21"/>
              </w:rPr>
            </w:pPr>
            <w:r>
              <w:rPr>
                <w:color w:val="auto"/>
                <w:szCs w:val="21"/>
              </w:rPr>
              <w:t>/</w:t>
            </w:r>
          </w:p>
        </w:tc>
        <w:tc>
          <w:tcPr>
            <w:tcW w:w="1627" w:type="dxa"/>
            <w:vAlign w:val="center"/>
          </w:tcPr>
          <w:p w14:paraId="0434D2DE">
            <w:pPr>
              <w:adjustRightInd w:val="0"/>
              <w:snapToGrid w:val="0"/>
              <w:jc w:val="center"/>
              <w:rPr>
                <w:color w:val="auto"/>
                <w:szCs w:val="21"/>
              </w:rPr>
            </w:pPr>
            <w:r>
              <w:rPr>
                <w:rFonts w:hint="eastAsia"/>
                <w:color w:val="auto"/>
                <w:szCs w:val="21"/>
                <w:lang w:val="en-US" w:eastAsia="zh-CN"/>
              </w:rPr>
              <w:t>1.8</w:t>
            </w:r>
          </w:p>
        </w:tc>
        <w:tc>
          <w:tcPr>
            <w:tcW w:w="1017" w:type="dxa"/>
            <w:vAlign w:val="center"/>
          </w:tcPr>
          <w:p w14:paraId="72907589">
            <w:pPr>
              <w:adjustRightInd w:val="0"/>
              <w:snapToGrid w:val="0"/>
              <w:jc w:val="center"/>
              <w:rPr>
                <w:color w:val="auto"/>
                <w:szCs w:val="21"/>
              </w:rPr>
            </w:pPr>
            <w:r>
              <w:rPr>
                <w:rFonts w:hint="eastAsia"/>
                <w:color w:val="auto"/>
                <w:szCs w:val="21"/>
                <w:lang w:val="en-US" w:eastAsia="zh-CN"/>
              </w:rPr>
              <w:t>+1.8</w:t>
            </w:r>
          </w:p>
        </w:tc>
      </w:tr>
      <w:tr w14:paraId="055288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889" w:type="dxa"/>
            <w:vMerge w:val="continue"/>
            <w:vAlign w:val="center"/>
          </w:tcPr>
          <w:p w14:paraId="0234AFAF">
            <w:pPr>
              <w:adjustRightInd w:val="0"/>
              <w:snapToGrid w:val="0"/>
              <w:jc w:val="center"/>
              <w:rPr>
                <w:color w:val="auto"/>
                <w:szCs w:val="21"/>
              </w:rPr>
            </w:pPr>
          </w:p>
        </w:tc>
        <w:tc>
          <w:tcPr>
            <w:tcW w:w="3255" w:type="dxa"/>
            <w:vAlign w:val="center"/>
          </w:tcPr>
          <w:p w14:paraId="4F535049">
            <w:pPr>
              <w:adjustRightInd w:val="0"/>
              <w:snapToGrid w:val="0"/>
              <w:jc w:val="center"/>
              <w:rPr>
                <w:rFonts w:hint="eastAsia" w:eastAsia="宋体"/>
                <w:color w:val="auto"/>
                <w:szCs w:val="21"/>
                <w:lang w:eastAsia="zh-CN"/>
              </w:rPr>
            </w:pPr>
            <w:r>
              <w:rPr>
                <w:rFonts w:hint="eastAsia"/>
                <w:color w:val="auto"/>
                <w:szCs w:val="21"/>
                <w:lang w:eastAsia="zh-CN"/>
              </w:rPr>
              <w:t>隔油池油污</w:t>
            </w:r>
          </w:p>
        </w:tc>
        <w:tc>
          <w:tcPr>
            <w:tcW w:w="1378" w:type="dxa"/>
            <w:vAlign w:val="center"/>
          </w:tcPr>
          <w:p w14:paraId="1365202A">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488" w:type="dxa"/>
            <w:vAlign w:val="center"/>
          </w:tcPr>
          <w:p w14:paraId="76BE9CB9">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402" w:type="dxa"/>
            <w:vAlign w:val="center"/>
          </w:tcPr>
          <w:p w14:paraId="3498A56B">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415" w:type="dxa"/>
            <w:vAlign w:val="center"/>
          </w:tcPr>
          <w:p w14:paraId="06600C79">
            <w:pPr>
              <w:adjustRightInd w:val="0"/>
              <w:snapToGrid w:val="0"/>
              <w:jc w:val="center"/>
              <w:rPr>
                <w:rFonts w:hint="default" w:eastAsia="宋体"/>
                <w:color w:val="auto"/>
                <w:szCs w:val="21"/>
                <w:lang w:val="en-US" w:eastAsia="zh-CN"/>
              </w:rPr>
            </w:pPr>
            <w:r>
              <w:rPr>
                <w:rFonts w:hint="eastAsia"/>
                <w:color w:val="auto"/>
                <w:szCs w:val="21"/>
                <w:lang w:val="en-US" w:eastAsia="zh-CN"/>
              </w:rPr>
              <w:t>0.0184</w:t>
            </w:r>
          </w:p>
        </w:tc>
        <w:tc>
          <w:tcPr>
            <w:tcW w:w="1317" w:type="dxa"/>
            <w:vAlign w:val="center"/>
          </w:tcPr>
          <w:p w14:paraId="258857C1">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627" w:type="dxa"/>
            <w:vAlign w:val="center"/>
          </w:tcPr>
          <w:p w14:paraId="495AB536">
            <w:pPr>
              <w:adjustRightInd w:val="0"/>
              <w:snapToGrid w:val="0"/>
              <w:jc w:val="center"/>
              <w:rPr>
                <w:rFonts w:hint="default" w:eastAsia="宋体"/>
                <w:color w:val="auto"/>
                <w:szCs w:val="21"/>
                <w:lang w:val="en-US" w:eastAsia="zh-CN"/>
              </w:rPr>
            </w:pPr>
            <w:r>
              <w:rPr>
                <w:rFonts w:hint="eastAsia"/>
                <w:color w:val="auto"/>
                <w:szCs w:val="21"/>
                <w:lang w:val="en-US" w:eastAsia="zh-CN"/>
              </w:rPr>
              <w:t>0.0184</w:t>
            </w:r>
          </w:p>
        </w:tc>
        <w:tc>
          <w:tcPr>
            <w:tcW w:w="1017" w:type="dxa"/>
            <w:vAlign w:val="center"/>
          </w:tcPr>
          <w:p w14:paraId="15E85032">
            <w:pPr>
              <w:adjustRightInd w:val="0"/>
              <w:snapToGrid w:val="0"/>
              <w:jc w:val="center"/>
              <w:rPr>
                <w:rFonts w:hint="default" w:eastAsia="宋体"/>
                <w:color w:val="auto"/>
                <w:szCs w:val="21"/>
                <w:lang w:val="en-US" w:eastAsia="zh-CN"/>
              </w:rPr>
            </w:pPr>
            <w:r>
              <w:rPr>
                <w:rFonts w:hint="eastAsia"/>
                <w:color w:val="auto"/>
                <w:szCs w:val="21"/>
                <w:lang w:val="en-US" w:eastAsia="zh-CN"/>
              </w:rPr>
              <w:t>+0.0184</w:t>
            </w:r>
          </w:p>
        </w:tc>
      </w:tr>
      <w:tr w14:paraId="51D6AA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2" w:hRule="atLeast"/>
          <w:jc w:val="center"/>
        </w:trPr>
        <w:tc>
          <w:tcPr>
            <w:tcW w:w="889" w:type="dxa"/>
            <w:vMerge w:val="continue"/>
            <w:vAlign w:val="center"/>
          </w:tcPr>
          <w:p w14:paraId="26245698">
            <w:pPr>
              <w:adjustRightInd w:val="0"/>
              <w:snapToGrid w:val="0"/>
              <w:jc w:val="center"/>
              <w:rPr>
                <w:color w:val="auto"/>
              </w:rPr>
            </w:pPr>
          </w:p>
        </w:tc>
        <w:tc>
          <w:tcPr>
            <w:tcW w:w="3255" w:type="dxa"/>
            <w:vAlign w:val="center"/>
          </w:tcPr>
          <w:p w14:paraId="5A7DEEB5">
            <w:pPr>
              <w:adjustRightInd w:val="0"/>
              <w:snapToGrid w:val="0"/>
              <w:jc w:val="center"/>
              <w:rPr>
                <w:rFonts w:hint="default"/>
                <w:color w:val="auto"/>
                <w:szCs w:val="21"/>
                <w:lang w:val="en-US" w:eastAsia="zh-CN"/>
              </w:rPr>
            </w:pPr>
            <w:r>
              <w:rPr>
                <w:rFonts w:hint="eastAsia"/>
                <w:color w:val="auto"/>
                <w:szCs w:val="21"/>
                <w:lang w:val="en-US" w:eastAsia="zh-CN"/>
              </w:rPr>
              <w:t>化粪池污泥</w:t>
            </w:r>
          </w:p>
        </w:tc>
        <w:tc>
          <w:tcPr>
            <w:tcW w:w="1378" w:type="dxa"/>
            <w:vAlign w:val="center"/>
          </w:tcPr>
          <w:p w14:paraId="580B6E83">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488" w:type="dxa"/>
            <w:vAlign w:val="center"/>
          </w:tcPr>
          <w:p w14:paraId="3C792563">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402" w:type="dxa"/>
            <w:vAlign w:val="center"/>
          </w:tcPr>
          <w:p w14:paraId="467D7F52">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415" w:type="dxa"/>
            <w:vAlign w:val="center"/>
          </w:tcPr>
          <w:p w14:paraId="049375BC">
            <w:pPr>
              <w:adjustRightInd w:val="0"/>
              <w:snapToGrid w:val="0"/>
              <w:jc w:val="center"/>
              <w:rPr>
                <w:rFonts w:hint="default" w:eastAsia="宋体"/>
                <w:color w:val="auto"/>
                <w:szCs w:val="21"/>
                <w:lang w:val="en-US" w:eastAsia="zh-CN"/>
              </w:rPr>
            </w:pPr>
            <w:r>
              <w:rPr>
                <w:rFonts w:hint="eastAsia"/>
                <w:color w:val="auto"/>
                <w:szCs w:val="21"/>
                <w:lang w:val="en-US" w:eastAsia="zh-CN"/>
              </w:rPr>
              <w:t>0.3</w:t>
            </w:r>
          </w:p>
        </w:tc>
        <w:tc>
          <w:tcPr>
            <w:tcW w:w="1317" w:type="dxa"/>
            <w:vAlign w:val="center"/>
          </w:tcPr>
          <w:p w14:paraId="7627A498">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627" w:type="dxa"/>
            <w:vAlign w:val="center"/>
          </w:tcPr>
          <w:p w14:paraId="5E71F771">
            <w:pPr>
              <w:adjustRightInd w:val="0"/>
              <w:snapToGrid w:val="0"/>
              <w:jc w:val="center"/>
              <w:rPr>
                <w:rFonts w:hint="eastAsia"/>
                <w:color w:val="auto"/>
                <w:szCs w:val="21"/>
              </w:rPr>
            </w:pPr>
            <w:r>
              <w:rPr>
                <w:rFonts w:hint="eastAsia"/>
                <w:color w:val="auto"/>
                <w:szCs w:val="21"/>
                <w:lang w:val="en-US" w:eastAsia="zh-CN"/>
              </w:rPr>
              <w:t>0.3</w:t>
            </w:r>
          </w:p>
        </w:tc>
        <w:tc>
          <w:tcPr>
            <w:tcW w:w="1017" w:type="dxa"/>
            <w:vAlign w:val="center"/>
          </w:tcPr>
          <w:p w14:paraId="51967A42">
            <w:pPr>
              <w:adjustRightInd w:val="0"/>
              <w:snapToGrid w:val="0"/>
              <w:jc w:val="center"/>
              <w:rPr>
                <w:rFonts w:hint="eastAsia"/>
                <w:color w:val="auto"/>
                <w:szCs w:val="21"/>
              </w:rPr>
            </w:pPr>
            <w:r>
              <w:rPr>
                <w:rFonts w:hint="eastAsia"/>
                <w:color w:val="auto"/>
                <w:szCs w:val="21"/>
                <w:lang w:val="en-US" w:eastAsia="zh-CN"/>
              </w:rPr>
              <w:t>+0.39</w:t>
            </w:r>
          </w:p>
        </w:tc>
      </w:tr>
      <w:tr w14:paraId="6183C9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889" w:type="dxa"/>
            <w:vMerge w:val="restart"/>
            <w:vAlign w:val="center"/>
          </w:tcPr>
          <w:p w14:paraId="56F1D61C">
            <w:pPr>
              <w:adjustRightInd w:val="0"/>
              <w:snapToGrid w:val="0"/>
              <w:jc w:val="center"/>
              <w:rPr>
                <w:color w:val="auto"/>
                <w:szCs w:val="21"/>
              </w:rPr>
            </w:pPr>
            <w:r>
              <w:rPr>
                <w:color w:val="auto"/>
                <w:szCs w:val="21"/>
              </w:rPr>
              <w:t>危险废物</w:t>
            </w:r>
          </w:p>
        </w:tc>
        <w:tc>
          <w:tcPr>
            <w:tcW w:w="3255" w:type="dxa"/>
            <w:vAlign w:val="center"/>
          </w:tcPr>
          <w:p w14:paraId="5C6FBBE2">
            <w:pPr>
              <w:adjustRightInd w:val="0"/>
              <w:snapToGrid w:val="0"/>
              <w:jc w:val="center"/>
              <w:rPr>
                <w:rFonts w:hint="eastAsia" w:eastAsia="宋体"/>
                <w:color w:val="auto"/>
                <w:szCs w:val="21"/>
                <w:lang w:eastAsia="zh-CN"/>
              </w:rPr>
            </w:pPr>
            <w:r>
              <w:rPr>
                <w:rFonts w:hint="eastAsia"/>
                <w:color w:val="auto"/>
                <w:szCs w:val="21"/>
                <w:lang w:eastAsia="zh-CN"/>
              </w:rPr>
              <w:t>废活性炭</w:t>
            </w:r>
          </w:p>
        </w:tc>
        <w:tc>
          <w:tcPr>
            <w:tcW w:w="1378" w:type="dxa"/>
            <w:vAlign w:val="center"/>
          </w:tcPr>
          <w:p w14:paraId="596DFA23">
            <w:pPr>
              <w:adjustRightInd w:val="0"/>
              <w:snapToGrid w:val="0"/>
              <w:jc w:val="center"/>
              <w:rPr>
                <w:color w:val="auto"/>
                <w:szCs w:val="21"/>
              </w:rPr>
            </w:pPr>
            <w:r>
              <w:rPr>
                <w:color w:val="auto"/>
                <w:szCs w:val="21"/>
              </w:rPr>
              <w:t>/</w:t>
            </w:r>
          </w:p>
        </w:tc>
        <w:tc>
          <w:tcPr>
            <w:tcW w:w="1488" w:type="dxa"/>
            <w:vAlign w:val="center"/>
          </w:tcPr>
          <w:p w14:paraId="25C6C187">
            <w:pPr>
              <w:adjustRightInd w:val="0"/>
              <w:snapToGrid w:val="0"/>
              <w:jc w:val="center"/>
              <w:rPr>
                <w:color w:val="auto"/>
                <w:szCs w:val="21"/>
              </w:rPr>
            </w:pPr>
            <w:r>
              <w:rPr>
                <w:color w:val="auto"/>
                <w:szCs w:val="21"/>
              </w:rPr>
              <w:t>/</w:t>
            </w:r>
          </w:p>
        </w:tc>
        <w:tc>
          <w:tcPr>
            <w:tcW w:w="1402" w:type="dxa"/>
            <w:vAlign w:val="center"/>
          </w:tcPr>
          <w:p w14:paraId="1C598654">
            <w:pPr>
              <w:adjustRightInd w:val="0"/>
              <w:snapToGrid w:val="0"/>
              <w:jc w:val="center"/>
              <w:rPr>
                <w:color w:val="auto"/>
                <w:szCs w:val="21"/>
              </w:rPr>
            </w:pPr>
            <w:r>
              <w:rPr>
                <w:color w:val="auto"/>
                <w:szCs w:val="21"/>
              </w:rPr>
              <w:t>/</w:t>
            </w:r>
          </w:p>
        </w:tc>
        <w:tc>
          <w:tcPr>
            <w:tcW w:w="1415" w:type="dxa"/>
            <w:vAlign w:val="center"/>
          </w:tcPr>
          <w:p w14:paraId="2F4DFBB9">
            <w:pPr>
              <w:adjustRightInd w:val="0"/>
              <w:snapToGrid w:val="0"/>
              <w:jc w:val="center"/>
              <w:rPr>
                <w:rFonts w:hint="default" w:eastAsia="宋体"/>
                <w:color w:val="auto"/>
                <w:szCs w:val="21"/>
                <w:lang w:val="en-US" w:eastAsia="zh-CN"/>
              </w:rPr>
            </w:pPr>
            <w:r>
              <w:rPr>
                <w:rFonts w:hint="eastAsia"/>
                <w:color w:val="auto"/>
                <w:szCs w:val="21"/>
                <w:lang w:val="en-US" w:eastAsia="zh-CN"/>
              </w:rPr>
              <w:t>68.6542</w:t>
            </w:r>
          </w:p>
        </w:tc>
        <w:tc>
          <w:tcPr>
            <w:tcW w:w="1317" w:type="dxa"/>
            <w:vAlign w:val="center"/>
          </w:tcPr>
          <w:p w14:paraId="0924E2F4">
            <w:pPr>
              <w:adjustRightInd w:val="0"/>
              <w:snapToGrid w:val="0"/>
              <w:jc w:val="center"/>
              <w:rPr>
                <w:color w:val="auto"/>
                <w:szCs w:val="21"/>
              </w:rPr>
            </w:pPr>
            <w:r>
              <w:rPr>
                <w:color w:val="auto"/>
                <w:szCs w:val="21"/>
              </w:rPr>
              <w:t>/</w:t>
            </w:r>
          </w:p>
        </w:tc>
        <w:tc>
          <w:tcPr>
            <w:tcW w:w="1627" w:type="dxa"/>
            <w:vAlign w:val="center"/>
          </w:tcPr>
          <w:p w14:paraId="21E2AEFE">
            <w:pPr>
              <w:adjustRightInd w:val="0"/>
              <w:snapToGrid w:val="0"/>
              <w:jc w:val="center"/>
              <w:rPr>
                <w:rFonts w:hint="default" w:eastAsia="宋体"/>
                <w:color w:val="auto"/>
                <w:szCs w:val="21"/>
                <w:lang w:val="en-US" w:eastAsia="zh-CN"/>
              </w:rPr>
            </w:pPr>
            <w:r>
              <w:rPr>
                <w:rFonts w:hint="eastAsia"/>
                <w:color w:val="auto"/>
                <w:szCs w:val="21"/>
                <w:lang w:val="en-US" w:eastAsia="zh-CN"/>
              </w:rPr>
              <w:t>68.6542</w:t>
            </w:r>
          </w:p>
        </w:tc>
        <w:tc>
          <w:tcPr>
            <w:tcW w:w="1017" w:type="dxa"/>
            <w:vAlign w:val="center"/>
          </w:tcPr>
          <w:p w14:paraId="4C9A4DBC">
            <w:pPr>
              <w:adjustRightInd w:val="0"/>
              <w:snapToGrid w:val="0"/>
              <w:jc w:val="center"/>
              <w:rPr>
                <w:rFonts w:hint="default" w:eastAsia="宋体"/>
                <w:color w:val="auto"/>
                <w:szCs w:val="21"/>
                <w:lang w:val="en-US" w:eastAsia="zh-CN"/>
              </w:rPr>
            </w:pPr>
            <w:r>
              <w:rPr>
                <w:rFonts w:hint="eastAsia"/>
                <w:color w:val="auto"/>
                <w:szCs w:val="21"/>
                <w:lang w:val="en-US" w:eastAsia="zh-CN"/>
              </w:rPr>
              <w:t>+68.6542</w:t>
            </w:r>
          </w:p>
        </w:tc>
      </w:tr>
      <w:tr w14:paraId="1EEED7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889" w:type="dxa"/>
            <w:vMerge w:val="continue"/>
            <w:vAlign w:val="center"/>
          </w:tcPr>
          <w:p w14:paraId="1EBFA139">
            <w:pPr>
              <w:adjustRightInd w:val="0"/>
              <w:snapToGrid w:val="0"/>
              <w:jc w:val="center"/>
              <w:rPr>
                <w:color w:val="auto"/>
                <w:szCs w:val="21"/>
              </w:rPr>
            </w:pPr>
          </w:p>
        </w:tc>
        <w:tc>
          <w:tcPr>
            <w:tcW w:w="3255" w:type="dxa"/>
            <w:vAlign w:val="center"/>
          </w:tcPr>
          <w:p w14:paraId="14BB52AE">
            <w:pPr>
              <w:adjustRightInd w:val="0"/>
              <w:snapToGrid w:val="0"/>
              <w:jc w:val="center"/>
              <w:rPr>
                <w:rFonts w:hint="eastAsia" w:eastAsia="宋体"/>
                <w:color w:val="auto"/>
                <w:szCs w:val="21"/>
                <w:lang w:eastAsia="zh-CN"/>
              </w:rPr>
            </w:pPr>
            <w:r>
              <w:rPr>
                <w:color w:val="auto"/>
                <w:szCs w:val="21"/>
              </w:rPr>
              <w:t>废矿物油</w:t>
            </w:r>
          </w:p>
        </w:tc>
        <w:tc>
          <w:tcPr>
            <w:tcW w:w="1378" w:type="dxa"/>
            <w:vAlign w:val="center"/>
          </w:tcPr>
          <w:p w14:paraId="1DE4FE7D">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488" w:type="dxa"/>
            <w:vAlign w:val="center"/>
          </w:tcPr>
          <w:p w14:paraId="1CC49E28">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402" w:type="dxa"/>
            <w:vAlign w:val="center"/>
          </w:tcPr>
          <w:p w14:paraId="6800D685">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415" w:type="dxa"/>
            <w:vAlign w:val="center"/>
          </w:tcPr>
          <w:p w14:paraId="5E32CC06">
            <w:pPr>
              <w:adjustRightInd w:val="0"/>
              <w:snapToGrid w:val="0"/>
              <w:jc w:val="center"/>
              <w:rPr>
                <w:rFonts w:hint="default"/>
                <w:color w:val="auto"/>
                <w:szCs w:val="21"/>
                <w:lang w:val="en-US"/>
              </w:rPr>
            </w:pPr>
            <w:r>
              <w:rPr>
                <w:rFonts w:hint="eastAsia"/>
                <w:color w:val="auto"/>
                <w:szCs w:val="21"/>
                <w:lang w:val="en-US" w:eastAsia="zh-CN"/>
              </w:rPr>
              <w:t>0.4</w:t>
            </w:r>
          </w:p>
        </w:tc>
        <w:tc>
          <w:tcPr>
            <w:tcW w:w="1317" w:type="dxa"/>
            <w:vAlign w:val="center"/>
          </w:tcPr>
          <w:p w14:paraId="682AFA5E">
            <w:pPr>
              <w:adjustRightInd w:val="0"/>
              <w:snapToGrid w:val="0"/>
              <w:jc w:val="center"/>
              <w:rPr>
                <w:rFonts w:hint="eastAsia" w:eastAsia="宋体"/>
                <w:color w:val="auto"/>
                <w:szCs w:val="21"/>
                <w:lang w:val="en-US" w:eastAsia="zh-CN"/>
              </w:rPr>
            </w:pPr>
            <w:r>
              <w:rPr>
                <w:rFonts w:hint="eastAsia"/>
                <w:color w:val="auto"/>
                <w:szCs w:val="21"/>
                <w:lang w:val="en-US" w:eastAsia="zh-CN"/>
              </w:rPr>
              <w:t>/</w:t>
            </w:r>
          </w:p>
        </w:tc>
        <w:tc>
          <w:tcPr>
            <w:tcW w:w="1627" w:type="dxa"/>
            <w:vAlign w:val="center"/>
          </w:tcPr>
          <w:p w14:paraId="2C51AC3F">
            <w:pPr>
              <w:adjustRightInd w:val="0"/>
              <w:snapToGrid w:val="0"/>
              <w:jc w:val="center"/>
              <w:rPr>
                <w:rFonts w:hint="eastAsia"/>
                <w:color w:val="auto"/>
                <w:szCs w:val="21"/>
              </w:rPr>
            </w:pPr>
            <w:r>
              <w:rPr>
                <w:rFonts w:hint="eastAsia"/>
                <w:color w:val="auto"/>
                <w:szCs w:val="21"/>
                <w:lang w:val="en-US" w:eastAsia="zh-CN"/>
              </w:rPr>
              <w:t>0.4</w:t>
            </w:r>
          </w:p>
        </w:tc>
        <w:tc>
          <w:tcPr>
            <w:tcW w:w="1017" w:type="dxa"/>
            <w:vAlign w:val="center"/>
          </w:tcPr>
          <w:p w14:paraId="627B4AE7">
            <w:pPr>
              <w:adjustRightInd w:val="0"/>
              <w:snapToGrid w:val="0"/>
              <w:jc w:val="center"/>
              <w:rPr>
                <w:rFonts w:hint="eastAsia"/>
                <w:color w:val="auto"/>
                <w:szCs w:val="21"/>
              </w:rPr>
            </w:pPr>
            <w:r>
              <w:rPr>
                <w:rFonts w:hint="eastAsia"/>
                <w:color w:val="auto"/>
                <w:szCs w:val="21"/>
                <w:lang w:val="en-US" w:eastAsia="zh-CN"/>
              </w:rPr>
              <w:t>+0.4</w:t>
            </w:r>
          </w:p>
        </w:tc>
      </w:tr>
      <w:tr w14:paraId="0B9FDF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889" w:type="dxa"/>
            <w:vMerge w:val="continue"/>
            <w:vAlign w:val="center"/>
          </w:tcPr>
          <w:p w14:paraId="485FFE08">
            <w:pPr>
              <w:adjustRightInd w:val="0"/>
              <w:snapToGrid w:val="0"/>
              <w:jc w:val="center"/>
              <w:rPr>
                <w:color w:val="auto"/>
              </w:rPr>
            </w:pPr>
          </w:p>
        </w:tc>
        <w:tc>
          <w:tcPr>
            <w:tcW w:w="3255" w:type="dxa"/>
            <w:vAlign w:val="center"/>
          </w:tcPr>
          <w:p w14:paraId="24914B36">
            <w:pPr>
              <w:adjustRightInd w:val="0"/>
              <w:snapToGrid w:val="0"/>
              <w:jc w:val="center"/>
              <w:rPr>
                <w:color w:val="auto"/>
                <w:szCs w:val="21"/>
              </w:rPr>
            </w:pPr>
            <w:r>
              <w:rPr>
                <w:rFonts w:hint="eastAsia"/>
                <w:color w:val="auto"/>
                <w:szCs w:val="21"/>
              </w:rPr>
              <w:t>含油抹布、劳保用品</w:t>
            </w:r>
          </w:p>
        </w:tc>
        <w:tc>
          <w:tcPr>
            <w:tcW w:w="1378" w:type="dxa"/>
            <w:vAlign w:val="center"/>
          </w:tcPr>
          <w:p w14:paraId="0E717639">
            <w:pPr>
              <w:adjustRightInd w:val="0"/>
              <w:snapToGrid w:val="0"/>
              <w:jc w:val="center"/>
              <w:rPr>
                <w:color w:val="auto"/>
                <w:szCs w:val="21"/>
              </w:rPr>
            </w:pPr>
            <w:r>
              <w:rPr>
                <w:color w:val="auto"/>
                <w:szCs w:val="21"/>
              </w:rPr>
              <w:t>/</w:t>
            </w:r>
          </w:p>
        </w:tc>
        <w:tc>
          <w:tcPr>
            <w:tcW w:w="1488" w:type="dxa"/>
            <w:vAlign w:val="center"/>
          </w:tcPr>
          <w:p w14:paraId="683081B1">
            <w:pPr>
              <w:adjustRightInd w:val="0"/>
              <w:snapToGrid w:val="0"/>
              <w:jc w:val="center"/>
              <w:rPr>
                <w:color w:val="auto"/>
                <w:szCs w:val="21"/>
              </w:rPr>
            </w:pPr>
            <w:r>
              <w:rPr>
                <w:color w:val="auto"/>
                <w:szCs w:val="21"/>
              </w:rPr>
              <w:t>/</w:t>
            </w:r>
          </w:p>
        </w:tc>
        <w:tc>
          <w:tcPr>
            <w:tcW w:w="1402" w:type="dxa"/>
            <w:vAlign w:val="center"/>
          </w:tcPr>
          <w:p w14:paraId="0FD70AED">
            <w:pPr>
              <w:adjustRightInd w:val="0"/>
              <w:snapToGrid w:val="0"/>
              <w:jc w:val="center"/>
              <w:rPr>
                <w:color w:val="auto"/>
                <w:szCs w:val="21"/>
              </w:rPr>
            </w:pPr>
            <w:r>
              <w:rPr>
                <w:color w:val="auto"/>
                <w:szCs w:val="21"/>
              </w:rPr>
              <w:t>/</w:t>
            </w:r>
          </w:p>
        </w:tc>
        <w:tc>
          <w:tcPr>
            <w:tcW w:w="1415" w:type="dxa"/>
            <w:vAlign w:val="center"/>
          </w:tcPr>
          <w:p w14:paraId="598C3308">
            <w:pPr>
              <w:adjustRightInd w:val="0"/>
              <w:snapToGrid w:val="0"/>
              <w:jc w:val="center"/>
              <w:rPr>
                <w:rFonts w:hint="eastAsia" w:eastAsia="宋体"/>
                <w:color w:val="auto"/>
                <w:szCs w:val="21"/>
                <w:lang w:eastAsia="zh-CN"/>
              </w:rPr>
            </w:pPr>
            <w:r>
              <w:rPr>
                <w:rFonts w:hint="eastAsia"/>
                <w:color w:val="auto"/>
                <w:szCs w:val="21"/>
              </w:rPr>
              <w:t>0.</w:t>
            </w:r>
            <w:r>
              <w:rPr>
                <w:rFonts w:hint="eastAsia"/>
                <w:color w:val="auto"/>
                <w:szCs w:val="21"/>
                <w:lang w:val="en-US" w:eastAsia="zh-CN"/>
              </w:rPr>
              <w:t>1</w:t>
            </w:r>
          </w:p>
        </w:tc>
        <w:tc>
          <w:tcPr>
            <w:tcW w:w="1317" w:type="dxa"/>
            <w:vAlign w:val="center"/>
          </w:tcPr>
          <w:p w14:paraId="5CB49DFA">
            <w:pPr>
              <w:adjustRightInd w:val="0"/>
              <w:snapToGrid w:val="0"/>
              <w:jc w:val="center"/>
              <w:rPr>
                <w:color w:val="auto"/>
                <w:szCs w:val="21"/>
              </w:rPr>
            </w:pPr>
            <w:r>
              <w:rPr>
                <w:color w:val="auto"/>
                <w:szCs w:val="21"/>
              </w:rPr>
              <w:t>/</w:t>
            </w:r>
          </w:p>
        </w:tc>
        <w:tc>
          <w:tcPr>
            <w:tcW w:w="1627" w:type="dxa"/>
            <w:vAlign w:val="center"/>
          </w:tcPr>
          <w:p w14:paraId="3F39FC4D">
            <w:pPr>
              <w:adjustRightInd w:val="0"/>
              <w:snapToGrid w:val="0"/>
              <w:jc w:val="center"/>
              <w:rPr>
                <w:color w:val="auto"/>
                <w:szCs w:val="21"/>
              </w:rPr>
            </w:pPr>
            <w:r>
              <w:rPr>
                <w:rFonts w:hint="eastAsia"/>
                <w:color w:val="auto"/>
                <w:szCs w:val="21"/>
              </w:rPr>
              <w:t>0.</w:t>
            </w:r>
            <w:r>
              <w:rPr>
                <w:rFonts w:hint="eastAsia"/>
                <w:color w:val="auto"/>
                <w:szCs w:val="21"/>
                <w:lang w:val="en-US" w:eastAsia="zh-CN"/>
              </w:rPr>
              <w:t>1</w:t>
            </w:r>
          </w:p>
        </w:tc>
        <w:tc>
          <w:tcPr>
            <w:tcW w:w="1017" w:type="dxa"/>
            <w:vAlign w:val="center"/>
          </w:tcPr>
          <w:p w14:paraId="2CAF7035">
            <w:pPr>
              <w:adjustRightInd w:val="0"/>
              <w:snapToGrid w:val="0"/>
              <w:jc w:val="center"/>
              <w:rPr>
                <w:color w:val="auto"/>
                <w:szCs w:val="21"/>
              </w:rPr>
            </w:pPr>
            <w:r>
              <w:rPr>
                <w:rFonts w:hint="eastAsia"/>
                <w:color w:val="auto"/>
                <w:szCs w:val="21"/>
                <w:lang w:val="en-US" w:eastAsia="zh-CN"/>
              </w:rPr>
              <w:t>+</w:t>
            </w:r>
            <w:r>
              <w:rPr>
                <w:rFonts w:hint="eastAsia"/>
                <w:color w:val="auto"/>
                <w:szCs w:val="21"/>
              </w:rPr>
              <w:t>0.</w:t>
            </w:r>
            <w:r>
              <w:rPr>
                <w:rFonts w:hint="eastAsia"/>
                <w:color w:val="auto"/>
                <w:szCs w:val="21"/>
                <w:lang w:val="en-US" w:eastAsia="zh-CN"/>
              </w:rPr>
              <w:t>1</w:t>
            </w:r>
          </w:p>
        </w:tc>
      </w:tr>
    </w:tbl>
    <w:p w14:paraId="5F8D555A">
      <w:pPr>
        <w:rPr>
          <w:color w:val="auto"/>
        </w:rPr>
      </w:pPr>
      <w:r>
        <w:rPr>
          <w:snapToGrid w:val="0"/>
          <w:color w:val="auto"/>
          <w:kern w:val="21"/>
          <w:szCs w:val="21"/>
        </w:rPr>
        <w:t>注：</w:t>
      </w:r>
      <w:r>
        <w:rPr>
          <w:snapToGrid w:val="0"/>
          <w:color w:val="auto"/>
          <w:spacing w:val="-16"/>
          <w:kern w:val="21"/>
          <w:szCs w:val="21"/>
        </w:rPr>
        <w:fldChar w:fldCharType="begin"/>
      </w:r>
      <w:r>
        <w:rPr>
          <w:snapToGrid w:val="0"/>
          <w:color w:val="auto"/>
          <w:spacing w:val="-16"/>
          <w:kern w:val="21"/>
          <w:szCs w:val="21"/>
        </w:rPr>
        <w:instrText xml:space="preserve"> = 6 \* GB3 \* MERGEFORMAT </w:instrText>
      </w:r>
      <w:r>
        <w:rPr>
          <w:snapToGrid w:val="0"/>
          <w:color w:val="auto"/>
          <w:spacing w:val="-16"/>
          <w:kern w:val="21"/>
          <w:szCs w:val="21"/>
        </w:rPr>
        <w:fldChar w:fldCharType="separate"/>
      </w:r>
      <w:r>
        <w:rPr>
          <w:color w:val="auto"/>
          <w:szCs w:val="21"/>
        </w:rPr>
        <w:t>⑥</w:t>
      </w:r>
      <w:r>
        <w:rPr>
          <w:snapToGrid w:val="0"/>
          <w:color w:val="auto"/>
          <w:spacing w:val="-16"/>
          <w:kern w:val="21"/>
          <w:szCs w:val="21"/>
        </w:rPr>
        <w:fldChar w:fldCharType="end"/>
      </w:r>
      <w:r>
        <w:rPr>
          <w:snapToGrid w:val="0"/>
          <w:color w:val="auto"/>
          <w:spacing w:val="-16"/>
          <w:kern w:val="21"/>
          <w:szCs w:val="21"/>
        </w:rPr>
        <w:t>=</w:t>
      </w:r>
      <w:r>
        <w:rPr>
          <w:snapToGrid w:val="0"/>
          <w:color w:val="auto"/>
          <w:spacing w:val="-6"/>
          <w:kern w:val="21"/>
          <w:szCs w:val="21"/>
        </w:rPr>
        <w:fldChar w:fldCharType="begin"/>
      </w:r>
      <w:r>
        <w:rPr>
          <w:snapToGrid w:val="0"/>
          <w:color w:val="auto"/>
          <w:spacing w:val="-6"/>
          <w:kern w:val="21"/>
          <w:szCs w:val="21"/>
        </w:rPr>
        <w:instrText xml:space="preserve"> = 1 \* GB3 \* MERGEFORMAT </w:instrText>
      </w:r>
      <w:r>
        <w:rPr>
          <w:snapToGrid w:val="0"/>
          <w:color w:val="auto"/>
          <w:spacing w:val="-6"/>
          <w:kern w:val="21"/>
          <w:szCs w:val="21"/>
        </w:rPr>
        <w:fldChar w:fldCharType="separate"/>
      </w:r>
      <w:r>
        <w:rPr>
          <w:color w:val="auto"/>
          <w:szCs w:val="21"/>
        </w:rPr>
        <w:t>①</w:t>
      </w:r>
      <w:r>
        <w:rPr>
          <w:snapToGrid w:val="0"/>
          <w:color w:val="auto"/>
          <w:spacing w:val="-6"/>
          <w:kern w:val="21"/>
          <w:szCs w:val="21"/>
        </w:rPr>
        <w:fldChar w:fldCharType="end"/>
      </w:r>
      <w:r>
        <w:rPr>
          <w:snapToGrid w:val="0"/>
          <w:color w:val="auto"/>
          <w:spacing w:val="-6"/>
          <w:kern w:val="21"/>
          <w:szCs w:val="21"/>
        </w:rPr>
        <w:t>+</w:t>
      </w:r>
      <w:r>
        <w:rPr>
          <w:snapToGrid w:val="0"/>
          <w:color w:val="auto"/>
          <w:spacing w:val="-6"/>
          <w:kern w:val="21"/>
          <w:szCs w:val="21"/>
        </w:rPr>
        <w:fldChar w:fldCharType="begin"/>
      </w:r>
      <w:r>
        <w:rPr>
          <w:snapToGrid w:val="0"/>
          <w:color w:val="auto"/>
          <w:spacing w:val="-6"/>
          <w:kern w:val="21"/>
          <w:szCs w:val="21"/>
        </w:rPr>
        <w:instrText xml:space="preserve"> = 3 \* GB3 \* MERGEFORMAT </w:instrText>
      </w:r>
      <w:r>
        <w:rPr>
          <w:snapToGrid w:val="0"/>
          <w:color w:val="auto"/>
          <w:spacing w:val="-6"/>
          <w:kern w:val="21"/>
          <w:szCs w:val="21"/>
        </w:rPr>
        <w:fldChar w:fldCharType="separate"/>
      </w:r>
      <w:r>
        <w:rPr>
          <w:color w:val="auto"/>
          <w:szCs w:val="21"/>
        </w:rPr>
        <w:t>③</w:t>
      </w:r>
      <w:r>
        <w:rPr>
          <w:snapToGrid w:val="0"/>
          <w:color w:val="auto"/>
          <w:spacing w:val="-6"/>
          <w:kern w:val="21"/>
          <w:szCs w:val="21"/>
        </w:rPr>
        <w:fldChar w:fldCharType="end"/>
      </w:r>
      <w:r>
        <w:rPr>
          <w:snapToGrid w:val="0"/>
          <w:color w:val="auto"/>
          <w:spacing w:val="-6"/>
          <w:kern w:val="21"/>
          <w:szCs w:val="21"/>
        </w:rPr>
        <w:t>+</w:t>
      </w:r>
      <w:r>
        <w:rPr>
          <w:snapToGrid w:val="0"/>
          <w:color w:val="auto"/>
          <w:spacing w:val="-6"/>
          <w:kern w:val="21"/>
          <w:szCs w:val="21"/>
        </w:rPr>
        <w:fldChar w:fldCharType="begin"/>
      </w:r>
      <w:r>
        <w:rPr>
          <w:snapToGrid w:val="0"/>
          <w:color w:val="auto"/>
          <w:spacing w:val="-6"/>
          <w:kern w:val="21"/>
          <w:szCs w:val="21"/>
        </w:rPr>
        <w:instrText xml:space="preserve"> = 4 \* GB3 \* MERGEFORMAT </w:instrText>
      </w:r>
      <w:r>
        <w:rPr>
          <w:snapToGrid w:val="0"/>
          <w:color w:val="auto"/>
          <w:spacing w:val="-6"/>
          <w:kern w:val="21"/>
          <w:szCs w:val="21"/>
        </w:rPr>
        <w:fldChar w:fldCharType="separate"/>
      </w:r>
      <w:r>
        <w:rPr>
          <w:color w:val="auto"/>
          <w:szCs w:val="21"/>
        </w:rPr>
        <w:t>④</w:t>
      </w:r>
      <w:r>
        <w:rPr>
          <w:snapToGrid w:val="0"/>
          <w:color w:val="auto"/>
          <w:spacing w:val="-6"/>
          <w:kern w:val="21"/>
          <w:szCs w:val="21"/>
        </w:rPr>
        <w:fldChar w:fldCharType="end"/>
      </w:r>
      <w:r>
        <w:rPr>
          <w:snapToGrid w:val="0"/>
          <w:color w:val="auto"/>
          <w:spacing w:val="-6"/>
          <w:kern w:val="21"/>
          <w:szCs w:val="21"/>
        </w:rPr>
        <w:t>-</w:t>
      </w:r>
      <w:r>
        <w:rPr>
          <w:snapToGrid w:val="0"/>
          <w:color w:val="auto"/>
          <w:spacing w:val="-16"/>
          <w:kern w:val="21"/>
          <w:szCs w:val="21"/>
        </w:rPr>
        <w:fldChar w:fldCharType="begin"/>
      </w:r>
      <w:r>
        <w:rPr>
          <w:snapToGrid w:val="0"/>
          <w:color w:val="auto"/>
          <w:spacing w:val="-16"/>
          <w:kern w:val="21"/>
          <w:szCs w:val="21"/>
        </w:rPr>
        <w:instrText xml:space="preserve"> = 5 \* GB3 \* MERGEFORMAT </w:instrText>
      </w:r>
      <w:r>
        <w:rPr>
          <w:snapToGrid w:val="0"/>
          <w:color w:val="auto"/>
          <w:spacing w:val="-16"/>
          <w:kern w:val="21"/>
          <w:szCs w:val="21"/>
        </w:rPr>
        <w:fldChar w:fldCharType="separate"/>
      </w:r>
      <w:r>
        <w:rPr>
          <w:color w:val="auto"/>
          <w:szCs w:val="21"/>
        </w:rPr>
        <w:t>⑤</w:t>
      </w:r>
      <w:r>
        <w:rPr>
          <w:snapToGrid w:val="0"/>
          <w:color w:val="auto"/>
          <w:spacing w:val="-16"/>
          <w:kern w:val="21"/>
          <w:szCs w:val="21"/>
        </w:rPr>
        <w:fldChar w:fldCharType="end"/>
      </w:r>
      <w:r>
        <w:rPr>
          <w:snapToGrid w:val="0"/>
          <w:color w:val="auto"/>
          <w:spacing w:val="-16"/>
          <w:kern w:val="21"/>
          <w:szCs w:val="21"/>
        </w:rPr>
        <w:t>；</w:t>
      </w:r>
      <w:r>
        <w:rPr>
          <w:snapToGrid w:val="0"/>
          <w:color w:val="auto"/>
          <w:spacing w:val="-6"/>
          <w:kern w:val="21"/>
          <w:szCs w:val="21"/>
        </w:rPr>
        <w:fldChar w:fldCharType="begin"/>
      </w:r>
      <w:r>
        <w:rPr>
          <w:snapToGrid w:val="0"/>
          <w:color w:val="auto"/>
          <w:spacing w:val="-6"/>
          <w:kern w:val="21"/>
          <w:szCs w:val="21"/>
        </w:rPr>
        <w:instrText xml:space="preserve"> = 7 \* GB3 \* MERGEFORMAT </w:instrText>
      </w:r>
      <w:r>
        <w:rPr>
          <w:snapToGrid w:val="0"/>
          <w:color w:val="auto"/>
          <w:spacing w:val="-6"/>
          <w:kern w:val="21"/>
          <w:szCs w:val="21"/>
        </w:rPr>
        <w:fldChar w:fldCharType="separate"/>
      </w:r>
      <w:r>
        <w:rPr>
          <w:color w:val="auto"/>
          <w:szCs w:val="21"/>
        </w:rPr>
        <w:t>⑦</w:t>
      </w:r>
      <w:r>
        <w:rPr>
          <w:snapToGrid w:val="0"/>
          <w:color w:val="auto"/>
          <w:spacing w:val="-6"/>
          <w:kern w:val="21"/>
          <w:szCs w:val="21"/>
        </w:rPr>
        <w:fldChar w:fldCharType="end"/>
      </w:r>
      <w:r>
        <w:rPr>
          <w:snapToGrid w:val="0"/>
          <w:color w:val="auto"/>
          <w:spacing w:val="-6"/>
          <w:kern w:val="21"/>
          <w:szCs w:val="21"/>
        </w:rPr>
        <w:t>=</w:t>
      </w:r>
      <w:r>
        <w:rPr>
          <w:snapToGrid w:val="0"/>
          <w:color w:val="auto"/>
          <w:spacing w:val="-16"/>
          <w:kern w:val="21"/>
          <w:szCs w:val="21"/>
        </w:rPr>
        <w:fldChar w:fldCharType="begin"/>
      </w:r>
      <w:r>
        <w:rPr>
          <w:snapToGrid w:val="0"/>
          <w:color w:val="auto"/>
          <w:spacing w:val="-16"/>
          <w:kern w:val="21"/>
          <w:szCs w:val="21"/>
        </w:rPr>
        <w:instrText xml:space="preserve"> = 6 \* GB3 \* MERGEFORMAT </w:instrText>
      </w:r>
      <w:r>
        <w:rPr>
          <w:snapToGrid w:val="0"/>
          <w:color w:val="auto"/>
          <w:spacing w:val="-16"/>
          <w:kern w:val="21"/>
          <w:szCs w:val="21"/>
        </w:rPr>
        <w:fldChar w:fldCharType="separate"/>
      </w:r>
      <w:r>
        <w:rPr>
          <w:color w:val="auto"/>
          <w:szCs w:val="21"/>
        </w:rPr>
        <w:t>⑥</w:t>
      </w:r>
      <w:r>
        <w:rPr>
          <w:snapToGrid w:val="0"/>
          <w:color w:val="auto"/>
          <w:spacing w:val="-16"/>
          <w:kern w:val="21"/>
          <w:szCs w:val="21"/>
        </w:rPr>
        <w:fldChar w:fldCharType="end"/>
      </w:r>
      <w:r>
        <w:rPr>
          <w:snapToGrid w:val="0"/>
          <w:color w:val="auto"/>
          <w:spacing w:val="-16"/>
          <w:kern w:val="21"/>
          <w:szCs w:val="21"/>
        </w:rPr>
        <w:t>-</w:t>
      </w:r>
      <w:r>
        <w:rPr>
          <w:snapToGrid w:val="0"/>
          <w:color w:val="auto"/>
          <w:spacing w:val="-6"/>
          <w:kern w:val="21"/>
          <w:szCs w:val="21"/>
        </w:rPr>
        <w:fldChar w:fldCharType="begin"/>
      </w:r>
      <w:r>
        <w:rPr>
          <w:snapToGrid w:val="0"/>
          <w:color w:val="auto"/>
          <w:spacing w:val="-6"/>
          <w:kern w:val="21"/>
          <w:szCs w:val="21"/>
        </w:rPr>
        <w:instrText xml:space="preserve"> = 1 \* GB3 \* MERGEFORMAT </w:instrText>
      </w:r>
      <w:r>
        <w:rPr>
          <w:snapToGrid w:val="0"/>
          <w:color w:val="auto"/>
          <w:spacing w:val="-6"/>
          <w:kern w:val="21"/>
          <w:szCs w:val="21"/>
        </w:rPr>
        <w:fldChar w:fldCharType="separate"/>
      </w:r>
      <w:r>
        <w:rPr>
          <w:color w:val="auto"/>
          <w:szCs w:val="21"/>
        </w:rPr>
        <w:t>①</w:t>
      </w:r>
      <w:r>
        <w:rPr>
          <w:snapToGrid w:val="0"/>
          <w:color w:val="auto"/>
          <w:spacing w:val="-6"/>
          <w:kern w:val="21"/>
          <w:szCs w:val="21"/>
        </w:rPr>
        <w:fldChar w:fldCharType="end"/>
      </w:r>
    </w:p>
    <w:sectPr>
      <w:pgSz w:w="16838" w:h="11906" w:orient="landscape"/>
      <w:pgMar w:top="1701" w:right="1440" w:bottom="1803" w:left="1440" w:header="851" w:footer="992" w:gutter="0"/>
      <w:pgNumType w:fmt="decimal"/>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Geneva">
    <w:altName w:val="Arial"/>
    <w:panose1 w:val="00000000000000000000"/>
    <w:charset w:val="00"/>
    <w:family w:val="swiss"/>
    <w:pitch w:val="default"/>
    <w:sig w:usb0="00000000" w:usb1="00000000" w:usb2="00000000" w:usb3="00000000" w:csb0="00000001" w:csb1="00000000"/>
  </w:font>
  <w:font w:name="Arial Unicode MS">
    <w:altName w:val="宋体"/>
    <w:panose1 w:val="020B0604020202020204"/>
    <w:charset w:val="86"/>
    <w:family w:val="swiss"/>
    <w:pitch w:val="default"/>
    <w:sig w:usb0="00000000" w:usb1="00000000" w:usb2="0000003F" w:usb3="00000000" w:csb0="603F01FF" w:csb1="FFFF0000"/>
  </w:font>
  <w:font w:name="PMingLiU">
    <w:altName w:val="PMingLiU-ExtB"/>
    <w:panose1 w:val="02020500000000000000"/>
    <w:charset w:val="88"/>
    <w:family w:val="auto"/>
    <w:pitch w:val="default"/>
    <w:sig w:usb0="00000000" w:usb1="00000000" w:usb2="00000016" w:usb3="00000000" w:csb0="00100001" w:csb1="00000000"/>
  </w:font>
  <w:font w:name="Impact">
    <w:panose1 w:val="020B0806030902050204"/>
    <w:charset w:val="00"/>
    <w:family w:val="swiss"/>
    <w:pitch w:val="default"/>
    <w:sig w:usb0="00000287" w:usb1="00000000" w:usb2="00000000" w:usb3="00000000" w:csb0="2000009F" w:csb1="DFD70000"/>
  </w:font>
  <w:font w:name="MingLiU">
    <w:altName w:val="PMingLiU-ExtB"/>
    <w:panose1 w:val="02020509000000000000"/>
    <w:charset w:val="88"/>
    <w:family w:val="modern"/>
    <w:pitch w:val="default"/>
    <w:sig w:usb0="00000000" w:usb1="00000000" w:usb2="00000016" w:usb3="00000000" w:csb0="00100001" w:csb1="00000000"/>
  </w:font>
  <w:font w:name="Arial Narrow">
    <w:altName w:val="Times New Roman"/>
    <w:panose1 w:val="020B0606020202030204"/>
    <w:charset w:val="00"/>
    <w:family w:val="swiss"/>
    <w:pitch w:val="default"/>
    <w:sig w:usb0="00000000" w:usb1="00000000" w:usb2="00000000" w:usb3="00000000" w:csb0="2000009F" w:csb1="DFD70000"/>
  </w:font>
  <w:font w:name="微软雅黑">
    <w:panose1 w:val="020B0503020204020204"/>
    <w:charset w:val="86"/>
    <w:family w:val="swiss"/>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Kingsoft Symbol">
    <w:panose1 w:val="05000100010000000000"/>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BFB22">
    <w:pPr>
      <w:pStyle w:val="21"/>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29CA0">
    <w:pPr>
      <w:pStyle w:val="21"/>
      <w:framePr w:wrap="around" w:vAnchor="text" w:hAnchor="margin" w:xAlign="center" w:y="1"/>
      <w:rPr>
        <w:rStyle w:val="34"/>
      </w:rPr>
    </w:pPr>
    <w:r>
      <w:fldChar w:fldCharType="begin"/>
    </w:r>
    <w:r>
      <w:rPr>
        <w:rStyle w:val="34"/>
      </w:rPr>
      <w:instrText xml:space="preserve">PAGE  </w:instrText>
    </w:r>
    <w:r>
      <w:fldChar w:fldCharType="end"/>
    </w:r>
  </w:p>
  <w:p w14:paraId="4DC76DA5">
    <w:pPr>
      <w:pStyle w:val="2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9B977">
    <w:pPr>
      <w:pStyle w:val="21"/>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34246">
    <w:pPr>
      <w:pStyle w:val="21"/>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C5853">
                          <w:pPr>
                            <w:pStyle w:val="2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58C5853">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184E6">
    <w:pPr>
      <w:pStyle w:val="2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E5F6B">
    <w:pPr>
      <w:pStyle w:val="2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C43DC1"/>
    <w:multiLevelType w:val="singleLevel"/>
    <w:tmpl w:val="A0C43DC1"/>
    <w:lvl w:ilvl="0" w:tentative="0">
      <w:start w:val="1"/>
      <w:numFmt w:val="decimal"/>
      <w:suff w:val="nothing"/>
      <w:lvlText w:val="（%1）"/>
      <w:lvlJc w:val="left"/>
    </w:lvl>
  </w:abstractNum>
  <w:abstractNum w:abstractNumId="1">
    <w:nsid w:val="B5F0BE70"/>
    <w:multiLevelType w:val="singleLevel"/>
    <w:tmpl w:val="B5F0BE70"/>
    <w:lvl w:ilvl="0" w:tentative="0">
      <w:start w:val="1"/>
      <w:numFmt w:val="lowerLetter"/>
      <w:suff w:val="nothing"/>
      <w:lvlText w:val="%1）"/>
      <w:lvlJc w:val="left"/>
    </w:lvl>
  </w:abstractNum>
  <w:abstractNum w:abstractNumId="2">
    <w:nsid w:val="E5C4389E"/>
    <w:multiLevelType w:val="singleLevel"/>
    <w:tmpl w:val="E5C4389E"/>
    <w:lvl w:ilvl="0" w:tentative="0">
      <w:start w:val="1"/>
      <w:numFmt w:val="lowerLetter"/>
      <w:suff w:val="nothing"/>
      <w:lvlText w:val="%1）"/>
      <w:lvlJc w:val="left"/>
    </w:lvl>
  </w:abstractNum>
  <w:abstractNum w:abstractNumId="3">
    <w:nsid w:val="16490777"/>
    <w:multiLevelType w:val="singleLevel"/>
    <w:tmpl w:val="16490777"/>
    <w:lvl w:ilvl="0" w:tentative="0">
      <w:start w:val="1"/>
      <w:numFmt w:val="decimal"/>
      <w:suff w:val="nothing"/>
      <w:lvlText w:val="%1、"/>
      <w:lvlJc w:val="left"/>
    </w:lvl>
  </w:abstractNum>
  <w:abstractNum w:abstractNumId="4">
    <w:nsid w:val="40BC1058"/>
    <w:multiLevelType w:val="singleLevel"/>
    <w:tmpl w:val="40BC1058"/>
    <w:lvl w:ilvl="0" w:tentative="0">
      <w:start w:val="1"/>
      <w:numFmt w:val="bullet"/>
      <w:pStyle w:val="18"/>
      <w:lvlText w:val=""/>
      <w:lvlJc w:val="left"/>
      <w:pPr>
        <w:tabs>
          <w:tab w:val="left" w:pos="2040"/>
        </w:tabs>
        <w:ind w:left="2040" w:hanging="360"/>
      </w:pPr>
      <w:rPr>
        <w:rFonts w:hint="default" w:ascii="Wingdings" w:hAnsi="Wingdings"/>
      </w:rPr>
    </w:lvl>
  </w:abstractNum>
  <w:abstractNum w:abstractNumId="5">
    <w:nsid w:val="5A699B6E"/>
    <w:multiLevelType w:val="multilevel"/>
    <w:tmpl w:val="5A699B6E"/>
    <w:lvl w:ilvl="0" w:tentative="0">
      <w:start w:val="1"/>
      <w:numFmt w:val="decimal"/>
      <w:suff w:val="space"/>
      <w:lvlText w:val="第%1章  "/>
      <w:lvlJc w:val="center"/>
      <w:pPr>
        <w:tabs>
          <w:tab w:val="left" w:pos="420"/>
        </w:tabs>
        <w:ind w:left="0" w:firstLine="0"/>
      </w:pPr>
      <w:rPr>
        <w:rFonts w:hint="default" w:ascii="Times New Roman" w:hAnsi="Times New Roman" w:eastAsia="黑体" w:cs="Times New Roman"/>
        <w:b/>
        <w:bCs/>
        <w:sz w:val="30"/>
        <w:szCs w:val="30"/>
      </w:rPr>
    </w:lvl>
    <w:lvl w:ilvl="1" w:tentative="0">
      <w:start w:val="1"/>
      <w:numFmt w:val="decimal"/>
      <w:suff w:val="nothing"/>
      <w:lvlText w:val="%1.%2 "/>
      <w:lvlJc w:val="left"/>
      <w:pPr>
        <w:tabs>
          <w:tab w:val="left" w:pos="0"/>
        </w:tabs>
        <w:ind w:left="575" w:hanging="575"/>
      </w:pPr>
      <w:rPr>
        <w:rFonts w:hint="default" w:ascii="Times New Roman" w:hAnsi="Times New Roman" w:eastAsia="黑体" w:cs="Times New Roman"/>
        <w:b/>
        <w:bCs/>
        <w:sz w:val="28"/>
        <w:szCs w:val="28"/>
      </w:rPr>
    </w:lvl>
    <w:lvl w:ilvl="2" w:tentative="0">
      <w:start w:val="1"/>
      <w:numFmt w:val="decimal"/>
      <w:suff w:val="nothing"/>
      <w:lvlText w:val="%1.%2.%3 "/>
      <w:lvlJc w:val="left"/>
      <w:pPr>
        <w:tabs>
          <w:tab w:val="left" w:pos="0"/>
        </w:tabs>
        <w:ind w:left="720" w:hanging="720"/>
      </w:pPr>
      <w:rPr>
        <w:rFonts w:hint="default" w:ascii="Times New Roman" w:hAnsi="Times New Roman" w:eastAsia="宋体" w:cs="Times New Roman"/>
        <w:b/>
        <w:bCs/>
        <w:sz w:val="24"/>
        <w:szCs w:val="24"/>
      </w:rPr>
    </w:lvl>
    <w:lvl w:ilvl="3" w:tentative="0">
      <w:start w:val="1"/>
      <w:numFmt w:val="decimal"/>
      <w:suff w:val="nothing"/>
      <w:lvlText w:val="%1.%2.%3.%4 "/>
      <w:lvlJc w:val="left"/>
      <w:pPr>
        <w:tabs>
          <w:tab w:val="left" w:pos="0"/>
        </w:tabs>
        <w:ind w:left="864" w:hanging="864"/>
      </w:pPr>
      <w:rPr>
        <w:rFonts w:hint="default" w:ascii="Times New Roman" w:hAnsi="Times New Roman" w:eastAsia="宋体" w:cs="Times New Roman"/>
        <w:b/>
        <w:bCs/>
        <w:sz w:val="24"/>
        <w:szCs w:val="24"/>
      </w:rPr>
    </w:lvl>
    <w:lvl w:ilvl="4" w:tentative="0">
      <w:start w:val="1"/>
      <w:numFmt w:val="decimal"/>
      <w:lvlRestart w:val="2"/>
      <w:pStyle w:val="60"/>
      <w:suff w:val="nothing"/>
      <w:lvlText w:val="表%1.%2-%5  "/>
      <w:lvlJc w:val="left"/>
      <w:pPr>
        <w:tabs>
          <w:tab w:val="left" w:pos="0"/>
        </w:tabs>
        <w:ind w:left="1008" w:hanging="1008"/>
      </w:pPr>
      <w:rPr>
        <w:rFonts w:hint="default" w:ascii="Times New Roman" w:hAnsi="Times New Roman" w:eastAsia="宋体" w:cs="Times New Roman"/>
        <w:b/>
        <w:bCs/>
        <w:sz w:val="24"/>
        <w:szCs w:val="24"/>
      </w:rPr>
    </w:lvl>
    <w:lvl w:ilvl="5" w:tentative="0">
      <w:start w:val="1"/>
      <w:numFmt w:val="decimal"/>
      <w:lvlText w:val="%1.%2.%3.%4.%5.%6."/>
      <w:lvlJc w:val="left"/>
      <w:pPr>
        <w:ind w:left="1151" w:hanging="1151"/>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3" w:hanging="1583"/>
      </w:pPr>
      <w:rPr>
        <w:rFonts w:hint="eastAsia"/>
      </w:rPr>
    </w:lvl>
  </w:abstractNum>
  <w:abstractNum w:abstractNumId="6">
    <w:nsid w:val="7C14D2B9"/>
    <w:multiLevelType w:val="singleLevel"/>
    <w:tmpl w:val="7C14D2B9"/>
    <w:lvl w:ilvl="0" w:tentative="0">
      <w:start w:val="1"/>
      <w:numFmt w:val="lowerLetter"/>
      <w:suff w:val="nothing"/>
      <w:lvlText w:val="%1、"/>
      <w:lvlJc w:val="left"/>
    </w:lvl>
  </w:abstractNum>
  <w:num w:numId="1">
    <w:abstractNumId w:val="4"/>
  </w:num>
  <w:num w:numId="2">
    <w:abstractNumId w:val="5"/>
  </w:num>
  <w:num w:numId="3">
    <w:abstractNumId w:val="0"/>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wYzJiZTQ0M2JlMTQyZWUxMDgzMDRmYzRhMjAzZmEifQ=="/>
  </w:docVars>
  <w:rsids>
    <w:rsidRoot w:val="00172A27"/>
    <w:rsid w:val="00003504"/>
    <w:rsid w:val="0002561E"/>
    <w:rsid w:val="00032A5A"/>
    <w:rsid w:val="00051995"/>
    <w:rsid w:val="00054CD9"/>
    <w:rsid w:val="00093DD3"/>
    <w:rsid w:val="000E7B1F"/>
    <w:rsid w:val="000F6956"/>
    <w:rsid w:val="00172A27"/>
    <w:rsid w:val="00195B31"/>
    <w:rsid w:val="001A2968"/>
    <w:rsid w:val="001A2B41"/>
    <w:rsid w:val="001A4716"/>
    <w:rsid w:val="00205621"/>
    <w:rsid w:val="00224C7A"/>
    <w:rsid w:val="00225EBA"/>
    <w:rsid w:val="002531CE"/>
    <w:rsid w:val="0026189C"/>
    <w:rsid w:val="002632B3"/>
    <w:rsid w:val="00294959"/>
    <w:rsid w:val="002D0F1F"/>
    <w:rsid w:val="002D269B"/>
    <w:rsid w:val="002D4542"/>
    <w:rsid w:val="002E1F6F"/>
    <w:rsid w:val="002F2002"/>
    <w:rsid w:val="002F4511"/>
    <w:rsid w:val="00327CB1"/>
    <w:rsid w:val="00340FEF"/>
    <w:rsid w:val="00357647"/>
    <w:rsid w:val="003929AF"/>
    <w:rsid w:val="003B179F"/>
    <w:rsid w:val="003C28DE"/>
    <w:rsid w:val="003C3010"/>
    <w:rsid w:val="0040705C"/>
    <w:rsid w:val="0046579C"/>
    <w:rsid w:val="004D4AEB"/>
    <w:rsid w:val="0050638A"/>
    <w:rsid w:val="0054613B"/>
    <w:rsid w:val="00551409"/>
    <w:rsid w:val="00561183"/>
    <w:rsid w:val="00563E26"/>
    <w:rsid w:val="005B1E82"/>
    <w:rsid w:val="005C4D2E"/>
    <w:rsid w:val="00623B58"/>
    <w:rsid w:val="006360BD"/>
    <w:rsid w:val="00642EC5"/>
    <w:rsid w:val="0066795B"/>
    <w:rsid w:val="00675306"/>
    <w:rsid w:val="00692FA7"/>
    <w:rsid w:val="006A623D"/>
    <w:rsid w:val="006B31C3"/>
    <w:rsid w:val="006C1441"/>
    <w:rsid w:val="006D6F3B"/>
    <w:rsid w:val="006E177F"/>
    <w:rsid w:val="00707436"/>
    <w:rsid w:val="0078768E"/>
    <w:rsid w:val="007A6F63"/>
    <w:rsid w:val="007C42F6"/>
    <w:rsid w:val="007D0F25"/>
    <w:rsid w:val="007E4E77"/>
    <w:rsid w:val="00824069"/>
    <w:rsid w:val="00884CAE"/>
    <w:rsid w:val="0089189B"/>
    <w:rsid w:val="008B73C2"/>
    <w:rsid w:val="008E40E1"/>
    <w:rsid w:val="0093014E"/>
    <w:rsid w:val="0097782B"/>
    <w:rsid w:val="00980EC9"/>
    <w:rsid w:val="009C337D"/>
    <w:rsid w:val="00A10993"/>
    <w:rsid w:val="00A124D7"/>
    <w:rsid w:val="00A43F55"/>
    <w:rsid w:val="00A86FB1"/>
    <w:rsid w:val="00AC1615"/>
    <w:rsid w:val="00B431AC"/>
    <w:rsid w:val="00B52CB1"/>
    <w:rsid w:val="00BA691D"/>
    <w:rsid w:val="00C74E44"/>
    <w:rsid w:val="00C823C4"/>
    <w:rsid w:val="00C84172"/>
    <w:rsid w:val="00C91FF4"/>
    <w:rsid w:val="00C97CCC"/>
    <w:rsid w:val="00CA1B74"/>
    <w:rsid w:val="00CD79DA"/>
    <w:rsid w:val="00D5761F"/>
    <w:rsid w:val="00D91EDB"/>
    <w:rsid w:val="00E865C2"/>
    <w:rsid w:val="00EA40E8"/>
    <w:rsid w:val="00EC3607"/>
    <w:rsid w:val="00EF54D9"/>
    <w:rsid w:val="00F51BBE"/>
    <w:rsid w:val="00F9257D"/>
    <w:rsid w:val="00FC206D"/>
    <w:rsid w:val="01022F84"/>
    <w:rsid w:val="01064671"/>
    <w:rsid w:val="010A79CD"/>
    <w:rsid w:val="010D71DD"/>
    <w:rsid w:val="010D7DD7"/>
    <w:rsid w:val="010F5955"/>
    <w:rsid w:val="01115A2F"/>
    <w:rsid w:val="01115B19"/>
    <w:rsid w:val="01167F7D"/>
    <w:rsid w:val="011C35D4"/>
    <w:rsid w:val="011E2E1C"/>
    <w:rsid w:val="01233A9E"/>
    <w:rsid w:val="012375FA"/>
    <w:rsid w:val="01273CED"/>
    <w:rsid w:val="012C34B7"/>
    <w:rsid w:val="012D2227"/>
    <w:rsid w:val="01302BB7"/>
    <w:rsid w:val="013378DB"/>
    <w:rsid w:val="0136518B"/>
    <w:rsid w:val="013A432D"/>
    <w:rsid w:val="013D4B60"/>
    <w:rsid w:val="01413E0E"/>
    <w:rsid w:val="01431A4A"/>
    <w:rsid w:val="01431C2E"/>
    <w:rsid w:val="01472C04"/>
    <w:rsid w:val="014F2EFD"/>
    <w:rsid w:val="014F4893"/>
    <w:rsid w:val="015038F7"/>
    <w:rsid w:val="01536131"/>
    <w:rsid w:val="0163340B"/>
    <w:rsid w:val="016D1D26"/>
    <w:rsid w:val="016E6A09"/>
    <w:rsid w:val="017023A7"/>
    <w:rsid w:val="0176597C"/>
    <w:rsid w:val="01785B98"/>
    <w:rsid w:val="017E0CD4"/>
    <w:rsid w:val="018C683E"/>
    <w:rsid w:val="01940A17"/>
    <w:rsid w:val="019450FA"/>
    <w:rsid w:val="0198234B"/>
    <w:rsid w:val="01991C4C"/>
    <w:rsid w:val="01A2544F"/>
    <w:rsid w:val="01A37B56"/>
    <w:rsid w:val="01A72AFA"/>
    <w:rsid w:val="01A7647D"/>
    <w:rsid w:val="01A85250"/>
    <w:rsid w:val="01A86850"/>
    <w:rsid w:val="01AF0E8E"/>
    <w:rsid w:val="01AF1275"/>
    <w:rsid w:val="01B02348"/>
    <w:rsid w:val="01B131E0"/>
    <w:rsid w:val="01BD33DF"/>
    <w:rsid w:val="01BE7323"/>
    <w:rsid w:val="01C34939"/>
    <w:rsid w:val="01C74429"/>
    <w:rsid w:val="01CE02A5"/>
    <w:rsid w:val="01CF66BA"/>
    <w:rsid w:val="01D227E9"/>
    <w:rsid w:val="01D51CEF"/>
    <w:rsid w:val="01D52DEE"/>
    <w:rsid w:val="01E07FB3"/>
    <w:rsid w:val="01E274B5"/>
    <w:rsid w:val="01E54191"/>
    <w:rsid w:val="01E70628"/>
    <w:rsid w:val="01EA3F2D"/>
    <w:rsid w:val="01EC4E88"/>
    <w:rsid w:val="01F013C1"/>
    <w:rsid w:val="01F36FCC"/>
    <w:rsid w:val="01F546D2"/>
    <w:rsid w:val="01F568EE"/>
    <w:rsid w:val="01F677A7"/>
    <w:rsid w:val="01FB0577"/>
    <w:rsid w:val="01FE5971"/>
    <w:rsid w:val="01FE6ECE"/>
    <w:rsid w:val="020049D1"/>
    <w:rsid w:val="0200793B"/>
    <w:rsid w:val="02023F4B"/>
    <w:rsid w:val="02054F52"/>
    <w:rsid w:val="020D3724"/>
    <w:rsid w:val="020E37A5"/>
    <w:rsid w:val="02104022"/>
    <w:rsid w:val="02117558"/>
    <w:rsid w:val="02156CB2"/>
    <w:rsid w:val="02160608"/>
    <w:rsid w:val="021805A0"/>
    <w:rsid w:val="021826DA"/>
    <w:rsid w:val="021A332F"/>
    <w:rsid w:val="021F6013"/>
    <w:rsid w:val="022A49B8"/>
    <w:rsid w:val="023000CF"/>
    <w:rsid w:val="0234328A"/>
    <w:rsid w:val="02376F96"/>
    <w:rsid w:val="023831E6"/>
    <w:rsid w:val="023870D5"/>
    <w:rsid w:val="024737BC"/>
    <w:rsid w:val="02477318"/>
    <w:rsid w:val="024A4B13"/>
    <w:rsid w:val="024B0EA1"/>
    <w:rsid w:val="024C35ED"/>
    <w:rsid w:val="024C492F"/>
    <w:rsid w:val="024C63F3"/>
    <w:rsid w:val="024E20A3"/>
    <w:rsid w:val="02503F29"/>
    <w:rsid w:val="0250441F"/>
    <w:rsid w:val="025817C9"/>
    <w:rsid w:val="026B48A8"/>
    <w:rsid w:val="02725808"/>
    <w:rsid w:val="02730CBD"/>
    <w:rsid w:val="0273635F"/>
    <w:rsid w:val="02753F82"/>
    <w:rsid w:val="02775E4F"/>
    <w:rsid w:val="027B0375"/>
    <w:rsid w:val="027B5F7F"/>
    <w:rsid w:val="027F637D"/>
    <w:rsid w:val="028203C5"/>
    <w:rsid w:val="0284056C"/>
    <w:rsid w:val="02847CDE"/>
    <w:rsid w:val="029213A5"/>
    <w:rsid w:val="02950DA1"/>
    <w:rsid w:val="02955AF6"/>
    <w:rsid w:val="029562D6"/>
    <w:rsid w:val="029C3C73"/>
    <w:rsid w:val="029C58B6"/>
    <w:rsid w:val="029E7C2F"/>
    <w:rsid w:val="02A1631F"/>
    <w:rsid w:val="02A52D67"/>
    <w:rsid w:val="02A53D13"/>
    <w:rsid w:val="02A66735"/>
    <w:rsid w:val="02A91D81"/>
    <w:rsid w:val="02B50098"/>
    <w:rsid w:val="02B76EA0"/>
    <w:rsid w:val="02BC346B"/>
    <w:rsid w:val="02BE7A13"/>
    <w:rsid w:val="02BE7FD9"/>
    <w:rsid w:val="02C1356F"/>
    <w:rsid w:val="02C24BF1"/>
    <w:rsid w:val="02C72207"/>
    <w:rsid w:val="02C866AB"/>
    <w:rsid w:val="02CB1CF7"/>
    <w:rsid w:val="02DE7C7D"/>
    <w:rsid w:val="02E078A9"/>
    <w:rsid w:val="02E1776D"/>
    <w:rsid w:val="02E35293"/>
    <w:rsid w:val="02E4100B"/>
    <w:rsid w:val="02E903CF"/>
    <w:rsid w:val="02F23758"/>
    <w:rsid w:val="02FF23DD"/>
    <w:rsid w:val="02FF5E45"/>
    <w:rsid w:val="030C695F"/>
    <w:rsid w:val="030C6E5A"/>
    <w:rsid w:val="030E6F39"/>
    <w:rsid w:val="03126DA8"/>
    <w:rsid w:val="03153BB5"/>
    <w:rsid w:val="03172975"/>
    <w:rsid w:val="031F36E8"/>
    <w:rsid w:val="03253AFD"/>
    <w:rsid w:val="032B47D4"/>
    <w:rsid w:val="032E299E"/>
    <w:rsid w:val="032F04D8"/>
    <w:rsid w:val="033905F3"/>
    <w:rsid w:val="033B50CF"/>
    <w:rsid w:val="03470469"/>
    <w:rsid w:val="03477077"/>
    <w:rsid w:val="03477A8E"/>
    <w:rsid w:val="0348159A"/>
    <w:rsid w:val="034B2E38"/>
    <w:rsid w:val="034D4E02"/>
    <w:rsid w:val="034E2BCA"/>
    <w:rsid w:val="03550A4B"/>
    <w:rsid w:val="035703B8"/>
    <w:rsid w:val="03591C06"/>
    <w:rsid w:val="035937A7"/>
    <w:rsid w:val="035D3EC0"/>
    <w:rsid w:val="035E4CED"/>
    <w:rsid w:val="036A5AAA"/>
    <w:rsid w:val="036D7E3F"/>
    <w:rsid w:val="036F4ACF"/>
    <w:rsid w:val="037567E0"/>
    <w:rsid w:val="03786668"/>
    <w:rsid w:val="037C09BB"/>
    <w:rsid w:val="038528BE"/>
    <w:rsid w:val="03867A90"/>
    <w:rsid w:val="03870314"/>
    <w:rsid w:val="0388408C"/>
    <w:rsid w:val="038C0B24"/>
    <w:rsid w:val="0397607D"/>
    <w:rsid w:val="039B3DC0"/>
    <w:rsid w:val="03A01FA8"/>
    <w:rsid w:val="03A3022E"/>
    <w:rsid w:val="03A569EC"/>
    <w:rsid w:val="03A73E08"/>
    <w:rsid w:val="03A92761"/>
    <w:rsid w:val="03A9365C"/>
    <w:rsid w:val="03AC1B29"/>
    <w:rsid w:val="03AE1559"/>
    <w:rsid w:val="03AF31FD"/>
    <w:rsid w:val="03AF786B"/>
    <w:rsid w:val="03B254D9"/>
    <w:rsid w:val="03B44E81"/>
    <w:rsid w:val="03C055D4"/>
    <w:rsid w:val="03C07382"/>
    <w:rsid w:val="03C3096B"/>
    <w:rsid w:val="03C427E7"/>
    <w:rsid w:val="03C50E3C"/>
    <w:rsid w:val="03C63728"/>
    <w:rsid w:val="03CB5685"/>
    <w:rsid w:val="03CF065F"/>
    <w:rsid w:val="03D33559"/>
    <w:rsid w:val="03D45A81"/>
    <w:rsid w:val="03DF20E6"/>
    <w:rsid w:val="03E06306"/>
    <w:rsid w:val="03E84AD5"/>
    <w:rsid w:val="03EA75CC"/>
    <w:rsid w:val="03FB485E"/>
    <w:rsid w:val="03FC7FF0"/>
    <w:rsid w:val="03FD436B"/>
    <w:rsid w:val="040D666A"/>
    <w:rsid w:val="04117BDE"/>
    <w:rsid w:val="041365C4"/>
    <w:rsid w:val="0414147C"/>
    <w:rsid w:val="04172478"/>
    <w:rsid w:val="04180F6C"/>
    <w:rsid w:val="04182BE0"/>
    <w:rsid w:val="041871BE"/>
    <w:rsid w:val="041D2A27"/>
    <w:rsid w:val="04273BA4"/>
    <w:rsid w:val="042A6EF2"/>
    <w:rsid w:val="042E24FA"/>
    <w:rsid w:val="04337931"/>
    <w:rsid w:val="04346DCF"/>
    <w:rsid w:val="043A35D9"/>
    <w:rsid w:val="04401A5A"/>
    <w:rsid w:val="044048B6"/>
    <w:rsid w:val="04455CBC"/>
    <w:rsid w:val="04485834"/>
    <w:rsid w:val="044F0706"/>
    <w:rsid w:val="04522639"/>
    <w:rsid w:val="045253A0"/>
    <w:rsid w:val="0456591D"/>
    <w:rsid w:val="04590024"/>
    <w:rsid w:val="045C2D6E"/>
    <w:rsid w:val="045F6DD7"/>
    <w:rsid w:val="045F7E60"/>
    <w:rsid w:val="046046D6"/>
    <w:rsid w:val="0461636B"/>
    <w:rsid w:val="04727F3C"/>
    <w:rsid w:val="04776088"/>
    <w:rsid w:val="047B70F3"/>
    <w:rsid w:val="047F4146"/>
    <w:rsid w:val="04820ADC"/>
    <w:rsid w:val="048640B2"/>
    <w:rsid w:val="04864599"/>
    <w:rsid w:val="048C120B"/>
    <w:rsid w:val="048F32CE"/>
    <w:rsid w:val="048F44A4"/>
    <w:rsid w:val="04912ACD"/>
    <w:rsid w:val="049158F0"/>
    <w:rsid w:val="04932CE9"/>
    <w:rsid w:val="049A7BD3"/>
    <w:rsid w:val="049F3A8D"/>
    <w:rsid w:val="04A44EF6"/>
    <w:rsid w:val="04A60661"/>
    <w:rsid w:val="04A942BA"/>
    <w:rsid w:val="04AE3779"/>
    <w:rsid w:val="04AE464C"/>
    <w:rsid w:val="04B14484"/>
    <w:rsid w:val="04B213C1"/>
    <w:rsid w:val="04B5525E"/>
    <w:rsid w:val="04B862AB"/>
    <w:rsid w:val="04BC244D"/>
    <w:rsid w:val="04BC3FEE"/>
    <w:rsid w:val="04BC5D9C"/>
    <w:rsid w:val="04C335CE"/>
    <w:rsid w:val="04C410F4"/>
    <w:rsid w:val="04C74740"/>
    <w:rsid w:val="04CB7A9A"/>
    <w:rsid w:val="04CD6D06"/>
    <w:rsid w:val="04DC4690"/>
    <w:rsid w:val="04DD55B4"/>
    <w:rsid w:val="04E179AB"/>
    <w:rsid w:val="04E44859"/>
    <w:rsid w:val="04E83035"/>
    <w:rsid w:val="04E90B5B"/>
    <w:rsid w:val="04ED41A7"/>
    <w:rsid w:val="04F35535"/>
    <w:rsid w:val="05015EA4"/>
    <w:rsid w:val="05025778"/>
    <w:rsid w:val="05025D14"/>
    <w:rsid w:val="050442C2"/>
    <w:rsid w:val="0507507E"/>
    <w:rsid w:val="05145A0C"/>
    <w:rsid w:val="051554AC"/>
    <w:rsid w:val="051565F0"/>
    <w:rsid w:val="052014ED"/>
    <w:rsid w:val="052370D3"/>
    <w:rsid w:val="05263B5D"/>
    <w:rsid w:val="05273155"/>
    <w:rsid w:val="052B2F21"/>
    <w:rsid w:val="053775DF"/>
    <w:rsid w:val="053814B3"/>
    <w:rsid w:val="053E4A03"/>
    <w:rsid w:val="054377AC"/>
    <w:rsid w:val="05492C0D"/>
    <w:rsid w:val="05551D4C"/>
    <w:rsid w:val="055D3573"/>
    <w:rsid w:val="055E50A5"/>
    <w:rsid w:val="05600E1D"/>
    <w:rsid w:val="056B4FC4"/>
    <w:rsid w:val="05753A6C"/>
    <w:rsid w:val="05796D93"/>
    <w:rsid w:val="057A4A23"/>
    <w:rsid w:val="05820786"/>
    <w:rsid w:val="05830037"/>
    <w:rsid w:val="05854CE9"/>
    <w:rsid w:val="059357C9"/>
    <w:rsid w:val="05942874"/>
    <w:rsid w:val="059E36F3"/>
    <w:rsid w:val="05A21471"/>
    <w:rsid w:val="05A23AEA"/>
    <w:rsid w:val="05A32D8D"/>
    <w:rsid w:val="05A50F26"/>
    <w:rsid w:val="05A607FA"/>
    <w:rsid w:val="05B05192"/>
    <w:rsid w:val="05B20F4D"/>
    <w:rsid w:val="05D77384"/>
    <w:rsid w:val="05D9289E"/>
    <w:rsid w:val="05DA1652"/>
    <w:rsid w:val="05DB3FDB"/>
    <w:rsid w:val="05E774E6"/>
    <w:rsid w:val="05EA5338"/>
    <w:rsid w:val="05EC26B0"/>
    <w:rsid w:val="05EF03F3"/>
    <w:rsid w:val="05F02AB3"/>
    <w:rsid w:val="05F15F19"/>
    <w:rsid w:val="05F477B7"/>
    <w:rsid w:val="05F96E23"/>
    <w:rsid w:val="05FA2A55"/>
    <w:rsid w:val="05FB0B46"/>
    <w:rsid w:val="05FC1F0A"/>
    <w:rsid w:val="05FD36D1"/>
    <w:rsid w:val="06025659"/>
    <w:rsid w:val="060856F4"/>
    <w:rsid w:val="060A7287"/>
    <w:rsid w:val="060C2D53"/>
    <w:rsid w:val="06110369"/>
    <w:rsid w:val="0611048D"/>
    <w:rsid w:val="06127C3D"/>
    <w:rsid w:val="06147E59"/>
    <w:rsid w:val="06163BD1"/>
    <w:rsid w:val="06191684"/>
    <w:rsid w:val="061B0606"/>
    <w:rsid w:val="061C410F"/>
    <w:rsid w:val="061D0ABC"/>
    <w:rsid w:val="062067FE"/>
    <w:rsid w:val="06222576"/>
    <w:rsid w:val="06274B5B"/>
    <w:rsid w:val="06287461"/>
    <w:rsid w:val="062A4F87"/>
    <w:rsid w:val="062B6E9A"/>
    <w:rsid w:val="062C6F51"/>
    <w:rsid w:val="062D453D"/>
    <w:rsid w:val="062F2FDC"/>
    <w:rsid w:val="06302974"/>
    <w:rsid w:val="06361B7E"/>
    <w:rsid w:val="063B7CCA"/>
    <w:rsid w:val="063D2F0C"/>
    <w:rsid w:val="063E50AD"/>
    <w:rsid w:val="064249C6"/>
    <w:rsid w:val="0648365F"/>
    <w:rsid w:val="064D79F0"/>
    <w:rsid w:val="064F668B"/>
    <w:rsid w:val="065344DE"/>
    <w:rsid w:val="06555537"/>
    <w:rsid w:val="065564A8"/>
    <w:rsid w:val="065869FD"/>
    <w:rsid w:val="065B0CF6"/>
    <w:rsid w:val="065F4847"/>
    <w:rsid w:val="0661309E"/>
    <w:rsid w:val="06622973"/>
    <w:rsid w:val="066801DD"/>
    <w:rsid w:val="066B65F3"/>
    <w:rsid w:val="06797694"/>
    <w:rsid w:val="067A04CA"/>
    <w:rsid w:val="067F3525"/>
    <w:rsid w:val="068230B2"/>
    <w:rsid w:val="06867DFC"/>
    <w:rsid w:val="06872F1A"/>
    <w:rsid w:val="068A677C"/>
    <w:rsid w:val="068B60B1"/>
    <w:rsid w:val="06915006"/>
    <w:rsid w:val="06947999"/>
    <w:rsid w:val="06952D48"/>
    <w:rsid w:val="069B6A6E"/>
    <w:rsid w:val="069D1BFD"/>
    <w:rsid w:val="069D785C"/>
    <w:rsid w:val="06A27213"/>
    <w:rsid w:val="06A34A08"/>
    <w:rsid w:val="06A426FF"/>
    <w:rsid w:val="06AB4624"/>
    <w:rsid w:val="06B156A8"/>
    <w:rsid w:val="06B7213F"/>
    <w:rsid w:val="06BA5030"/>
    <w:rsid w:val="06BC6527"/>
    <w:rsid w:val="06C673A5"/>
    <w:rsid w:val="06C7630B"/>
    <w:rsid w:val="06C92CC5"/>
    <w:rsid w:val="06CB44DE"/>
    <w:rsid w:val="06CB676A"/>
    <w:rsid w:val="06CF4373"/>
    <w:rsid w:val="06CF7C57"/>
    <w:rsid w:val="06D870D9"/>
    <w:rsid w:val="06DF3FC3"/>
    <w:rsid w:val="06EB0BBA"/>
    <w:rsid w:val="06EB77CD"/>
    <w:rsid w:val="06EC66E0"/>
    <w:rsid w:val="06FF4665"/>
    <w:rsid w:val="071A324D"/>
    <w:rsid w:val="071B32B6"/>
    <w:rsid w:val="071E2D3E"/>
    <w:rsid w:val="072415B3"/>
    <w:rsid w:val="07267541"/>
    <w:rsid w:val="072803E9"/>
    <w:rsid w:val="07287718"/>
    <w:rsid w:val="072B545A"/>
    <w:rsid w:val="072E0FFB"/>
    <w:rsid w:val="07310263"/>
    <w:rsid w:val="0732472A"/>
    <w:rsid w:val="073302AC"/>
    <w:rsid w:val="07435ABD"/>
    <w:rsid w:val="0743707D"/>
    <w:rsid w:val="074C325F"/>
    <w:rsid w:val="074E2EF7"/>
    <w:rsid w:val="075958CC"/>
    <w:rsid w:val="075C5D77"/>
    <w:rsid w:val="075C75B8"/>
    <w:rsid w:val="075D54A0"/>
    <w:rsid w:val="075F3ED9"/>
    <w:rsid w:val="0760132B"/>
    <w:rsid w:val="07651153"/>
    <w:rsid w:val="07660241"/>
    <w:rsid w:val="07697D31"/>
    <w:rsid w:val="076B3AA9"/>
    <w:rsid w:val="076D38BD"/>
    <w:rsid w:val="076D7821"/>
    <w:rsid w:val="076F17EB"/>
    <w:rsid w:val="07767EF0"/>
    <w:rsid w:val="077C7D1E"/>
    <w:rsid w:val="07822CFC"/>
    <w:rsid w:val="07854B6B"/>
    <w:rsid w:val="07937C68"/>
    <w:rsid w:val="07990119"/>
    <w:rsid w:val="07A128D4"/>
    <w:rsid w:val="07A1396F"/>
    <w:rsid w:val="07A174CB"/>
    <w:rsid w:val="07A5520D"/>
    <w:rsid w:val="07A953B1"/>
    <w:rsid w:val="07AA2823"/>
    <w:rsid w:val="07B0512D"/>
    <w:rsid w:val="07B0770E"/>
    <w:rsid w:val="07B34569"/>
    <w:rsid w:val="07B62B26"/>
    <w:rsid w:val="07BA4244"/>
    <w:rsid w:val="07BB67DE"/>
    <w:rsid w:val="07BD70D6"/>
    <w:rsid w:val="07BE6026"/>
    <w:rsid w:val="07C25320"/>
    <w:rsid w:val="07C25615"/>
    <w:rsid w:val="07CA07CF"/>
    <w:rsid w:val="07CE1789"/>
    <w:rsid w:val="07D258D6"/>
    <w:rsid w:val="07D94EB6"/>
    <w:rsid w:val="07DD49A7"/>
    <w:rsid w:val="07DD7326"/>
    <w:rsid w:val="07DE427B"/>
    <w:rsid w:val="07E9507F"/>
    <w:rsid w:val="07EC6998"/>
    <w:rsid w:val="07F21110"/>
    <w:rsid w:val="07F32AD5"/>
    <w:rsid w:val="0800140A"/>
    <w:rsid w:val="080D0674"/>
    <w:rsid w:val="080D2DB2"/>
    <w:rsid w:val="080E5162"/>
    <w:rsid w:val="080F6B2A"/>
    <w:rsid w:val="08103916"/>
    <w:rsid w:val="08122176"/>
    <w:rsid w:val="082425D6"/>
    <w:rsid w:val="08251EAA"/>
    <w:rsid w:val="08254FB4"/>
    <w:rsid w:val="082751D4"/>
    <w:rsid w:val="0828199A"/>
    <w:rsid w:val="082D338F"/>
    <w:rsid w:val="08343DEE"/>
    <w:rsid w:val="08367B67"/>
    <w:rsid w:val="08371AF0"/>
    <w:rsid w:val="08393BA7"/>
    <w:rsid w:val="083B347B"/>
    <w:rsid w:val="083E11BD"/>
    <w:rsid w:val="08430582"/>
    <w:rsid w:val="0849203C"/>
    <w:rsid w:val="084F6F27"/>
    <w:rsid w:val="08512C9F"/>
    <w:rsid w:val="08517028"/>
    <w:rsid w:val="08541BF5"/>
    <w:rsid w:val="08585DDB"/>
    <w:rsid w:val="08591B53"/>
    <w:rsid w:val="085A59A1"/>
    <w:rsid w:val="085D2543"/>
    <w:rsid w:val="085D7896"/>
    <w:rsid w:val="085E716A"/>
    <w:rsid w:val="08634780"/>
    <w:rsid w:val="08640C24"/>
    <w:rsid w:val="08644C05"/>
    <w:rsid w:val="08674142"/>
    <w:rsid w:val="0869448C"/>
    <w:rsid w:val="086C1887"/>
    <w:rsid w:val="08730E67"/>
    <w:rsid w:val="08744F7A"/>
    <w:rsid w:val="087644CB"/>
    <w:rsid w:val="087D7F38"/>
    <w:rsid w:val="087F5A5E"/>
    <w:rsid w:val="08821A3A"/>
    <w:rsid w:val="08843074"/>
    <w:rsid w:val="08852292"/>
    <w:rsid w:val="088765C1"/>
    <w:rsid w:val="088766C0"/>
    <w:rsid w:val="088D22D9"/>
    <w:rsid w:val="088E7A4F"/>
    <w:rsid w:val="0895702F"/>
    <w:rsid w:val="08961A12"/>
    <w:rsid w:val="08991502"/>
    <w:rsid w:val="089F7EAE"/>
    <w:rsid w:val="08A47272"/>
    <w:rsid w:val="08A94889"/>
    <w:rsid w:val="08AB6408"/>
    <w:rsid w:val="08B01A1D"/>
    <w:rsid w:val="08B80F70"/>
    <w:rsid w:val="08B97B9F"/>
    <w:rsid w:val="08C16076"/>
    <w:rsid w:val="08CC0577"/>
    <w:rsid w:val="08CC67C9"/>
    <w:rsid w:val="08D15B8E"/>
    <w:rsid w:val="08D2511C"/>
    <w:rsid w:val="08D4742C"/>
    <w:rsid w:val="08D768B3"/>
    <w:rsid w:val="08D87341"/>
    <w:rsid w:val="08DA2C94"/>
    <w:rsid w:val="08DC2B16"/>
    <w:rsid w:val="08DD09D6"/>
    <w:rsid w:val="08E06BFE"/>
    <w:rsid w:val="08E41D65"/>
    <w:rsid w:val="08E65530"/>
    <w:rsid w:val="08EA1120"/>
    <w:rsid w:val="08F362E7"/>
    <w:rsid w:val="08FD1DEA"/>
    <w:rsid w:val="08FD31A9"/>
    <w:rsid w:val="08FE0D7F"/>
    <w:rsid w:val="09023F99"/>
    <w:rsid w:val="090A75A9"/>
    <w:rsid w:val="090B108C"/>
    <w:rsid w:val="09102B5A"/>
    <w:rsid w:val="091B682D"/>
    <w:rsid w:val="09206DDD"/>
    <w:rsid w:val="09212671"/>
    <w:rsid w:val="0926412B"/>
    <w:rsid w:val="092642D4"/>
    <w:rsid w:val="092959CA"/>
    <w:rsid w:val="092C7268"/>
    <w:rsid w:val="092D6C8C"/>
    <w:rsid w:val="09304FAA"/>
    <w:rsid w:val="093362EA"/>
    <w:rsid w:val="09364775"/>
    <w:rsid w:val="093C07E0"/>
    <w:rsid w:val="0941451D"/>
    <w:rsid w:val="09464DFA"/>
    <w:rsid w:val="09474203"/>
    <w:rsid w:val="09497E1A"/>
    <w:rsid w:val="094A557B"/>
    <w:rsid w:val="095011A8"/>
    <w:rsid w:val="09507105"/>
    <w:rsid w:val="09510A7C"/>
    <w:rsid w:val="09574568"/>
    <w:rsid w:val="095A2027"/>
    <w:rsid w:val="095C4F27"/>
    <w:rsid w:val="09606A2F"/>
    <w:rsid w:val="09652EA6"/>
    <w:rsid w:val="09672AD3"/>
    <w:rsid w:val="096C40EB"/>
    <w:rsid w:val="096E75D6"/>
    <w:rsid w:val="097474D2"/>
    <w:rsid w:val="097B395C"/>
    <w:rsid w:val="097F55EA"/>
    <w:rsid w:val="098904FD"/>
    <w:rsid w:val="09903C9B"/>
    <w:rsid w:val="099217C1"/>
    <w:rsid w:val="099F5445"/>
    <w:rsid w:val="09A432A2"/>
    <w:rsid w:val="09AA6564"/>
    <w:rsid w:val="09AB2883"/>
    <w:rsid w:val="09AD03A9"/>
    <w:rsid w:val="09B554AF"/>
    <w:rsid w:val="09BC6226"/>
    <w:rsid w:val="09BE4F1A"/>
    <w:rsid w:val="09C00789"/>
    <w:rsid w:val="09C33728"/>
    <w:rsid w:val="09C70C60"/>
    <w:rsid w:val="09CF73FF"/>
    <w:rsid w:val="09D26061"/>
    <w:rsid w:val="09D370FD"/>
    <w:rsid w:val="09D44961"/>
    <w:rsid w:val="09D5345C"/>
    <w:rsid w:val="09D674F6"/>
    <w:rsid w:val="09DC2A3C"/>
    <w:rsid w:val="09E8080E"/>
    <w:rsid w:val="09EA11A2"/>
    <w:rsid w:val="09EA6F07"/>
    <w:rsid w:val="09EC032D"/>
    <w:rsid w:val="09F16108"/>
    <w:rsid w:val="0A002BCE"/>
    <w:rsid w:val="0A012637"/>
    <w:rsid w:val="0A06008E"/>
    <w:rsid w:val="0A067AB9"/>
    <w:rsid w:val="0A0A75A9"/>
    <w:rsid w:val="0A0B22A6"/>
    <w:rsid w:val="0A0D3EBF"/>
    <w:rsid w:val="0A0E2F2B"/>
    <w:rsid w:val="0A116B8A"/>
    <w:rsid w:val="0A130236"/>
    <w:rsid w:val="0A1D552E"/>
    <w:rsid w:val="0A211B30"/>
    <w:rsid w:val="0A21573F"/>
    <w:rsid w:val="0A236D33"/>
    <w:rsid w:val="0A252596"/>
    <w:rsid w:val="0A261B64"/>
    <w:rsid w:val="0A275576"/>
    <w:rsid w:val="0A2906E6"/>
    <w:rsid w:val="0A2A1AFE"/>
    <w:rsid w:val="0A2C39C3"/>
    <w:rsid w:val="0A2C447B"/>
    <w:rsid w:val="0A2C5771"/>
    <w:rsid w:val="0A2D3298"/>
    <w:rsid w:val="0A3208AE"/>
    <w:rsid w:val="0A3960E0"/>
    <w:rsid w:val="0A3B7763"/>
    <w:rsid w:val="0A3D7FAC"/>
    <w:rsid w:val="0A430D0D"/>
    <w:rsid w:val="0A454A85"/>
    <w:rsid w:val="0A4B715A"/>
    <w:rsid w:val="0A516558"/>
    <w:rsid w:val="0A5847B8"/>
    <w:rsid w:val="0A5F5B47"/>
    <w:rsid w:val="0A6007AB"/>
    <w:rsid w:val="0A693506"/>
    <w:rsid w:val="0A69398C"/>
    <w:rsid w:val="0A694362"/>
    <w:rsid w:val="0A6B1E54"/>
    <w:rsid w:val="0A6D18E6"/>
    <w:rsid w:val="0A775E1F"/>
    <w:rsid w:val="0A792992"/>
    <w:rsid w:val="0A7D5FCD"/>
    <w:rsid w:val="0A7E6F9F"/>
    <w:rsid w:val="0A80786B"/>
    <w:rsid w:val="0A883A89"/>
    <w:rsid w:val="0A8A06EA"/>
    <w:rsid w:val="0A8F5D00"/>
    <w:rsid w:val="0A911907"/>
    <w:rsid w:val="0A913826"/>
    <w:rsid w:val="0A93759F"/>
    <w:rsid w:val="0A946A55"/>
    <w:rsid w:val="0A960E3D"/>
    <w:rsid w:val="0A963AAE"/>
    <w:rsid w:val="0A977F0A"/>
    <w:rsid w:val="0A9A6B7F"/>
    <w:rsid w:val="0A9B30A2"/>
    <w:rsid w:val="0A9D4330"/>
    <w:rsid w:val="0AA27E70"/>
    <w:rsid w:val="0AAB489B"/>
    <w:rsid w:val="0AAC240E"/>
    <w:rsid w:val="0AAE0E6D"/>
    <w:rsid w:val="0AB75863"/>
    <w:rsid w:val="0AB9737B"/>
    <w:rsid w:val="0ABD0ABF"/>
    <w:rsid w:val="0ABD18B6"/>
    <w:rsid w:val="0ABE2142"/>
    <w:rsid w:val="0ABE5DD4"/>
    <w:rsid w:val="0AC27FEC"/>
    <w:rsid w:val="0ACB31DC"/>
    <w:rsid w:val="0ACC11D3"/>
    <w:rsid w:val="0ACD074E"/>
    <w:rsid w:val="0ACE0286"/>
    <w:rsid w:val="0ADB6EF4"/>
    <w:rsid w:val="0ADD4CBE"/>
    <w:rsid w:val="0AE36ECE"/>
    <w:rsid w:val="0AE66BD8"/>
    <w:rsid w:val="0AEB1110"/>
    <w:rsid w:val="0AED776C"/>
    <w:rsid w:val="0AF02C43"/>
    <w:rsid w:val="0AF07F6C"/>
    <w:rsid w:val="0AF60B31"/>
    <w:rsid w:val="0AF96715"/>
    <w:rsid w:val="0AFA13CC"/>
    <w:rsid w:val="0AFC77D6"/>
    <w:rsid w:val="0B024724"/>
    <w:rsid w:val="0B073AE9"/>
    <w:rsid w:val="0B08092F"/>
    <w:rsid w:val="0B093D05"/>
    <w:rsid w:val="0B09418A"/>
    <w:rsid w:val="0B0C7351"/>
    <w:rsid w:val="0B1306DF"/>
    <w:rsid w:val="0B163D2C"/>
    <w:rsid w:val="0B195150"/>
    <w:rsid w:val="0B1A19B4"/>
    <w:rsid w:val="0B1A667C"/>
    <w:rsid w:val="0B217FC5"/>
    <w:rsid w:val="0B220922"/>
    <w:rsid w:val="0B224DC6"/>
    <w:rsid w:val="0B291CB1"/>
    <w:rsid w:val="0B2F5832"/>
    <w:rsid w:val="0B3150EA"/>
    <w:rsid w:val="0B33619E"/>
    <w:rsid w:val="0B3532C7"/>
    <w:rsid w:val="0B3C7C36"/>
    <w:rsid w:val="0B3E67C2"/>
    <w:rsid w:val="0B4077C5"/>
    <w:rsid w:val="0B41524D"/>
    <w:rsid w:val="0B422A43"/>
    <w:rsid w:val="0B45421B"/>
    <w:rsid w:val="0B472137"/>
    <w:rsid w:val="0B52745A"/>
    <w:rsid w:val="0B5605CC"/>
    <w:rsid w:val="0B574250"/>
    <w:rsid w:val="0B5A286E"/>
    <w:rsid w:val="0B5B3783"/>
    <w:rsid w:val="0B5C708E"/>
    <w:rsid w:val="0B5D195B"/>
    <w:rsid w:val="0B6131F9"/>
    <w:rsid w:val="0B622A02"/>
    <w:rsid w:val="0B626F71"/>
    <w:rsid w:val="0B6536B8"/>
    <w:rsid w:val="0B674CBC"/>
    <w:rsid w:val="0B6874E1"/>
    <w:rsid w:val="0B6C50CB"/>
    <w:rsid w:val="0B6D1AC3"/>
    <w:rsid w:val="0B6E19A7"/>
    <w:rsid w:val="0B742D0C"/>
    <w:rsid w:val="0B755235"/>
    <w:rsid w:val="0B7B0B24"/>
    <w:rsid w:val="0B8475F4"/>
    <w:rsid w:val="0B860EB1"/>
    <w:rsid w:val="0B8839AB"/>
    <w:rsid w:val="0B883F1F"/>
    <w:rsid w:val="0B890677"/>
    <w:rsid w:val="0B896BF3"/>
    <w:rsid w:val="0B920E35"/>
    <w:rsid w:val="0B996E37"/>
    <w:rsid w:val="0B9A6BA7"/>
    <w:rsid w:val="0B9C6927"/>
    <w:rsid w:val="0BA23811"/>
    <w:rsid w:val="0BA354C3"/>
    <w:rsid w:val="0BA37CB5"/>
    <w:rsid w:val="0BA50BE1"/>
    <w:rsid w:val="0BB22BDA"/>
    <w:rsid w:val="0BBC0D77"/>
    <w:rsid w:val="0BBE064B"/>
    <w:rsid w:val="0BBE4AFD"/>
    <w:rsid w:val="0BC10245"/>
    <w:rsid w:val="0BC656E9"/>
    <w:rsid w:val="0BCE4E2A"/>
    <w:rsid w:val="0BD342F5"/>
    <w:rsid w:val="0BDB744F"/>
    <w:rsid w:val="0BDC4F58"/>
    <w:rsid w:val="0BE36304"/>
    <w:rsid w:val="0BE55E0C"/>
    <w:rsid w:val="0BED2CDE"/>
    <w:rsid w:val="0BF56E60"/>
    <w:rsid w:val="0C0539DD"/>
    <w:rsid w:val="0C072991"/>
    <w:rsid w:val="0C076B26"/>
    <w:rsid w:val="0C0804DC"/>
    <w:rsid w:val="0C0A0C56"/>
    <w:rsid w:val="0C0B585A"/>
    <w:rsid w:val="0C0D15D3"/>
    <w:rsid w:val="0C100447"/>
    <w:rsid w:val="0C112AE3"/>
    <w:rsid w:val="0C1666D9"/>
    <w:rsid w:val="0C1A4BEB"/>
    <w:rsid w:val="0C1B6E61"/>
    <w:rsid w:val="0C252478"/>
    <w:rsid w:val="0C2649DF"/>
    <w:rsid w:val="0C2E6944"/>
    <w:rsid w:val="0C395F24"/>
    <w:rsid w:val="0C3B1C9C"/>
    <w:rsid w:val="0C3C42C9"/>
    <w:rsid w:val="0C3D30AA"/>
    <w:rsid w:val="0C4072B2"/>
    <w:rsid w:val="0C4366F5"/>
    <w:rsid w:val="0C486239"/>
    <w:rsid w:val="0C4F5747"/>
    <w:rsid w:val="0C517711"/>
    <w:rsid w:val="0C545836"/>
    <w:rsid w:val="0C57284E"/>
    <w:rsid w:val="0C6236CC"/>
    <w:rsid w:val="0C653F5B"/>
    <w:rsid w:val="0C6C454B"/>
    <w:rsid w:val="0C6D1506"/>
    <w:rsid w:val="0C741652"/>
    <w:rsid w:val="0C77337C"/>
    <w:rsid w:val="0C7B02EA"/>
    <w:rsid w:val="0C82288B"/>
    <w:rsid w:val="0C8573BB"/>
    <w:rsid w:val="0C880C59"/>
    <w:rsid w:val="0C967679"/>
    <w:rsid w:val="0C9B7F52"/>
    <w:rsid w:val="0CA24551"/>
    <w:rsid w:val="0CA30FB8"/>
    <w:rsid w:val="0CAA69BB"/>
    <w:rsid w:val="0CB06B79"/>
    <w:rsid w:val="0CB200C5"/>
    <w:rsid w:val="0CB97065"/>
    <w:rsid w:val="0CBA6D2C"/>
    <w:rsid w:val="0CC53C5B"/>
    <w:rsid w:val="0CC9374C"/>
    <w:rsid w:val="0CCC0710"/>
    <w:rsid w:val="0CCD5440"/>
    <w:rsid w:val="0CD72091"/>
    <w:rsid w:val="0CDD71F7"/>
    <w:rsid w:val="0CDE3470"/>
    <w:rsid w:val="0CE143B2"/>
    <w:rsid w:val="0CEC762F"/>
    <w:rsid w:val="0CF04ACE"/>
    <w:rsid w:val="0CF45640"/>
    <w:rsid w:val="0D004C93"/>
    <w:rsid w:val="0D04428B"/>
    <w:rsid w:val="0D0A343A"/>
    <w:rsid w:val="0D191630"/>
    <w:rsid w:val="0D1A7D11"/>
    <w:rsid w:val="0D1B1ACD"/>
    <w:rsid w:val="0D1F336B"/>
    <w:rsid w:val="0D232C17"/>
    <w:rsid w:val="0D305D1E"/>
    <w:rsid w:val="0D364756"/>
    <w:rsid w:val="0D3875BE"/>
    <w:rsid w:val="0D436CB8"/>
    <w:rsid w:val="0D4F52D6"/>
    <w:rsid w:val="0D5E3032"/>
    <w:rsid w:val="0D600C33"/>
    <w:rsid w:val="0D637D73"/>
    <w:rsid w:val="0D643474"/>
    <w:rsid w:val="0D705975"/>
    <w:rsid w:val="0D786F20"/>
    <w:rsid w:val="0D7A14E7"/>
    <w:rsid w:val="0D7C4200"/>
    <w:rsid w:val="0D7F0FF2"/>
    <w:rsid w:val="0D8520A7"/>
    <w:rsid w:val="0D863B28"/>
    <w:rsid w:val="0D870F11"/>
    <w:rsid w:val="0D892EDB"/>
    <w:rsid w:val="0D924C0F"/>
    <w:rsid w:val="0D953752"/>
    <w:rsid w:val="0D960D3E"/>
    <w:rsid w:val="0D984C3B"/>
    <w:rsid w:val="0D991A2D"/>
    <w:rsid w:val="0D9C49BC"/>
    <w:rsid w:val="0DA254C0"/>
    <w:rsid w:val="0DA675E9"/>
    <w:rsid w:val="0DA837B8"/>
    <w:rsid w:val="0DB31787"/>
    <w:rsid w:val="0DB52D2F"/>
    <w:rsid w:val="0DB55A7E"/>
    <w:rsid w:val="0DB96BA9"/>
    <w:rsid w:val="0DBF4B4E"/>
    <w:rsid w:val="0DC21F49"/>
    <w:rsid w:val="0DC57758"/>
    <w:rsid w:val="0DC857B1"/>
    <w:rsid w:val="0DCD09F0"/>
    <w:rsid w:val="0DCE08EE"/>
    <w:rsid w:val="0DCE4BD6"/>
    <w:rsid w:val="0DD26630"/>
    <w:rsid w:val="0DD51C7C"/>
    <w:rsid w:val="0DDB70EE"/>
    <w:rsid w:val="0DDD02C2"/>
    <w:rsid w:val="0DDE4FD5"/>
    <w:rsid w:val="0DE14AC5"/>
    <w:rsid w:val="0DE236BB"/>
    <w:rsid w:val="0DE563A5"/>
    <w:rsid w:val="0DE72CCE"/>
    <w:rsid w:val="0DEB1EA7"/>
    <w:rsid w:val="0DED346A"/>
    <w:rsid w:val="0DF06AB6"/>
    <w:rsid w:val="0DF30ACF"/>
    <w:rsid w:val="0DF61620"/>
    <w:rsid w:val="0DF742E8"/>
    <w:rsid w:val="0DFA0F36"/>
    <w:rsid w:val="0DFF5C3B"/>
    <w:rsid w:val="0E026BD8"/>
    <w:rsid w:val="0E081147"/>
    <w:rsid w:val="0E0D7180"/>
    <w:rsid w:val="0E100F06"/>
    <w:rsid w:val="0E102753"/>
    <w:rsid w:val="0E224018"/>
    <w:rsid w:val="0E296834"/>
    <w:rsid w:val="0E296B13"/>
    <w:rsid w:val="0E386C18"/>
    <w:rsid w:val="0E39220B"/>
    <w:rsid w:val="0E3C2671"/>
    <w:rsid w:val="0E3C6B7B"/>
    <w:rsid w:val="0E3E5A73"/>
    <w:rsid w:val="0E4018D9"/>
    <w:rsid w:val="0E467795"/>
    <w:rsid w:val="0E4A4418"/>
    <w:rsid w:val="0E4B444E"/>
    <w:rsid w:val="0E4F44B9"/>
    <w:rsid w:val="0E5139F9"/>
    <w:rsid w:val="0E527771"/>
    <w:rsid w:val="0E541B40"/>
    <w:rsid w:val="0E544833"/>
    <w:rsid w:val="0E545297"/>
    <w:rsid w:val="0E567261"/>
    <w:rsid w:val="0E5B6625"/>
    <w:rsid w:val="0E5C05EF"/>
    <w:rsid w:val="0E601E8E"/>
    <w:rsid w:val="0E660CA9"/>
    <w:rsid w:val="0E6A1E80"/>
    <w:rsid w:val="0E6F3E7F"/>
    <w:rsid w:val="0E7D63D0"/>
    <w:rsid w:val="0E7F3589"/>
    <w:rsid w:val="0E8004E8"/>
    <w:rsid w:val="0E802B47"/>
    <w:rsid w:val="0E807E3A"/>
    <w:rsid w:val="0E8813E4"/>
    <w:rsid w:val="0E887F44"/>
    <w:rsid w:val="0E894549"/>
    <w:rsid w:val="0E8F2773"/>
    <w:rsid w:val="0E9078BD"/>
    <w:rsid w:val="0E9125B0"/>
    <w:rsid w:val="0E927C08"/>
    <w:rsid w:val="0E927E61"/>
    <w:rsid w:val="0E9457C5"/>
    <w:rsid w:val="0E971CEC"/>
    <w:rsid w:val="0E9824E1"/>
    <w:rsid w:val="0EA3623F"/>
    <w:rsid w:val="0EA72B92"/>
    <w:rsid w:val="0EAA1E72"/>
    <w:rsid w:val="0EAD7E75"/>
    <w:rsid w:val="0EB16A5D"/>
    <w:rsid w:val="0EB83A78"/>
    <w:rsid w:val="0EBC4BEA"/>
    <w:rsid w:val="0EC264DD"/>
    <w:rsid w:val="0EC3241C"/>
    <w:rsid w:val="0EC35F79"/>
    <w:rsid w:val="0EC36E47"/>
    <w:rsid w:val="0EC71F0D"/>
    <w:rsid w:val="0EC75A69"/>
    <w:rsid w:val="0EC97C3C"/>
    <w:rsid w:val="0ED32557"/>
    <w:rsid w:val="0EE20AF5"/>
    <w:rsid w:val="0EE71214"/>
    <w:rsid w:val="0EE7435D"/>
    <w:rsid w:val="0EEC6BBE"/>
    <w:rsid w:val="0EF20FBD"/>
    <w:rsid w:val="0EFC6BE3"/>
    <w:rsid w:val="0F020460"/>
    <w:rsid w:val="0F062C21"/>
    <w:rsid w:val="0F0C3DC3"/>
    <w:rsid w:val="0F114F36"/>
    <w:rsid w:val="0F142919"/>
    <w:rsid w:val="0F1B4006"/>
    <w:rsid w:val="0F1C245B"/>
    <w:rsid w:val="0F235324"/>
    <w:rsid w:val="0F2E5AE8"/>
    <w:rsid w:val="0F2E5D4C"/>
    <w:rsid w:val="0F3155D8"/>
    <w:rsid w:val="0F36468A"/>
    <w:rsid w:val="0F3927D6"/>
    <w:rsid w:val="0F3B6457"/>
    <w:rsid w:val="0F3E028F"/>
    <w:rsid w:val="0F455900"/>
    <w:rsid w:val="0F470958"/>
    <w:rsid w:val="0F4B7EA1"/>
    <w:rsid w:val="0F4E1581"/>
    <w:rsid w:val="0F576C9E"/>
    <w:rsid w:val="0F5903DB"/>
    <w:rsid w:val="0F597A04"/>
    <w:rsid w:val="0F5A38D7"/>
    <w:rsid w:val="0F5B2655"/>
    <w:rsid w:val="0F611DE9"/>
    <w:rsid w:val="0F6255B7"/>
    <w:rsid w:val="0F625791"/>
    <w:rsid w:val="0F6270FC"/>
    <w:rsid w:val="0F676827"/>
    <w:rsid w:val="0F713C26"/>
    <w:rsid w:val="0F753717"/>
    <w:rsid w:val="0F76123D"/>
    <w:rsid w:val="0F7F755E"/>
    <w:rsid w:val="0F81030D"/>
    <w:rsid w:val="0F84224E"/>
    <w:rsid w:val="0F87344A"/>
    <w:rsid w:val="0F8B118C"/>
    <w:rsid w:val="0F900C4F"/>
    <w:rsid w:val="0F9213CB"/>
    <w:rsid w:val="0F9A589C"/>
    <w:rsid w:val="0F9B7951"/>
    <w:rsid w:val="0FA609CC"/>
    <w:rsid w:val="0FAB4813"/>
    <w:rsid w:val="0FAC3659"/>
    <w:rsid w:val="0FAD1102"/>
    <w:rsid w:val="0FAF73E7"/>
    <w:rsid w:val="0FB81855"/>
    <w:rsid w:val="0FC75E50"/>
    <w:rsid w:val="0FC77ADA"/>
    <w:rsid w:val="0FC85F3C"/>
    <w:rsid w:val="0FCF6AA6"/>
    <w:rsid w:val="0FD06B9F"/>
    <w:rsid w:val="0FDA7A1E"/>
    <w:rsid w:val="0FDE1A0A"/>
    <w:rsid w:val="0FE726D8"/>
    <w:rsid w:val="0FF20B75"/>
    <w:rsid w:val="0FF26075"/>
    <w:rsid w:val="0FF44180"/>
    <w:rsid w:val="0FF7237E"/>
    <w:rsid w:val="0FF860F6"/>
    <w:rsid w:val="0FFA1E6E"/>
    <w:rsid w:val="0FFA3C1C"/>
    <w:rsid w:val="0FFC1427"/>
    <w:rsid w:val="10014FAA"/>
    <w:rsid w:val="10101691"/>
    <w:rsid w:val="10142F30"/>
    <w:rsid w:val="1017737C"/>
    <w:rsid w:val="10196798"/>
    <w:rsid w:val="10196955"/>
    <w:rsid w:val="101A14F8"/>
    <w:rsid w:val="101E031E"/>
    <w:rsid w:val="10214E0C"/>
    <w:rsid w:val="10240C99"/>
    <w:rsid w:val="10245548"/>
    <w:rsid w:val="10246EEB"/>
    <w:rsid w:val="10266144"/>
    <w:rsid w:val="102869DB"/>
    <w:rsid w:val="102D0195"/>
    <w:rsid w:val="102F70B1"/>
    <w:rsid w:val="103233B6"/>
    <w:rsid w:val="10336795"/>
    <w:rsid w:val="10340018"/>
    <w:rsid w:val="10345380"/>
    <w:rsid w:val="10347536"/>
    <w:rsid w:val="103747D2"/>
    <w:rsid w:val="103D0BA2"/>
    <w:rsid w:val="103E48B7"/>
    <w:rsid w:val="103F5C65"/>
    <w:rsid w:val="10414F72"/>
    <w:rsid w:val="104C1361"/>
    <w:rsid w:val="10556DBB"/>
    <w:rsid w:val="10563548"/>
    <w:rsid w:val="10595FBD"/>
    <w:rsid w:val="105A46BB"/>
    <w:rsid w:val="105C0433"/>
    <w:rsid w:val="105C33D3"/>
    <w:rsid w:val="105E23FD"/>
    <w:rsid w:val="1067038F"/>
    <w:rsid w:val="106F63B8"/>
    <w:rsid w:val="1074723A"/>
    <w:rsid w:val="107E363C"/>
    <w:rsid w:val="10817E99"/>
    <w:rsid w:val="10861954"/>
    <w:rsid w:val="108856CC"/>
    <w:rsid w:val="108E07CD"/>
    <w:rsid w:val="10953945"/>
    <w:rsid w:val="1096761C"/>
    <w:rsid w:val="109951E3"/>
    <w:rsid w:val="109B53FF"/>
    <w:rsid w:val="109D1177"/>
    <w:rsid w:val="109F26BD"/>
    <w:rsid w:val="10A5614F"/>
    <w:rsid w:val="10A75C36"/>
    <w:rsid w:val="10A87B1C"/>
    <w:rsid w:val="10AE1D05"/>
    <w:rsid w:val="10B91E62"/>
    <w:rsid w:val="10B955EF"/>
    <w:rsid w:val="10BE1BE7"/>
    <w:rsid w:val="10BF3AD4"/>
    <w:rsid w:val="10C06C14"/>
    <w:rsid w:val="10C76C75"/>
    <w:rsid w:val="10C85AC8"/>
    <w:rsid w:val="10CA1840"/>
    <w:rsid w:val="10CF78B4"/>
    <w:rsid w:val="10D31FAC"/>
    <w:rsid w:val="10D426BF"/>
    <w:rsid w:val="10DD253A"/>
    <w:rsid w:val="10DD419A"/>
    <w:rsid w:val="10DE353E"/>
    <w:rsid w:val="10E02E12"/>
    <w:rsid w:val="10E072B6"/>
    <w:rsid w:val="10E16EA2"/>
    <w:rsid w:val="10E34827"/>
    <w:rsid w:val="10E5667A"/>
    <w:rsid w:val="10E70644"/>
    <w:rsid w:val="10EF74F9"/>
    <w:rsid w:val="10F22B45"/>
    <w:rsid w:val="10F93234"/>
    <w:rsid w:val="10FA431D"/>
    <w:rsid w:val="10FC6398"/>
    <w:rsid w:val="11003900"/>
    <w:rsid w:val="11015257"/>
    <w:rsid w:val="11036AF9"/>
    <w:rsid w:val="110671EB"/>
    <w:rsid w:val="1107074A"/>
    <w:rsid w:val="110B7891"/>
    <w:rsid w:val="110C3C07"/>
    <w:rsid w:val="11125AA7"/>
    <w:rsid w:val="111C3A3A"/>
    <w:rsid w:val="111D1A3C"/>
    <w:rsid w:val="111D7BC2"/>
    <w:rsid w:val="11223906"/>
    <w:rsid w:val="11275EF3"/>
    <w:rsid w:val="11287AF5"/>
    <w:rsid w:val="112D6274"/>
    <w:rsid w:val="112E1DCF"/>
    <w:rsid w:val="112F074C"/>
    <w:rsid w:val="112F1D43"/>
    <w:rsid w:val="11335637"/>
    <w:rsid w:val="113E3FDC"/>
    <w:rsid w:val="113F4FF3"/>
    <w:rsid w:val="11401D60"/>
    <w:rsid w:val="11441A61"/>
    <w:rsid w:val="11496C09"/>
    <w:rsid w:val="114F2D0E"/>
    <w:rsid w:val="11543643"/>
    <w:rsid w:val="115B3BDC"/>
    <w:rsid w:val="115B4B8E"/>
    <w:rsid w:val="115E37E9"/>
    <w:rsid w:val="11664A63"/>
    <w:rsid w:val="116D6B65"/>
    <w:rsid w:val="116F79B7"/>
    <w:rsid w:val="117143B2"/>
    <w:rsid w:val="1178642B"/>
    <w:rsid w:val="11813B96"/>
    <w:rsid w:val="11835756"/>
    <w:rsid w:val="11867E5D"/>
    <w:rsid w:val="118A31F7"/>
    <w:rsid w:val="118D0B31"/>
    <w:rsid w:val="118E1F67"/>
    <w:rsid w:val="118F0EAE"/>
    <w:rsid w:val="119074D8"/>
    <w:rsid w:val="1194344E"/>
    <w:rsid w:val="119B4D4D"/>
    <w:rsid w:val="11A647B8"/>
    <w:rsid w:val="11AC062A"/>
    <w:rsid w:val="11AE2F10"/>
    <w:rsid w:val="11B5604C"/>
    <w:rsid w:val="11B611D9"/>
    <w:rsid w:val="11BA7B07"/>
    <w:rsid w:val="11C412E0"/>
    <w:rsid w:val="11CB13F5"/>
    <w:rsid w:val="11CE6CA7"/>
    <w:rsid w:val="11D23F92"/>
    <w:rsid w:val="11D54941"/>
    <w:rsid w:val="11D86EAE"/>
    <w:rsid w:val="11DC2C5C"/>
    <w:rsid w:val="11DC5CCF"/>
    <w:rsid w:val="11DF131B"/>
    <w:rsid w:val="11E1766F"/>
    <w:rsid w:val="11E22BBA"/>
    <w:rsid w:val="11E64B3D"/>
    <w:rsid w:val="11E74565"/>
    <w:rsid w:val="11E76422"/>
    <w:rsid w:val="11E9616D"/>
    <w:rsid w:val="11EA0679"/>
    <w:rsid w:val="11EB41F5"/>
    <w:rsid w:val="11EE77B0"/>
    <w:rsid w:val="11EF60BB"/>
    <w:rsid w:val="11F272A1"/>
    <w:rsid w:val="11F56D91"/>
    <w:rsid w:val="11F61675"/>
    <w:rsid w:val="11F62EE9"/>
    <w:rsid w:val="11F72B09"/>
    <w:rsid w:val="11F823DD"/>
    <w:rsid w:val="11F86147"/>
    <w:rsid w:val="11F86D77"/>
    <w:rsid w:val="11FA721D"/>
    <w:rsid w:val="12045226"/>
    <w:rsid w:val="12095A3E"/>
    <w:rsid w:val="120C0775"/>
    <w:rsid w:val="120D35E2"/>
    <w:rsid w:val="1212349F"/>
    <w:rsid w:val="12130B10"/>
    <w:rsid w:val="121355DB"/>
    <w:rsid w:val="12185725"/>
    <w:rsid w:val="1219556D"/>
    <w:rsid w:val="12210E7B"/>
    <w:rsid w:val="122431D2"/>
    <w:rsid w:val="1226659C"/>
    <w:rsid w:val="122753E4"/>
    <w:rsid w:val="122D0061"/>
    <w:rsid w:val="123155A1"/>
    <w:rsid w:val="12333C10"/>
    <w:rsid w:val="123442B3"/>
    <w:rsid w:val="123769F4"/>
    <w:rsid w:val="123D7598"/>
    <w:rsid w:val="123E24E6"/>
    <w:rsid w:val="123F000C"/>
    <w:rsid w:val="12473D7F"/>
    <w:rsid w:val="124D2729"/>
    <w:rsid w:val="124E024F"/>
    <w:rsid w:val="124E0469"/>
    <w:rsid w:val="125062A1"/>
    <w:rsid w:val="12526251"/>
    <w:rsid w:val="125C38BD"/>
    <w:rsid w:val="12664815"/>
    <w:rsid w:val="126C4B0A"/>
    <w:rsid w:val="12747CB6"/>
    <w:rsid w:val="127D6304"/>
    <w:rsid w:val="127E0402"/>
    <w:rsid w:val="128C0640"/>
    <w:rsid w:val="12900868"/>
    <w:rsid w:val="12942106"/>
    <w:rsid w:val="12960CDE"/>
    <w:rsid w:val="129B7439"/>
    <w:rsid w:val="129C6349"/>
    <w:rsid w:val="129E34BA"/>
    <w:rsid w:val="12A83E03"/>
    <w:rsid w:val="12B46304"/>
    <w:rsid w:val="12BC3B0B"/>
    <w:rsid w:val="12BE3627"/>
    <w:rsid w:val="12BE6E34"/>
    <w:rsid w:val="12BE7183"/>
    <w:rsid w:val="12C26341"/>
    <w:rsid w:val="12C3396E"/>
    <w:rsid w:val="12C64289"/>
    <w:rsid w:val="12C7072D"/>
    <w:rsid w:val="12CA3D79"/>
    <w:rsid w:val="12CB18A0"/>
    <w:rsid w:val="12CB4732"/>
    <w:rsid w:val="12D133CA"/>
    <w:rsid w:val="12D45493"/>
    <w:rsid w:val="12D5073B"/>
    <w:rsid w:val="12D75CEB"/>
    <w:rsid w:val="12D76496"/>
    <w:rsid w:val="12D764E6"/>
    <w:rsid w:val="12D83555"/>
    <w:rsid w:val="12D83EF0"/>
    <w:rsid w:val="12DC585B"/>
    <w:rsid w:val="12DC7AA5"/>
    <w:rsid w:val="12DF7C4D"/>
    <w:rsid w:val="12E15D3D"/>
    <w:rsid w:val="12E3308D"/>
    <w:rsid w:val="12E43DCF"/>
    <w:rsid w:val="12E62E70"/>
    <w:rsid w:val="12E806A4"/>
    <w:rsid w:val="12EA7F78"/>
    <w:rsid w:val="12EC0194"/>
    <w:rsid w:val="12EF778D"/>
    <w:rsid w:val="12F00E49"/>
    <w:rsid w:val="12F02E71"/>
    <w:rsid w:val="12F40DF6"/>
    <w:rsid w:val="12FA57FD"/>
    <w:rsid w:val="13001549"/>
    <w:rsid w:val="13032DE1"/>
    <w:rsid w:val="130354DD"/>
    <w:rsid w:val="130519AD"/>
    <w:rsid w:val="13054DB2"/>
    <w:rsid w:val="13070B2A"/>
    <w:rsid w:val="1307145F"/>
    <w:rsid w:val="13076E22"/>
    <w:rsid w:val="130C25E4"/>
    <w:rsid w:val="130D2DA4"/>
    <w:rsid w:val="13196AAF"/>
    <w:rsid w:val="131B103E"/>
    <w:rsid w:val="131B3BB9"/>
    <w:rsid w:val="131D659F"/>
    <w:rsid w:val="131E40C5"/>
    <w:rsid w:val="13280AA0"/>
    <w:rsid w:val="132B25B1"/>
    <w:rsid w:val="132B413A"/>
    <w:rsid w:val="13345BE6"/>
    <w:rsid w:val="133631BD"/>
    <w:rsid w:val="133B516B"/>
    <w:rsid w:val="133E0FD8"/>
    <w:rsid w:val="13426E05"/>
    <w:rsid w:val="134372EB"/>
    <w:rsid w:val="13453400"/>
    <w:rsid w:val="13457FBA"/>
    <w:rsid w:val="13491142"/>
    <w:rsid w:val="134C478E"/>
    <w:rsid w:val="134C74DC"/>
    <w:rsid w:val="134E648D"/>
    <w:rsid w:val="13531FC1"/>
    <w:rsid w:val="1361772B"/>
    <w:rsid w:val="13623FB2"/>
    <w:rsid w:val="13695C36"/>
    <w:rsid w:val="136C704E"/>
    <w:rsid w:val="136F66CF"/>
    <w:rsid w:val="13710699"/>
    <w:rsid w:val="137141F5"/>
    <w:rsid w:val="13767056"/>
    <w:rsid w:val="137D4216"/>
    <w:rsid w:val="137D703E"/>
    <w:rsid w:val="1380268A"/>
    <w:rsid w:val="138A4FB0"/>
    <w:rsid w:val="138B7476"/>
    <w:rsid w:val="13907C7B"/>
    <w:rsid w:val="13936861"/>
    <w:rsid w:val="13975FCE"/>
    <w:rsid w:val="139C03FB"/>
    <w:rsid w:val="13A04ADA"/>
    <w:rsid w:val="13A26AA4"/>
    <w:rsid w:val="13A275C8"/>
    <w:rsid w:val="13A35FA2"/>
    <w:rsid w:val="13B03F8E"/>
    <w:rsid w:val="13B50586"/>
    <w:rsid w:val="13BE63AE"/>
    <w:rsid w:val="13BF1404"/>
    <w:rsid w:val="13C102B6"/>
    <w:rsid w:val="13C54441"/>
    <w:rsid w:val="13C611AA"/>
    <w:rsid w:val="13C82D78"/>
    <w:rsid w:val="13C87727"/>
    <w:rsid w:val="13CE7899"/>
    <w:rsid w:val="13D53B45"/>
    <w:rsid w:val="13DC453C"/>
    <w:rsid w:val="13DF6E73"/>
    <w:rsid w:val="13E175CD"/>
    <w:rsid w:val="13E7095B"/>
    <w:rsid w:val="13EC7D20"/>
    <w:rsid w:val="13F07810"/>
    <w:rsid w:val="13F1593A"/>
    <w:rsid w:val="13FD3CDB"/>
    <w:rsid w:val="13FD4129"/>
    <w:rsid w:val="140339E5"/>
    <w:rsid w:val="14036630"/>
    <w:rsid w:val="1404150D"/>
    <w:rsid w:val="14067033"/>
    <w:rsid w:val="14092680"/>
    <w:rsid w:val="140D4C87"/>
    <w:rsid w:val="140E4BA4"/>
    <w:rsid w:val="140F684B"/>
    <w:rsid w:val="14180B15"/>
    <w:rsid w:val="141963E3"/>
    <w:rsid w:val="141C727E"/>
    <w:rsid w:val="142A6E60"/>
    <w:rsid w:val="142F527C"/>
    <w:rsid w:val="14327BEE"/>
    <w:rsid w:val="1434290B"/>
    <w:rsid w:val="143474F1"/>
    <w:rsid w:val="14357918"/>
    <w:rsid w:val="14362BD1"/>
    <w:rsid w:val="143E130A"/>
    <w:rsid w:val="143F5FAA"/>
    <w:rsid w:val="14441FDA"/>
    <w:rsid w:val="144B0EEA"/>
    <w:rsid w:val="144D4C62"/>
    <w:rsid w:val="144F3ACE"/>
    <w:rsid w:val="14524026"/>
    <w:rsid w:val="1454727D"/>
    <w:rsid w:val="14553B17"/>
    <w:rsid w:val="145E0C1D"/>
    <w:rsid w:val="14641FAC"/>
    <w:rsid w:val="14644BBB"/>
    <w:rsid w:val="14694BBB"/>
    <w:rsid w:val="147026FF"/>
    <w:rsid w:val="147527BF"/>
    <w:rsid w:val="1477078D"/>
    <w:rsid w:val="147F6790"/>
    <w:rsid w:val="1480655B"/>
    <w:rsid w:val="14812B5E"/>
    <w:rsid w:val="1481490C"/>
    <w:rsid w:val="14825295"/>
    <w:rsid w:val="14830684"/>
    <w:rsid w:val="14832432"/>
    <w:rsid w:val="148461AA"/>
    <w:rsid w:val="14855052"/>
    <w:rsid w:val="148553CE"/>
    <w:rsid w:val="14883EEC"/>
    <w:rsid w:val="148A7C64"/>
    <w:rsid w:val="148D32B1"/>
    <w:rsid w:val="148E6A4C"/>
    <w:rsid w:val="148F527B"/>
    <w:rsid w:val="14910D4E"/>
    <w:rsid w:val="1494079E"/>
    <w:rsid w:val="14952165"/>
    <w:rsid w:val="14991DEC"/>
    <w:rsid w:val="149A3343"/>
    <w:rsid w:val="149E655B"/>
    <w:rsid w:val="14AA3E63"/>
    <w:rsid w:val="14AC7060"/>
    <w:rsid w:val="14B03698"/>
    <w:rsid w:val="14B167FF"/>
    <w:rsid w:val="14B75363"/>
    <w:rsid w:val="14BD65D4"/>
    <w:rsid w:val="14BF7B71"/>
    <w:rsid w:val="14C34F24"/>
    <w:rsid w:val="14CE3295"/>
    <w:rsid w:val="14CF1B1B"/>
    <w:rsid w:val="14D16651"/>
    <w:rsid w:val="14D26F15"/>
    <w:rsid w:val="14D427D3"/>
    <w:rsid w:val="14D74BF1"/>
    <w:rsid w:val="14DB60FF"/>
    <w:rsid w:val="14DC5FE6"/>
    <w:rsid w:val="14DF0DB5"/>
    <w:rsid w:val="14E31122"/>
    <w:rsid w:val="14E32ED1"/>
    <w:rsid w:val="14E46C49"/>
    <w:rsid w:val="14E63240"/>
    <w:rsid w:val="14EA24B1"/>
    <w:rsid w:val="14EC5133"/>
    <w:rsid w:val="14EF1875"/>
    <w:rsid w:val="14F055ED"/>
    <w:rsid w:val="14F25809"/>
    <w:rsid w:val="14F440C8"/>
    <w:rsid w:val="14FB4921"/>
    <w:rsid w:val="14FC0436"/>
    <w:rsid w:val="14FC21E4"/>
    <w:rsid w:val="14FC3F92"/>
    <w:rsid w:val="14FE41AE"/>
    <w:rsid w:val="150712B5"/>
    <w:rsid w:val="150A66AF"/>
    <w:rsid w:val="1517701E"/>
    <w:rsid w:val="151B4D60"/>
    <w:rsid w:val="151E65FF"/>
    <w:rsid w:val="152655BA"/>
    <w:rsid w:val="15267BD5"/>
    <w:rsid w:val="1527568C"/>
    <w:rsid w:val="152C56B4"/>
    <w:rsid w:val="152E4785"/>
    <w:rsid w:val="152F6116"/>
    <w:rsid w:val="1532307B"/>
    <w:rsid w:val="15393438"/>
    <w:rsid w:val="153E1664"/>
    <w:rsid w:val="153E45AB"/>
    <w:rsid w:val="153F4237"/>
    <w:rsid w:val="15435C00"/>
    <w:rsid w:val="15443F80"/>
    <w:rsid w:val="15451DDD"/>
    <w:rsid w:val="155073CC"/>
    <w:rsid w:val="1552003B"/>
    <w:rsid w:val="155C16B2"/>
    <w:rsid w:val="155E4A4F"/>
    <w:rsid w:val="156E2000"/>
    <w:rsid w:val="156E30E2"/>
    <w:rsid w:val="157601E9"/>
    <w:rsid w:val="157A747A"/>
    <w:rsid w:val="157D1577"/>
    <w:rsid w:val="157D64AF"/>
    <w:rsid w:val="15806971"/>
    <w:rsid w:val="15835A18"/>
    <w:rsid w:val="1585667E"/>
    <w:rsid w:val="15897F1C"/>
    <w:rsid w:val="1591146B"/>
    <w:rsid w:val="159140DC"/>
    <w:rsid w:val="159259DB"/>
    <w:rsid w:val="15973CBB"/>
    <w:rsid w:val="15995C85"/>
    <w:rsid w:val="159B12DE"/>
    <w:rsid w:val="159D1D5D"/>
    <w:rsid w:val="159D5775"/>
    <w:rsid w:val="159E329B"/>
    <w:rsid w:val="15A02B70"/>
    <w:rsid w:val="15A3568B"/>
    <w:rsid w:val="15A5462A"/>
    <w:rsid w:val="15A72150"/>
    <w:rsid w:val="15A8150E"/>
    <w:rsid w:val="15AC6074"/>
    <w:rsid w:val="15AC7766"/>
    <w:rsid w:val="15AE7982"/>
    <w:rsid w:val="15B14D7D"/>
    <w:rsid w:val="15B33262"/>
    <w:rsid w:val="15BD4731"/>
    <w:rsid w:val="15BE749A"/>
    <w:rsid w:val="15C33CB3"/>
    <w:rsid w:val="15C42D02"/>
    <w:rsid w:val="15C54C7F"/>
    <w:rsid w:val="15CC1BB7"/>
    <w:rsid w:val="15D05B4B"/>
    <w:rsid w:val="15D13671"/>
    <w:rsid w:val="15D46CBD"/>
    <w:rsid w:val="15D55FD9"/>
    <w:rsid w:val="15D942D4"/>
    <w:rsid w:val="15D971D8"/>
    <w:rsid w:val="15DA1140"/>
    <w:rsid w:val="15DA1E0B"/>
    <w:rsid w:val="15DA77C8"/>
    <w:rsid w:val="15DB268D"/>
    <w:rsid w:val="15DF44BE"/>
    <w:rsid w:val="15E0299E"/>
    <w:rsid w:val="15E46FC8"/>
    <w:rsid w:val="15E965F4"/>
    <w:rsid w:val="15EE1307"/>
    <w:rsid w:val="15F603F0"/>
    <w:rsid w:val="15F630D7"/>
    <w:rsid w:val="15F967B3"/>
    <w:rsid w:val="15FA0A52"/>
    <w:rsid w:val="15FF1F8C"/>
    <w:rsid w:val="16003FC0"/>
    <w:rsid w:val="1600509A"/>
    <w:rsid w:val="16007AB2"/>
    <w:rsid w:val="16011215"/>
    <w:rsid w:val="16025C99"/>
    <w:rsid w:val="160457F4"/>
    <w:rsid w:val="16090D0A"/>
    <w:rsid w:val="160B2645"/>
    <w:rsid w:val="160D0296"/>
    <w:rsid w:val="160E0421"/>
    <w:rsid w:val="160E7F8F"/>
    <w:rsid w:val="160F05AC"/>
    <w:rsid w:val="16140DEE"/>
    <w:rsid w:val="16196CEE"/>
    <w:rsid w:val="162018AE"/>
    <w:rsid w:val="1622065F"/>
    <w:rsid w:val="16227A29"/>
    <w:rsid w:val="16290DB7"/>
    <w:rsid w:val="1629525B"/>
    <w:rsid w:val="16297009"/>
    <w:rsid w:val="162E2871"/>
    <w:rsid w:val="162E6FEA"/>
    <w:rsid w:val="16306CB5"/>
    <w:rsid w:val="163634D4"/>
    <w:rsid w:val="163804CC"/>
    <w:rsid w:val="163934C9"/>
    <w:rsid w:val="163B747F"/>
    <w:rsid w:val="163C4F8E"/>
    <w:rsid w:val="163E47A2"/>
    <w:rsid w:val="1641320A"/>
    <w:rsid w:val="16491459"/>
    <w:rsid w:val="164B51D1"/>
    <w:rsid w:val="164C1885"/>
    <w:rsid w:val="164C2CF7"/>
    <w:rsid w:val="16512C66"/>
    <w:rsid w:val="16534086"/>
    <w:rsid w:val="16534C52"/>
    <w:rsid w:val="165560DE"/>
    <w:rsid w:val="165B2F3A"/>
    <w:rsid w:val="165C4BCE"/>
    <w:rsid w:val="16610EFD"/>
    <w:rsid w:val="166442F4"/>
    <w:rsid w:val="1666781F"/>
    <w:rsid w:val="16677B31"/>
    <w:rsid w:val="16682B62"/>
    <w:rsid w:val="16740020"/>
    <w:rsid w:val="16783AEC"/>
    <w:rsid w:val="167B0147"/>
    <w:rsid w:val="167E2E5B"/>
    <w:rsid w:val="168416E5"/>
    <w:rsid w:val="168B563D"/>
    <w:rsid w:val="168C2EEF"/>
    <w:rsid w:val="169528F0"/>
    <w:rsid w:val="16970417"/>
    <w:rsid w:val="16976FEE"/>
    <w:rsid w:val="169D3553"/>
    <w:rsid w:val="16A91EF8"/>
    <w:rsid w:val="16AD73C2"/>
    <w:rsid w:val="16AE750E"/>
    <w:rsid w:val="16AF7B69"/>
    <w:rsid w:val="16B30AE1"/>
    <w:rsid w:val="16B32D77"/>
    <w:rsid w:val="16B34B25"/>
    <w:rsid w:val="16B70AB9"/>
    <w:rsid w:val="16BA4105"/>
    <w:rsid w:val="16BD5CDA"/>
    <w:rsid w:val="16BE59A3"/>
    <w:rsid w:val="16BE69CE"/>
    <w:rsid w:val="16C240F4"/>
    <w:rsid w:val="16C46DFA"/>
    <w:rsid w:val="16C94427"/>
    <w:rsid w:val="16CE1A62"/>
    <w:rsid w:val="16CE3958"/>
    <w:rsid w:val="16D03928"/>
    <w:rsid w:val="16D97DC7"/>
    <w:rsid w:val="16DA02A8"/>
    <w:rsid w:val="16E318AE"/>
    <w:rsid w:val="16E3365C"/>
    <w:rsid w:val="16E802DA"/>
    <w:rsid w:val="16EA0BC1"/>
    <w:rsid w:val="16EC492F"/>
    <w:rsid w:val="1700420E"/>
    <w:rsid w:val="17013D36"/>
    <w:rsid w:val="17081314"/>
    <w:rsid w:val="170B2BB3"/>
    <w:rsid w:val="170D1B5F"/>
    <w:rsid w:val="170D2487"/>
    <w:rsid w:val="17115431"/>
    <w:rsid w:val="17151105"/>
    <w:rsid w:val="17181050"/>
    <w:rsid w:val="171B2960"/>
    <w:rsid w:val="171F21BA"/>
    <w:rsid w:val="17211B5D"/>
    <w:rsid w:val="17214184"/>
    <w:rsid w:val="17256CE1"/>
    <w:rsid w:val="17285513"/>
    <w:rsid w:val="172872C1"/>
    <w:rsid w:val="172A128B"/>
    <w:rsid w:val="172D0D7B"/>
    <w:rsid w:val="17306175"/>
    <w:rsid w:val="17352603"/>
    <w:rsid w:val="173739A8"/>
    <w:rsid w:val="173A0E4F"/>
    <w:rsid w:val="173B5246"/>
    <w:rsid w:val="173D3E77"/>
    <w:rsid w:val="173D68BB"/>
    <w:rsid w:val="17431887"/>
    <w:rsid w:val="17471E3D"/>
    <w:rsid w:val="17481C73"/>
    <w:rsid w:val="174836DA"/>
    <w:rsid w:val="174F6F43"/>
    <w:rsid w:val="17546308"/>
    <w:rsid w:val="17666400"/>
    <w:rsid w:val="17683B61"/>
    <w:rsid w:val="17684793"/>
    <w:rsid w:val="176A5B2B"/>
    <w:rsid w:val="176B58AB"/>
    <w:rsid w:val="176D1177"/>
    <w:rsid w:val="17702C7A"/>
    <w:rsid w:val="17712509"/>
    <w:rsid w:val="1773275E"/>
    <w:rsid w:val="177845C9"/>
    <w:rsid w:val="17795D6E"/>
    <w:rsid w:val="178D1819"/>
    <w:rsid w:val="178F5592"/>
    <w:rsid w:val="17914E66"/>
    <w:rsid w:val="17917D74"/>
    <w:rsid w:val="17950011"/>
    <w:rsid w:val="1798116C"/>
    <w:rsid w:val="17A10E21"/>
    <w:rsid w:val="17A50638"/>
    <w:rsid w:val="17A85737"/>
    <w:rsid w:val="17A91A40"/>
    <w:rsid w:val="17AD5A18"/>
    <w:rsid w:val="17B15700"/>
    <w:rsid w:val="17B814A8"/>
    <w:rsid w:val="17C24895"/>
    <w:rsid w:val="17C36FE9"/>
    <w:rsid w:val="17C4465B"/>
    <w:rsid w:val="17C46792"/>
    <w:rsid w:val="17D2722C"/>
    <w:rsid w:val="17D86F39"/>
    <w:rsid w:val="17E170AC"/>
    <w:rsid w:val="17E20185"/>
    <w:rsid w:val="17E20250"/>
    <w:rsid w:val="17E4768B"/>
    <w:rsid w:val="17E51656"/>
    <w:rsid w:val="17EA0A1A"/>
    <w:rsid w:val="17F3155F"/>
    <w:rsid w:val="17F329A6"/>
    <w:rsid w:val="17FE06E4"/>
    <w:rsid w:val="18035F2B"/>
    <w:rsid w:val="18055854"/>
    <w:rsid w:val="180D4E89"/>
    <w:rsid w:val="181141F9"/>
    <w:rsid w:val="1814012F"/>
    <w:rsid w:val="181602D3"/>
    <w:rsid w:val="18161D69"/>
    <w:rsid w:val="181A30AD"/>
    <w:rsid w:val="181A3234"/>
    <w:rsid w:val="181C3E1E"/>
    <w:rsid w:val="181C7EC7"/>
    <w:rsid w:val="182201B4"/>
    <w:rsid w:val="18293223"/>
    <w:rsid w:val="182A43C3"/>
    <w:rsid w:val="182C4B26"/>
    <w:rsid w:val="182D1644"/>
    <w:rsid w:val="182D1850"/>
    <w:rsid w:val="182F7133"/>
    <w:rsid w:val="18335F1D"/>
    <w:rsid w:val="18344781"/>
    <w:rsid w:val="18391D57"/>
    <w:rsid w:val="183D4058"/>
    <w:rsid w:val="184229CE"/>
    <w:rsid w:val="184243B2"/>
    <w:rsid w:val="18427BDC"/>
    <w:rsid w:val="184C6FDF"/>
    <w:rsid w:val="18577262"/>
    <w:rsid w:val="186913B9"/>
    <w:rsid w:val="186B3909"/>
    <w:rsid w:val="186C44BD"/>
    <w:rsid w:val="186F1A5A"/>
    <w:rsid w:val="187017E2"/>
    <w:rsid w:val="1871292E"/>
    <w:rsid w:val="18736C61"/>
    <w:rsid w:val="187F3272"/>
    <w:rsid w:val="1881137E"/>
    <w:rsid w:val="18836BCC"/>
    <w:rsid w:val="18860743"/>
    <w:rsid w:val="18930C59"/>
    <w:rsid w:val="189B5D97"/>
    <w:rsid w:val="18A14754"/>
    <w:rsid w:val="18A62B93"/>
    <w:rsid w:val="18A84772"/>
    <w:rsid w:val="18AF6EC4"/>
    <w:rsid w:val="18B0640A"/>
    <w:rsid w:val="18B31A70"/>
    <w:rsid w:val="18B708FC"/>
    <w:rsid w:val="18B9693B"/>
    <w:rsid w:val="18BA4890"/>
    <w:rsid w:val="18BB355D"/>
    <w:rsid w:val="18C1177B"/>
    <w:rsid w:val="18C179CD"/>
    <w:rsid w:val="18C536A3"/>
    <w:rsid w:val="18C60A94"/>
    <w:rsid w:val="18CB084B"/>
    <w:rsid w:val="18CC437C"/>
    <w:rsid w:val="18D442CB"/>
    <w:rsid w:val="18D71DD8"/>
    <w:rsid w:val="18DB7BBC"/>
    <w:rsid w:val="18E20458"/>
    <w:rsid w:val="18E216F1"/>
    <w:rsid w:val="18E24C39"/>
    <w:rsid w:val="18E322BF"/>
    <w:rsid w:val="18E35B95"/>
    <w:rsid w:val="18E44402"/>
    <w:rsid w:val="18E53FBC"/>
    <w:rsid w:val="18E54505"/>
    <w:rsid w:val="18E72983"/>
    <w:rsid w:val="18E77701"/>
    <w:rsid w:val="18E84F59"/>
    <w:rsid w:val="18E86D07"/>
    <w:rsid w:val="18F5116E"/>
    <w:rsid w:val="18F558C8"/>
    <w:rsid w:val="18FE652B"/>
    <w:rsid w:val="18FF04F5"/>
    <w:rsid w:val="19024D04"/>
    <w:rsid w:val="190340F9"/>
    <w:rsid w:val="190568F9"/>
    <w:rsid w:val="190D42EB"/>
    <w:rsid w:val="191044B0"/>
    <w:rsid w:val="19124F6A"/>
    <w:rsid w:val="19165BBC"/>
    <w:rsid w:val="191A70DD"/>
    <w:rsid w:val="1921046B"/>
    <w:rsid w:val="192214AB"/>
    <w:rsid w:val="19242A1C"/>
    <w:rsid w:val="192561AE"/>
    <w:rsid w:val="192577EF"/>
    <w:rsid w:val="19265A82"/>
    <w:rsid w:val="192A0460"/>
    <w:rsid w:val="192B12EA"/>
    <w:rsid w:val="192E77AB"/>
    <w:rsid w:val="19313AE7"/>
    <w:rsid w:val="19314B52"/>
    <w:rsid w:val="1936518C"/>
    <w:rsid w:val="193B0F6C"/>
    <w:rsid w:val="193E726F"/>
    <w:rsid w:val="194175B6"/>
    <w:rsid w:val="194B54E8"/>
    <w:rsid w:val="194C2307"/>
    <w:rsid w:val="194D37D0"/>
    <w:rsid w:val="19516FA3"/>
    <w:rsid w:val="195754C6"/>
    <w:rsid w:val="19596F19"/>
    <w:rsid w:val="19597DE9"/>
    <w:rsid w:val="195A487D"/>
    <w:rsid w:val="19600F94"/>
    <w:rsid w:val="196B1588"/>
    <w:rsid w:val="196D545F"/>
    <w:rsid w:val="197174BD"/>
    <w:rsid w:val="19720CC7"/>
    <w:rsid w:val="19727FF3"/>
    <w:rsid w:val="197607B7"/>
    <w:rsid w:val="197D7D98"/>
    <w:rsid w:val="19831126"/>
    <w:rsid w:val="19880008"/>
    <w:rsid w:val="19880B1B"/>
    <w:rsid w:val="1991739F"/>
    <w:rsid w:val="199364A5"/>
    <w:rsid w:val="19A05834"/>
    <w:rsid w:val="19AC41D9"/>
    <w:rsid w:val="19AF0CBD"/>
    <w:rsid w:val="19AF1F1B"/>
    <w:rsid w:val="19B133AF"/>
    <w:rsid w:val="19B17A0A"/>
    <w:rsid w:val="19B4308D"/>
    <w:rsid w:val="19BA156E"/>
    <w:rsid w:val="19BB441C"/>
    <w:rsid w:val="19BE6530"/>
    <w:rsid w:val="19C332D1"/>
    <w:rsid w:val="19C73E97"/>
    <w:rsid w:val="19C968E8"/>
    <w:rsid w:val="19CE5EE0"/>
    <w:rsid w:val="19DE27E1"/>
    <w:rsid w:val="19E020D4"/>
    <w:rsid w:val="19E30D3E"/>
    <w:rsid w:val="19E90135"/>
    <w:rsid w:val="19EC6CCB"/>
    <w:rsid w:val="19EE47F1"/>
    <w:rsid w:val="19F077E8"/>
    <w:rsid w:val="19FC385E"/>
    <w:rsid w:val="1A014D68"/>
    <w:rsid w:val="1A02204B"/>
    <w:rsid w:val="1A04207E"/>
    <w:rsid w:val="1A073FD1"/>
    <w:rsid w:val="1A0C111B"/>
    <w:rsid w:val="1A0D59C1"/>
    <w:rsid w:val="1A122BC9"/>
    <w:rsid w:val="1A18186E"/>
    <w:rsid w:val="1A197394"/>
    <w:rsid w:val="1A1D0C33"/>
    <w:rsid w:val="1A2361DE"/>
    <w:rsid w:val="1A2B77F4"/>
    <w:rsid w:val="1A2D1CA6"/>
    <w:rsid w:val="1A3174C7"/>
    <w:rsid w:val="1A371BE0"/>
    <w:rsid w:val="1A383F32"/>
    <w:rsid w:val="1A386BFB"/>
    <w:rsid w:val="1A3F504D"/>
    <w:rsid w:val="1A424B3D"/>
    <w:rsid w:val="1A4A7EC5"/>
    <w:rsid w:val="1A4D493F"/>
    <w:rsid w:val="1A4F2DB6"/>
    <w:rsid w:val="1A530AF8"/>
    <w:rsid w:val="1A570EF5"/>
    <w:rsid w:val="1A5D0811"/>
    <w:rsid w:val="1A604FC3"/>
    <w:rsid w:val="1A606D71"/>
    <w:rsid w:val="1A683FD2"/>
    <w:rsid w:val="1A696AC4"/>
    <w:rsid w:val="1A6A64BE"/>
    <w:rsid w:val="1A6E2201"/>
    <w:rsid w:val="1A6F02EB"/>
    <w:rsid w:val="1A7353E6"/>
    <w:rsid w:val="1A741638"/>
    <w:rsid w:val="1A7D3DC7"/>
    <w:rsid w:val="1A8326B7"/>
    <w:rsid w:val="1A8470D5"/>
    <w:rsid w:val="1A867F89"/>
    <w:rsid w:val="1A8A0CDA"/>
    <w:rsid w:val="1A8A1A17"/>
    <w:rsid w:val="1A8C4532"/>
    <w:rsid w:val="1A8E38DF"/>
    <w:rsid w:val="1A9005AD"/>
    <w:rsid w:val="1A906823"/>
    <w:rsid w:val="1A9133CF"/>
    <w:rsid w:val="1A9332F3"/>
    <w:rsid w:val="1A9A368A"/>
    <w:rsid w:val="1A9D32A1"/>
    <w:rsid w:val="1A9E31F3"/>
    <w:rsid w:val="1AA107CB"/>
    <w:rsid w:val="1AA80FE1"/>
    <w:rsid w:val="1AA83C54"/>
    <w:rsid w:val="1AAC1D72"/>
    <w:rsid w:val="1AAD228C"/>
    <w:rsid w:val="1AB2189F"/>
    <w:rsid w:val="1AB87A8B"/>
    <w:rsid w:val="1AB943B7"/>
    <w:rsid w:val="1ABD5F72"/>
    <w:rsid w:val="1AC343A7"/>
    <w:rsid w:val="1AC90407"/>
    <w:rsid w:val="1ACD08AB"/>
    <w:rsid w:val="1ADC734A"/>
    <w:rsid w:val="1AE9320B"/>
    <w:rsid w:val="1AEE0ED0"/>
    <w:rsid w:val="1AEE758E"/>
    <w:rsid w:val="1AF916A0"/>
    <w:rsid w:val="1AFC2F3E"/>
    <w:rsid w:val="1B010B08"/>
    <w:rsid w:val="1B0167A6"/>
    <w:rsid w:val="1B03691D"/>
    <w:rsid w:val="1B063DBD"/>
    <w:rsid w:val="1B09565B"/>
    <w:rsid w:val="1B0E1D13"/>
    <w:rsid w:val="1B110E54"/>
    <w:rsid w:val="1B1418BE"/>
    <w:rsid w:val="1B1433F2"/>
    <w:rsid w:val="1B15300A"/>
    <w:rsid w:val="1B18370C"/>
    <w:rsid w:val="1B1D36AE"/>
    <w:rsid w:val="1B1F09DB"/>
    <w:rsid w:val="1B1F59AD"/>
    <w:rsid w:val="1B2129A5"/>
    <w:rsid w:val="1B251795"/>
    <w:rsid w:val="1B261D69"/>
    <w:rsid w:val="1B2673B2"/>
    <w:rsid w:val="1B327DFC"/>
    <w:rsid w:val="1B393B94"/>
    <w:rsid w:val="1B43606F"/>
    <w:rsid w:val="1B4F270F"/>
    <w:rsid w:val="1B590390"/>
    <w:rsid w:val="1B59213E"/>
    <w:rsid w:val="1B5B054E"/>
    <w:rsid w:val="1B5B7B3E"/>
    <w:rsid w:val="1B5E3125"/>
    <w:rsid w:val="1B662D6B"/>
    <w:rsid w:val="1B6A60FA"/>
    <w:rsid w:val="1B6C11C8"/>
    <w:rsid w:val="1B6C3CE3"/>
    <w:rsid w:val="1B6D0B86"/>
    <w:rsid w:val="1B707488"/>
    <w:rsid w:val="1B715935"/>
    <w:rsid w:val="1B721A08"/>
    <w:rsid w:val="1B784868"/>
    <w:rsid w:val="1B80591D"/>
    <w:rsid w:val="1B8126FA"/>
    <w:rsid w:val="1B8371BB"/>
    <w:rsid w:val="1B855224"/>
    <w:rsid w:val="1B8A679C"/>
    <w:rsid w:val="1B8E25E7"/>
    <w:rsid w:val="1B920F5B"/>
    <w:rsid w:val="1B930AD5"/>
    <w:rsid w:val="1B965141"/>
    <w:rsid w:val="1B9654D4"/>
    <w:rsid w:val="1B99078D"/>
    <w:rsid w:val="1B993A77"/>
    <w:rsid w:val="1B9B56D9"/>
    <w:rsid w:val="1BA2759C"/>
    <w:rsid w:val="1BA3785E"/>
    <w:rsid w:val="1BA535D6"/>
    <w:rsid w:val="1BA60433"/>
    <w:rsid w:val="1BA64C58"/>
    <w:rsid w:val="1BA71345"/>
    <w:rsid w:val="1BA75179"/>
    <w:rsid w:val="1BA76296"/>
    <w:rsid w:val="1BB11F7A"/>
    <w:rsid w:val="1BB750B7"/>
    <w:rsid w:val="1BBA62E9"/>
    <w:rsid w:val="1BBE1FA1"/>
    <w:rsid w:val="1BC455EE"/>
    <w:rsid w:val="1BC565DC"/>
    <w:rsid w:val="1BC63957"/>
    <w:rsid w:val="1BCD48DA"/>
    <w:rsid w:val="1BCE2BAE"/>
    <w:rsid w:val="1BDD4B1E"/>
    <w:rsid w:val="1BDE3FF4"/>
    <w:rsid w:val="1BDF3A0A"/>
    <w:rsid w:val="1BE06877"/>
    <w:rsid w:val="1BE10978"/>
    <w:rsid w:val="1BE22134"/>
    <w:rsid w:val="1BE80EF6"/>
    <w:rsid w:val="1BE85270"/>
    <w:rsid w:val="1BEC4D61"/>
    <w:rsid w:val="1BEF424D"/>
    <w:rsid w:val="1BF954ED"/>
    <w:rsid w:val="1BF956CF"/>
    <w:rsid w:val="1BFC2ACA"/>
    <w:rsid w:val="1BFE2CE6"/>
    <w:rsid w:val="1BFF6B87"/>
    <w:rsid w:val="1C026332"/>
    <w:rsid w:val="1C035D31"/>
    <w:rsid w:val="1C0721E0"/>
    <w:rsid w:val="1C073F6D"/>
    <w:rsid w:val="1C0A51E7"/>
    <w:rsid w:val="1C0E117B"/>
    <w:rsid w:val="1C0F6CA1"/>
    <w:rsid w:val="1C100BB9"/>
    <w:rsid w:val="1C136D8A"/>
    <w:rsid w:val="1C1D316C"/>
    <w:rsid w:val="1C1D75AD"/>
    <w:rsid w:val="1C1E6BE2"/>
    <w:rsid w:val="1C2C7853"/>
    <w:rsid w:val="1C311B1C"/>
    <w:rsid w:val="1C33473D"/>
    <w:rsid w:val="1C3B5CE8"/>
    <w:rsid w:val="1C4222C3"/>
    <w:rsid w:val="1C452578"/>
    <w:rsid w:val="1C470253"/>
    <w:rsid w:val="1C4A5F2B"/>
    <w:rsid w:val="1C4B4B3B"/>
    <w:rsid w:val="1C5A0D28"/>
    <w:rsid w:val="1C5B5A42"/>
    <w:rsid w:val="1C5E7EC4"/>
    <w:rsid w:val="1C607A2E"/>
    <w:rsid w:val="1C617331"/>
    <w:rsid w:val="1C6A7EB5"/>
    <w:rsid w:val="1C6B35FB"/>
    <w:rsid w:val="1C6C5EA1"/>
    <w:rsid w:val="1C6F168E"/>
    <w:rsid w:val="1C744EE3"/>
    <w:rsid w:val="1C784104"/>
    <w:rsid w:val="1C7A05BE"/>
    <w:rsid w:val="1C7B7E93"/>
    <w:rsid w:val="1C83104E"/>
    <w:rsid w:val="1C844F99"/>
    <w:rsid w:val="1C8F1B2E"/>
    <w:rsid w:val="1C954CD6"/>
    <w:rsid w:val="1C994EC8"/>
    <w:rsid w:val="1C9A4142"/>
    <w:rsid w:val="1C9D605B"/>
    <w:rsid w:val="1CA2734E"/>
    <w:rsid w:val="1CA44644"/>
    <w:rsid w:val="1CB4492A"/>
    <w:rsid w:val="1CB6711D"/>
    <w:rsid w:val="1CBA322D"/>
    <w:rsid w:val="1CBF19D2"/>
    <w:rsid w:val="1CC23E37"/>
    <w:rsid w:val="1CC47F67"/>
    <w:rsid w:val="1CC73DEA"/>
    <w:rsid w:val="1CC916A3"/>
    <w:rsid w:val="1CCC09D0"/>
    <w:rsid w:val="1CD13A2C"/>
    <w:rsid w:val="1CD51C99"/>
    <w:rsid w:val="1CD6156D"/>
    <w:rsid w:val="1CD80D2E"/>
    <w:rsid w:val="1CE43EBB"/>
    <w:rsid w:val="1CE65C54"/>
    <w:rsid w:val="1CEA1B7E"/>
    <w:rsid w:val="1CEE107C"/>
    <w:rsid w:val="1CEE1386"/>
    <w:rsid w:val="1CF04DAB"/>
    <w:rsid w:val="1CF06D47"/>
    <w:rsid w:val="1CF1708F"/>
    <w:rsid w:val="1CF71C0F"/>
    <w:rsid w:val="1D05518A"/>
    <w:rsid w:val="1D063C00"/>
    <w:rsid w:val="1D07144E"/>
    <w:rsid w:val="1D077978"/>
    <w:rsid w:val="1D081F61"/>
    <w:rsid w:val="1D0870CF"/>
    <w:rsid w:val="1D185F8C"/>
    <w:rsid w:val="1D19579E"/>
    <w:rsid w:val="1D1D719C"/>
    <w:rsid w:val="1D1F0D32"/>
    <w:rsid w:val="1D1F6293"/>
    <w:rsid w:val="1D202E70"/>
    <w:rsid w:val="1D206B8C"/>
    <w:rsid w:val="1D271DC8"/>
    <w:rsid w:val="1D293D92"/>
    <w:rsid w:val="1D2B0222"/>
    <w:rsid w:val="1D2D5293"/>
    <w:rsid w:val="1D2F2FB7"/>
    <w:rsid w:val="1D376540"/>
    <w:rsid w:val="1D4F1A4B"/>
    <w:rsid w:val="1D5305B1"/>
    <w:rsid w:val="1D5A03F0"/>
    <w:rsid w:val="1D5B5B91"/>
    <w:rsid w:val="1D62071D"/>
    <w:rsid w:val="1D65301C"/>
    <w:rsid w:val="1D6B462A"/>
    <w:rsid w:val="1D6D1ED1"/>
    <w:rsid w:val="1D6F3E9B"/>
    <w:rsid w:val="1D6F5768"/>
    <w:rsid w:val="1D700229"/>
    <w:rsid w:val="1D740886"/>
    <w:rsid w:val="1D7457D3"/>
    <w:rsid w:val="1D7517E7"/>
    <w:rsid w:val="1D790876"/>
    <w:rsid w:val="1D7B481A"/>
    <w:rsid w:val="1D7D419F"/>
    <w:rsid w:val="1D813BCE"/>
    <w:rsid w:val="1D81597C"/>
    <w:rsid w:val="1D862BB4"/>
    <w:rsid w:val="1D8B2357"/>
    <w:rsid w:val="1D8C3B39"/>
    <w:rsid w:val="1D8D2573"/>
    <w:rsid w:val="1D9468AB"/>
    <w:rsid w:val="1D9B6A3E"/>
    <w:rsid w:val="1D9F5E03"/>
    <w:rsid w:val="1DA0612F"/>
    <w:rsid w:val="1DA4146D"/>
    <w:rsid w:val="1DA51BD7"/>
    <w:rsid w:val="1DA52F17"/>
    <w:rsid w:val="1DAC4CCF"/>
    <w:rsid w:val="1DC13FCB"/>
    <w:rsid w:val="1DC62751"/>
    <w:rsid w:val="1DC83D3D"/>
    <w:rsid w:val="1DCD0BC2"/>
    <w:rsid w:val="1DCD642E"/>
    <w:rsid w:val="1DD41F50"/>
    <w:rsid w:val="1DD714CA"/>
    <w:rsid w:val="1DD86916"/>
    <w:rsid w:val="1DDC7057"/>
    <w:rsid w:val="1DE1641B"/>
    <w:rsid w:val="1DEE1D7B"/>
    <w:rsid w:val="1DF0613F"/>
    <w:rsid w:val="1DF36D83"/>
    <w:rsid w:val="1DF4775D"/>
    <w:rsid w:val="1DF51B31"/>
    <w:rsid w:val="1DF919B7"/>
    <w:rsid w:val="1DFA6CCA"/>
    <w:rsid w:val="1DFB128B"/>
    <w:rsid w:val="1DFB572F"/>
    <w:rsid w:val="1E0071E9"/>
    <w:rsid w:val="1E0740D4"/>
    <w:rsid w:val="1E0A4DB8"/>
    <w:rsid w:val="1E0C793C"/>
    <w:rsid w:val="1E0D1DFA"/>
    <w:rsid w:val="1E0F4C28"/>
    <w:rsid w:val="1E110AAE"/>
    <w:rsid w:val="1E1172D3"/>
    <w:rsid w:val="1E122A78"/>
    <w:rsid w:val="1E144269"/>
    <w:rsid w:val="1E2076B7"/>
    <w:rsid w:val="1E276524"/>
    <w:rsid w:val="1E2A6054"/>
    <w:rsid w:val="1E2E3A39"/>
    <w:rsid w:val="1E2F5997"/>
    <w:rsid w:val="1E301742"/>
    <w:rsid w:val="1E311151"/>
    <w:rsid w:val="1E3173A3"/>
    <w:rsid w:val="1E370E0A"/>
    <w:rsid w:val="1E390005"/>
    <w:rsid w:val="1E3D5D47"/>
    <w:rsid w:val="1E462B8B"/>
    <w:rsid w:val="1E4763DB"/>
    <w:rsid w:val="1E4B4FD8"/>
    <w:rsid w:val="1E4C7D38"/>
    <w:rsid w:val="1E526174"/>
    <w:rsid w:val="1E5F1377"/>
    <w:rsid w:val="1E62130A"/>
    <w:rsid w:val="1E666C9F"/>
    <w:rsid w:val="1E6C3BCE"/>
    <w:rsid w:val="1E6E5F01"/>
    <w:rsid w:val="1E717388"/>
    <w:rsid w:val="1E71779F"/>
    <w:rsid w:val="1E7767C7"/>
    <w:rsid w:val="1E7770DE"/>
    <w:rsid w:val="1E797BD7"/>
    <w:rsid w:val="1E86075E"/>
    <w:rsid w:val="1E875215"/>
    <w:rsid w:val="1E8C6387"/>
    <w:rsid w:val="1E90231B"/>
    <w:rsid w:val="1E9811D0"/>
    <w:rsid w:val="1E9A269E"/>
    <w:rsid w:val="1E9A6CF6"/>
    <w:rsid w:val="1EA638ED"/>
    <w:rsid w:val="1EA93EBF"/>
    <w:rsid w:val="1EAC07D7"/>
    <w:rsid w:val="1EAE7EAF"/>
    <w:rsid w:val="1EB02141"/>
    <w:rsid w:val="1EB1403F"/>
    <w:rsid w:val="1EB53569"/>
    <w:rsid w:val="1EB6330F"/>
    <w:rsid w:val="1EB82905"/>
    <w:rsid w:val="1EBF4F16"/>
    <w:rsid w:val="1EC57AEB"/>
    <w:rsid w:val="1EC9410B"/>
    <w:rsid w:val="1ED0753A"/>
    <w:rsid w:val="1EDF2B6B"/>
    <w:rsid w:val="1EDF44F4"/>
    <w:rsid w:val="1EE1179C"/>
    <w:rsid w:val="1EE214C0"/>
    <w:rsid w:val="1EE53CE9"/>
    <w:rsid w:val="1EE85BE4"/>
    <w:rsid w:val="1EF3123C"/>
    <w:rsid w:val="1EF55B62"/>
    <w:rsid w:val="1EF65EF6"/>
    <w:rsid w:val="1EFF5A90"/>
    <w:rsid w:val="1F016D75"/>
    <w:rsid w:val="1F017046"/>
    <w:rsid w:val="1F072094"/>
    <w:rsid w:val="1F076337"/>
    <w:rsid w:val="1F0B3750"/>
    <w:rsid w:val="1F0B7084"/>
    <w:rsid w:val="1F166213"/>
    <w:rsid w:val="1F1702FA"/>
    <w:rsid w:val="1F196CBA"/>
    <w:rsid w:val="1F1A23FE"/>
    <w:rsid w:val="1F1A7E37"/>
    <w:rsid w:val="1F1B4728"/>
    <w:rsid w:val="1F2070D4"/>
    <w:rsid w:val="1F24386A"/>
    <w:rsid w:val="1F2667DB"/>
    <w:rsid w:val="1F274302"/>
    <w:rsid w:val="1F29007A"/>
    <w:rsid w:val="1F2C5FA4"/>
    <w:rsid w:val="1F2E521C"/>
    <w:rsid w:val="1F301408"/>
    <w:rsid w:val="1F315FB5"/>
    <w:rsid w:val="1F360D7E"/>
    <w:rsid w:val="1F36422B"/>
    <w:rsid w:val="1F433D04"/>
    <w:rsid w:val="1F4D0EF4"/>
    <w:rsid w:val="1F5076F3"/>
    <w:rsid w:val="1F520BE3"/>
    <w:rsid w:val="1F552FA7"/>
    <w:rsid w:val="1F574CD6"/>
    <w:rsid w:val="1F58270D"/>
    <w:rsid w:val="1F617814"/>
    <w:rsid w:val="1F646AD2"/>
    <w:rsid w:val="1F6606CB"/>
    <w:rsid w:val="1F666BD8"/>
    <w:rsid w:val="1F686EF5"/>
    <w:rsid w:val="1F690C77"/>
    <w:rsid w:val="1F69491A"/>
    <w:rsid w:val="1F6A28DC"/>
    <w:rsid w:val="1F703E42"/>
    <w:rsid w:val="1F737547"/>
    <w:rsid w:val="1F784B5D"/>
    <w:rsid w:val="1F833C2E"/>
    <w:rsid w:val="1F882FF2"/>
    <w:rsid w:val="1F8A4FBC"/>
    <w:rsid w:val="1F8D685B"/>
    <w:rsid w:val="1F90634B"/>
    <w:rsid w:val="1F923BC1"/>
    <w:rsid w:val="1F923E71"/>
    <w:rsid w:val="1F9626BE"/>
    <w:rsid w:val="1F976D27"/>
    <w:rsid w:val="1F9B218F"/>
    <w:rsid w:val="1F9E44D0"/>
    <w:rsid w:val="1FA00D60"/>
    <w:rsid w:val="1FA344E3"/>
    <w:rsid w:val="1FB97650"/>
    <w:rsid w:val="1FBA5176"/>
    <w:rsid w:val="1FBB33C8"/>
    <w:rsid w:val="1FBD6F82"/>
    <w:rsid w:val="1FC009DE"/>
    <w:rsid w:val="1FC102B2"/>
    <w:rsid w:val="1FC14DBD"/>
    <w:rsid w:val="1FC16504"/>
    <w:rsid w:val="1FC3227C"/>
    <w:rsid w:val="1FC472A5"/>
    <w:rsid w:val="1FC758F5"/>
    <w:rsid w:val="1FCB2EDF"/>
    <w:rsid w:val="1FCD4EA9"/>
    <w:rsid w:val="1FCD5A2F"/>
    <w:rsid w:val="1FCD625C"/>
    <w:rsid w:val="1FCE5246"/>
    <w:rsid w:val="1FD004A7"/>
    <w:rsid w:val="1FD53695"/>
    <w:rsid w:val="1FD87ECE"/>
    <w:rsid w:val="1FDC50EC"/>
    <w:rsid w:val="1FE65F6B"/>
    <w:rsid w:val="1FED37B9"/>
    <w:rsid w:val="1FFB19CC"/>
    <w:rsid w:val="1FFC0927"/>
    <w:rsid w:val="1FFF140B"/>
    <w:rsid w:val="20054643"/>
    <w:rsid w:val="20062169"/>
    <w:rsid w:val="200B6C74"/>
    <w:rsid w:val="200F7270"/>
    <w:rsid w:val="2012795A"/>
    <w:rsid w:val="20137704"/>
    <w:rsid w:val="20146634"/>
    <w:rsid w:val="202A56CE"/>
    <w:rsid w:val="202B099A"/>
    <w:rsid w:val="20311017"/>
    <w:rsid w:val="20317AED"/>
    <w:rsid w:val="203211B0"/>
    <w:rsid w:val="203E1903"/>
    <w:rsid w:val="203E74FC"/>
    <w:rsid w:val="2040567B"/>
    <w:rsid w:val="20445069"/>
    <w:rsid w:val="20445CF6"/>
    <w:rsid w:val="20451781"/>
    <w:rsid w:val="20452D6E"/>
    <w:rsid w:val="204557E3"/>
    <w:rsid w:val="20457135"/>
    <w:rsid w:val="20463307"/>
    <w:rsid w:val="204721AA"/>
    <w:rsid w:val="204A474C"/>
    <w:rsid w:val="204F1D62"/>
    <w:rsid w:val="20517888"/>
    <w:rsid w:val="205B7CB4"/>
    <w:rsid w:val="20607ACB"/>
    <w:rsid w:val="206155F1"/>
    <w:rsid w:val="20677AD6"/>
    <w:rsid w:val="206A303F"/>
    <w:rsid w:val="206F381A"/>
    <w:rsid w:val="206F5F60"/>
    <w:rsid w:val="207402A9"/>
    <w:rsid w:val="2076401A"/>
    <w:rsid w:val="20783067"/>
    <w:rsid w:val="20790B8D"/>
    <w:rsid w:val="207B26EE"/>
    <w:rsid w:val="207B3A1F"/>
    <w:rsid w:val="207D1E3E"/>
    <w:rsid w:val="2080206C"/>
    <w:rsid w:val="20814CCB"/>
    <w:rsid w:val="20823EE5"/>
    <w:rsid w:val="20825957"/>
    <w:rsid w:val="20897B81"/>
    <w:rsid w:val="208A0FEC"/>
    <w:rsid w:val="20930891"/>
    <w:rsid w:val="2096173F"/>
    <w:rsid w:val="209A0449"/>
    <w:rsid w:val="209E05F3"/>
    <w:rsid w:val="20A43EB9"/>
    <w:rsid w:val="20A63400"/>
    <w:rsid w:val="20A756FA"/>
    <w:rsid w:val="20AA2D96"/>
    <w:rsid w:val="20AA343C"/>
    <w:rsid w:val="20AB1EB7"/>
    <w:rsid w:val="20AC4ABE"/>
    <w:rsid w:val="20AD455D"/>
    <w:rsid w:val="20AE57E6"/>
    <w:rsid w:val="20B06AF5"/>
    <w:rsid w:val="20B87907"/>
    <w:rsid w:val="20BD2233"/>
    <w:rsid w:val="20BE3384"/>
    <w:rsid w:val="20C067BC"/>
    <w:rsid w:val="20C11FAE"/>
    <w:rsid w:val="20C359E2"/>
    <w:rsid w:val="20C503EC"/>
    <w:rsid w:val="20D33D76"/>
    <w:rsid w:val="20DB53A4"/>
    <w:rsid w:val="20DC26D0"/>
    <w:rsid w:val="20DF30E6"/>
    <w:rsid w:val="20E805DE"/>
    <w:rsid w:val="20EC0B7F"/>
    <w:rsid w:val="20EE7201"/>
    <w:rsid w:val="20F33B84"/>
    <w:rsid w:val="20F6042F"/>
    <w:rsid w:val="20F84942"/>
    <w:rsid w:val="20FB5A46"/>
    <w:rsid w:val="20FC5411"/>
    <w:rsid w:val="20FF5536"/>
    <w:rsid w:val="21026AAB"/>
    <w:rsid w:val="21026DD4"/>
    <w:rsid w:val="21031E9A"/>
    <w:rsid w:val="21033044"/>
    <w:rsid w:val="21072745"/>
    <w:rsid w:val="211074B3"/>
    <w:rsid w:val="21130FE1"/>
    <w:rsid w:val="211342D8"/>
    <w:rsid w:val="21154D5A"/>
    <w:rsid w:val="21224D81"/>
    <w:rsid w:val="212925B3"/>
    <w:rsid w:val="212E73A1"/>
    <w:rsid w:val="21315EF3"/>
    <w:rsid w:val="21316A1F"/>
    <w:rsid w:val="21366A7E"/>
    <w:rsid w:val="21376B82"/>
    <w:rsid w:val="21381B3A"/>
    <w:rsid w:val="213F00CE"/>
    <w:rsid w:val="21425423"/>
    <w:rsid w:val="214271D1"/>
    <w:rsid w:val="21457CBE"/>
    <w:rsid w:val="2147554F"/>
    <w:rsid w:val="215238B8"/>
    <w:rsid w:val="21537670"/>
    <w:rsid w:val="21556F04"/>
    <w:rsid w:val="215A6C10"/>
    <w:rsid w:val="215A77B7"/>
    <w:rsid w:val="215F4A0D"/>
    <w:rsid w:val="21676C37"/>
    <w:rsid w:val="21692B66"/>
    <w:rsid w:val="216B59E3"/>
    <w:rsid w:val="216C53BD"/>
    <w:rsid w:val="216F4323"/>
    <w:rsid w:val="216F733B"/>
    <w:rsid w:val="21723F5A"/>
    <w:rsid w:val="217560B0"/>
    <w:rsid w:val="21760CC0"/>
    <w:rsid w:val="21771FE5"/>
    <w:rsid w:val="21780E44"/>
    <w:rsid w:val="217C0935"/>
    <w:rsid w:val="21817CF9"/>
    <w:rsid w:val="21837856"/>
    <w:rsid w:val="2188552B"/>
    <w:rsid w:val="21893052"/>
    <w:rsid w:val="219D08AB"/>
    <w:rsid w:val="21A00408"/>
    <w:rsid w:val="21A03C82"/>
    <w:rsid w:val="21B53586"/>
    <w:rsid w:val="21BC6F83"/>
    <w:rsid w:val="21BD6DBB"/>
    <w:rsid w:val="21BF362E"/>
    <w:rsid w:val="21C00D8A"/>
    <w:rsid w:val="21C10A3D"/>
    <w:rsid w:val="21C21D29"/>
    <w:rsid w:val="21C34002"/>
    <w:rsid w:val="21C62615"/>
    <w:rsid w:val="21C978F2"/>
    <w:rsid w:val="21CE2E13"/>
    <w:rsid w:val="21D267A7"/>
    <w:rsid w:val="21D342CD"/>
    <w:rsid w:val="21D4266A"/>
    <w:rsid w:val="21D60813"/>
    <w:rsid w:val="21D90BF9"/>
    <w:rsid w:val="21DC50BF"/>
    <w:rsid w:val="21EC4B5F"/>
    <w:rsid w:val="21F14FC0"/>
    <w:rsid w:val="21F33EFD"/>
    <w:rsid w:val="21F93D33"/>
    <w:rsid w:val="21FA5CFD"/>
    <w:rsid w:val="22001566"/>
    <w:rsid w:val="22013579"/>
    <w:rsid w:val="22026C1C"/>
    <w:rsid w:val="220A2D0B"/>
    <w:rsid w:val="220A5F40"/>
    <w:rsid w:val="22125A5F"/>
    <w:rsid w:val="221338AA"/>
    <w:rsid w:val="22146DBF"/>
    <w:rsid w:val="221B1A4E"/>
    <w:rsid w:val="221F428A"/>
    <w:rsid w:val="222A37F0"/>
    <w:rsid w:val="22314C2A"/>
    <w:rsid w:val="22372AAE"/>
    <w:rsid w:val="223823A3"/>
    <w:rsid w:val="22387500"/>
    <w:rsid w:val="22414B88"/>
    <w:rsid w:val="224372CA"/>
    <w:rsid w:val="22445ECF"/>
    <w:rsid w:val="22515385"/>
    <w:rsid w:val="22544D46"/>
    <w:rsid w:val="2254540E"/>
    <w:rsid w:val="225E2740"/>
    <w:rsid w:val="2261178B"/>
    <w:rsid w:val="2262011A"/>
    <w:rsid w:val="22630B62"/>
    <w:rsid w:val="22631AF5"/>
    <w:rsid w:val="226C392C"/>
    <w:rsid w:val="226F3030"/>
    <w:rsid w:val="22717EF7"/>
    <w:rsid w:val="227E5C9D"/>
    <w:rsid w:val="22831435"/>
    <w:rsid w:val="22890C87"/>
    <w:rsid w:val="228D6B72"/>
    <w:rsid w:val="22994C0C"/>
    <w:rsid w:val="229B5F30"/>
    <w:rsid w:val="229D5007"/>
    <w:rsid w:val="22A04AF7"/>
    <w:rsid w:val="22AA7723"/>
    <w:rsid w:val="22AE6E91"/>
    <w:rsid w:val="22B73620"/>
    <w:rsid w:val="22BC3EB7"/>
    <w:rsid w:val="22BD1205"/>
    <w:rsid w:val="22BD1BBF"/>
    <w:rsid w:val="22BD45D7"/>
    <w:rsid w:val="22C60B71"/>
    <w:rsid w:val="22D05933"/>
    <w:rsid w:val="22D2642F"/>
    <w:rsid w:val="22D30A28"/>
    <w:rsid w:val="22DB5B2F"/>
    <w:rsid w:val="22E22A19"/>
    <w:rsid w:val="22E51D82"/>
    <w:rsid w:val="22E52C9B"/>
    <w:rsid w:val="22E744D4"/>
    <w:rsid w:val="22F059E5"/>
    <w:rsid w:val="22F05B79"/>
    <w:rsid w:val="22F73B45"/>
    <w:rsid w:val="22FC5261"/>
    <w:rsid w:val="22FD5350"/>
    <w:rsid w:val="22FE5379"/>
    <w:rsid w:val="22FF7A6F"/>
    <w:rsid w:val="23007CB8"/>
    <w:rsid w:val="2302130E"/>
    <w:rsid w:val="2303029D"/>
    <w:rsid w:val="2303032F"/>
    <w:rsid w:val="230706D2"/>
    <w:rsid w:val="231132FF"/>
    <w:rsid w:val="23134E96"/>
    <w:rsid w:val="23181BC1"/>
    <w:rsid w:val="23194D81"/>
    <w:rsid w:val="231A6657"/>
    <w:rsid w:val="231D1CA3"/>
    <w:rsid w:val="23203542"/>
    <w:rsid w:val="233314C7"/>
    <w:rsid w:val="233625D3"/>
    <w:rsid w:val="23362D65"/>
    <w:rsid w:val="2338762A"/>
    <w:rsid w:val="23393A5D"/>
    <w:rsid w:val="233A6758"/>
    <w:rsid w:val="23411E36"/>
    <w:rsid w:val="234436D4"/>
    <w:rsid w:val="23486C01"/>
    <w:rsid w:val="234B4A63"/>
    <w:rsid w:val="235356C5"/>
    <w:rsid w:val="23556570"/>
    <w:rsid w:val="235A7056"/>
    <w:rsid w:val="23616034"/>
    <w:rsid w:val="23621DAC"/>
    <w:rsid w:val="23645B24"/>
    <w:rsid w:val="23672C8A"/>
    <w:rsid w:val="237202B0"/>
    <w:rsid w:val="23751B85"/>
    <w:rsid w:val="237613B4"/>
    <w:rsid w:val="237909B0"/>
    <w:rsid w:val="237C0F3C"/>
    <w:rsid w:val="237C10C0"/>
    <w:rsid w:val="238913B1"/>
    <w:rsid w:val="2389444C"/>
    <w:rsid w:val="23897339"/>
    <w:rsid w:val="238C0BD7"/>
    <w:rsid w:val="238E0DF3"/>
    <w:rsid w:val="23902475"/>
    <w:rsid w:val="23904D06"/>
    <w:rsid w:val="2390565F"/>
    <w:rsid w:val="23906919"/>
    <w:rsid w:val="239301B8"/>
    <w:rsid w:val="23A300A3"/>
    <w:rsid w:val="23A6613D"/>
    <w:rsid w:val="23AE4F4C"/>
    <w:rsid w:val="23B02B18"/>
    <w:rsid w:val="23B337F3"/>
    <w:rsid w:val="23BA3EF6"/>
    <w:rsid w:val="23C640E9"/>
    <w:rsid w:val="23CC35A5"/>
    <w:rsid w:val="23D06D16"/>
    <w:rsid w:val="23D902C0"/>
    <w:rsid w:val="23D9206E"/>
    <w:rsid w:val="23DD0BFC"/>
    <w:rsid w:val="23DF2FA8"/>
    <w:rsid w:val="23E00EE5"/>
    <w:rsid w:val="23E72B6B"/>
    <w:rsid w:val="23F15FBF"/>
    <w:rsid w:val="23F231AE"/>
    <w:rsid w:val="23F24EDE"/>
    <w:rsid w:val="23F73FAA"/>
    <w:rsid w:val="23F821FE"/>
    <w:rsid w:val="23FF1D1D"/>
    <w:rsid w:val="23FF5750"/>
    <w:rsid w:val="24042E63"/>
    <w:rsid w:val="240510B5"/>
    <w:rsid w:val="240A17C0"/>
    <w:rsid w:val="24150A21"/>
    <w:rsid w:val="241C63FF"/>
    <w:rsid w:val="241E2177"/>
    <w:rsid w:val="24266E50"/>
    <w:rsid w:val="24305BD3"/>
    <w:rsid w:val="243204A7"/>
    <w:rsid w:val="24390235"/>
    <w:rsid w:val="24391C07"/>
    <w:rsid w:val="243F083D"/>
    <w:rsid w:val="2446776E"/>
    <w:rsid w:val="2449696F"/>
    <w:rsid w:val="244F40DF"/>
    <w:rsid w:val="2450029A"/>
    <w:rsid w:val="2455334D"/>
    <w:rsid w:val="24577437"/>
    <w:rsid w:val="24596D0B"/>
    <w:rsid w:val="245B0CD5"/>
    <w:rsid w:val="245C2C9F"/>
    <w:rsid w:val="246102B6"/>
    <w:rsid w:val="24637B8A"/>
    <w:rsid w:val="24681254"/>
    <w:rsid w:val="24695B13"/>
    <w:rsid w:val="246A1D00"/>
    <w:rsid w:val="24772B22"/>
    <w:rsid w:val="247C0C4C"/>
    <w:rsid w:val="247C5D7F"/>
    <w:rsid w:val="247E5135"/>
    <w:rsid w:val="2481129D"/>
    <w:rsid w:val="2485604C"/>
    <w:rsid w:val="248A0A7D"/>
    <w:rsid w:val="24967F5F"/>
    <w:rsid w:val="249B37C8"/>
    <w:rsid w:val="249D60D3"/>
    <w:rsid w:val="24A51F50"/>
    <w:rsid w:val="24A65CC9"/>
    <w:rsid w:val="24A96539"/>
    <w:rsid w:val="24B13BE8"/>
    <w:rsid w:val="24B46637"/>
    <w:rsid w:val="24B538D3"/>
    <w:rsid w:val="24BB5890"/>
    <w:rsid w:val="24C22047"/>
    <w:rsid w:val="24C46654"/>
    <w:rsid w:val="24C809DF"/>
    <w:rsid w:val="24D82326"/>
    <w:rsid w:val="24D9609E"/>
    <w:rsid w:val="24E33421"/>
    <w:rsid w:val="24E3729E"/>
    <w:rsid w:val="24E442F8"/>
    <w:rsid w:val="24E862E1"/>
    <w:rsid w:val="24EA3E07"/>
    <w:rsid w:val="24F37160"/>
    <w:rsid w:val="24F609FE"/>
    <w:rsid w:val="24FD1D8D"/>
    <w:rsid w:val="2500362B"/>
    <w:rsid w:val="250305AF"/>
    <w:rsid w:val="25071B35"/>
    <w:rsid w:val="250A07C3"/>
    <w:rsid w:val="25237319"/>
    <w:rsid w:val="25276CED"/>
    <w:rsid w:val="252C2672"/>
    <w:rsid w:val="252D7931"/>
    <w:rsid w:val="252E339E"/>
    <w:rsid w:val="2535089A"/>
    <w:rsid w:val="253711A7"/>
    <w:rsid w:val="253A1E2C"/>
    <w:rsid w:val="253D3D04"/>
    <w:rsid w:val="254259F1"/>
    <w:rsid w:val="254A073A"/>
    <w:rsid w:val="254B6F9C"/>
    <w:rsid w:val="25537BFE"/>
    <w:rsid w:val="2559688E"/>
    <w:rsid w:val="255B70E0"/>
    <w:rsid w:val="255C3C0E"/>
    <w:rsid w:val="255E509E"/>
    <w:rsid w:val="255E550E"/>
    <w:rsid w:val="255F6633"/>
    <w:rsid w:val="25607F30"/>
    <w:rsid w:val="256162F1"/>
    <w:rsid w:val="25644CD9"/>
    <w:rsid w:val="25653D07"/>
    <w:rsid w:val="25694D45"/>
    <w:rsid w:val="25783B09"/>
    <w:rsid w:val="257F27A2"/>
    <w:rsid w:val="2580651A"/>
    <w:rsid w:val="258160E4"/>
    <w:rsid w:val="25875AFA"/>
    <w:rsid w:val="258778A8"/>
    <w:rsid w:val="258B7119"/>
    <w:rsid w:val="258C1362"/>
    <w:rsid w:val="25903F43"/>
    <w:rsid w:val="2591184A"/>
    <w:rsid w:val="25951FC5"/>
    <w:rsid w:val="25A42208"/>
    <w:rsid w:val="25A46830"/>
    <w:rsid w:val="25A77F4A"/>
    <w:rsid w:val="25AD2225"/>
    <w:rsid w:val="25AD4AD5"/>
    <w:rsid w:val="25AF7C37"/>
    <w:rsid w:val="25B17E65"/>
    <w:rsid w:val="25B20291"/>
    <w:rsid w:val="25B3069D"/>
    <w:rsid w:val="25B44675"/>
    <w:rsid w:val="25B636AB"/>
    <w:rsid w:val="25B92D29"/>
    <w:rsid w:val="25BC19B9"/>
    <w:rsid w:val="25BD776E"/>
    <w:rsid w:val="25CA56F8"/>
    <w:rsid w:val="25D074A1"/>
    <w:rsid w:val="25D626A7"/>
    <w:rsid w:val="25D710E1"/>
    <w:rsid w:val="25D92344"/>
    <w:rsid w:val="25DD07DA"/>
    <w:rsid w:val="25E46AA9"/>
    <w:rsid w:val="25F0369F"/>
    <w:rsid w:val="25F03E08"/>
    <w:rsid w:val="25F653DC"/>
    <w:rsid w:val="25F9324C"/>
    <w:rsid w:val="25FA6A8B"/>
    <w:rsid w:val="26041520"/>
    <w:rsid w:val="26066AD3"/>
    <w:rsid w:val="26073240"/>
    <w:rsid w:val="26087CB8"/>
    <w:rsid w:val="260F621B"/>
    <w:rsid w:val="26117B5D"/>
    <w:rsid w:val="26143832"/>
    <w:rsid w:val="26151358"/>
    <w:rsid w:val="262477ED"/>
    <w:rsid w:val="26263565"/>
    <w:rsid w:val="262F0073"/>
    <w:rsid w:val="26307F40"/>
    <w:rsid w:val="263438B4"/>
    <w:rsid w:val="263537A8"/>
    <w:rsid w:val="263C7598"/>
    <w:rsid w:val="26431A21"/>
    <w:rsid w:val="264834DB"/>
    <w:rsid w:val="264B2FCC"/>
    <w:rsid w:val="264F7292"/>
    <w:rsid w:val="265005E2"/>
    <w:rsid w:val="265277D8"/>
    <w:rsid w:val="26561E20"/>
    <w:rsid w:val="265754CC"/>
    <w:rsid w:val="265B5C80"/>
    <w:rsid w:val="265C0D35"/>
    <w:rsid w:val="265C4DF4"/>
    <w:rsid w:val="265C7310"/>
    <w:rsid w:val="26600825"/>
    <w:rsid w:val="26661BB3"/>
    <w:rsid w:val="26667E05"/>
    <w:rsid w:val="2669133F"/>
    <w:rsid w:val="266A2B82"/>
    <w:rsid w:val="266F0A68"/>
    <w:rsid w:val="26741FA5"/>
    <w:rsid w:val="26751DF6"/>
    <w:rsid w:val="267C5E66"/>
    <w:rsid w:val="268169ED"/>
    <w:rsid w:val="268469D3"/>
    <w:rsid w:val="26851904"/>
    <w:rsid w:val="26860079"/>
    <w:rsid w:val="268C1088"/>
    <w:rsid w:val="268E11BD"/>
    <w:rsid w:val="268F110A"/>
    <w:rsid w:val="268F41C1"/>
    <w:rsid w:val="26951042"/>
    <w:rsid w:val="26964247"/>
    <w:rsid w:val="269A673C"/>
    <w:rsid w:val="269C3827"/>
    <w:rsid w:val="26A050C5"/>
    <w:rsid w:val="26AF38E8"/>
    <w:rsid w:val="26B2663E"/>
    <w:rsid w:val="26B61F36"/>
    <w:rsid w:val="26B800E3"/>
    <w:rsid w:val="26BB44D0"/>
    <w:rsid w:val="26BE7DB6"/>
    <w:rsid w:val="26C12ADE"/>
    <w:rsid w:val="26C17954"/>
    <w:rsid w:val="26C27698"/>
    <w:rsid w:val="26C74B1D"/>
    <w:rsid w:val="26C8226C"/>
    <w:rsid w:val="26C827B3"/>
    <w:rsid w:val="26CA7D26"/>
    <w:rsid w:val="26CD39E1"/>
    <w:rsid w:val="26CF1A96"/>
    <w:rsid w:val="26D421E9"/>
    <w:rsid w:val="26D905D7"/>
    <w:rsid w:val="26DA02E8"/>
    <w:rsid w:val="26DE5BEE"/>
    <w:rsid w:val="26E038BD"/>
    <w:rsid w:val="26E054C2"/>
    <w:rsid w:val="26E26D33"/>
    <w:rsid w:val="26EA49F0"/>
    <w:rsid w:val="26EA6341"/>
    <w:rsid w:val="26EB3424"/>
    <w:rsid w:val="26EC5D0D"/>
    <w:rsid w:val="26EF7DFB"/>
    <w:rsid w:val="26F04CAD"/>
    <w:rsid w:val="26F7280B"/>
    <w:rsid w:val="26F947D6"/>
    <w:rsid w:val="26FB22FC"/>
    <w:rsid w:val="26FC437E"/>
    <w:rsid w:val="26FD42C6"/>
    <w:rsid w:val="2702368A"/>
    <w:rsid w:val="270242A7"/>
    <w:rsid w:val="27035654"/>
    <w:rsid w:val="27090EBD"/>
    <w:rsid w:val="27096C04"/>
    <w:rsid w:val="270E4F90"/>
    <w:rsid w:val="270E64D3"/>
    <w:rsid w:val="271037D9"/>
    <w:rsid w:val="27111B1F"/>
    <w:rsid w:val="27121405"/>
    <w:rsid w:val="2712523F"/>
    <w:rsid w:val="27182EAE"/>
    <w:rsid w:val="27195750"/>
    <w:rsid w:val="271F650B"/>
    <w:rsid w:val="27206206"/>
    <w:rsid w:val="2722676E"/>
    <w:rsid w:val="27263302"/>
    <w:rsid w:val="27263487"/>
    <w:rsid w:val="27361586"/>
    <w:rsid w:val="27433CA3"/>
    <w:rsid w:val="27475258"/>
    <w:rsid w:val="27491CE2"/>
    <w:rsid w:val="27497346"/>
    <w:rsid w:val="274C00E7"/>
    <w:rsid w:val="274E4B21"/>
    <w:rsid w:val="274E52FB"/>
    <w:rsid w:val="274E68CF"/>
    <w:rsid w:val="27526510"/>
    <w:rsid w:val="27544305"/>
    <w:rsid w:val="27554346"/>
    <w:rsid w:val="275E4EAC"/>
    <w:rsid w:val="276F7D09"/>
    <w:rsid w:val="27736336"/>
    <w:rsid w:val="277F227A"/>
    <w:rsid w:val="277F74D6"/>
    <w:rsid w:val="27893DAB"/>
    <w:rsid w:val="278C73F8"/>
    <w:rsid w:val="27910EB2"/>
    <w:rsid w:val="27930DA0"/>
    <w:rsid w:val="27936BD9"/>
    <w:rsid w:val="27964B31"/>
    <w:rsid w:val="27972846"/>
    <w:rsid w:val="2799071E"/>
    <w:rsid w:val="279B2B20"/>
    <w:rsid w:val="279D281D"/>
    <w:rsid w:val="27A75FE0"/>
    <w:rsid w:val="27A801EB"/>
    <w:rsid w:val="27B5694E"/>
    <w:rsid w:val="27B96E8B"/>
    <w:rsid w:val="27BA50C6"/>
    <w:rsid w:val="27BD5803"/>
    <w:rsid w:val="27C110E8"/>
    <w:rsid w:val="27C2589A"/>
    <w:rsid w:val="27C608B1"/>
    <w:rsid w:val="27CB2BC4"/>
    <w:rsid w:val="27CB2C5E"/>
    <w:rsid w:val="27CF033D"/>
    <w:rsid w:val="27D008CD"/>
    <w:rsid w:val="27D24728"/>
    <w:rsid w:val="27D46535"/>
    <w:rsid w:val="27D74B17"/>
    <w:rsid w:val="27DD5F69"/>
    <w:rsid w:val="27E27B18"/>
    <w:rsid w:val="27E84793"/>
    <w:rsid w:val="27EB3F28"/>
    <w:rsid w:val="27F43088"/>
    <w:rsid w:val="28007EDF"/>
    <w:rsid w:val="28073D30"/>
    <w:rsid w:val="280E5870"/>
    <w:rsid w:val="28146ADA"/>
    <w:rsid w:val="28173D98"/>
    <w:rsid w:val="2818512F"/>
    <w:rsid w:val="281B6B3C"/>
    <w:rsid w:val="281E2746"/>
    <w:rsid w:val="28243AD4"/>
    <w:rsid w:val="28250CC6"/>
    <w:rsid w:val="28251E9F"/>
    <w:rsid w:val="28285372"/>
    <w:rsid w:val="2828758C"/>
    <w:rsid w:val="2829733C"/>
    <w:rsid w:val="282C4737"/>
    <w:rsid w:val="28310FAC"/>
    <w:rsid w:val="283400AC"/>
    <w:rsid w:val="283A4B96"/>
    <w:rsid w:val="283E1316"/>
    <w:rsid w:val="284B0B33"/>
    <w:rsid w:val="284B1061"/>
    <w:rsid w:val="284B190C"/>
    <w:rsid w:val="28527737"/>
    <w:rsid w:val="2854351E"/>
    <w:rsid w:val="2859377E"/>
    <w:rsid w:val="285C547F"/>
    <w:rsid w:val="285D1471"/>
    <w:rsid w:val="28606245"/>
    <w:rsid w:val="286363AA"/>
    <w:rsid w:val="28645791"/>
    <w:rsid w:val="286D0FD7"/>
    <w:rsid w:val="286D547B"/>
    <w:rsid w:val="28741B8A"/>
    <w:rsid w:val="28796727"/>
    <w:rsid w:val="287D7ED0"/>
    <w:rsid w:val="28810F26"/>
    <w:rsid w:val="2887059C"/>
    <w:rsid w:val="288753C6"/>
    <w:rsid w:val="28893937"/>
    <w:rsid w:val="288A5FB2"/>
    <w:rsid w:val="288B58A3"/>
    <w:rsid w:val="289851FD"/>
    <w:rsid w:val="289E0A26"/>
    <w:rsid w:val="28A013AD"/>
    <w:rsid w:val="28A0427A"/>
    <w:rsid w:val="28A138D1"/>
    <w:rsid w:val="28A32C4B"/>
    <w:rsid w:val="28A36707"/>
    <w:rsid w:val="28A71382"/>
    <w:rsid w:val="28AF35C6"/>
    <w:rsid w:val="28B06FF1"/>
    <w:rsid w:val="28B1024A"/>
    <w:rsid w:val="28B90FF5"/>
    <w:rsid w:val="28B9246E"/>
    <w:rsid w:val="28BC1F5F"/>
    <w:rsid w:val="28BD22A4"/>
    <w:rsid w:val="28C11323"/>
    <w:rsid w:val="28C57065"/>
    <w:rsid w:val="28C82C67"/>
    <w:rsid w:val="28CB3F50"/>
    <w:rsid w:val="28D15A0A"/>
    <w:rsid w:val="28D37A3B"/>
    <w:rsid w:val="28D51396"/>
    <w:rsid w:val="28D57A5B"/>
    <w:rsid w:val="28D728F5"/>
    <w:rsid w:val="28D76D98"/>
    <w:rsid w:val="28DC43AF"/>
    <w:rsid w:val="28E13773"/>
    <w:rsid w:val="28E21187"/>
    <w:rsid w:val="28E569AB"/>
    <w:rsid w:val="28E9310D"/>
    <w:rsid w:val="28ED236C"/>
    <w:rsid w:val="28EF5E90"/>
    <w:rsid w:val="28F11C08"/>
    <w:rsid w:val="28FC7098"/>
    <w:rsid w:val="28FF5F6D"/>
    <w:rsid w:val="2900507C"/>
    <w:rsid w:val="290731DA"/>
    <w:rsid w:val="290D0E0E"/>
    <w:rsid w:val="29171045"/>
    <w:rsid w:val="29183639"/>
    <w:rsid w:val="291C47AB"/>
    <w:rsid w:val="29211DC2"/>
    <w:rsid w:val="29220014"/>
    <w:rsid w:val="292634B6"/>
    <w:rsid w:val="292B0F16"/>
    <w:rsid w:val="2936586D"/>
    <w:rsid w:val="293748C1"/>
    <w:rsid w:val="293935AF"/>
    <w:rsid w:val="293B18E1"/>
    <w:rsid w:val="293F42CE"/>
    <w:rsid w:val="294100A6"/>
    <w:rsid w:val="29425576"/>
    <w:rsid w:val="2951456F"/>
    <w:rsid w:val="295249D2"/>
    <w:rsid w:val="29567CBD"/>
    <w:rsid w:val="29580D07"/>
    <w:rsid w:val="295977AD"/>
    <w:rsid w:val="295B1778"/>
    <w:rsid w:val="295D54F0"/>
    <w:rsid w:val="295F0282"/>
    <w:rsid w:val="295F6920"/>
    <w:rsid w:val="29606D8E"/>
    <w:rsid w:val="296350A7"/>
    <w:rsid w:val="29636C84"/>
    <w:rsid w:val="29653242"/>
    <w:rsid w:val="296543A4"/>
    <w:rsid w:val="29670884"/>
    <w:rsid w:val="296C5604"/>
    <w:rsid w:val="2973086F"/>
    <w:rsid w:val="29842058"/>
    <w:rsid w:val="2987256D"/>
    <w:rsid w:val="298939FC"/>
    <w:rsid w:val="298C36DF"/>
    <w:rsid w:val="298C3CA4"/>
    <w:rsid w:val="298D37D0"/>
    <w:rsid w:val="29902F4F"/>
    <w:rsid w:val="29910CF5"/>
    <w:rsid w:val="299130E9"/>
    <w:rsid w:val="29930F11"/>
    <w:rsid w:val="2994513B"/>
    <w:rsid w:val="2996455E"/>
    <w:rsid w:val="29986528"/>
    <w:rsid w:val="299B1B74"/>
    <w:rsid w:val="299B516E"/>
    <w:rsid w:val="29A619E2"/>
    <w:rsid w:val="29A7676B"/>
    <w:rsid w:val="29A808AE"/>
    <w:rsid w:val="29A97F8A"/>
    <w:rsid w:val="29AC5B2F"/>
    <w:rsid w:val="29AD778D"/>
    <w:rsid w:val="29B47173"/>
    <w:rsid w:val="29BB1BAC"/>
    <w:rsid w:val="29C235A5"/>
    <w:rsid w:val="29C2692C"/>
    <w:rsid w:val="29C410CB"/>
    <w:rsid w:val="29C87D11"/>
    <w:rsid w:val="29D05CC2"/>
    <w:rsid w:val="29D15596"/>
    <w:rsid w:val="29D83A3A"/>
    <w:rsid w:val="29DE07BC"/>
    <w:rsid w:val="29DF7CB3"/>
    <w:rsid w:val="29E057D9"/>
    <w:rsid w:val="29E1421C"/>
    <w:rsid w:val="29E4176D"/>
    <w:rsid w:val="29E5160B"/>
    <w:rsid w:val="29E6570E"/>
    <w:rsid w:val="29E94B0F"/>
    <w:rsid w:val="29EC61E5"/>
    <w:rsid w:val="29ED7789"/>
    <w:rsid w:val="29EE439A"/>
    <w:rsid w:val="29F11AD6"/>
    <w:rsid w:val="29F307AE"/>
    <w:rsid w:val="29F3375E"/>
    <w:rsid w:val="29FD2C93"/>
    <w:rsid w:val="2A0911D4"/>
    <w:rsid w:val="2A190AFA"/>
    <w:rsid w:val="2A1A518F"/>
    <w:rsid w:val="2A1F09F7"/>
    <w:rsid w:val="2A246B9F"/>
    <w:rsid w:val="2A3049B2"/>
    <w:rsid w:val="2A327707"/>
    <w:rsid w:val="2A331DAD"/>
    <w:rsid w:val="2A3527AE"/>
    <w:rsid w:val="2A3D6440"/>
    <w:rsid w:val="2A426494"/>
    <w:rsid w:val="2A495A74"/>
    <w:rsid w:val="2A4B19BA"/>
    <w:rsid w:val="2A4B5348"/>
    <w:rsid w:val="2A4B5EB3"/>
    <w:rsid w:val="2A5C01E6"/>
    <w:rsid w:val="2A5F0DF4"/>
    <w:rsid w:val="2A5F1650"/>
    <w:rsid w:val="2A5F5BA1"/>
    <w:rsid w:val="2A622692"/>
    <w:rsid w:val="2A656CB8"/>
    <w:rsid w:val="2A701253"/>
    <w:rsid w:val="2A734385"/>
    <w:rsid w:val="2A7565BF"/>
    <w:rsid w:val="2A765DEA"/>
    <w:rsid w:val="2A7725E1"/>
    <w:rsid w:val="2A7F4FF2"/>
    <w:rsid w:val="2A814869"/>
    <w:rsid w:val="2A833231"/>
    <w:rsid w:val="2A842608"/>
    <w:rsid w:val="2A854FC4"/>
    <w:rsid w:val="2A872FE8"/>
    <w:rsid w:val="2A88034A"/>
    <w:rsid w:val="2A895E70"/>
    <w:rsid w:val="2A9071FF"/>
    <w:rsid w:val="2A9211C9"/>
    <w:rsid w:val="2A932085"/>
    <w:rsid w:val="2A9413C9"/>
    <w:rsid w:val="2A944F41"/>
    <w:rsid w:val="2A9D36CA"/>
    <w:rsid w:val="2A9E191C"/>
    <w:rsid w:val="2AA42411"/>
    <w:rsid w:val="2AB056E9"/>
    <w:rsid w:val="2AB23619"/>
    <w:rsid w:val="2AB34501"/>
    <w:rsid w:val="2ABB0C08"/>
    <w:rsid w:val="2ABF7AE4"/>
    <w:rsid w:val="2AC1560A"/>
    <w:rsid w:val="2AC4216F"/>
    <w:rsid w:val="2AC60E73"/>
    <w:rsid w:val="2ACA4E23"/>
    <w:rsid w:val="2ACD2201"/>
    <w:rsid w:val="2AD129EA"/>
    <w:rsid w:val="2AD16F39"/>
    <w:rsid w:val="2AD27817"/>
    <w:rsid w:val="2AD30686"/>
    <w:rsid w:val="2AD57308"/>
    <w:rsid w:val="2AD838DF"/>
    <w:rsid w:val="2ADD0128"/>
    <w:rsid w:val="2AE81694"/>
    <w:rsid w:val="2AEA268E"/>
    <w:rsid w:val="2AF91248"/>
    <w:rsid w:val="2AFE498C"/>
    <w:rsid w:val="2AFE685E"/>
    <w:rsid w:val="2B0261C7"/>
    <w:rsid w:val="2B02634F"/>
    <w:rsid w:val="2B10444D"/>
    <w:rsid w:val="2B12230A"/>
    <w:rsid w:val="2B14199B"/>
    <w:rsid w:val="2B1616C0"/>
    <w:rsid w:val="2B1C6CE5"/>
    <w:rsid w:val="2B2067D5"/>
    <w:rsid w:val="2B275DB5"/>
    <w:rsid w:val="2B277B63"/>
    <w:rsid w:val="2B2C172A"/>
    <w:rsid w:val="2B2D2CA0"/>
    <w:rsid w:val="2B3109E2"/>
    <w:rsid w:val="2B34402E"/>
    <w:rsid w:val="2B375A80"/>
    <w:rsid w:val="2B3C1135"/>
    <w:rsid w:val="2B421E23"/>
    <w:rsid w:val="2B4326B6"/>
    <w:rsid w:val="2B4F6E31"/>
    <w:rsid w:val="2B5618EA"/>
    <w:rsid w:val="2B5D4325"/>
    <w:rsid w:val="2B5E554F"/>
    <w:rsid w:val="2B620B9B"/>
    <w:rsid w:val="2B6A60AE"/>
    <w:rsid w:val="2B747BBA"/>
    <w:rsid w:val="2B781AF8"/>
    <w:rsid w:val="2B794137"/>
    <w:rsid w:val="2B79767B"/>
    <w:rsid w:val="2B7B18A0"/>
    <w:rsid w:val="2B801021"/>
    <w:rsid w:val="2B8855E7"/>
    <w:rsid w:val="2B8A1EA0"/>
    <w:rsid w:val="2B971695"/>
    <w:rsid w:val="2B976789"/>
    <w:rsid w:val="2B980A61"/>
    <w:rsid w:val="2B992A04"/>
    <w:rsid w:val="2B9F0531"/>
    <w:rsid w:val="2B9F27E9"/>
    <w:rsid w:val="2B9F77CC"/>
    <w:rsid w:val="2BA070A9"/>
    <w:rsid w:val="2BAD5B63"/>
    <w:rsid w:val="2BAE0029"/>
    <w:rsid w:val="2BAE3DE1"/>
    <w:rsid w:val="2BAF5489"/>
    <w:rsid w:val="2BB12FF2"/>
    <w:rsid w:val="2BB4516F"/>
    <w:rsid w:val="2BB52021"/>
    <w:rsid w:val="2BB60EE7"/>
    <w:rsid w:val="2BC3094D"/>
    <w:rsid w:val="2BC45A5E"/>
    <w:rsid w:val="2BC73198"/>
    <w:rsid w:val="2BCC4267"/>
    <w:rsid w:val="2BCE4483"/>
    <w:rsid w:val="2BD870AF"/>
    <w:rsid w:val="2BD91432"/>
    <w:rsid w:val="2BDD46C6"/>
    <w:rsid w:val="2BDF21EC"/>
    <w:rsid w:val="2BDF6BED"/>
    <w:rsid w:val="2BE02DF6"/>
    <w:rsid w:val="2BE02FAC"/>
    <w:rsid w:val="2BE22220"/>
    <w:rsid w:val="2BE93D87"/>
    <w:rsid w:val="2BEF61A7"/>
    <w:rsid w:val="2BF11F1F"/>
    <w:rsid w:val="2BF33EE9"/>
    <w:rsid w:val="2BF67536"/>
    <w:rsid w:val="2BFD2672"/>
    <w:rsid w:val="2C064ECB"/>
    <w:rsid w:val="2C0734F1"/>
    <w:rsid w:val="2C0B2FE1"/>
    <w:rsid w:val="2C104E0B"/>
    <w:rsid w:val="2C155C0E"/>
    <w:rsid w:val="2C1B0FB3"/>
    <w:rsid w:val="2C230890"/>
    <w:rsid w:val="2C275E71"/>
    <w:rsid w:val="2C29790B"/>
    <w:rsid w:val="2C2C11A9"/>
    <w:rsid w:val="2C2C6236"/>
    <w:rsid w:val="2C2E6CCF"/>
    <w:rsid w:val="2C33078A"/>
    <w:rsid w:val="2C387B4E"/>
    <w:rsid w:val="2C390A42"/>
    <w:rsid w:val="2C412EA7"/>
    <w:rsid w:val="2C464019"/>
    <w:rsid w:val="2C4732BE"/>
    <w:rsid w:val="2C4A2D94"/>
    <w:rsid w:val="2C4B7881"/>
    <w:rsid w:val="2C4C35F9"/>
    <w:rsid w:val="2C586979"/>
    <w:rsid w:val="2C5A208D"/>
    <w:rsid w:val="2C5F332D"/>
    <w:rsid w:val="2C603C73"/>
    <w:rsid w:val="2C675C97"/>
    <w:rsid w:val="2C696B54"/>
    <w:rsid w:val="2C6B4044"/>
    <w:rsid w:val="2C6E531E"/>
    <w:rsid w:val="2C705659"/>
    <w:rsid w:val="2C772A32"/>
    <w:rsid w:val="2C774E6F"/>
    <w:rsid w:val="2C7A1F15"/>
    <w:rsid w:val="2C7B7010"/>
    <w:rsid w:val="2C7C3EDF"/>
    <w:rsid w:val="2C7D2489"/>
    <w:rsid w:val="2C7D32FB"/>
    <w:rsid w:val="2C7E7C57"/>
    <w:rsid w:val="2C854E8D"/>
    <w:rsid w:val="2C8B2374"/>
    <w:rsid w:val="2C996BC5"/>
    <w:rsid w:val="2C9A4C4D"/>
    <w:rsid w:val="2CA90A4C"/>
    <w:rsid w:val="2CB03B88"/>
    <w:rsid w:val="2CB07338"/>
    <w:rsid w:val="2CB368B7"/>
    <w:rsid w:val="2CB52F4D"/>
    <w:rsid w:val="2CB7324A"/>
    <w:rsid w:val="2CB76BB3"/>
    <w:rsid w:val="2CBC077F"/>
    <w:rsid w:val="2CC1332A"/>
    <w:rsid w:val="2CC460EE"/>
    <w:rsid w:val="2CC55886"/>
    <w:rsid w:val="2CC94C4A"/>
    <w:rsid w:val="2CC969F8"/>
    <w:rsid w:val="2CCA2AA6"/>
    <w:rsid w:val="2CCB451E"/>
    <w:rsid w:val="2CCD4076"/>
    <w:rsid w:val="2CD21D51"/>
    <w:rsid w:val="2CD31625"/>
    <w:rsid w:val="2CD60A6C"/>
    <w:rsid w:val="2CDB5B13"/>
    <w:rsid w:val="2CDC2BCF"/>
    <w:rsid w:val="2CDC7EC4"/>
    <w:rsid w:val="2CE13E0E"/>
    <w:rsid w:val="2CE44D40"/>
    <w:rsid w:val="2CE461DD"/>
    <w:rsid w:val="2CE5442E"/>
    <w:rsid w:val="2CEA52EC"/>
    <w:rsid w:val="2CEB03C6"/>
    <w:rsid w:val="2CEB2B60"/>
    <w:rsid w:val="2CEF3331"/>
    <w:rsid w:val="2CF50BA2"/>
    <w:rsid w:val="2CF55A3F"/>
    <w:rsid w:val="2CF95873"/>
    <w:rsid w:val="2CFB44A5"/>
    <w:rsid w:val="2D027BE5"/>
    <w:rsid w:val="2D034EA5"/>
    <w:rsid w:val="2D0534FC"/>
    <w:rsid w:val="2D0A159E"/>
    <w:rsid w:val="2D0D2D89"/>
    <w:rsid w:val="2D0E0DF8"/>
    <w:rsid w:val="2D1057CD"/>
    <w:rsid w:val="2D157E8F"/>
    <w:rsid w:val="2D19172E"/>
    <w:rsid w:val="2D2307FE"/>
    <w:rsid w:val="2D2B7629"/>
    <w:rsid w:val="2D2D2CF0"/>
    <w:rsid w:val="2D2F7EFE"/>
    <w:rsid w:val="2D307726"/>
    <w:rsid w:val="2D37238E"/>
    <w:rsid w:val="2D393B7E"/>
    <w:rsid w:val="2D3C01F6"/>
    <w:rsid w:val="2D3E1194"/>
    <w:rsid w:val="2D4367AA"/>
    <w:rsid w:val="2D464494"/>
    <w:rsid w:val="2D4D39AA"/>
    <w:rsid w:val="2D525F67"/>
    <w:rsid w:val="2D5573EF"/>
    <w:rsid w:val="2D5663E5"/>
    <w:rsid w:val="2D5704A8"/>
    <w:rsid w:val="2D5B79F0"/>
    <w:rsid w:val="2D5C59D6"/>
    <w:rsid w:val="2D5E1836"/>
    <w:rsid w:val="2D5E5392"/>
    <w:rsid w:val="2D647402"/>
    <w:rsid w:val="2D685F1F"/>
    <w:rsid w:val="2D727090"/>
    <w:rsid w:val="2D742E08"/>
    <w:rsid w:val="2D7746A6"/>
    <w:rsid w:val="2D8172D3"/>
    <w:rsid w:val="2D8432FA"/>
    <w:rsid w:val="2D852054"/>
    <w:rsid w:val="2D856DC3"/>
    <w:rsid w:val="2D870D8D"/>
    <w:rsid w:val="2D872595"/>
    <w:rsid w:val="2D8C63A3"/>
    <w:rsid w:val="2D9066E8"/>
    <w:rsid w:val="2D9139BA"/>
    <w:rsid w:val="2D9618F9"/>
    <w:rsid w:val="2D972956"/>
    <w:rsid w:val="2D980FF2"/>
    <w:rsid w:val="2D9A2E53"/>
    <w:rsid w:val="2D9D3677"/>
    <w:rsid w:val="2DA01E4F"/>
    <w:rsid w:val="2DA12847"/>
    <w:rsid w:val="2DA1451F"/>
    <w:rsid w:val="2DA239F0"/>
    <w:rsid w:val="2DA336ED"/>
    <w:rsid w:val="2DA52FC1"/>
    <w:rsid w:val="2DA90D03"/>
    <w:rsid w:val="2DAB444D"/>
    <w:rsid w:val="2DAD00C8"/>
    <w:rsid w:val="2DAF3E40"/>
    <w:rsid w:val="2DB112E4"/>
    <w:rsid w:val="2DB245D8"/>
    <w:rsid w:val="2DB6793F"/>
    <w:rsid w:val="2DB9081B"/>
    <w:rsid w:val="2DB96B52"/>
    <w:rsid w:val="2DBA2BE8"/>
    <w:rsid w:val="2DBB4593"/>
    <w:rsid w:val="2DC0323D"/>
    <w:rsid w:val="2DC0604D"/>
    <w:rsid w:val="2DC378EB"/>
    <w:rsid w:val="2DC45B3D"/>
    <w:rsid w:val="2DC515B0"/>
    <w:rsid w:val="2DC729FE"/>
    <w:rsid w:val="2DC77DCA"/>
    <w:rsid w:val="2DCD403A"/>
    <w:rsid w:val="2DD357DE"/>
    <w:rsid w:val="2DD85256"/>
    <w:rsid w:val="2DDF7346"/>
    <w:rsid w:val="2DE175C3"/>
    <w:rsid w:val="2DE63220"/>
    <w:rsid w:val="2DEA387E"/>
    <w:rsid w:val="2DF06932"/>
    <w:rsid w:val="2DF552BE"/>
    <w:rsid w:val="2DFB0D3B"/>
    <w:rsid w:val="2DFB0E33"/>
    <w:rsid w:val="2DFD2DFD"/>
    <w:rsid w:val="2DFE297D"/>
    <w:rsid w:val="2DFF3098"/>
    <w:rsid w:val="2E014F30"/>
    <w:rsid w:val="2E0208DD"/>
    <w:rsid w:val="2E027B47"/>
    <w:rsid w:val="2E073CE1"/>
    <w:rsid w:val="2E0A444D"/>
    <w:rsid w:val="2E0A551A"/>
    <w:rsid w:val="2E0C6AD8"/>
    <w:rsid w:val="2E0E2DE1"/>
    <w:rsid w:val="2E0F0B11"/>
    <w:rsid w:val="2E0F2B31"/>
    <w:rsid w:val="2E114AFB"/>
    <w:rsid w:val="2E1343CF"/>
    <w:rsid w:val="2E1344DC"/>
    <w:rsid w:val="2E20085E"/>
    <w:rsid w:val="2E234885"/>
    <w:rsid w:val="2E255EB0"/>
    <w:rsid w:val="2E2760CC"/>
    <w:rsid w:val="2E2803AF"/>
    <w:rsid w:val="2E286A42"/>
    <w:rsid w:val="2E2A34C6"/>
    <w:rsid w:val="2E2B3D3A"/>
    <w:rsid w:val="2E373067"/>
    <w:rsid w:val="2E3E08AA"/>
    <w:rsid w:val="2E41718E"/>
    <w:rsid w:val="2E426A62"/>
    <w:rsid w:val="2E472DE0"/>
    <w:rsid w:val="2E4731B2"/>
    <w:rsid w:val="2E4E00D9"/>
    <w:rsid w:val="2E4E18AB"/>
    <w:rsid w:val="2E513149"/>
    <w:rsid w:val="2E525AC4"/>
    <w:rsid w:val="2E5311BD"/>
    <w:rsid w:val="2E55192F"/>
    <w:rsid w:val="2E596761"/>
    <w:rsid w:val="2E5A3DAC"/>
    <w:rsid w:val="2E600A5B"/>
    <w:rsid w:val="2E600E98"/>
    <w:rsid w:val="2E6021BF"/>
    <w:rsid w:val="2E607A11"/>
    <w:rsid w:val="2E69625B"/>
    <w:rsid w:val="2E7133BC"/>
    <w:rsid w:val="2E734E6D"/>
    <w:rsid w:val="2E7D18A1"/>
    <w:rsid w:val="2E7E255B"/>
    <w:rsid w:val="2E7F3812"/>
    <w:rsid w:val="2E8B0409"/>
    <w:rsid w:val="2E903C71"/>
    <w:rsid w:val="2E9372E3"/>
    <w:rsid w:val="2E9E2638"/>
    <w:rsid w:val="2E9F2106"/>
    <w:rsid w:val="2EA15273"/>
    <w:rsid w:val="2EA446A8"/>
    <w:rsid w:val="2EB01C1E"/>
    <w:rsid w:val="2EB46A04"/>
    <w:rsid w:val="2EB67C11"/>
    <w:rsid w:val="2EB711FE"/>
    <w:rsid w:val="2EB96DA7"/>
    <w:rsid w:val="2EC4391B"/>
    <w:rsid w:val="2EC708BB"/>
    <w:rsid w:val="2EC9746A"/>
    <w:rsid w:val="2ECD362D"/>
    <w:rsid w:val="2ED3590C"/>
    <w:rsid w:val="2ED51684"/>
    <w:rsid w:val="2ED90510"/>
    <w:rsid w:val="2EDC6EB7"/>
    <w:rsid w:val="2EE20771"/>
    <w:rsid w:val="2EE962FC"/>
    <w:rsid w:val="2EEC01FD"/>
    <w:rsid w:val="2EED0359"/>
    <w:rsid w:val="2EED2E72"/>
    <w:rsid w:val="2EF22236"/>
    <w:rsid w:val="2EF37D5C"/>
    <w:rsid w:val="2EFA5C41"/>
    <w:rsid w:val="2EFC4E63"/>
    <w:rsid w:val="2EFD49EF"/>
    <w:rsid w:val="2F014B01"/>
    <w:rsid w:val="2F0247C0"/>
    <w:rsid w:val="2F0A1F46"/>
    <w:rsid w:val="2F0B32F8"/>
    <w:rsid w:val="2F0C63BC"/>
    <w:rsid w:val="2F1403FE"/>
    <w:rsid w:val="2F141D40"/>
    <w:rsid w:val="2F191A56"/>
    <w:rsid w:val="2F1C3757"/>
    <w:rsid w:val="2F1E5661"/>
    <w:rsid w:val="2F21503B"/>
    <w:rsid w:val="2F257C3B"/>
    <w:rsid w:val="2F3314C8"/>
    <w:rsid w:val="2F3604EF"/>
    <w:rsid w:val="2F363DB4"/>
    <w:rsid w:val="2F3960B7"/>
    <w:rsid w:val="2F446CE9"/>
    <w:rsid w:val="2F500447"/>
    <w:rsid w:val="2F516105"/>
    <w:rsid w:val="2F533148"/>
    <w:rsid w:val="2F6A03D2"/>
    <w:rsid w:val="2F6A59B9"/>
    <w:rsid w:val="2F6A6270"/>
    <w:rsid w:val="2F6D7C75"/>
    <w:rsid w:val="2F723377"/>
    <w:rsid w:val="2F745554"/>
    <w:rsid w:val="2F776BDF"/>
    <w:rsid w:val="2F787D25"/>
    <w:rsid w:val="2F7D09D9"/>
    <w:rsid w:val="2F8A246F"/>
    <w:rsid w:val="2F8B61E7"/>
    <w:rsid w:val="2F9316C0"/>
    <w:rsid w:val="2F962126"/>
    <w:rsid w:val="2F9966D9"/>
    <w:rsid w:val="2F9A351A"/>
    <w:rsid w:val="2F9E1DDD"/>
    <w:rsid w:val="2FA26362"/>
    <w:rsid w:val="2FA63021"/>
    <w:rsid w:val="2FA8482C"/>
    <w:rsid w:val="2FAF0127"/>
    <w:rsid w:val="2FB62D97"/>
    <w:rsid w:val="2FBA48F0"/>
    <w:rsid w:val="2FC01877"/>
    <w:rsid w:val="2FC10CAA"/>
    <w:rsid w:val="2FC11C09"/>
    <w:rsid w:val="2FC242FE"/>
    <w:rsid w:val="2FC81E15"/>
    <w:rsid w:val="2FD054DB"/>
    <w:rsid w:val="2FD129FD"/>
    <w:rsid w:val="2FD271D9"/>
    <w:rsid w:val="2FD42EE9"/>
    <w:rsid w:val="2FD808A9"/>
    <w:rsid w:val="2FD879EA"/>
    <w:rsid w:val="2FD933F6"/>
    <w:rsid w:val="2FDB0B00"/>
    <w:rsid w:val="2FDF477A"/>
    <w:rsid w:val="2FE06533"/>
    <w:rsid w:val="2FE25C02"/>
    <w:rsid w:val="2FE37DD1"/>
    <w:rsid w:val="2FE70C36"/>
    <w:rsid w:val="2FF16992"/>
    <w:rsid w:val="2FF21870"/>
    <w:rsid w:val="2FF41FDE"/>
    <w:rsid w:val="2FF71DDB"/>
    <w:rsid w:val="2FF81E0E"/>
    <w:rsid w:val="2FFB2DCC"/>
    <w:rsid w:val="2FFD65A9"/>
    <w:rsid w:val="300A70A8"/>
    <w:rsid w:val="300E12F2"/>
    <w:rsid w:val="301B6D6D"/>
    <w:rsid w:val="301C6CAC"/>
    <w:rsid w:val="30240B15"/>
    <w:rsid w:val="3025663B"/>
    <w:rsid w:val="30281C88"/>
    <w:rsid w:val="302851CF"/>
    <w:rsid w:val="302C5C1C"/>
    <w:rsid w:val="30315055"/>
    <w:rsid w:val="30316D8E"/>
    <w:rsid w:val="30336FAA"/>
    <w:rsid w:val="30344E34"/>
    <w:rsid w:val="303650C3"/>
    <w:rsid w:val="30367A6B"/>
    <w:rsid w:val="3038636F"/>
    <w:rsid w:val="30393E95"/>
    <w:rsid w:val="303A5707"/>
    <w:rsid w:val="30436451"/>
    <w:rsid w:val="304765B2"/>
    <w:rsid w:val="304F5466"/>
    <w:rsid w:val="30504D60"/>
    <w:rsid w:val="305553AF"/>
    <w:rsid w:val="30640F12"/>
    <w:rsid w:val="30662EDC"/>
    <w:rsid w:val="307153DD"/>
    <w:rsid w:val="307C003B"/>
    <w:rsid w:val="30817D16"/>
    <w:rsid w:val="30823A8E"/>
    <w:rsid w:val="3082649B"/>
    <w:rsid w:val="30867E40"/>
    <w:rsid w:val="30883269"/>
    <w:rsid w:val="308F2925"/>
    <w:rsid w:val="309666F8"/>
    <w:rsid w:val="30991074"/>
    <w:rsid w:val="30A11411"/>
    <w:rsid w:val="30B40706"/>
    <w:rsid w:val="30BC6FA0"/>
    <w:rsid w:val="30C23E8A"/>
    <w:rsid w:val="30C9346B"/>
    <w:rsid w:val="30C95219"/>
    <w:rsid w:val="30C96FC7"/>
    <w:rsid w:val="30CB2D3F"/>
    <w:rsid w:val="30CC6AB7"/>
    <w:rsid w:val="30CC6F7E"/>
    <w:rsid w:val="30D23F36"/>
    <w:rsid w:val="30D51E0F"/>
    <w:rsid w:val="30D75B88"/>
    <w:rsid w:val="30D77936"/>
    <w:rsid w:val="30DA5678"/>
    <w:rsid w:val="30DD197C"/>
    <w:rsid w:val="30DD6F16"/>
    <w:rsid w:val="30EC0F07"/>
    <w:rsid w:val="30EE2ED1"/>
    <w:rsid w:val="30EE3F00"/>
    <w:rsid w:val="30EF1D20"/>
    <w:rsid w:val="30F236E1"/>
    <w:rsid w:val="30F34A14"/>
    <w:rsid w:val="30F779FC"/>
    <w:rsid w:val="30FA12BF"/>
    <w:rsid w:val="30FD4EC2"/>
    <w:rsid w:val="30FF3F0F"/>
    <w:rsid w:val="31012C04"/>
    <w:rsid w:val="31046251"/>
    <w:rsid w:val="310D15A9"/>
    <w:rsid w:val="310D77FB"/>
    <w:rsid w:val="310F2977"/>
    <w:rsid w:val="3119625B"/>
    <w:rsid w:val="312101F6"/>
    <w:rsid w:val="31210BB1"/>
    <w:rsid w:val="31226613"/>
    <w:rsid w:val="31230EBE"/>
    <w:rsid w:val="312D39F9"/>
    <w:rsid w:val="312E5247"/>
    <w:rsid w:val="3131421F"/>
    <w:rsid w:val="3133601F"/>
    <w:rsid w:val="3134032E"/>
    <w:rsid w:val="31344D88"/>
    <w:rsid w:val="31363E4E"/>
    <w:rsid w:val="3138414C"/>
    <w:rsid w:val="313A6116"/>
    <w:rsid w:val="313B179E"/>
    <w:rsid w:val="313C3C3D"/>
    <w:rsid w:val="31440D43"/>
    <w:rsid w:val="31462D0D"/>
    <w:rsid w:val="3148438F"/>
    <w:rsid w:val="314A7BDF"/>
    <w:rsid w:val="314D409C"/>
    <w:rsid w:val="314F750B"/>
    <w:rsid w:val="31500118"/>
    <w:rsid w:val="315159AC"/>
    <w:rsid w:val="3153463F"/>
    <w:rsid w:val="31540F86"/>
    <w:rsid w:val="3154771B"/>
    <w:rsid w:val="31566970"/>
    <w:rsid w:val="31580624"/>
    <w:rsid w:val="315B5C24"/>
    <w:rsid w:val="315E7B1E"/>
    <w:rsid w:val="31626D47"/>
    <w:rsid w:val="316657A6"/>
    <w:rsid w:val="31666628"/>
    <w:rsid w:val="316B66AC"/>
    <w:rsid w:val="316C23F4"/>
    <w:rsid w:val="31701598"/>
    <w:rsid w:val="317258B0"/>
    <w:rsid w:val="31731494"/>
    <w:rsid w:val="31755DD2"/>
    <w:rsid w:val="31757AB6"/>
    <w:rsid w:val="31796C3F"/>
    <w:rsid w:val="317D7EBB"/>
    <w:rsid w:val="317F6A68"/>
    <w:rsid w:val="31813D45"/>
    <w:rsid w:val="31876369"/>
    <w:rsid w:val="318A49A8"/>
    <w:rsid w:val="318D450C"/>
    <w:rsid w:val="31903F88"/>
    <w:rsid w:val="3196159F"/>
    <w:rsid w:val="319B575E"/>
    <w:rsid w:val="319F0024"/>
    <w:rsid w:val="31A812D2"/>
    <w:rsid w:val="31AB2DAB"/>
    <w:rsid w:val="31AF08B2"/>
    <w:rsid w:val="31B25476"/>
    <w:rsid w:val="31B71515"/>
    <w:rsid w:val="31B959C7"/>
    <w:rsid w:val="31BC1A56"/>
    <w:rsid w:val="31BD550A"/>
    <w:rsid w:val="31C3435E"/>
    <w:rsid w:val="31C7292D"/>
    <w:rsid w:val="31CC3212"/>
    <w:rsid w:val="31CF465E"/>
    <w:rsid w:val="31D40319"/>
    <w:rsid w:val="31D65860"/>
    <w:rsid w:val="31DB24C5"/>
    <w:rsid w:val="31DF2946"/>
    <w:rsid w:val="31E3230A"/>
    <w:rsid w:val="31E77E49"/>
    <w:rsid w:val="31E87920"/>
    <w:rsid w:val="31E90068"/>
    <w:rsid w:val="31EB11BF"/>
    <w:rsid w:val="31ED1F65"/>
    <w:rsid w:val="31ED3189"/>
    <w:rsid w:val="31EE10DC"/>
    <w:rsid w:val="31F27808"/>
    <w:rsid w:val="31F42769"/>
    <w:rsid w:val="31F664E1"/>
    <w:rsid w:val="31F724B8"/>
    <w:rsid w:val="31F81AD3"/>
    <w:rsid w:val="31FB7654"/>
    <w:rsid w:val="32056724"/>
    <w:rsid w:val="320F30FF"/>
    <w:rsid w:val="32110C25"/>
    <w:rsid w:val="321142D8"/>
    <w:rsid w:val="321756B1"/>
    <w:rsid w:val="321B644E"/>
    <w:rsid w:val="321D524B"/>
    <w:rsid w:val="321D581C"/>
    <w:rsid w:val="3221513D"/>
    <w:rsid w:val="32224C1E"/>
    <w:rsid w:val="32295A9A"/>
    <w:rsid w:val="322F554F"/>
    <w:rsid w:val="32317484"/>
    <w:rsid w:val="32345894"/>
    <w:rsid w:val="323647E0"/>
    <w:rsid w:val="323808A8"/>
    <w:rsid w:val="323E6D4C"/>
    <w:rsid w:val="32431AD0"/>
    <w:rsid w:val="324A4137"/>
    <w:rsid w:val="32530340"/>
    <w:rsid w:val="32546D64"/>
    <w:rsid w:val="325A0739"/>
    <w:rsid w:val="325A3421"/>
    <w:rsid w:val="325B2B58"/>
    <w:rsid w:val="325F4087"/>
    <w:rsid w:val="325F64DA"/>
    <w:rsid w:val="32607DFF"/>
    <w:rsid w:val="326158B2"/>
    <w:rsid w:val="326501D5"/>
    <w:rsid w:val="326571C3"/>
    <w:rsid w:val="326E03CD"/>
    <w:rsid w:val="32716E51"/>
    <w:rsid w:val="32737B32"/>
    <w:rsid w:val="32763E9C"/>
    <w:rsid w:val="32793FAC"/>
    <w:rsid w:val="327A71D0"/>
    <w:rsid w:val="3282040F"/>
    <w:rsid w:val="3282531E"/>
    <w:rsid w:val="328E2CF1"/>
    <w:rsid w:val="32977498"/>
    <w:rsid w:val="329863B7"/>
    <w:rsid w:val="329B2BE5"/>
    <w:rsid w:val="32A11B7A"/>
    <w:rsid w:val="32A55B5B"/>
    <w:rsid w:val="32AB22E8"/>
    <w:rsid w:val="32B04DB2"/>
    <w:rsid w:val="32B1065A"/>
    <w:rsid w:val="32BA750F"/>
    <w:rsid w:val="32BD2B5B"/>
    <w:rsid w:val="32C4213C"/>
    <w:rsid w:val="32C569FF"/>
    <w:rsid w:val="32CD3487"/>
    <w:rsid w:val="32CE4D68"/>
    <w:rsid w:val="32CF2B72"/>
    <w:rsid w:val="32D03638"/>
    <w:rsid w:val="32D12960"/>
    <w:rsid w:val="32D3237F"/>
    <w:rsid w:val="32D50524"/>
    <w:rsid w:val="32D83E39"/>
    <w:rsid w:val="32E53A10"/>
    <w:rsid w:val="32E618D5"/>
    <w:rsid w:val="32EC5A11"/>
    <w:rsid w:val="32F00761"/>
    <w:rsid w:val="32F26FC1"/>
    <w:rsid w:val="32F50547"/>
    <w:rsid w:val="32FA3431"/>
    <w:rsid w:val="32FC48DF"/>
    <w:rsid w:val="32FF13C6"/>
    <w:rsid w:val="33016EEC"/>
    <w:rsid w:val="3306616E"/>
    <w:rsid w:val="330662B0"/>
    <w:rsid w:val="330C6B05"/>
    <w:rsid w:val="33154886"/>
    <w:rsid w:val="331F146A"/>
    <w:rsid w:val="332350B4"/>
    <w:rsid w:val="33240E2C"/>
    <w:rsid w:val="33260700"/>
    <w:rsid w:val="332F44F3"/>
    <w:rsid w:val="33354DE7"/>
    <w:rsid w:val="333746BC"/>
    <w:rsid w:val="333A389D"/>
    <w:rsid w:val="333F17C2"/>
    <w:rsid w:val="33416F1E"/>
    <w:rsid w:val="334E5810"/>
    <w:rsid w:val="33545A64"/>
    <w:rsid w:val="33573667"/>
    <w:rsid w:val="336456CD"/>
    <w:rsid w:val="3369683F"/>
    <w:rsid w:val="336E3F0E"/>
    <w:rsid w:val="336F3663"/>
    <w:rsid w:val="337554A3"/>
    <w:rsid w:val="337B0E24"/>
    <w:rsid w:val="338401D6"/>
    <w:rsid w:val="338C030E"/>
    <w:rsid w:val="338C7A43"/>
    <w:rsid w:val="33925D96"/>
    <w:rsid w:val="339506A0"/>
    <w:rsid w:val="339B27B5"/>
    <w:rsid w:val="33A45AC9"/>
    <w:rsid w:val="33A51F6D"/>
    <w:rsid w:val="33B053AF"/>
    <w:rsid w:val="33B43F5E"/>
    <w:rsid w:val="33B7681F"/>
    <w:rsid w:val="33BA709B"/>
    <w:rsid w:val="33C0222F"/>
    <w:rsid w:val="33C61EE3"/>
    <w:rsid w:val="33C817B8"/>
    <w:rsid w:val="33CA4D76"/>
    <w:rsid w:val="33CD3459"/>
    <w:rsid w:val="33CF5015"/>
    <w:rsid w:val="33D041B0"/>
    <w:rsid w:val="33D34C0B"/>
    <w:rsid w:val="33D62126"/>
    <w:rsid w:val="33D70F04"/>
    <w:rsid w:val="33D91C17"/>
    <w:rsid w:val="33E011C1"/>
    <w:rsid w:val="33E0347F"/>
    <w:rsid w:val="33E16D1D"/>
    <w:rsid w:val="33E33A03"/>
    <w:rsid w:val="33E505BB"/>
    <w:rsid w:val="33E94D7A"/>
    <w:rsid w:val="33EA7980"/>
    <w:rsid w:val="33EB3EF2"/>
    <w:rsid w:val="33F22CD8"/>
    <w:rsid w:val="33F7209D"/>
    <w:rsid w:val="33F95E15"/>
    <w:rsid w:val="33FC0610"/>
    <w:rsid w:val="33FC5905"/>
    <w:rsid w:val="3402116D"/>
    <w:rsid w:val="34091EBE"/>
    <w:rsid w:val="34094833"/>
    <w:rsid w:val="34162F23"/>
    <w:rsid w:val="341A5D77"/>
    <w:rsid w:val="34210CAE"/>
    <w:rsid w:val="342B073F"/>
    <w:rsid w:val="342B1D46"/>
    <w:rsid w:val="342D5ABF"/>
    <w:rsid w:val="342E2380"/>
    <w:rsid w:val="343A1627"/>
    <w:rsid w:val="344008D1"/>
    <w:rsid w:val="344572AC"/>
    <w:rsid w:val="34495444"/>
    <w:rsid w:val="34513D87"/>
    <w:rsid w:val="345354E7"/>
    <w:rsid w:val="34544A3A"/>
    <w:rsid w:val="345E1E65"/>
    <w:rsid w:val="3465632F"/>
    <w:rsid w:val="347436ED"/>
    <w:rsid w:val="34792656"/>
    <w:rsid w:val="348002E4"/>
    <w:rsid w:val="34802708"/>
    <w:rsid w:val="3482348D"/>
    <w:rsid w:val="34847DD4"/>
    <w:rsid w:val="3485461B"/>
    <w:rsid w:val="34861A27"/>
    <w:rsid w:val="348C76E3"/>
    <w:rsid w:val="349067F3"/>
    <w:rsid w:val="34925255"/>
    <w:rsid w:val="349721D9"/>
    <w:rsid w:val="349D69F2"/>
    <w:rsid w:val="349E0928"/>
    <w:rsid w:val="34A044E2"/>
    <w:rsid w:val="34A73A14"/>
    <w:rsid w:val="34AA5361"/>
    <w:rsid w:val="34AA710F"/>
    <w:rsid w:val="34AF0C39"/>
    <w:rsid w:val="34AF257B"/>
    <w:rsid w:val="34B23E72"/>
    <w:rsid w:val="34BD542E"/>
    <w:rsid w:val="34BE489F"/>
    <w:rsid w:val="34BE71FF"/>
    <w:rsid w:val="34BF39F8"/>
    <w:rsid w:val="34C5219B"/>
    <w:rsid w:val="34CA77B1"/>
    <w:rsid w:val="34CD0988"/>
    <w:rsid w:val="34D0301A"/>
    <w:rsid w:val="34D10B40"/>
    <w:rsid w:val="34D16D92"/>
    <w:rsid w:val="34D52F4E"/>
    <w:rsid w:val="34D661A3"/>
    <w:rsid w:val="34D7676C"/>
    <w:rsid w:val="34D81ECE"/>
    <w:rsid w:val="34E071A9"/>
    <w:rsid w:val="34E24D9D"/>
    <w:rsid w:val="34EB2CDD"/>
    <w:rsid w:val="34EB7302"/>
    <w:rsid w:val="34EC2EB9"/>
    <w:rsid w:val="34EE524E"/>
    <w:rsid w:val="34EE74E4"/>
    <w:rsid w:val="34F32864"/>
    <w:rsid w:val="34F6551E"/>
    <w:rsid w:val="35002E80"/>
    <w:rsid w:val="350340D8"/>
    <w:rsid w:val="3504664D"/>
    <w:rsid w:val="35064C8D"/>
    <w:rsid w:val="350C457C"/>
    <w:rsid w:val="350D0C35"/>
    <w:rsid w:val="350D601C"/>
    <w:rsid w:val="350F40EB"/>
    <w:rsid w:val="35156C7E"/>
    <w:rsid w:val="351647A5"/>
    <w:rsid w:val="351849C1"/>
    <w:rsid w:val="3518688A"/>
    <w:rsid w:val="351E091F"/>
    <w:rsid w:val="351F0FAC"/>
    <w:rsid w:val="35210197"/>
    <w:rsid w:val="35216CEF"/>
    <w:rsid w:val="35223149"/>
    <w:rsid w:val="352670DE"/>
    <w:rsid w:val="35285CBC"/>
    <w:rsid w:val="352A4256"/>
    <w:rsid w:val="352B28D5"/>
    <w:rsid w:val="352F5680"/>
    <w:rsid w:val="353D61D5"/>
    <w:rsid w:val="3542559A"/>
    <w:rsid w:val="35431424"/>
    <w:rsid w:val="35441312"/>
    <w:rsid w:val="35447564"/>
    <w:rsid w:val="35461CB7"/>
    <w:rsid w:val="35474AB0"/>
    <w:rsid w:val="3547515D"/>
    <w:rsid w:val="35480CF6"/>
    <w:rsid w:val="354E3E1E"/>
    <w:rsid w:val="355D069A"/>
    <w:rsid w:val="356121BF"/>
    <w:rsid w:val="35646B82"/>
    <w:rsid w:val="356B50D9"/>
    <w:rsid w:val="356C58AD"/>
    <w:rsid w:val="357065AB"/>
    <w:rsid w:val="357716E7"/>
    <w:rsid w:val="35774AB9"/>
    <w:rsid w:val="35775E8A"/>
    <w:rsid w:val="357E2A76"/>
    <w:rsid w:val="358335C2"/>
    <w:rsid w:val="358636D8"/>
    <w:rsid w:val="3587366D"/>
    <w:rsid w:val="358875C6"/>
    <w:rsid w:val="358E45B1"/>
    <w:rsid w:val="358F4C83"/>
    <w:rsid w:val="359F165A"/>
    <w:rsid w:val="359F29EC"/>
    <w:rsid w:val="35A10512"/>
    <w:rsid w:val="35A16F73"/>
    <w:rsid w:val="35A3641B"/>
    <w:rsid w:val="35A41DB0"/>
    <w:rsid w:val="35A46254"/>
    <w:rsid w:val="35A470AE"/>
    <w:rsid w:val="35A91701"/>
    <w:rsid w:val="35B277CF"/>
    <w:rsid w:val="35B33B03"/>
    <w:rsid w:val="35BA5E1A"/>
    <w:rsid w:val="35BC0135"/>
    <w:rsid w:val="35C3627B"/>
    <w:rsid w:val="35C366DA"/>
    <w:rsid w:val="35C45BA4"/>
    <w:rsid w:val="35C506A4"/>
    <w:rsid w:val="35C84690"/>
    <w:rsid w:val="35CA7988"/>
    <w:rsid w:val="35CD1F4A"/>
    <w:rsid w:val="35CF32D1"/>
    <w:rsid w:val="35E3586E"/>
    <w:rsid w:val="35E47D46"/>
    <w:rsid w:val="35E548A3"/>
    <w:rsid w:val="35ED6B48"/>
    <w:rsid w:val="35EF5186"/>
    <w:rsid w:val="35F25212"/>
    <w:rsid w:val="35F42D38"/>
    <w:rsid w:val="35F45E8B"/>
    <w:rsid w:val="35FB5B03"/>
    <w:rsid w:val="35FE550B"/>
    <w:rsid w:val="36041D19"/>
    <w:rsid w:val="36050AA1"/>
    <w:rsid w:val="361707D4"/>
    <w:rsid w:val="36174C78"/>
    <w:rsid w:val="36195880"/>
    <w:rsid w:val="361A2073"/>
    <w:rsid w:val="361D5962"/>
    <w:rsid w:val="362353CB"/>
    <w:rsid w:val="36241293"/>
    <w:rsid w:val="36257395"/>
    <w:rsid w:val="36271DAE"/>
    <w:rsid w:val="36371193"/>
    <w:rsid w:val="363E0457"/>
    <w:rsid w:val="36405F7D"/>
    <w:rsid w:val="36411F77"/>
    <w:rsid w:val="365732C7"/>
    <w:rsid w:val="36583083"/>
    <w:rsid w:val="365A33B7"/>
    <w:rsid w:val="3660217B"/>
    <w:rsid w:val="36625EF3"/>
    <w:rsid w:val="366830F8"/>
    <w:rsid w:val="366D23E9"/>
    <w:rsid w:val="366E276C"/>
    <w:rsid w:val="36703A01"/>
    <w:rsid w:val="36755FDE"/>
    <w:rsid w:val="36767BF1"/>
    <w:rsid w:val="367774C5"/>
    <w:rsid w:val="367C5698"/>
    <w:rsid w:val="36832A4B"/>
    <w:rsid w:val="368340BC"/>
    <w:rsid w:val="36881445"/>
    <w:rsid w:val="368A292D"/>
    <w:rsid w:val="368A594B"/>
    <w:rsid w:val="368A71F8"/>
    <w:rsid w:val="368C1783"/>
    <w:rsid w:val="368F7238"/>
    <w:rsid w:val="369256E7"/>
    <w:rsid w:val="36932551"/>
    <w:rsid w:val="369342FF"/>
    <w:rsid w:val="3699482A"/>
    <w:rsid w:val="36A54032"/>
    <w:rsid w:val="36A91D74"/>
    <w:rsid w:val="36AA4451"/>
    <w:rsid w:val="36AA789A"/>
    <w:rsid w:val="36B008D8"/>
    <w:rsid w:val="36B10C29"/>
    <w:rsid w:val="36B7627B"/>
    <w:rsid w:val="36B83D65"/>
    <w:rsid w:val="36B863D5"/>
    <w:rsid w:val="36BB1AA7"/>
    <w:rsid w:val="36BB1C4B"/>
    <w:rsid w:val="36BC2851"/>
    <w:rsid w:val="36C074C4"/>
    <w:rsid w:val="36C24BE4"/>
    <w:rsid w:val="36C95F72"/>
    <w:rsid w:val="36CB7755"/>
    <w:rsid w:val="36D7150B"/>
    <w:rsid w:val="36D96DD9"/>
    <w:rsid w:val="36DB5CA6"/>
    <w:rsid w:val="36E0150E"/>
    <w:rsid w:val="36E032BC"/>
    <w:rsid w:val="36E44B5A"/>
    <w:rsid w:val="36E66C40"/>
    <w:rsid w:val="36E90A62"/>
    <w:rsid w:val="36F10990"/>
    <w:rsid w:val="36F72FBF"/>
    <w:rsid w:val="36FE5239"/>
    <w:rsid w:val="37030298"/>
    <w:rsid w:val="37076A91"/>
    <w:rsid w:val="370D26A3"/>
    <w:rsid w:val="370E0B8C"/>
    <w:rsid w:val="37121815"/>
    <w:rsid w:val="371371EE"/>
    <w:rsid w:val="37167D01"/>
    <w:rsid w:val="37201095"/>
    <w:rsid w:val="372235BD"/>
    <w:rsid w:val="37227431"/>
    <w:rsid w:val="37252C7D"/>
    <w:rsid w:val="372633C5"/>
    <w:rsid w:val="373309DC"/>
    <w:rsid w:val="373C4996"/>
    <w:rsid w:val="3748291F"/>
    <w:rsid w:val="374B2E2B"/>
    <w:rsid w:val="374C2271"/>
    <w:rsid w:val="374C2421"/>
    <w:rsid w:val="375021F0"/>
    <w:rsid w:val="37520247"/>
    <w:rsid w:val="37557806"/>
    <w:rsid w:val="375665FE"/>
    <w:rsid w:val="375D116C"/>
    <w:rsid w:val="37607F59"/>
    <w:rsid w:val="37620175"/>
    <w:rsid w:val="376215F9"/>
    <w:rsid w:val="376932B2"/>
    <w:rsid w:val="376C68FE"/>
    <w:rsid w:val="376E70A4"/>
    <w:rsid w:val="37734130"/>
    <w:rsid w:val="37753A04"/>
    <w:rsid w:val="377719EF"/>
    <w:rsid w:val="377A54BF"/>
    <w:rsid w:val="377C1237"/>
    <w:rsid w:val="378342E9"/>
    <w:rsid w:val="3784633D"/>
    <w:rsid w:val="378679C0"/>
    <w:rsid w:val="37885B03"/>
    <w:rsid w:val="37887BDC"/>
    <w:rsid w:val="378B76CC"/>
    <w:rsid w:val="378D5FCE"/>
    <w:rsid w:val="378D7B8E"/>
    <w:rsid w:val="379A16BD"/>
    <w:rsid w:val="379D4EBE"/>
    <w:rsid w:val="37A3555E"/>
    <w:rsid w:val="37A434A3"/>
    <w:rsid w:val="37A920BC"/>
    <w:rsid w:val="37AC7AD3"/>
    <w:rsid w:val="37AF33BA"/>
    <w:rsid w:val="37B01116"/>
    <w:rsid w:val="37B3277F"/>
    <w:rsid w:val="37BA1D5F"/>
    <w:rsid w:val="37BF4AA8"/>
    <w:rsid w:val="37C438FE"/>
    <w:rsid w:val="37C43DED"/>
    <w:rsid w:val="37C4498C"/>
    <w:rsid w:val="37C5495D"/>
    <w:rsid w:val="37C8622A"/>
    <w:rsid w:val="37CD55EE"/>
    <w:rsid w:val="37DF02D1"/>
    <w:rsid w:val="37E341DA"/>
    <w:rsid w:val="37EA08EC"/>
    <w:rsid w:val="37EA43F2"/>
    <w:rsid w:val="37EC117D"/>
    <w:rsid w:val="37EC5F7B"/>
    <w:rsid w:val="37F0694A"/>
    <w:rsid w:val="37F0752F"/>
    <w:rsid w:val="37F14165"/>
    <w:rsid w:val="37F21986"/>
    <w:rsid w:val="37F963E3"/>
    <w:rsid w:val="37FA4A57"/>
    <w:rsid w:val="37FC4126"/>
    <w:rsid w:val="37FE1C4C"/>
    <w:rsid w:val="37FE7E9E"/>
    <w:rsid w:val="38002096"/>
    <w:rsid w:val="38033706"/>
    <w:rsid w:val="380600E0"/>
    <w:rsid w:val="3809239F"/>
    <w:rsid w:val="380C7EA0"/>
    <w:rsid w:val="381257AF"/>
    <w:rsid w:val="3813422C"/>
    <w:rsid w:val="381450F7"/>
    <w:rsid w:val="381E0C74"/>
    <w:rsid w:val="38206066"/>
    <w:rsid w:val="3824244F"/>
    <w:rsid w:val="38276324"/>
    <w:rsid w:val="382947EF"/>
    <w:rsid w:val="382C22E7"/>
    <w:rsid w:val="383331BF"/>
    <w:rsid w:val="38375D04"/>
    <w:rsid w:val="3837600C"/>
    <w:rsid w:val="38433B03"/>
    <w:rsid w:val="38441E4A"/>
    <w:rsid w:val="384D2E76"/>
    <w:rsid w:val="38581D94"/>
    <w:rsid w:val="38601F46"/>
    <w:rsid w:val="38635F53"/>
    <w:rsid w:val="386C12AB"/>
    <w:rsid w:val="38703520"/>
    <w:rsid w:val="387442BD"/>
    <w:rsid w:val="387A5AF6"/>
    <w:rsid w:val="387A74C6"/>
    <w:rsid w:val="387E2D8D"/>
    <w:rsid w:val="387E4B3B"/>
    <w:rsid w:val="38824FEC"/>
    <w:rsid w:val="388365F5"/>
    <w:rsid w:val="38887767"/>
    <w:rsid w:val="38922426"/>
    <w:rsid w:val="389B74EC"/>
    <w:rsid w:val="389E342F"/>
    <w:rsid w:val="38A2163C"/>
    <w:rsid w:val="38A5656B"/>
    <w:rsid w:val="38AA34F9"/>
    <w:rsid w:val="38AA4085"/>
    <w:rsid w:val="38B0786B"/>
    <w:rsid w:val="38B10CD7"/>
    <w:rsid w:val="38B16CBE"/>
    <w:rsid w:val="38B371E2"/>
    <w:rsid w:val="38B7004D"/>
    <w:rsid w:val="38B844F1"/>
    <w:rsid w:val="38BB5D8F"/>
    <w:rsid w:val="38BC484B"/>
    <w:rsid w:val="38BF1A11"/>
    <w:rsid w:val="38C01848"/>
    <w:rsid w:val="38C21810"/>
    <w:rsid w:val="38C452B5"/>
    <w:rsid w:val="38CC7030"/>
    <w:rsid w:val="38CF601B"/>
    <w:rsid w:val="38D8647F"/>
    <w:rsid w:val="38DD7AB3"/>
    <w:rsid w:val="38E758FC"/>
    <w:rsid w:val="38ED3A6E"/>
    <w:rsid w:val="38ED6A84"/>
    <w:rsid w:val="38F51C6A"/>
    <w:rsid w:val="38FE486E"/>
    <w:rsid w:val="390115DC"/>
    <w:rsid w:val="3902751A"/>
    <w:rsid w:val="39072EC2"/>
    <w:rsid w:val="39111C5F"/>
    <w:rsid w:val="39111E53"/>
    <w:rsid w:val="39142431"/>
    <w:rsid w:val="3914549F"/>
    <w:rsid w:val="39186D3D"/>
    <w:rsid w:val="39190174"/>
    <w:rsid w:val="39204A69"/>
    <w:rsid w:val="39227BBC"/>
    <w:rsid w:val="392C7748"/>
    <w:rsid w:val="39317DFF"/>
    <w:rsid w:val="393618B9"/>
    <w:rsid w:val="39375DF0"/>
    <w:rsid w:val="39391637"/>
    <w:rsid w:val="393A67E2"/>
    <w:rsid w:val="39423DBA"/>
    <w:rsid w:val="394B5125"/>
    <w:rsid w:val="394C2E8B"/>
    <w:rsid w:val="394E6C03"/>
    <w:rsid w:val="395221DE"/>
    <w:rsid w:val="39535396"/>
    <w:rsid w:val="39545290"/>
    <w:rsid w:val="395E0AAF"/>
    <w:rsid w:val="3961677A"/>
    <w:rsid w:val="39640917"/>
    <w:rsid w:val="39641F82"/>
    <w:rsid w:val="39651C68"/>
    <w:rsid w:val="396964F1"/>
    <w:rsid w:val="396C6F56"/>
    <w:rsid w:val="3971469F"/>
    <w:rsid w:val="39793974"/>
    <w:rsid w:val="397A79F8"/>
    <w:rsid w:val="397F500E"/>
    <w:rsid w:val="398828FC"/>
    <w:rsid w:val="398B39B3"/>
    <w:rsid w:val="398E143D"/>
    <w:rsid w:val="398E429F"/>
    <w:rsid w:val="3991089E"/>
    <w:rsid w:val="39985DC1"/>
    <w:rsid w:val="399E7355"/>
    <w:rsid w:val="39A23A9F"/>
    <w:rsid w:val="39A24209"/>
    <w:rsid w:val="39A275B5"/>
    <w:rsid w:val="39A43AD5"/>
    <w:rsid w:val="39AC679D"/>
    <w:rsid w:val="39AD7061"/>
    <w:rsid w:val="39B12CEE"/>
    <w:rsid w:val="39B13948"/>
    <w:rsid w:val="39B32F0A"/>
    <w:rsid w:val="39B527DE"/>
    <w:rsid w:val="39BA4298"/>
    <w:rsid w:val="39BC1FB5"/>
    <w:rsid w:val="39BD24A1"/>
    <w:rsid w:val="39C42A21"/>
    <w:rsid w:val="39C74E6E"/>
    <w:rsid w:val="39C84BD3"/>
    <w:rsid w:val="39CB0253"/>
    <w:rsid w:val="39CD7B28"/>
    <w:rsid w:val="39D23088"/>
    <w:rsid w:val="39D23C11"/>
    <w:rsid w:val="39D63BC2"/>
    <w:rsid w:val="39DC7D6B"/>
    <w:rsid w:val="39DF785B"/>
    <w:rsid w:val="39E66E3B"/>
    <w:rsid w:val="39E92488"/>
    <w:rsid w:val="39EA69DC"/>
    <w:rsid w:val="39EC3D26"/>
    <w:rsid w:val="39ED1F78"/>
    <w:rsid w:val="39F03816"/>
    <w:rsid w:val="39F24786"/>
    <w:rsid w:val="39FD5F33"/>
    <w:rsid w:val="39FE2B90"/>
    <w:rsid w:val="3A0177D1"/>
    <w:rsid w:val="3A0215EB"/>
    <w:rsid w:val="3A0B4AF4"/>
    <w:rsid w:val="3A0D1341"/>
    <w:rsid w:val="3A137505"/>
    <w:rsid w:val="3A19697C"/>
    <w:rsid w:val="3A221A8C"/>
    <w:rsid w:val="3A241712"/>
    <w:rsid w:val="3A275664"/>
    <w:rsid w:val="3A296A5E"/>
    <w:rsid w:val="3A306308"/>
    <w:rsid w:val="3A3200BA"/>
    <w:rsid w:val="3A396F6B"/>
    <w:rsid w:val="3A3E0A25"/>
    <w:rsid w:val="3A3E27D3"/>
    <w:rsid w:val="3A483652"/>
    <w:rsid w:val="3A4B6C9E"/>
    <w:rsid w:val="3A4B6EC2"/>
    <w:rsid w:val="3A4E4136"/>
    <w:rsid w:val="3A555D6F"/>
    <w:rsid w:val="3A6257DD"/>
    <w:rsid w:val="3A6366DE"/>
    <w:rsid w:val="3A672285"/>
    <w:rsid w:val="3A692ADF"/>
    <w:rsid w:val="3A72247D"/>
    <w:rsid w:val="3A73258B"/>
    <w:rsid w:val="3A740FA3"/>
    <w:rsid w:val="3A744447"/>
    <w:rsid w:val="3A773F37"/>
    <w:rsid w:val="3A79072A"/>
    <w:rsid w:val="3A816B64"/>
    <w:rsid w:val="3A824DB6"/>
    <w:rsid w:val="3A8C0A4A"/>
    <w:rsid w:val="3A94332A"/>
    <w:rsid w:val="3A970F8F"/>
    <w:rsid w:val="3A9A69AC"/>
    <w:rsid w:val="3A9A69CA"/>
    <w:rsid w:val="3AA65E47"/>
    <w:rsid w:val="3AAD1707"/>
    <w:rsid w:val="3AAD6EBC"/>
    <w:rsid w:val="3AB4363E"/>
    <w:rsid w:val="3AB5371D"/>
    <w:rsid w:val="3AB605BC"/>
    <w:rsid w:val="3AB65411"/>
    <w:rsid w:val="3AB7338B"/>
    <w:rsid w:val="3ABB4F90"/>
    <w:rsid w:val="3AC07DBA"/>
    <w:rsid w:val="3AC54CA3"/>
    <w:rsid w:val="3AD06FC2"/>
    <w:rsid w:val="3ADF71D3"/>
    <w:rsid w:val="3AEA64B7"/>
    <w:rsid w:val="3AFC1592"/>
    <w:rsid w:val="3B02771F"/>
    <w:rsid w:val="3B082DE1"/>
    <w:rsid w:val="3B091033"/>
    <w:rsid w:val="3B0A473E"/>
    <w:rsid w:val="3B0A60F7"/>
    <w:rsid w:val="3B0A6B5A"/>
    <w:rsid w:val="3B0B3494"/>
    <w:rsid w:val="3B0B50DD"/>
    <w:rsid w:val="3B0C28D2"/>
    <w:rsid w:val="3B0C4DA2"/>
    <w:rsid w:val="3B0F4170"/>
    <w:rsid w:val="3B174F09"/>
    <w:rsid w:val="3B176016"/>
    <w:rsid w:val="3B1A2538"/>
    <w:rsid w:val="3B25361F"/>
    <w:rsid w:val="3B2641D4"/>
    <w:rsid w:val="3B273BDA"/>
    <w:rsid w:val="3B283FEC"/>
    <w:rsid w:val="3B3132FD"/>
    <w:rsid w:val="3B326FBF"/>
    <w:rsid w:val="3B3754FB"/>
    <w:rsid w:val="3B4200A1"/>
    <w:rsid w:val="3B421FAF"/>
    <w:rsid w:val="3B424B80"/>
    <w:rsid w:val="3B4267A7"/>
    <w:rsid w:val="3B433BF5"/>
    <w:rsid w:val="3B48382E"/>
    <w:rsid w:val="3B4B164C"/>
    <w:rsid w:val="3B581780"/>
    <w:rsid w:val="3B5851E9"/>
    <w:rsid w:val="3B5A1C91"/>
    <w:rsid w:val="3B5C5727"/>
    <w:rsid w:val="3B5C7645"/>
    <w:rsid w:val="3B5E3238"/>
    <w:rsid w:val="3B5F38BE"/>
    <w:rsid w:val="3B6049CB"/>
    <w:rsid w:val="3B60677A"/>
    <w:rsid w:val="3B621C43"/>
    <w:rsid w:val="3B640FA3"/>
    <w:rsid w:val="3B691AD2"/>
    <w:rsid w:val="3B6D76D3"/>
    <w:rsid w:val="3B7010B2"/>
    <w:rsid w:val="3B707C26"/>
    <w:rsid w:val="3B732D74"/>
    <w:rsid w:val="3B794422"/>
    <w:rsid w:val="3B7F4E52"/>
    <w:rsid w:val="3B86087B"/>
    <w:rsid w:val="3B8701AA"/>
    <w:rsid w:val="3B892174"/>
    <w:rsid w:val="3B893F22"/>
    <w:rsid w:val="3B8A37F6"/>
    <w:rsid w:val="3B8C756F"/>
    <w:rsid w:val="3B9B3955"/>
    <w:rsid w:val="3B9C2BBA"/>
    <w:rsid w:val="3BAB7DE9"/>
    <w:rsid w:val="3BAC628D"/>
    <w:rsid w:val="3BAE3989"/>
    <w:rsid w:val="3BAE5737"/>
    <w:rsid w:val="3BB23E5F"/>
    <w:rsid w:val="3BB7024A"/>
    <w:rsid w:val="3BBA40DC"/>
    <w:rsid w:val="3BC61B14"/>
    <w:rsid w:val="3BC7691B"/>
    <w:rsid w:val="3BCB62E9"/>
    <w:rsid w:val="3BCF2C95"/>
    <w:rsid w:val="3BDA4E51"/>
    <w:rsid w:val="3BDB2906"/>
    <w:rsid w:val="3BEB1F09"/>
    <w:rsid w:val="3BEC3676"/>
    <w:rsid w:val="3BEE0229"/>
    <w:rsid w:val="3BEF7DD6"/>
    <w:rsid w:val="3BF208B5"/>
    <w:rsid w:val="3BF33A92"/>
    <w:rsid w:val="3BF66E77"/>
    <w:rsid w:val="3BF82EB3"/>
    <w:rsid w:val="3BF910A8"/>
    <w:rsid w:val="3BFC2946"/>
    <w:rsid w:val="3BFC46F4"/>
    <w:rsid w:val="3BFF4D3C"/>
    <w:rsid w:val="3C0165D0"/>
    <w:rsid w:val="3C0440B6"/>
    <w:rsid w:val="3C065573"/>
    <w:rsid w:val="3C0B776A"/>
    <w:rsid w:val="3C0D1A01"/>
    <w:rsid w:val="3C0E4427"/>
    <w:rsid w:val="3C1063F2"/>
    <w:rsid w:val="3C1832DF"/>
    <w:rsid w:val="3C1C6B44"/>
    <w:rsid w:val="3C1D7D04"/>
    <w:rsid w:val="3C234DF7"/>
    <w:rsid w:val="3C24099A"/>
    <w:rsid w:val="3C241E9D"/>
    <w:rsid w:val="3C29095F"/>
    <w:rsid w:val="3C291261"/>
    <w:rsid w:val="3C2F4ACA"/>
    <w:rsid w:val="3C335C3C"/>
    <w:rsid w:val="3C353F33"/>
    <w:rsid w:val="3C3814A4"/>
    <w:rsid w:val="3C384606"/>
    <w:rsid w:val="3C3A7F27"/>
    <w:rsid w:val="3C3C0B16"/>
    <w:rsid w:val="3C3E4D0D"/>
    <w:rsid w:val="3C410359"/>
    <w:rsid w:val="3C504A40"/>
    <w:rsid w:val="3C5067EE"/>
    <w:rsid w:val="3C5209B5"/>
    <w:rsid w:val="3C5C33E5"/>
    <w:rsid w:val="3C5D3C4F"/>
    <w:rsid w:val="3C5F0E2E"/>
    <w:rsid w:val="3C5F3DC8"/>
    <w:rsid w:val="3C706E90"/>
    <w:rsid w:val="3C746DFB"/>
    <w:rsid w:val="3C776471"/>
    <w:rsid w:val="3C8539FB"/>
    <w:rsid w:val="3C8845DF"/>
    <w:rsid w:val="3C8D5CD9"/>
    <w:rsid w:val="3C8E046F"/>
    <w:rsid w:val="3C9B215F"/>
    <w:rsid w:val="3C9E39FD"/>
    <w:rsid w:val="3C9E65CD"/>
    <w:rsid w:val="3CA307EC"/>
    <w:rsid w:val="3CA7031E"/>
    <w:rsid w:val="3CB02D6A"/>
    <w:rsid w:val="3CB44678"/>
    <w:rsid w:val="3CC2593E"/>
    <w:rsid w:val="3CC571DC"/>
    <w:rsid w:val="3CCA65A0"/>
    <w:rsid w:val="3CCF0F6E"/>
    <w:rsid w:val="3CCF7505"/>
    <w:rsid w:val="3CD15B81"/>
    <w:rsid w:val="3CD56B83"/>
    <w:rsid w:val="3CDA3B31"/>
    <w:rsid w:val="3CDB255C"/>
    <w:rsid w:val="3CDC0212"/>
    <w:rsid w:val="3CDC7007"/>
    <w:rsid w:val="3CDD5A81"/>
    <w:rsid w:val="3CDE4CEE"/>
    <w:rsid w:val="3CE31B27"/>
    <w:rsid w:val="3CE55646"/>
    <w:rsid w:val="3CFE26EE"/>
    <w:rsid w:val="3D0777F5"/>
    <w:rsid w:val="3D0F66A9"/>
    <w:rsid w:val="3D0F7FE4"/>
    <w:rsid w:val="3D1230BD"/>
    <w:rsid w:val="3D136EFB"/>
    <w:rsid w:val="3D154912"/>
    <w:rsid w:val="3D1A5448"/>
    <w:rsid w:val="3D257C7B"/>
    <w:rsid w:val="3D2A703F"/>
    <w:rsid w:val="3D2D7B8E"/>
    <w:rsid w:val="3D2F0740"/>
    <w:rsid w:val="3D3659E4"/>
    <w:rsid w:val="3D37175C"/>
    <w:rsid w:val="3D393726"/>
    <w:rsid w:val="3D3B2FFA"/>
    <w:rsid w:val="3D3D3C67"/>
    <w:rsid w:val="3D3D4FC4"/>
    <w:rsid w:val="3D404AB5"/>
    <w:rsid w:val="3D464B66"/>
    <w:rsid w:val="3D474095"/>
    <w:rsid w:val="3D5440BC"/>
    <w:rsid w:val="3D5A0B77"/>
    <w:rsid w:val="3D5B544A"/>
    <w:rsid w:val="3D5F13DF"/>
    <w:rsid w:val="3D6213C4"/>
    <w:rsid w:val="3D6267D9"/>
    <w:rsid w:val="3D626E4A"/>
    <w:rsid w:val="3D6407A3"/>
    <w:rsid w:val="3D65451B"/>
    <w:rsid w:val="3D674741"/>
    <w:rsid w:val="3D6A1B31"/>
    <w:rsid w:val="3D6C16A8"/>
    <w:rsid w:val="3D73562D"/>
    <w:rsid w:val="3D7442A2"/>
    <w:rsid w:val="3D780746"/>
    <w:rsid w:val="3D7A6218"/>
    <w:rsid w:val="3D7A7FC6"/>
    <w:rsid w:val="3D8438F5"/>
    <w:rsid w:val="3D8441F8"/>
    <w:rsid w:val="3D852FC6"/>
    <w:rsid w:val="3D864BBD"/>
    <w:rsid w:val="3D891FB8"/>
    <w:rsid w:val="3D89640B"/>
    <w:rsid w:val="3D8C006D"/>
    <w:rsid w:val="3D8E3A72"/>
    <w:rsid w:val="3D93195B"/>
    <w:rsid w:val="3D954E00"/>
    <w:rsid w:val="3D98044D"/>
    <w:rsid w:val="3D9A2417"/>
    <w:rsid w:val="3D9B618F"/>
    <w:rsid w:val="3D9E6DF7"/>
    <w:rsid w:val="3DA037A5"/>
    <w:rsid w:val="3DA43295"/>
    <w:rsid w:val="3DA556F2"/>
    <w:rsid w:val="3DAE7C70"/>
    <w:rsid w:val="3DB159B2"/>
    <w:rsid w:val="3DB272D8"/>
    <w:rsid w:val="3DB35286"/>
    <w:rsid w:val="3DB50FFF"/>
    <w:rsid w:val="3DBC182E"/>
    <w:rsid w:val="3DBD4357"/>
    <w:rsid w:val="3DBF1E7D"/>
    <w:rsid w:val="3DC96858"/>
    <w:rsid w:val="3DCA4AF6"/>
    <w:rsid w:val="3DCE24ED"/>
    <w:rsid w:val="3DD376D7"/>
    <w:rsid w:val="3DD76309"/>
    <w:rsid w:val="3DD84045"/>
    <w:rsid w:val="3DDB0FBF"/>
    <w:rsid w:val="3DDF2B68"/>
    <w:rsid w:val="3DE36705"/>
    <w:rsid w:val="3DE50366"/>
    <w:rsid w:val="3DEB1C8C"/>
    <w:rsid w:val="3DEB2C72"/>
    <w:rsid w:val="3DF14CF3"/>
    <w:rsid w:val="3DF15DAF"/>
    <w:rsid w:val="3DF35ACC"/>
    <w:rsid w:val="3DFA4C63"/>
    <w:rsid w:val="3DFF127E"/>
    <w:rsid w:val="3DFF7D7B"/>
    <w:rsid w:val="3E014244"/>
    <w:rsid w:val="3E025620"/>
    <w:rsid w:val="3E05072E"/>
    <w:rsid w:val="3E06258C"/>
    <w:rsid w:val="3E081F72"/>
    <w:rsid w:val="3E0B0C1F"/>
    <w:rsid w:val="3E0B2D85"/>
    <w:rsid w:val="3E16206F"/>
    <w:rsid w:val="3E17589D"/>
    <w:rsid w:val="3E180567"/>
    <w:rsid w:val="3E1A32A7"/>
    <w:rsid w:val="3E1C78B9"/>
    <w:rsid w:val="3E247F32"/>
    <w:rsid w:val="3E265A58"/>
    <w:rsid w:val="3E277A87"/>
    <w:rsid w:val="3E287A22"/>
    <w:rsid w:val="3E2A56A3"/>
    <w:rsid w:val="3E2B7513"/>
    <w:rsid w:val="3E2B7626"/>
    <w:rsid w:val="3E2D328B"/>
    <w:rsid w:val="3E300685"/>
    <w:rsid w:val="3E3125FF"/>
    <w:rsid w:val="3E3208A1"/>
    <w:rsid w:val="3E33045B"/>
    <w:rsid w:val="3E3A7756"/>
    <w:rsid w:val="3E406979"/>
    <w:rsid w:val="3E442382"/>
    <w:rsid w:val="3E4747AC"/>
    <w:rsid w:val="3E4839FF"/>
    <w:rsid w:val="3E4B3711"/>
    <w:rsid w:val="3E4D29DB"/>
    <w:rsid w:val="3E506F79"/>
    <w:rsid w:val="3E5325C6"/>
    <w:rsid w:val="3E5838DD"/>
    <w:rsid w:val="3E5C4AA2"/>
    <w:rsid w:val="3E602718"/>
    <w:rsid w:val="3E614CE2"/>
    <w:rsid w:val="3E637F08"/>
    <w:rsid w:val="3E6671CB"/>
    <w:rsid w:val="3E6F03DE"/>
    <w:rsid w:val="3E7012AD"/>
    <w:rsid w:val="3E726EC9"/>
    <w:rsid w:val="3E75078E"/>
    <w:rsid w:val="3E8310FD"/>
    <w:rsid w:val="3E831D52"/>
    <w:rsid w:val="3E8B7FB1"/>
    <w:rsid w:val="3E8E326B"/>
    <w:rsid w:val="3E8F1850"/>
    <w:rsid w:val="3E9407C1"/>
    <w:rsid w:val="3E951889"/>
    <w:rsid w:val="3E9629CF"/>
    <w:rsid w:val="3EA00548"/>
    <w:rsid w:val="3EA0134A"/>
    <w:rsid w:val="3EA225C6"/>
    <w:rsid w:val="3EA572C5"/>
    <w:rsid w:val="3EA73F7F"/>
    <w:rsid w:val="3EA80B63"/>
    <w:rsid w:val="3EAB0847"/>
    <w:rsid w:val="3EAE0324"/>
    <w:rsid w:val="3EB05C6A"/>
    <w:rsid w:val="3EB158B4"/>
    <w:rsid w:val="3EB2553E"/>
    <w:rsid w:val="3EB72B54"/>
    <w:rsid w:val="3EC3206C"/>
    <w:rsid w:val="3ECC7844"/>
    <w:rsid w:val="3ECD00BE"/>
    <w:rsid w:val="3ECF4F2E"/>
    <w:rsid w:val="3ED20F4F"/>
    <w:rsid w:val="3ED96C16"/>
    <w:rsid w:val="3EDB5A73"/>
    <w:rsid w:val="3EDF07E5"/>
    <w:rsid w:val="3EE53B65"/>
    <w:rsid w:val="3EE91D44"/>
    <w:rsid w:val="3EEA117C"/>
    <w:rsid w:val="3EED1E62"/>
    <w:rsid w:val="3EEE2F1C"/>
    <w:rsid w:val="3EF23B8C"/>
    <w:rsid w:val="3EF8449E"/>
    <w:rsid w:val="3EF94F1B"/>
    <w:rsid w:val="3EFC12C5"/>
    <w:rsid w:val="3EFC7DAE"/>
    <w:rsid w:val="3EFE0783"/>
    <w:rsid w:val="3F0044FB"/>
    <w:rsid w:val="3F010273"/>
    <w:rsid w:val="3F023F7F"/>
    <w:rsid w:val="3F0563F3"/>
    <w:rsid w:val="3F096D0B"/>
    <w:rsid w:val="3F0B7179"/>
    <w:rsid w:val="3F143319"/>
    <w:rsid w:val="3F151574"/>
    <w:rsid w:val="3F163D1F"/>
    <w:rsid w:val="3F1735F3"/>
    <w:rsid w:val="3F1B7587"/>
    <w:rsid w:val="3F1E4289"/>
    <w:rsid w:val="3F2226C4"/>
    <w:rsid w:val="3F251D7D"/>
    <w:rsid w:val="3F2E1312"/>
    <w:rsid w:val="3F2F062B"/>
    <w:rsid w:val="3F3225D2"/>
    <w:rsid w:val="3F370D27"/>
    <w:rsid w:val="3F3E3276"/>
    <w:rsid w:val="3F42218F"/>
    <w:rsid w:val="3F47212A"/>
    <w:rsid w:val="3F47541D"/>
    <w:rsid w:val="3F48386B"/>
    <w:rsid w:val="3F4A628E"/>
    <w:rsid w:val="3F4F3E0A"/>
    <w:rsid w:val="3F514B2D"/>
    <w:rsid w:val="3F557260"/>
    <w:rsid w:val="3F5D1B7A"/>
    <w:rsid w:val="3F60523E"/>
    <w:rsid w:val="3F667372"/>
    <w:rsid w:val="3F6727CC"/>
    <w:rsid w:val="3F6759F5"/>
    <w:rsid w:val="3F6863A9"/>
    <w:rsid w:val="3F6D115F"/>
    <w:rsid w:val="3F724CCD"/>
    <w:rsid w:val="3F7377B0"/>
    <w:rsid w:val="3F770324"/>
    <w:rsid w:val="3F7C5873"/>
    <w:rsid w:val="3F8256C0"/>
    <w:rsid w:val="3F8A0269"/>
    <w:rsid w:val="3F8B74A4"/>
    <w:rsid w:val="3F8C2233"/>
    <w:rsid w:val="3F8C7F5B"/>
    <w:rsid w:val="3F93128E"/>
    <w:rsid w:val="3F9335C1"/>
    <w:rsid w:val="3F984120"/>
    <w:rsid w:val="3FA255B3"/>
    <w:rsid w:val="3FA540B0"/>
    <w:rsid w:val="3FA541A9"/>
    <w:rsid w:val="3FB05F21"/>
    <w:rsid w:val="3FB1652E"/>
    <w:rsid w:val="3FB53538"/>
    <w:rsid w:val="3FB62DCF"/>
    <w:rsid w:val="3FB672B0"/>
    <w:rsid w:val="3FB776F5"/>
    <w:rsid w:val="3FB85F81"/>
    <w:rsid w:val="3FC0063C"/>
    <w:rsid w:val="3FD3401C"/>
    <w:rsid w:val="3FDF2363"/>
    <w:rsid w:val="3FEB4A26"/>
    <w:rsid w:val="3FED0E7C"/>
    <w:rsid w:val="3FEE76F8"/>
    <w:rsid w:val="3FF658FE"/>
    <w:rsid w:val="3FF878C8"/>
    <w:rsid w:val="3FFD1E5D"/>
    <w:rsid w:val="3FFF2A05"/>
    <w:rsid w:val="400310D8"/>
    <w:rsid w:val="40041DC9"/>
    <w:rsid w:val="40086AA5"/>
    <w:rsid w:val="400B22C6"/>
    <w:rsid w:val="400B2990"/>
    <w:rsid w:val="400E0E9A"/>
    <w:rsid w:val="400E2C48"/>
    <w:rsid w:val="4014562F"/>
    <w:rsid w:val="401D075F"/>
    <w:rsid w:val="401D24AF"/>
    <w:rsid w:val="401E0BE7"/>
    <w:rsid w:val="40251D40"/>
    <w:rsid w:val="40267F92"/>
    <w:rsid w:val="402C78D5"/>
    <w:rsid w:val="402E0B26"/>
    <w:rsid w:val="40303834"/>
    <w:rsid w:val="40307BC9"/>
    <w:rsid w:val="403501D5"/>
    <w:rsid w:val="40356427"/>
    <w:rsid w:val="4037219F"/>
    <w:rsid w:val="403A0A27"/>
    <w:rsid w:val="403D28E3"/>
    <w:rsid w:val="403F5E49"/>
    <w:rsid w:val="40430493"/>
    <w:rsid w:val="4048768D"/>
    <w:rsid w:val="404B17A6"/>
    <w:rsid w:val="404B5C4A"/>
    <w:rsid w:val="404D19C2"/>
    <w:rsid w:val="4054636F"/>
    <w:rsid w:val="40557EB1"/>
    <w:rsid w:val="40564EE7"/>
    <w:rsid w:val="40573FCD"/>
    <w:rsid w:val="405A0CFC"/>
    <w:rsid w:val="405E5CCB"/>
    <w:rsid w:val="40635A95"/>
    <w:rsid w:val="4068042A"/>
    <w:rsid w:val="406E3D2B"/>
    <w:rsid w:val="40714172"/>
    <w:rsid w:val="40721429"/>
    <w:rsid w:val="4074099E"/>
    <w:rsid w:val="407F661D"/>
    <w:rsid w:val="408245ED"/>
    <w:rsid w:val="40835A4C"/>
    <w:rsid w:val="40864295"/>
    <w:rsid w:val="409018AF"/>
    <w:rsid w:val="40926379"/>
    <w:rsid w:val="40944470"/>
    <w:rsid w:val="409F45CB"/>
    <w:rsid w:val="40AC7A1C"/>
    <w:rsid w:val="40AD06B3"/>
    <w:rsid w:val="40AE7F87"/>
    <w:rsid w:val="40B557B9"/>
    <w:rsid w:val="40B86E7B"/>
    <w:rsid w:val="40B90E06"/>
    <w:rsid w:val="40B94B83"/>
    <w:rsid w:val="40BA692C"/>
    <w:rsid w:val="40BE466E"/>
    <w:rsid w:val="40C319E2"/>
    <w:rsid w:val="40C31C84"/>
    <w:rsid w:val="40C56C1A"/>
    <w:rsid w:val="40CD00BD"/>
    <w:rsid w:val="40CD4ED1"/>
    <w:rsid w:val="40D12495"/>
    <w:rsid w:val="40DC0019"/>
    <w:rsid w:val="40DF6981"/>
    <w:rsid w:val="40E207B7"/>
    <w:rsid w:val="40E26B54"/>
    <w:rsid w:val="40E31DD5"/>
    <w:rsid w:val="40E65224"/>
    <w:rsid w:val="40E65973"/>
    <w:rsid w:val="40E85247"/>
    <w:rsid w:val="40EC27D7"/>
    <w:rsid w:val="40EF2A79"/>
    <w:rsid w:val="41052DBF"/>
    <w:rsid w:val="41087697"/>
    <w:rsid w:val="410C127B"/>
    <w:rsid w:val="410C5573"/>
    <w:rsid w:val="410D4CAE"/>
    <w:rsid w:val="410D73A4"/>
    <w:rsid w:val="41173D7E"/>
    <w:rsid w:val="411779DE"/>
    <w:rsid w:val="41196606"/>
    <w:rsid w:val="411E6EBB"/>
    <w:rsid w:val="41242B9C"/>
    <w:rsid w:val="412A1D04"/>
    <w:rsid w:val="412F7809"/>
    <w:rsid w:val="41343DE4"/>
    <w:rsid w:val="413466DE"/>
    <w:rsid w:val="413D6362"/>
    <w:rsid w:val="413E755D"/>
    <w:rsid w:val="413F6835"/>
    <w:rsid w:val="41474664"/>
    <w:rsid w:val="414F7B68"/>
    <w:rsid w:val="41523008"/>
    <w:rsid w:val="415437EE"/>
    <w:rsid w:val="41546B10"/>
    <w:rsid w:val="41554571"/>
    <w:rsid w:val="41562AF9"/>
    <w:rsid w:val="415A0A7F"/>
    <w:rsid w:val="415B77B2"/>
    <w:rsid w:val="41616C71"/>
    <w:rsid w:val="41676221"/>
    <w:rsid w:val="416A1A6E"/>
    <w:rsid w:val="416C40CA"/>
    <w:rsid w:val="41720FB5"/>
    <w:rsid w:val="41792266"/>
    <w:rsid w:val="417B1ADC"/>
    <w:rsid w:val="417D0085"/>
    <w:rsid w:val="418238EE"/>
    <w:rsid w:val="41831414"/>
    <w:rsid w:val="418365EE"/>
    <w:rsid w:val="418401AA"/>
    <w:rsid w:val="41840582"/>
    <w:rsid w:val="418D20C9"/>
    <w:rsid w:val="418F600A"/>
    <w:rsid w:val="419867DB"/>
    <w:rsid w:val="41986C6D"/>
    <w:rsid w:val="419D4283"/>
    <w:rsid w:val="41A2189A"/>
    <w:rsid w:val="41A51BAC"/>
    <w:rsid w:val="41B12053"/>
    <w:rsid w:val="41B17F29"/>
    <w:rsid w:val="41B3338B"/>
    <w:rsid w:val="41B501A4"/>
    <w:rsid w:val="41B8730F"/>
    <w:rsid w:val="41BF3BD9"/>
    <w:rsid w:val="41BF4A91"/>
    <w:rsid w:val="41C23074"/>
    <w:rsid w:val="41C962DA"/>
    <w:rsid w:val="41CB3D94"/>
    <w:rsid w:val="41CC6917"/>
    <w:rsid w:val="41D614EA"/>
    <w:rsid w:val="41DB49EB"/>
    <w:rsid w:val="41DC36BB"/>
    <w:rsid w:val="41EB0C48"/>
    <w:rsid w:val="41EC0D67"/>
    <w:rsid w:val="41F06AA9"/>
    <w:rsid w:val="41F51BC5"/>
    <w:rsid w:val="41FA3484"/>
    <w:rsid w:val="41FB0356"/>
    <w:rsid w:val="42022339"/>
    <w:rsid w:val="42044303"/>
    <w:rsid w:val="42097B6B"/>
    <w:rsid w:val="420C1409"/>
    <w:rsid w:val="42132FE7"/>
    <w:rsid w:val="42167C19"/>
    <w:rsid w:val="421729DE"/>
    <w:rsid w:val="42181B5C"/>
    <w:rsid w:val="421A58D4"/>
    <w:rsid w:val="421A7082"/>
    <w:rsid w:val="421B648D"/>
    <w:rsid w:val="421F03CE"/>
    <w:rsid w:val="42205CF3"/>
    <w:rsid w:val="4220623E"/>
    <w:rsid w:val="4226071D"/>
    <w:rsid w:val="422A188F"/>
    <w:rsid w:val="422E0127"/>
    <w:rsid w:val="422E5823"/>
    <w:rsid w:val="42305C32"/>
    <w:rsid w:val="42322D85"/>
    <w:rsid w:val="42330CE7"/>
    <w:rsid w:val="42337024"/>
    <w:rsid w:val="423522EA"/>
    <w:rsid w:val="4235270E"/>
    <w:rsid w:val="423821FE"/>
    <w:rsid w:val="423F17DF"/>
    <w:rsid w:val="42434A2C"/>
    <w:rsid w:val="424C4C09"/>
    <w:rsid w:val="4254392F"/>
    <w:rsid w:val="425A6618"/>
    <w:rsid w:val="425B768F"/>
    <w:rsid w:val="42664FBD"/>
    <w:rsid w:val="426B720D"/>
    <w:rsid w:val="42701998"/>
    <w:rsid w:val="42703746"/>
    <w:rsid w:val="42717275"/>
    <w:rsid w:val="427A6373"/>
    <w:rsid w:val="427F7E2D"/>
    <w:rsid w:val="4286740D"/>
    <w:rsid w:val="42892644"/>
    <w:rsid w:val="428A7B32"/>
    <w:rsid w:val="42903DE8"/>
    <w:rsid w:val="42941738"/>
    <w:rsid w:val="429531AD"/>
    <w:rsid w:val="429A7093"/>
    <w:rsid w:val="42A33B1C"/>
    <w:rsid w:val="42A76B06"/>
    <w:rsid w:val="42A93909"/>
    <w:rsid w:val="42A94EAA"/>
    <w:rsid w:val="42AB5DA0"/>
    <w:rsid w:val="42AD52B2"/>
    <w:rsid w:val="42B0448A"/>
    <w:rsid w:val="42B06ED3"/>
    <w:rsid w:val="42B20943"/>
    <w:rsid w:val="42B32AAD"/>
    <w:rsid w:val="42B71734"/>
    <w:rsid w:val="42B86941"/>
    <w:rsid w:val="42BC698B"/>
    <w:rsid w:val="42BF195C"/>
    <w:rsid w:val="42C15928"/>
    <w:rsid w:val="42CB3072"/>
    <w:rsid w:val="42CB369E"/>
    <w:rsid w:val="42CC3DFF"/>
    <w:rsid w:val="42CD4149"/>
    <w:rsid w:val="42D02437"/>
    <w:rsid w:val="42D40179"/>
    <w:rsid w:val="42D737C5"/>
    <w:rsid w:val="42D75573"/>
    <w:rsid w:val="42D85084"/>
    <w:rsid w:val="42DC7863"/>
    <w:rsid w:val="42E1533E"/>
    <w:rsid w:val="42E42D48"/>
    <w:rsid w:val="42E83C24"/>
    <w:rsid w:val="42EB74CC"/>
    <w:rsid w:val="42EC1E88"/>
    <w:rsid w:val="43065E58"/>
    <w:rsid w:val="430976F7"/>
    <w:rsid w:val="430A7047"/>
    <w:rsid w:val="43170066"/>
    <w:rsid w:val="431920F3"/>
    <w:rsid w:val="431A3863"/>
    <w:rsid w:val="431C62E0"/>
    <w:rsid w:val="43222FA3"/>
    <w:rsid w:val="43223EC8"/>
    <w:rsid w:val="43282273"/>
    <w:rsid w:val="4329362C"/>
    <w:rsid w:val="433160C7"/>
    <w:rsid w:val="43317379"/>
    <w:rsid w:val="43326C4D"/>
    <w:rsid w:val="43410F50"/>
    <w:rsid w:val="4341198E"/>
    <w:rsid w:val="43452E25"/>
    <w:rsid w:val="434846C3"/>
    <w:rsid w:val="43496F4C"/>
    <w:rsid w:val="434E1DB1"/>
    <w:rsid w:val="43536554"/>
    <w:rsid w:val="43537B5E"/>
    <w:rsid w:val="43556CA5"/>
    <w:rsid w:val="4356618F"/>
    <w:rsid w:val="435A7F52"/>
    <w:rsid w:val="435E7881"/>
    <w:rsid w:val="436C76AE"/>
    <w:rsid w:val="43710B5F"/>
    <w:rsid w:val="437131E8"/>
    <w:rsid w:val="437F411E"/>
    <w:rsid w:val="438020AF"/>
    <w:rsid w:val="43853221"/>
    <w:rsid w:val="43864C8C"/>
    <w:rsid w:val="438A541B"/>
    <w:rsid w:val="438B2F86"/>
    <w:rsid w:val="438F7452"/>
    <w:rsid w:val="43903286"/>
    <w:rsid w:val="4395391D"/>
    <w:rsid w:val="439546DB"/>
    <w:rsid w:val="43972F54"/>
    <w:rsid w:val="43977163"/>
    <w:rsid w:val="43993170"/>
    <w:rsid w:val="439E659B"/>
    <w:rsid w:val="439F6551"/>
    <w:rsid w:val="43A04BAD"/>
    <w:rsid w:val="43A32A80"/>
    <w:rsid w:val="43AA2D86"/>
    <w:rsid w:val="43AD1BA2"/>
    <w:rsid w:val="43AD2778"/>
    <w:rsid w:val="43AE09CA"/>
    <w:rsid w:val="43B03AF0"/>
    <w:rsid w:val="43B835F7"/>
    <w:rsid w:val="43BA62BC"/>
    <w:rsid w:val="43BC3F89"/>
    <w:rsid w:val="43C43746"/>
    <w:rsid w:val="43C95804"/>
    <w:rsid w:val="43CF7D82"/>
    <w:rsid w:val="43D16C6D"/>
    <w:rsid w:val="43E77A38"/>
    <w:rsid w:val="43E85F2B"/>
    <w:rsid w:val="43F16B09"/>
    <w:rsid w:val="43F30C80"/>
    <w:rsid w:val="43F45810"/>
    <w:rsid w:val="43F477B8"/>
    <w:rsid w:val="43F6411F"/>
    <w:rsid w:val="43F6778C"/>
    <w:rsid w:val="43F955DA"/>
    <w:rsid w:val="43FD36FF"/>
    <w:rsid w:val="440452E5"/>
    <w:rsid w:val="440933B5"/>
    <w:rsid w:val="441403C0"/>
    <w:rsid w:val="441454E1"/>
    <w:rsid w:val="44163951"/>
    <w:rsid w:val="441D5B50"/>
    <w:rsid w:val="442838FD"/>
    <w:rsid w:val="4439400C"/>
    <w:rsid w:val="443B4F80"/>
    <w:rsid w:val="443F79A1"/>
    <w:rsid w:val="44410337"/>
    <w:rsid w:val="44427364"/>
    <w:rsid w:val="444A3D79"/>
    <w:rsid w:val="444C0775"/>
    <w:rsid w:val="444D22DC"/>
    <w:rsid w:val="445D7CFA"/>
    <w:rsid w:val="446B0669"/>
    <w:rsid w:val="44727C49"/>
    <w:rsid w:val="44776BD6"/>
    <w:rsid w:val="447A5F85"/>
    <w:rsid w:val="447D63C6"/>
    <w:rsid w:val="44801914"/>
    <w:rsid w:val="44855C27"/>
    <w:rsid w:val="448D4A83"/>
    <w:rsid w:val="448E6105"/>
    <w:rsid w:val="4491249F"/>
    <w:rsid w:val="44917E58"/>
    <w:rsid w:val="449A7A08"/>
    <w:rsid w:val="449D27EC"/>
    <w:rsid w:val="44A26055"/>
    <w:rsid w:val="44AD6ED3"/>
    <w:rsid w:val="44B00772"/>
    <w:rsid w:val="44B71B00"/>
    <w:rsid w:val="44B94074"/>
    <w:rsid w:val="44BC339A"/>
    <w:rsid w:val="44CC3666"/>
    <w:rsid w:val="44DB7919"/>
    <w:rsid w:val="44DF2E05"/>
    <w:rsid w:val="44E3193A"/>
    <w:rsid w:val="44E67A68"/>
    <w:rsid w:val="44EB114B"/>
    <w:rsid w:val="44EB7ADD"/>
    <w:rsid w:val="44F05012"/>
    <w:rsid w:val="44F10492"/>
    <w:rsid w:val="44F16E7A"/>
    <w:rsid w:val="44F22952"/>
    <w:rsid w:val="44F36A82"/>
    <w:rsid w:val="44F370A9"/>
    <w:rsid w:val="44F468B0"/>
    <w:rsid w:val="44F6398F"/>
    <w:rsid w:val="44FC7513"/>
    <w:rsid w:val="44FD328B"/>
    <w:rsid w:val="44FE409C"/>
    <w:rsid w:val="4508410A"/>
    <w:rsid w:val="450B1B4F"/>
    <w:rsid w:val="45101210"/>
    <w:rsid w:val="45121B01"/>
    <w:rsid w:val="45144E13"/>
    <w:rsid w:val="45154A79"/>
    <w:rsid w:val="451C50E6"/>
    <w:rsid w:val="451C7BB5"/>
    <w:rsid w:val="451E1B7F"/>
    <w:rsid w:val="451F4814"/>
    <w:rsid w:val="45322415"/>
    <w:rsid w:val="45343151"/>
    <w:rsid w:val="453D27DA"/>
    <w:rsid w:val="453E1853"/>
    <w:rsid w:val="453F6E28"/>
    <w:rsid w:val="454113CA"/>
    <w:rsid w:val="4541586E"/>
    <w:rsid w:val="45433394"/>
    <w:rsid w:val="454669E0"/>
    <w:rsid w:val="455455A1"/>
    <w:rsid w:val="45561319"/>
    <w:rsid w:val="45565EE6"/>
    <w:rsid w:val="45566CB6"/>
    <w:rsid w:val="45570670"/>
    <w:rsid w:val="45596E3C"/>
    <w:rsid w:val="455E3D2A"/>
    <w:rsid w:val="45612761"/>
    <w:rsid w:val="45616C2B"/>
    <w:rsid w:val="45667082"/>
    <w:rsid w:val="456926CF"/>
    <w:rsid w:val="456D298D"/>
    <w:rsid w:val="456D53E7"/>
    <w:rsid w:val="456F4189"/>
    <w:rsid w:val="456F5F37"/>
    <w:rsid w:val="45715A81"/>
    <w:rsid w:val="457572C5"/>
    <w:rsid w:val="45772A5A"/>
    <w:rsid w:val="457F3016"/>
    <w:rsid w:val="45833790"/>
    <w:rsid w:val="458F0387"/>
    <w:rsid w:val="458F3DA1"/>
    <w:rsid w:val="45912351"/>
    <w:rsid w:val="45943BEF"/>
    <w:rsid w:val="4594599D"/>
    <w:rsid w:val="45957044"/>
    <w:rsid w:val="45962409"/>
    <w:rsid w:val="45965BB9"/>
    <w:rsid w:val="45981F3C"/>
    <w:rsid w:val="45991206"/>
    <w:rsid w:val="45997458"/>
    <w:rsid w:val="459B31D0"/>
    <w:rsid w:val="459B5059"/>
    <w:rsid w:val="45A03F59"/>
    <w:rsid w:val="45A52CD8"/>
    <w:rsid w:val="45A831F7"/>
    <w:rsid w:val="45B34405"/>
    <w:rsid w:val="45B47DEE"/>
    <w:rsid w:val="45BA2372"/>
    <w:rsid w:val="45C07A37"/>
    <w:rsid w:val="45C30031"/>
    <w:rsid w:val="45C85647"/>
    <w:rsid w:val="45CC5E83"/>
    <w:rsid w:val="45CD7101"/>
    <w:rsid w:val="45D160A9"/>
    <w:rsid w:val="45D264C6"/>
    <w:rsid w:val="45D43FEC"/>
    <w:rsid w:val="45D77CED"/>
    <w:rsid w:val="45D87924"/>
    <w:rsid w:val="45DE130F"/>
    <w:rsid w:val="45EC6CE6"/>
    <w:rsid w:val="45EE1552"/>
    <w:rsid w:val="45EE30CE"/>
    <w:rsid w:val="45F44D45"/>
    <w:rsid w:val="45FC4A4F"/>
    <w:rsid w:val="45FF375F"/>
    <w:rsid w:val="46001285"/>
    <w:rsid w:val="46003033"/>
    <w:rsid w:val="460C19D8"/>
    <w:rsid w:val="460F3276"/>
    <w:rsid w:val="46113492"/>
    <w:rsid w:val="461314FA"/>
    <w:rsid w:val="461367A6"/>
    <w:rsid w:val="46183566"/>
    <w:rsid w:val="461D1E37"/>
    <w:rsid w:val="461D64FB"/>
    <w:rsid w:val="462170F3"/>
    <w:rsid w:val="46236D21"/>
    <w:rsid w:val="46252EF6"/>
    <w:rsid w:val="46253BFB"/>
    <w:rsid w:val="46274A64"/>
    <w:rsid w:val="4634583B"/>
    <w:rsid w:val="463648E9"/>
    <w:rsid w:val="46364E41"/>
    <w:rsid w:val="46392332"/>
    <w:rsid w:val="463D7DE3"/>
    <w:rsid w:val="464253F9"/>
    <w:rsid w:val="464917E0"/>
    <w:rsid w:val="46491939"/>
    <w:rsid w:val="46535859"/>
    <w:rsid w:val="465E764C"/>
    <w:rsid w:val="465F583B"/>
    <w:rsid w:val="46607F75"/>
    <w:rsid w:val="46623CEE"/>
    <w:rsid w:val="466247F2"/>
    <w:rsid w:val="46696E2A"/>
    <w:rsid w:val="46715E58"/>
    <w:rsid w:val="46731A57"/>
    <w:rsid w:val="467632F5"/>
    <w:rsid w:val="46790ADF"/>
    <w:rsid w:val="467B090B"/>
    <w:rsid w:val="467B6B5D"/>
    <w:rsid w:val="46873754"/>
    <w:rsid w:val="468A6DA0"/>
    <w:rsid w:val="46905A86"/>
    <w:rsid w:val="469203F9"/>
    <w:rsid w:val="469460F7"/>
    <w:rsid w:val="469D0882"/>
    <w:rsid w:val="469D2F78"/>
    <w:rsid w:val="469D5D58"/>
    <w:rsid w:val="46A04AA9"/>
    <w:rsid w:val="46A05541"/>
    <w:rsid w:val="46A51334"/>
    <w:rsid w:val="46A9225B"/>
    <w:rsid w:val="46AC4F69"/>
    <w:rsid w:val="46B226AF"/>
    <w:rsid w:val="46BB683B"/>
    <w:rsid w:val="46BC781A"/>
    <w:rsid w:val="46C77B24"/>
    <w:rsid w:val="46C92EF6"/>
    <w:rsid w:val="46CA5F1E"/>
    <w:rsid w:val="46CC5899"/>
    <w:rsid w:val="46CE23DF"/>
    <w:rsid w:val="46D41B5B"/>
    <w:rsid w:val="46D67F50"/>
    <w:rsid w:val="46DF6973"/>
    <w:rsid w:val="46E62384"/>
    <w:rsid w:val="46E7395C"/>
    <w:rsid w:val="46E97F6B"/>
    <w:rsid w:val="46F16FC5"/>
    <w:rsid w:val="46F57C53"/>
    <w:rsid w:val="46F801AE"/>
    <w:rsid w:val="46F93FAB"/>
    <w:rsid w:val="47037071"/>
    <w:rsid w:val="4707219F"/>
    <w:rsid w:val="470E1780"/>
    <w:rsid w:val="47166879"/>
    <w:rsid w:val="471741F3"/>
    <w:rsid w:val="4717516D"/>
    <w:rsid w:val="47186BFB"/>
    <w:rsid w:val="471A0124"/>
    <w:rsid w:val="471B55F1"/>
    <w:rsid w:val="47207C7B"/>
    <w:rsid w:val="47280D7A"/>
    <w:rsid w:val="472E6063"/>
    <w:rsid w:val="472F533E"/>
    <w:rsid w:val="4732546E"/>
    <w:rsid w:val="47356950"/>
    <w:rsid w:val="47372A84"/>
    <w:rsid w:val="473731F8"/>
    <w:rsid w:val="473A2575"/>
    <w:rsid w:val="47433201"/>
    <w:rsid w:val="474469AF"/>
    <w:rsid w:val="474F4272"/>
    <w:rsid w:val="475950F1"/>
    <w:rsid w:val="47595427"/>
    <w:rsid w:val="475A0F43"/>
    <w:rsid w:val="475E6263"/>
    <w:rsid w:val="47601FC8"/>
    <w:rsid w:val="47637D1D"/>
    <w:rsid w:val="47645658"/>
    <w:rsid w:val="47685B93"/>
    <w:rsid w:val="476D294A"/>
    <w:rsid w:val="477041E8"/>
    <w:rsid w:val="477261B2"/>
    <w:rsid w:val="47762884"/>
    <w:rsid w:val="477C63DB"/>
    <w:rsid w:val="47881532"/>
    <w:rsid w:val="478832E0"/>
    <w:rsid w:val="478B1B1F"/>
    <w:rsid w:val="47906312"/>
    <w:rsid w:val="4794011C"/>
    <w:rsid w:val="47A12458"/>
    <w:rsid w:val="47A65E5C"/>
    <w:rsid w:val="47AE7E19"/>
    <w:rsid w:val="47B17848"/>
    <w:rsid w:val="47B40579"/>
    <w:rsid w:val="47C02A7A"/>
    <w:rsid w:val="47C06F1E"/>
    <w:rsid w:val="47C46F79"/>
    <w:rsid w:val="47D10735"/>
    <w:rsid w:val="47D1249A"/>
    <w:rsid w:val="47D14E3C"/>
    <w:rsid w:val="47E0311C"/>
    <w:rsid w:val="47E26A4A"/>
    <w:rsid w:val="47E30228"/>
    <w:rsid w:val="47E349BA"/>
    <w:rsid w:val="47E8201B"/>
    <w:rsid w:val="47EE6F1A"/>
    <w:rsid w:val="47EF335F"/>
    <w:rsid w:val="47F92430"/>
    <w:rsid w:val="47FE17F4"/>
    <w:rsid w:val="481132D5"/>
    <w:rsid w:val="48151DFF"/>
    <w:rsid w:val="48177D5A"/>
    <w:rsid w:val="481C3EF3"/>
    <w:rsid w:val="481D3E1B"/>
    <w:rsid w:val="481E3C44"/>
    <w:rsid w:val="48230E62"/>
    <w:rsid w:val="48240F71"/>
    <w:rsid w:val="48254FD3"/>
    <w:rsid w:val="482A25E9"/>
    <w:rsid w:val="4831773D"/>
    <w:rsid w:val="4832149E"/>
    <w:rsid w:val="48383643"/>
    <w:rsid w:val="48390A7E"/>
    <w:rsid w:val="483B0BC3"/>
    <w:rsid w:val="483B2A48"/>
    <w:rsid w:val="484359E3"/>
    <w:rsid w:val="48446781"/>
    <w:rsid w:val="48457423"/>
    <w:rsid w:val="48463DC2"/>
    <w:rsid w:val="48482514"/>
    <w:rsid w:val="484A1B4B"/>
    <w:rsid w:val="484C255F"/>
    <w:rsid w:val="4851401A"/>
    <w:rsid w:val="4851401B"/>
    <w:rsid w:val="485737AE"/>
    <w:rsid w:val="485C0064"/>
    <w:rsid w:val="485D4629"/>
    <w:rsid w:val="485E2293"/>
    <w:rsid w:val="485F4512"/>
    <w:rsid w:val="48604DA3"/>
    <w:rsid w:val="486050DE"/>
    <w:rsid w:val="486176F0"/>
    <w:rsid w:val="48691363"/>
    <w:rsid w:val="486A40E8"/>
    <w:rsid w:val="486F624E"/>
    <w:rsid w:val="48701EA5"/>
    <w:rsid w:val="487A6E4A"/>
    <w:rsid w:val="487B675A"/>
    <w:rsid w:val="487E46E3"/>
    <w:rsid w:val="487F6A9B"/>
    <w:rsid w:val="488717E9"/>
    <w:rsid w:val="4888027D"/>
    <w:rsid w:val="48926A36"/>
    <w:rsid w:val="48947BBD"/>
    <w:rsid w:val="48956353"/>
    <w:rsid w:val="48984108"/>
    <w:rsid w:val="489850F6"/>
    <w:rsid w:val="489B27C5"/>
    <w:rsid w:val="489B34E7"/>
    <w:rsid w:val="48A07C79"/>
    <w:rsid w:val="48A208F9"/>
    <w:rsid w:val="48A25E13"/>
    <w:rsid w:val="48A71804"/>
    <w:rsid w:val="48A71E8C"/>
    <w:rsid w:val="48AC58B5"/>
    <w:rsid w:val="48AC5A6A"/>
    <w:rsid w:val="48AE1E61"/>
    <w:rsid w:val="48AE6D76"/>
    <w:rsid w:val="48AF018B"/>
    <w:rsid w:val="48B523EF"/>
    <w:rsid w:val="48B56F6C"/>
    <w:rsid w:val="48B87AB8"/>
    <w:rsid w:val="48BB132D"/>
    <w:rsid w:val="48BC31D4"/>
    <w:rsid w:val="48BF3E0A"/>
    <w:rsid w:val="48BF5427"/>
    <w:rsid w:val="48C2176F"/>
    <w:rsid w:val="48C2431F"/>
    <w:rsid w:val="48C243AA"/>
    <w:rsid w:val="48C447EC"/>
    <w:rsid w:val="48CA52B0"/>
    <w:rsid w:val="48CB4577"/>
    <w:rsid w:val="48CD641C"/>
    <w:rsid w:val="48CD674E"/>
    <w:rsid w:val="48D60A4C"/>
    <w:rsid w:val="48DD3AFF"/>
    <w:rsid w:val="48DD7B03"/>
    <w:rsid w:val="48E22EC4"/>
    <w:rsid w:val="48E44E8E"/>
    <w:rsid w:val="48E62612"/>
    <w:rsid w:val="48E629B4"/>
    <w:rsid w:val="48E828E7"/>
    <w:rsid w:val="48E878E4"/>
    <w:rsid w:val="48EA5BC1"/>
    <w:rsid w:val="48F212BE"/>
    <w:rsid w:val="48F22724"/>
    <w:rsid w:val="48F42E29"/>
    <w:rsid w:val="48F6071D"/>
    <w:rsid w:val="48FF3FE4"/>
    <w:rsid w:val="490177EE"/>
    <w:rsid w:val="49033EF2"/>
    <w:rsid w:val="490648C8"/>
    <w:rsid w:val="49064E04"/>
    <w:rsid w:val="49080B7C"/>
    <w:rsid w:val="490B396C"/>
    <w:rsid w:val="490F1EEF"/>
    <w:rsid w:val="49180694"/>
    <w:rsid w:val="49180A9B"/>
    <w:rsid w:val="491C2C2F"/>
    <w:rsid w:val="491C3609"/>
    <w:rsid w:val="491D3EFC"/>
    <w:rsid w:val="491F7C74"/>
    <w:rsid w:val="492139EC"/>
    <w:rsid w:val="492359B6"/>
    <w:rsid w:val="492627B3"/>
    <w:rsid w:val="49276855"/>
    <w:rsid w:val="492C5AB4"/>
    <w:rsid w:val="492D05E3"/>
    <w:rsid w:val="492E435B"/>
    <w:rsid w:val="492E7EB7"/>
    <w:rsid w:val="493556E9"/>
    <w:rsid w:val="49382AE4"/>
    <w:rsid w:val="493A4AAE"/>
    <w:rsid w:val="493C0826"/>
    <w:rsid w:val="49423962"/>
    <w:rsid w:val="49425710"/>
    <w:rsid w:val="49482783"/>
    <w:rsid w:val="494E51AB"/>
    <w:rsid w:val="494F3168"/>
    <w:rsid w:val="49526039"/>
    <w:rsid w:val="49535B70"/>
    <w:rsid w:val="49554BE1"/>
    <w:rsid w:val="49580552"/>
    <w:rsid w:val="49594CEC"/>
    <w:rsid w:val="49621546"/>
    <w:rsid w:val="4965367A"/>
    <w:rsid w:val="49655361"/>
    <w:rsid w:val="49695393"/>
    <w:rsid w:val="496A6BED"/>
    <w:rsid w:val="49710949"/>
    <w:rsid w:val="49731BCB"/>
    <w:rsid w:val="49746212"/>
    <w:rsid w:val="497467A8"/>
    <w:rsid w:val="49811526"/>
    <w:rsid w:val="498209CF"/>
    <w:rsid w:val="49843E14"/>
    <w:rsid w:val="498B2E59"/>
    <w:rsid w:val="498E0956"/>
    <w:rsid w:val="499F2B63"/>
    <w:rsid w:val="49A06E76"/>
    <w:rsid w:val="49A40990"/>
    <w:rsid w:val="49AA0075"/>
    <w:rsid w:val="49AA1621"/>
    <w:rsid w:val="49B20AE8"/>
    <w:rsid w:val="49B37092"/>
    <w:rsid w:val="49BE123B"/>
    <w:rsid w:val="49C65640"/>
    <w:rsid w:val="49D00DC5"/>
    <w:rsid w:val="49D97E23"/>
    <w:rsid w:val="49E30CA1"/>
    <w:rsid w:val="49E50EBD"/>
    <w:rsid w:val="49E52C6C"/>
    <w:rsid w:val="49E62540"/>
    <w:rsid w:val="49EC7A1D"/>
    <w:rsid w:val="49ED55AD"/>
    <w:rsid w:val="49EF6445"/>
    <w:rsid w:val="49EF6DCF"/>
    <w:rsid w:val="49F041F7"/>
    <w:rsid w:val="49F27137"/>
    <w:rsid w:val="49F570D9"/>
    <w:rsid w:val="49F66C27"/>
    <w:rsid w:val="4A0062BB"/>
    <w:rsid w:val="4A0F1A96"/>
    <w:rsid w:val="4A113A61"/>
    <w:rsid w:val="4A116FD8"/>
    <w:rsid w:val="4A117D9D"/>
    <w:rsid w:val="4A121587"/>
    <w:rsid w:val="4A162E25"/>
    <w:rsid w:val="4A196E79"/>
    <w:rsid w:val="4A227A1C"/>
    <w:rsid w:val="4A235A4E"/>
    <w:rsid w:val="4A24383D"/>
    <w:rsid w:val="4A29004F"/>
    <w:rsid w:val="4A2F038B"/>
    <w:rsid w:val="4A3140D8"/>
    <w:rsid w:val="4A3459D1"/>
    <w:rsid w:val="4A372155"/>
    <w:rsid w:val="4A3E5F00"/>
    <w:rsid w:val="4A4200BE"/>
    <w:rsid w:val="4A421E6C"/>
    <w:rsid w:val="4A45370A"/>
    <w:rsid w:val="4A482FDB"/>
    <w:rsid w:val="4A4A0D22"/>
    <w:rsid w:val="4A4C7934"/>
    <w:rsid w:val="4A4F27DB"/>
    <w:rsid w:val="4A535A6E"/>
    <w:rsid w:val="4A535A86"/>
    <w:rsid w:val="4A54703F"/>
    <w:rsid w:val="4A5804B6"/>
    <w:rsid w:val="4A5B218A"/>
    <w:rsid w:val="4A5B3A9F"/>
    <w:rsid w:val="4A5B4CDC"/>
    <w:rsid w:val="4A5E2A1E"/>
    <w:rsid w:val="4A606796"/>
    <w:rsid w:val="4A6257E1"/>
    <w:rsid w:val="4A662573"/>
    <w:rsid w:val="4A677F4D"/>
    <w:rsid w:val="4A6C26C7"/>
    <w:rsid w:val="4A6D7FA4"/>
    <w:rsid w:val="4A6E65D2"/>
    <w:rsid w:val="4A800BE6"/>
    <w:rsid w:val="4A8E6E5F"/>
    <w:rsid w:val="4A8F2BD7"/>
    <w:rsid w:val="4A954692"/>
    <w:rsid w:val="4A9B5A20"/>
    <w:rsid w:val="4A9B7B42"/>
    <w:rsid w:val="4AA448D5"/>
    <w:rsid w:val="4AA73BE7"/>
    <w:rsid w:val="4AAD01D1"/>
    <w:rsid w:val="4AB34B18"/>
    <w:rsid w:val="4AB36830"/>
    <w:rsid w:val="4AB44216"/>
    <w:rsid w:val="4AB84FEA"/>
    <w:rsid w:val="4AB9081B"/>
    <w:rsid w:val="4ABA448F"/>
    <w:rsid w:val="4ABC61FC"/>
    <w:rsid w:val="4AC34A65"/>
    <w:rsid w:val="4AC565F9"/>
    <w:rsid w:val="4AC7411F"/>
    <w:rsid w:val="4ACA61C7"/>
    <w:rsid w:val="4ACB00B3"/>
    <w:rsid w:val="4ACB037A"/>
    <w:rsid w:val="4ACE6F96"/>
    <w:rsid w:val="4AD07993"/>
    <w:rsid w:val="4AD32D04"/>
    <w:rsid w:val="4AD55B10"/>
    <w:rsid w:val="4ADF0297"/>
    <w:rsid w:val="4AE274E7"/>
    <w:rsid w:val="4AE304D3"/>
    <w:rsid w:val="4AE4089B"/>
    <w:rsid w:val="4AE50A49"/>
    <w:rsid w:val="4AE747C1"/>
    <w:rsid w:val="4AE952F5"/>
    <w:rsid w:val="4AEF09B8"/>
    <w:rsid w:val="4AF13892"/>
    <w:rsid w:val="4AF313B8"/>
    <w:rsid w:val="4AF532A5"/>
    <w:rsid w:val="4AF74ADD"/>
    <w:rsid w:val="4AFF7D5D"/>
    <w:rsid w:val="4B0F6F4D"/>
    <w:rsid w:val="4B133808"/>
    <w:rsid w:val="4B176EB4"/>
    <w:rsid w:val="4B1923E5"/>
    <w:rsid w:val="4B1B7074"/>
    <w:rsid w:val="4B2257F9"/>
    <w:rsid w:val="4B2772B4"/>
    <w:rsid w:val="4B2B08B4"/>
    <w:rsid w:val="4B316836"/>
    <w:rsid w:val="4B332F45"/>
    <w:rsid w:val="4B3454E4"/>
    <w:rsid w:val="4B364A01"/>
    <w:rsid w:val="4B377676"/>
    <w:rsid w:val="4B3812AF"/>
    <w:rsid w:val="4B3A0D95"/>
    <w:rsid w:val="4B3C29B6"/>
    <w:rsid w:val="4B3F79B7"/>
    <w:rsid w:val="4B423440"/>
    <w:rsid w:val="4B481704"/>
    <w:rsid w:val="4B531E57"/>
    <w:rsid w:val="4B555C31"/>
    <w:rsid w:val="4B5824F7"/>
    <w:rsid w:val="4B5861CE"/>
    <w:rsid w:val="4B5C51AF"/>
    <w:rsid w:val="4B5F54B0"/>
    <w:rsid w:val="4B6202EC"/>
    <w:rsid w:val="4B661B8A"/>
    <w:rsid w:val="4B670046"/>
    <w:rsid w:val="4B682440"/>
    <w:rsid w:val="4B6874B5"/>
    <w:rsid w:val="4B6A1BE3"/>
    <w:rsid w:val="4B6C12E7"/>
    <w:rsid w:val="4B6F4735"/>
    <w:rsid w:val="4B736055"/>
    <w:rsid w:val="4B7B48D7"/>
    <w:rsid w:val="4B7C13AE"/>
    <w:rsid w:val="4B7C451C"/>
    <w:rsid w:val="4B7E7695"/>
    <w:rsid w:val="4B845D7B"/>
    <w:rsid w:val="4B850135"/>
    <w:rsid w:val="4B882F10"/>
    <w:rsid w:val="4B8926B1"/>
    <w:rsid w:val="4B8D20F8"/>
    <w:rsid w:val="4B906C07"/>
    <w:rsid w:val="4B9139A0"/>
    <w:rsid w:val="4B934708"/>
    <w:rsid w:val="4B942AC7"/>
    <w:rsid w:val="4B985ABC"/>
    <w:rsid w:val="4B9A04F4"/>
    <w:rsid w:val="4B9A7A86"/>
    <w:rsid w:val="4B9C45C1"/>
    <w:rsid w:val="4B9D5C0C"/>
    <w:rsid w:val="4BA24842"/>
    <w:rsid w:val="4BA40904"/>
    <w:rsid w:val="4BA72512"/>
    <w:rsid w:val="4BAD1567"/>
    <w:rsid w:val="4BB31D91"/>
    <w:rsid w:val="4BB5041C"/>
    <w:rsid w:val="4BB943B0"/>
    <w:rsid w:val="4BBB7188"/>
    <w:rsid w:val="4BBC5AC7"/>
    <w:rsid w:val="4BC0552B"/>
    <w:rsid w:val="4BC3109F"/>
    <w:rsid w:val="4BC36FDC"/>
    <w:rsid w:val="4BC44E0D"/>
    <w:rsid w:val="4BC66ACD"/>
    <w:rsid w:val="4BC92119"/>
    <w:rsid w:val="4BCE09BE"/>
    <w:rsid w:val="4BCF7B6B"/>
    <w:rsid w:val="4BD034A7"/>
    <w:rsid w:val="4BD048BE"/>
    <w:rsid w:val="4BDA424C"/>
    <w:rsid w:val="4BDA4CFE"/>
    <w:rsid w:val="4BE23A6B"/>
    <w:rsid w:val="4BE74BEC"/>
    <w:rsid w:val="4BE965B6"/>
    <w:rsid w:val="4BEE3EE1"/>
    <w:rsid w:val="4BF03B4A"/>
    <w:rsid w:val="4BF144D1"/>
    <w:rsid w:val="4BF37E67"/>
    <w:rsid w:val="4BF5144B"/>
    <w:rsid w:val="4BF6425C"/>
    <w:rsid w:val="4BFA22D2"/>
    <w:rsid w:val="4BFA65B5"/>
    <w:rsid w:val="4BFC24EE"/>
    <w:rsid w:val="4BFE08C2"/>
    <w:rsid w:val="4BFF0BB9"/>
    <w:rsid w:val="4BFF3B4B"/>
    <w:rsid w:val="4C047AC6"/>
    <w:rsid w:val="4C080E93"/>
    <w:rsid w:val="4C0A2335"/>
    <w:rsid w:val="4C0B2731"/>
    <w:rsid w:val="4C115B43"/>
    <w:rsid w:val="4C156BCA"/>
    <w:rsid w:val="4C1B7457"/>
    <w:rsid w:val="4C207F8B"/>
    <w:rsid w:val="4C215AB1"/>
    <w:rsid w:val="4C2178C7"/>
    <w:rsid w:val="4C29174A"/>
    <w:rsid w:val="4C2B3759"/>
    <w:rsid w:val="4C312198"/>
    <w:rsid w:val="4C37009E"/>
    <w:rsid w:val="4C417657"/>
    <w:rsid w:val="4C43011D"/>
    <w:rsid w:val="4C4719BC"/>
    <w:rsid w:val="4C4D68A6"/>
    <w:rsid w:val="4C567E51"/>
    <w:rsid w:val="4C581C45"/>
    <w:rsid w:val="4C623ADB"/>
    <w:rsid w:val="4C653BF0"/>
    <w:rsid w:val="4C663112"/>
    <w:rsid w:val="4C6836E0"/>
    <w:rsid w:val="4C6961C6"/>
    <w:rsid w:val="4C6C22FC"/>
    <w:rsid w:val="4C6D5A2A"/>
    <w:rsid w:val="4C767B34"/>
    <w:rsid w:val="4C783819"/>
    <w:rsid w:val="4C7A1154"/>
    <w:rsid w:val="4C7B3413"/>
    <w:rsid w:val="4C7C31EA"/>
    <w:rsid w:val="4C7D362F"/>
    <w:rsid w:val="4C7E1155"/>
    <w:rsid w:val="4C7E73A7"/>
    <w:rsid w:val="4C804ECE"/>
    <w:rsid w:val="4C8554DD"/>
    <w:rsid w:val="4C88285A"/>
    <w:rsid w:val="4C8A7685"/>
    <w:rsid w:val="4C942475"/>
    <w:rsid w:val="4C9C159D"/>
    <w:rsid w:val="4CA2142F"/>
    <w:rsid w:val="4CB24246"/>
    <w:rsid w:val="4CB6655C"/>
    <w:rsid w:val="4CB73E4F"/>
    <w:rsid w:val="4CC329A2"/>
    <w:rsid w:val="4CC457CA"/>
    <w:rsid w:val="4CC71B48"/>
    <w:rsid w:val="4CD40D75"/>
    <w:rsid w:val="4CD55219"/>
    <w:rsid w:val="4CD77891"/>
    <w:rsid w:val="4CD80866"/>
    <w:rsid w:val="4CDB0356"/>
    <w:rsid w:val="4CE44D9F"/>
    <w:rsid w:val="4CE92A73"/>
    <w:rsid w:val="4CE960BB"/>
    <w:rsid w:val="4CEA5226"/>
    <w:rsid w:val="4CF17B79"/>
    <w:rsid w:val="4D016156"/>
    <w:rsid w:val="4D023B34"/>
    <w:rsid w:val="4D0258E3"/>
    <w:rsid w:val="4D027691"/>
    <w:rsid w:val="4D0653CA"/>
    <w:rsid w:val="4D0C6761"/>
    <w:rsid w:val="4D0D0E37"/>
    <w:rsid w:val="4D0D695E"/>
    <w:rsid w:val="4D0D7B68"/>
    <w:rsid w:val="4D0E0A9F"/>
    <w:rsid w:val="4D0E20DB"/>
    <w:rsid w:val="4D113D78"/>
    <w:rsid w:val="4D14442F"/>
    <w:rsid w:val="4D16603F"/>
    <w:rsid w:val="4D1D16ED"/>
    <w:rsid w:val="4D1D2135"/>
    <w:rsid w:val="4D2720C7"/>
    <w:rsid w:val="4D3112F1"/>
    <w:rsid w:val="4D331F40"/>
    <w:rsid w:val="4D3B2BA3"/>
    <w:rsid w:val="4D453062"/>
    <w:rsid w:val="4D461C73"/>
    <w:rsid w:val="4D493511"/>
    <w:rsid w:val="4D4B227E"/>
    <w:rsid w:val="4D4B54DB"/>
    <w:rsid w:val="4D4C1206"/>
    <w:rsid w:val="4D4D338A"/>
    <w:rsid w:val="4D4D6F1E"/>
    <w:rsid w:val="4D4E6D7A"/>
    <w:rsid w:val="4D4F3A52"/>
    <w:rsid w:val="4D56487E"/>
    <w:rsid w:val="4D5C1497"/>
    <w:rsid w:val="4D5D0D6B"/>
    <w:rsid w:val="4D5E4583"/>
    <w:rsid w:val="4D6950E0"/>
    <w:rsid w:val="4D697710"/>
    <w:rsid w:val="4D6B3488"/>
    <w:rsid w:val="4D6C165A"/>
    <w:rsid w:val="4D6E34CC"/>
    <w:rsid w:val="4D721F65"/>
    <w:rsid w:val="4D73771A"/>
    <w:rsid w:val="4D75441B"/>
    <w:rsid w:val="4D770FD7"/>
    <w:rsid w:val="4D783DF7"/>
    <w:rsid w:val="4D7A21FD"/>
    <w:rsid w:val="4D7B0486"/>
    <w:rsid w:val="4D7E3053"/>
    <w:rsid w:val="4D82460E"/>
    <w:rsid w:val="4D866514"/>
    <w:rsid w:val="4D8D78A2"/>
    <w:rsid w:val="4D9146B3"/>
    <w:rsid w:val="4D9549A9"/>
    <w:rsid w:val="4D97249F"/>
    <w:rsid w:val="4D986247"/>
    <w:rsid w:val="4DA35BE5"/>
    <w:rsid w:val="4DAC62C6"/>
    <w:rsid w:val="4DAF58E6"/>
    <w:rsid w:val="4DBB187B"/>
    <w:rsid w:val="4DBF37D4"/>
    <w:rsid w:val="4DC62DB4"/>
    <w:rsid w:val="4DC64B62"/>
    <w:rsid w:val="4DCF7EBB"/>
    <w:rsid w:val="4DD51249"/>
    <w:rsid w:val="4DDA060D"/>
    <w:rsid w:val="4DDC25D7"/>
    <w:rsid w:val="4DDE3611"/>
    <w:rsid w:val="4DDE36D5"/>
    <w:rsid w:val="4DDE46EF"/>
    <w:rsid w:val="4DDF1AE9"/>
    <w:rsid w:val="4DE90850"/>
    <w:rsid w:val="4DEA6AA2"/>
    <w:rsid w:val="4DEB52B2"/>
    <w:rsid w:val="4DF27608"/>
    <w:rsid w:val="4DF55447"/>
    <w:rsid w:val="4E067654"/>
    <w:rsid w:val="4E0840B5"/>
    <w:rsid w:val="4E0D27AA"/>
    <w:rsid w:val="4E0E7559"/>
    <w:rsid w:val="4E121D51"/>
    <w:rsid w:val="4E131F3A"/>
    <w:rsid w:val="4E157C22"/>
    <w:rsid w:val="4E192EE4"/>
    <w:rsid w:val="4E1C29D4"/>
    <w:rsid w:val="4E1C7C1C"/>
    <w:rsid w:val="4E213852"/>
    <w:rsid w:val="4E241749"/>
    <w:rsid w:val="4E255D2C"/>
    <w:rsid w:val="4E2F3073"/>
    <w:rsid w:val="4E331A18"/>
    <w:rsid w:val="4E375A60"/>
    <w:rsid w:val="4E3B72FE"/>
    <w:rsid w:val="4E504B0F"/>
    <w:rsid w:val="4E537920"/>
    <w:rsid w:val="4E555954"/>
    <w:rsid w:val="4E572491"/>
    <w:rsid w:val="4E5B581D"/>
    <w:rsid w:val="4E5C4BE5"/>
    <w:rsid w:val="4E5C5106"/>
    <w:rsid w:val="4E6B62CE"/>
    <w:rsid w:val="4E721B60"/>
    <w:rsid w:val="4E726A98"/>
    <w:rsid w:val="4E734F8F"/>
    <w:rsid w:val="4E7445BE"/>
    <w:rsid w:val="4E757533"/>
    <w:rsid w:val="4E772300"/>
    <w:rsid w:val="4E821769"/>
    <w:rsid w:val="4E8B6898"/>
    <w:rsid w:val="4E8D38D2"/>
    <w:rsid w:val="4E931D00"/>
    <w:rsid w:val="4E9327BD"/>
    <w:rsid w:val="4E942C67"/>
    <w:rsid w:val="4E994171"/>
    <w:rsid w:val="4EA63CE8"/>
    <w:rsid w:val="4EA67795"/>
    <w:rsid w:val="4EAF48AA"/>
    <w:rsid w:val="4EB135D8"/>
    <w:rsid w:val="4EB42C0C"/>
    <w:rsid w:val="4EB563BB"/>
    <w:rsid w:val="4EB6433D"/>
    <w:rsid w:val="4EC015B1"/>
    <w:rsid w:val="4EC12182"/>
    <w:rsid w:val="4EC74FDA"/>
    <w:rsid w:val="4ECA33F2"/>
    <w:rsid w:val="4ECE71C0"/>
    <w:rsid w:val="4EDA5E36"/>
    <w:rsid w:val="4EE67B0A"/>
    <w:rsid w:val="4EE96D5A"/>
    <w:rsid w:val="4EEA2AD2"/>
    <w:rsid w:val="4EED094E"/>
    <w:rsid w:val="4EEE723C"/>
    <w:rsid w:val="4EF07136"/>
    <w:rsid w:val="4EF320A0"/>
    <w:rsid w:val="4EF474AD"/>
    <w:rsid w:val="4EFC5641"/>
    <w:rsid w:val="4EFD27BB"/>
    <w:rsid w:val="4F0823D8"/>
    <w:rsid w:val="4F087956"/>
    <w:rsid w:val="4F094A9E"/>
    <w:rsid w:val="4F1212A3"/>
    <w:rsid w:val="4F1560AE"/>
    <w:rsid w:val="4F1D57EB"/>
    <w:rsid w:val="4F2A39EC"/>
    <w:rsid w:val="4F2E6E63"/>
    <w:rsid w:val="4F310701"/>
    <w:rsid w:val="4F311B14"/>
    <w:rsid w:val="4F321354"/>
    <w:rsid w:val="4F327331"/>
    <w:rsid w:val="4F376970"/>
    <w:rsid w:val="4F381A8F"/>
    <w:rsid w:val="4F3A5808"/>
    <w:rsid w:val="4F3D0E54"/>
    <w:rsid w:val="4F5368C9"/>
    <w:rsid w:val="4F5979CB"/>
    <w:rsid w:val="4F5F49C4"/>
    <w:rsid w:val="4F6A776F"/>
    <w:rsid w:val="4F744081"/>
    <w:rsid w:val="4F7640D9"/>
    <w:rsid w:val="4F766114"/>
    <w:rsid w:val="4F786330"/>
    <w:rsid w:val="4F7A7569"/>
    <w:rsid w:val="4F7B372A"/>
    <w:rsid w:val="4F7C39A7"/>
    <w:rsid w:val="4F7F76BE"/>
    <w:rsid w:val="4F831322"/>
    <w:rsid w:val="4F8C1C65"/>
    <w:rsid w:val="4F8E136D"/>
    <w:rsid w:val="4F920444"/>
    <w:rsid w:val="4F950B0E"/>
    <w:rsid w:val="4F9736D8"/>
    <w:rsid w:val="4F9A34F0"/>
    <w:rsid w:val="4F9E4811"/>
    <w:rsid w:val="4FA51312"/>
    <w:rsid w:val="4FA7451F"/>
    <w:rsid w:val="4FA7680B"/>
    <w:rsid w:val="4FAF111C"/>
    <w:rsid w:val="4FB03596"/>
    <w:rsid w:val="4FB47FD6"/>
    <w:rsid w:val="4FB82BD0"/>
    <w:rsid w:val="4FBA5581"/>
    <w:rsid w:val="4FBA60A3"/>
    <w:rsid w:val="4FC151B1"/>
    <w:rsid w:val="4FC3320E"/>
    <w:rsid w:val="4FC3725F"/>
    <w:rsid w:val="4FC450D1"/>
    <w:rsid w:val="4FC864A4"/>
    <w:rsid w:val="4FC9420B"/>
    <w:rsid w:val="4FCB0034"/>
    <w:rsid w:val="4FCB17BF"/>
    <w:rsid w:val="4FD362DF"/>
    <w:rsid w:val="4FDC241B"/>
    <w:rsid w:val="4FDE13FD"/>
    <w:rsid w:val="4FE5239D"/>
    <w:rsid w:val="4FE570BC"/>
    <w:rsid w:val="4FE6773D"/>
    <w:rsid w:val="4FEA269F"/>
    <w:rsid w:val="4FEC0E2A"/>
    <w:rsid w:val="4FF0487B"/>
    <w:rsid w:val="4FF23A78"/>
    <w:rsid w:val="4FF25FC4"/>
    <w:rsid w:val="4FF260E2"/>
    <w:rsid w:val="4FF4152A"/>
    <w:rsid w:val="4FF43C08"/>
    <w:rsid w:val="4FF754A7"/>
    <w:rsid w:val="4FF82FCD"/>
    <w:rsid w:val="4FFD5B7C"/>
    <w:rsid w:val="4FFF2A60"/>
    <w:rsid w:val="5004520D"/>
    <w:rsid w:val="500637A4"/>
    <w:rsid w:val="500D6A78"/>
    <w:rsid w:val="50130483"/>
    <w:rsid w:val="50157ED0"/>
    <w:rsid w:val="501663B8"/>
    <w:rsid w:val="501B7F95"/>
    <w:rsid w:val="50203E3B"/>
    <w:rsid w:val="50206009"/>
    <w:rsid w:val="50234336"/>
    <w:rsid w:val="502A714C"/>
    <w:rsid w:val="502B33A2"/>
    <w:rsid w:val="503179CC"/>
    <w:rsid w:val="50352CC8"/>
    <w:rsid w:val="50357D7D"/>
    <w:rsid w:val="50362566"/>
    <w:rsid w:val="50377F99"/>
    <w:rsid w:val="503D01FE"/>
    <w:rsid w:val="503D3E3A"/>
    <w:rsid w:val="503E4E84"/>
    <w:rsid w:val="504058EE"/>
    <w:rsid w:val="5044508F"/>
    <w:rsid w:val="50521378"/>
    <w:rsid w:val="50534132"/>
    <w:rsid w:val="505722FA"/>
    <w:rsid w:val="505B1685"/>
    <w:rsid w:val="505E5526"/>
    <w:rsid w:val="50616DC4"/>
    <w:rsid w:val="50621A3A"/>
    <w:rsid w:val="50665C75"/>
    <w:rsid w:val="506E3D67"/>
    <w:rsid w:val="50700DB5"/>
    <w:rsid w:val="50707269"/>
    <w:rsid w:val="507A26AD"/>
    <w:rsid w:val="50800883"/>
    <w:rsid w:val="5080549C"/>
    <w:rsid w:val="50811214"/>
    <w:rsid w:val="50840A87"/>
    <w:rsid w:val="50852AB2"/>
    <w:rsid w:val="508710FB"/>
    <w:rsid w:val="508A1E77"/>
    <w:rsid w:val="508D7BB9"/>
    <w:rsid w:val="50942CF5"/>
    <w:rsid w:val="50954CFF"/>
    <w:rsid w:val="50A02428"/>
    <w:rsid w:val="50A078EC"/>
    <w:rsid w:val="50A218B6"/>
    <w:rsid w:val="50A310A9"/>
    <w:rsid w:val="50A373DC"/>
    <w:rsid w:val="50A62359"/>
    <w:rsid w:val="50AB6AEF"/>
    <w:rsid w:val="50AC149B"/>
    <w:rsid w:val="50AF7B2F"/>
    <w:rsid w:val="50BE5FC4"/>
    <w:rsid w:val="50C7131D"/>
    <w:rsid w:val="50C730CB"/>
    <w:rsid w:val="50C80BF1"/>
    <w:rsid w:val="50C8686E"/>
    <w:rsid w:val="50CA2BBB"/>
    <w:rsid w:val="50CC3A85"/>
    <w:rsid w:val="50CF3D2E"/>
    <w:rsid w:val="50D457E8"/>
    <w:rsid w:val="50DE21C3"/>
    <w:rsid w:val="50E2421E"/>
    <w:rsid w:val="50E37049"/>
    <w:rsid w:val="50E67B5C"/>
    <w:rsid w:val="50E82ABB"/>
    <w:rsid w:val="50EE4AFC"/>
    <w:rsid w:val="50F051B9"/>
    <w:rsid w:val="50F25C6E"/>
    <w:rsid w:val="50F33EC0"/>
    <w:rsid w:val="50F43794"/>
    <w:rsid w:val="50F47C38"/>
    <w:rsid w:val="50F556CC"/>
    <w:rsid w:val="50FF48D0"/>
    <w:rsid w:val="510A2FB8"/>
    <w:rsid w:val="510B7F1B"/>
    <w:rsid w:val="510D4856"/>
    <w:rsid w:val="511107EA"/>
    <w:rsid w:val="51124B15"/>
    <w:rsid w:val="5116195C"/>
    <w:rsid w:val="511F5F83"/>
    <w:rsid w:val="51260B6A"/>
    <w:rsid w:val="51340035"/>
    <w:rsid w:val="513872E4"/>
    <w:rsid w:val="513D338D"/>
    <w:rsid w:val="513E2C61"/>
    <w:rsid w:val="51422751"/>
    <w:rsid w:val="51485DE3"/>
    <w:rsid w:val="514A0284"/>
    <w:rsid w:val="514B3F6A"/>
    <w:rsid w:val="5150517C"/>
    <w:rsid w:val="515376D6"/>
    <w:rsid w:val="515626A1"/>
    <w:rsid w:val="5156444F"/>
    <w:rsid w:val="515669E7"/>
    <w:rsid w:val="515E007F"/>
    <w:rsid w:val="515F1555"/>
    <w:rsid w:val="5160707C"/>
    <w:rsid w:val="5167040A"/>
    <w:rsid w:val="516A4ADC"/>
    <w:rsid w:val="516B68A8"/>
    <w:rsid w:val="5172656E"/>
    <w:rsid w:val="517A4F51"/>
    <w:rsid w:val="5180327A"/>
    <w:rsid w:val="51810005"/>
    <w:rsid w:val="51825244"/>
    <w:rsid w:val="518430DB"/>
    <w:rsid w:val="51880507"/>
    <w:rsid w:val="518813FC"/>
    <w:rsid w:val="519061B9"/>
    <w:rsid w:val="51916EE4"/>
    <w:rsid w:val="519A07DF"/>
    <w:rsid w:val="519B00B4"/>
    <w:rsid w:val="519F2884"/>
    <w:rsid w:val="519F7BA4"/>
    <w:rsid w:val="51A53C9E"/>
    <w:rsid w:val="51A62D85"/>
    <w:rsid w:val="51A736B9"/>
    <w:rsid w:val="51AA5240"/>
    <w:rsid w:val="51B855E6"/>
    <w:rsid w:val="51B92CCF"/>
    <w:rsid w:val="51BA263B"/>
    <w:rsid w:val="51C07B1A"/>
    <w:rsid w:val="51C27D36"/>
    <w:rsid w:val="51C4447B"/>
    <w:rsid w:val="51C92E73"/>
    <w:rsid w:val="51CC64BF"/>
    <w:rsid w:val="51CE2237"/>
    <w:rsid w:val="51D14315"/>
    <w:rsid w:val="51D852C1"/>
    <w:rsid w:val="51DA64ED"/>
    <w:rsid w:val="51DB7F4F"/>
    <w:rsid w:val="51DD247A"/>
    <w:rsid w:val="51DE160C"/>
    <w:rsid w:val="51E8486B"/>
    <w:rsid w:val="51EC090F"/>
    <w:rsid w:val="51EF6702"/>
    <w:rsid w:val="51F05858"/>
    <w:rsid w:val="51F21DCD"/>
    <w:rsid w:val="51F2795F"/>
    <w:rsid w:val="51F67DA1"/>
    <w:rsid w:val="51FD0BB6"/>
    <w:rsid w:val="520818B6"/>
    <w:rsid w:val="520A6C76"/>
    <w:rsid w:val="520C5713"/>
    <w:rsid w:val="521F0CE5"/>
    <w:rsid w:val="5224454D"/>
    <w:rsid w:val="5227192A"/>
    <w:rsid w:val="522B58DB"/>
    <w:rsid w:val="522D3402"/>
    <w:rsid w:val="52320A18"/>
    <w:rsid w:val="52391DB4"/>
    <w:rsid w:val="523B10C3"/>
    <w:rsid w:val="523B771C"/>
    <w:rsid w:val="523F4EE3"/>
    <w:rsid w:val="52410C5B"/>
    <w:rsid w:val="52432C25"/>
    <w:rsid w:val="524546A2"/>
    <w:rsid w:val="5247354A"/>
    <w:rsid w:val="524746F8"/>
    <w:rsid w:val="524F15CA"/>
    <w:rsid w:val="525B3EAF"/>
    <w:rsid w:val="526515A6"/>
    <w:rsid w:val="52667ECC"/>
    <w:rsid w:val="5268268C"/>
    <w:rsid w:val="526A11AC"/>
    <w:rsid w:val="526B7928"/>
    <w:rsid w:val="526D6907"/>
    <w:rsid w:val="527903F5"/>
    <w:rsid w:val="527B23BF"/>
    <w:rsid w:val="527C6137"/>
    <w:rsid w:val="527C758B"/>
    <w:rsid w:val="527D7965"/>
    <w:rsid w:val="527E556C"/>
    <w:rsid w:val="52876F40"/>
    <w:rsid w:val="528B0128"/>
    <w:rsid w:val="529808E4"/>
    <w:rsid w:val="529C0587"/>
    <w:rsid w:val="52A15B9E"/>
    <w:rsid w:val="52A35472"/>
    <w:rsid w:val="52A511EA"/>
    <w:rsid w:val="52AB4DAC"/>
    <w:rsid w:val="52AD718C"/>
    <w:rsid w:val="52AE78A0"/>
    <w:rsid w:val="52B96A43"/>
    <w:rsid w:val="52C02D79"/>
    <w:rsid w:val="52CE17AF"/>
    <w:rsid w:val="52D17F8D"/>
    <w:rsid w:val="52D34AAA"/>
    <w:rsid w:val="52D41ACF"/>
    <w:rsid w:val="52E2243E"/>
    <w:rsid w:val="52E31D12"/>
    <w:rsid w:val="52E431D7"/>
    <w:rsid w:val="52E502A3"/>
    <w:rsid w:val="52E63A37"/>
    <w:rsid w:val="52EB0BC7"/>
    <w:rsid w:val="52EB483D"/>
    <w:rsid w:val="52ED6537"/>
    <w:rsid w:val="52EF3D6F"/>
    <w:rsid w:val="52F04324"/>
    <w:rsid w:val="52F11DEE"/>
    <w:rsid w:val="52F15371"/>
    <w:rsid w:val="52F52399"/>
    <w:rsid w:val="52F537F4"/>
    <w:rsid w:val="52F932E4"/>
    <w:rsid w:val="52FA615D"/>
    <w:rsid w:val="52FB47CD"/>
    <w:rsid w:val="52FE35FA"/>
    <w:rsid w:val="5300759F"/>
    <w:rsid w:val="530321A3"/>
    <w:rsid w:val="5307508F"/>
    <w:rsid w:val="53086C68"/>
    <w:rsid w:val="530A48DD"/>
    <w:rsid w:val="530C1269"/>
    <w:rsid w:val="53116579"/>
    <w:rsid w:val="53145039"/>
    <w:rsid w:val="53177C0E"/>
    <w:rsid w:val="531A55EE"/>
    <w:rsid w:val="531B7AA5"/>
    <w:rsid w:val="531C00D0"/>
    <w:rsid w:val="53206076"/>
    <w:rsid w:val="53213917"/>
    <w:rsid w:val="53226CDE"/>
    <w:rsid w:val="53256821"/>
    <w:rsid w:val="53271025"/>
    <w:rsid w:val="53325B90"/>
    <w:rsid w:val="53333590"/>
    <w:rsid w:val="53346A12"/>
    <w:rsid w:val="53353F57"/>
    <w:rsid w:val="53364538"/>
    <w:rsid w:val="53380FA9"/>
    <w:rsid w:val="533A4B08"/>
    <w:rsid w:val="533D19AF"/>
    <w:rsid w:val="533D58C6"/>
    <w:rsid w:val="534529CD"/>
    <w:rsid w:val="53486019"/>
    <w:rsid w:val="535022B4"/>
    <w:rsid w:val="535075B2"/>
    <w:rsid w:val="53536636"/>
    <w:rsid w:val="53582700"/>
    <w:rsid w:val="535A55E1"/>
    <w:rsid w:val="535C1828"/>
    <w:rsid w:val="53603363"/>
    <w:rsid w:val="53632AEA"/>
    <w:rsid w:val="536A41E2"/>
    <w:rsid w:val="536A7F0B"/>
    <w:rsid w:val="536C0605"/>
    <w:rsid w:val="536E636E"/>
    <w:rsid w:val="536F35A6"/>
    <w:rsid w:val="53794684"/>
    <w:rsid w:val="537B019D"/>
    <w:rsid w:val="537C1E10"/>
    <w:rsid w:val="537D1A12"/>
    <w:rsid w:val="537D5CC3"/>
    <w:rsid w:val="538418DC"/>
    <w:rsid w:val="53894F6C"/>
    <w:rsid w:val="53913AFC"/>
    <w:rsid w:val="539354E6"/>
    <w:rsid w:val="53937294"/>
    <w:rsid w:val="539E5ED4"/>
    <w:rsid w:val="539F20DD"/>
    <w:rsid w:val="53B20633"/>
    <w:rsid w:val="53B27FC3"/>
    <w:rsid w:val="53B37937"/>
    <w:rsid w:val="53B631FA"/>
    <w:rsid w:val="53B97094"/>
    <w:rsid w:val="53BD7BAA"/>
    <w:rsid w:val="53C11F3C"/>
    <w:rsid w:val="53C438F2"/>
    <w:rsid w:val="53C5766A"/>
    <w:rsid w:val="53C77352"/>
    <w:rsid w:val="53C9715A"/>
    <w:rsid w:val="53CF4A5C"/>
    <w:rsid w:val="53D252D2"/>
    <w:rsid w:val="53D336CD"/>
    <w:rsid w:val="53D37FD9"/>
    <w:rsid w:val="53D578AD"/>
    <w:rsid w:val="53D77DB9"/>
    <w:rsid w:val="53DD2AE1"/>
    <w:rsid w:val="53DF24DA"/>
    <w:rsid w:val="53E2599D"/>
    <w:rsid w:val="53EB3ACC"/>
    <w:rsid w:val="53EB7D0C"/>
    <w:rsid w:val="53F549F0"/>
    <w:rsid w:val="53F8359B"/>
    <w:rsid w:val="53FA2628"/>
    <w:rsid w:val="53FA5565"/>
    <w:rsid w:val="53FB35FD"/>
    <w:rsid w:val="53FD6E04"/>
    <w:rsid w:val="5400500A"/>
    <w:rsid w:val="54095DDA"/>
    <w:rsid w:val="54103A28"/>
    <w:rsid w:val="5410792C"/>
    <w:rsid w:val="54131E75"/>
    <w:rsid w:val="541C1A6F"/>
    <w:rsid w:val="541D1254"/>
    <w:rsid w:val="54206BAB"/>
    <w:rsid w:val="54222492"/>
    <w:rsid w:val="542757CF"/>
    <w:rsid w:val="54284497"/>
    <w:rsid w:val="542B571F"/>
    <w:rsid w:val="542C6F5C"/>
    <w:rsid w:val="542D3B70"/>
    <w:rsid w:val="54316B65"/>
    <w:rsid w:val="54317A22"/>
    <w:rsid w:val="543433F6"/>
    <w:rsid w:val="5437274A"/>
    <w:rsid w:val="54383D52"/>
    <w:rsid w:val="5439467A"/>
    <w:rsid w:val="5439699D"/>
    <w:rsid w:val="543A32AD"/>
    <w:rsid w:val="543C792C"/>
    <w:rsid w:val="54446715"/>
    <w:rsid w:val="5445347D"/>
    <w:rsid w:val="5445601B"/>
    <w:rsid w:val="54505185"/>
    <w:rsid w:val="54525277"/>
    <w:rsid w:val="545709BF"/>
    <w:rsid w:val="54622AD8"/>
    <w:rsid w:val="54624E60"/>
    <w:rsid w:val="54624EB9"/>
    <w:rsid w:val="54640C31"/>
    <w:rsid w:val="54661FA6"/>
    <w:rsid w:val="54692B85"/>
    <w:rsid w:val="546B4888"/>
    <w:rsid w:val="546C31A2"/>
    <w:rsid w:val="546F7BDB"/>
    <w:rsid w:val="54703488"/>
    <w:rsid w:val="5471215C"/>
    <w:rsid w:val="54780C2F"/>
    <w:rsid w:val="548573BB"/>
    <w:rsid w:val="54877909"/>
    <w:rsid w:val="548B08B3"/>
    <w:rsid w:val="548C6355"/>
    <w:rsid w:val="548D462B"/>
    <w:rsid w:val="548E627B"/>
    <w:rsid w:val="54901A26"/>
    <w:rsid w:val="549279F4"/>
    <w:rsid w:val="549332C4"/>
    <w:rsid w:val="54957CEE"/>
    <w:rsid w:val="5499550F"/>
    <w:rsid w:val="549C03CB"/>
    <w:rsid w:val="549E7E76"/>
    <w:rsid w:val="54A35BFD"/>
    <w:rsid w:val="54A53D7C"/>
    <w:rsid w:val="54B41BB8"/>
    <w:rsid w:val="54B716A8"/>
    <w:rsid w:val="54B84902"/>
    <w:rsid w:val="54B8585C"/>
    <w:rsid w:val="54C14E3F"/>
    <w:rsid w:val="54C806BA"/>
    <w:rsid w:val="54C95AF1"/>
    <w:rsid w:val="54CC7AC8"/>
    <w:rsid w:val="54D827E0"/>
    <w:rsid w:val="54DA272A"/>
    <w:rsid w:val="54DB06F3"/>
    <w:rsid w:val="54DD3138"/>
    <w:rsid w:val="54EA7EC3"/>
    <w:rsid w:val="54EB1352"/>
    <w:rsid w:val="54ED6E78"/>
    <w:rsid w:val="54EF17DD"/>
    <w:rsid w:val="54EF499E"/>
    <w:rsid w:val="54F1026B"/>
    <w:rsid w:val="54F1103D"/>
    <w:rsid w:val="54F118CF"/>
    <w:rsid w:val="54F25C8B"/>
    <w:rsid w:val="54F41FB5"/>
    <w:rsid w:val="54FE4633"/>
    <w:rsid w:val="54FF095A"/>
    <w:rsid w:val="55045144"/>
    <w:rsid w:val="55055F70"/>
    <w:rsid w:val="550A6084"/>
    <w:rsid w:val="55103159"/>
    <w:rsid w:val="5511219F"/>
    <w:rsid w:val="55166762"/>
    <w:rsid w:val="551A5045"/>
    <w:rsid w:val="552F56E3"/>
    <w:rsid w:val="55320D2F"/>
    <w:rsid w:val="5532240D"/>
    <w:rsid w:val="55341B3D"/>
    <w:rsid w:val="553739C0"/>
    <w:rsid w:val="5537678F"/>
    <w:rsid w:val="553C572D"/>
    <w:rsid w:val="553E5926"/>
    <w:rsid w:val="55421934"/>
    <w:rsid w:val="55450A62"/>
    <w:rsid w:val="554A0C9E"/>
    <w:rsid w:val="554C1DF1"/>
    <w:rsid w:val="554F1507"/>
    <w:rsid w:val="554F1BF3"/>
    <w:rsid w:val="554F368F"/>
    <w:rsid w:val="55542B06"/>
    <w:rsid w:val="55562C6F"/>
    <w:rsid w:val="55582538"/>
    <w:rsid w:val="555E1B24"/>
    <w:rsid w:val="555F65A5"/>
    <w:rsid w:val="5564034E"/>
    <w:rsid w:val="5565489D"/>
    <w:rsid w:val="55684751"/>
    <w:rsid w:val="556A56B6"/>
    <w:rsid w:val="556E5D90"/>
    <w:rsid w:val="55775D97"/>
    <w:rsid w:val="55794AF4"/>
    <w:rsid w:val="557E5D22"/>
    <w:rsid w:val="557E6181"/>
    <w:rsid w:val="55872E29"/>
    <w:rsid w:val="5588094F"/>
    <w:rsid w:val="55886BA1"/>
    <w:rsid w:val="558C48E3"/>
    <w:rsid w:val="558C7A4D"/>
    <w:rsid w:val="559422AF"/>
    <w:rsid w:val="55A02195"/>
    <w:rsid w:val="55A41C2D"/>
    <w:rsid w:val="55A75279"/>
    <w:rsid w:val="55A81B76"/>
    <w:rsid w:val="55AC3A1E"/>
    <w:rsid w:val="55AE2AAB"/>
    <w:rsid w:val="55AF412E"/>
    <w:rsid w:val="55B00195"/>
    <w:rsid w:val="55B31E70"/>
    <w:rsid w:val="55B87486"/>
    <w:rsid w:val="55B94FAC"/>
    <w:rsid w:val="55BB6F76"/>
    <w:rsid w:val="55BF3799"/>
    <w:rsid w:val="55C36183"/>
    <w:rsid w:val="55C73193"/>
    <w:rsid w:val="55C76818"/>
    <w:rsid w:val="55C961B4"/>
    <w:rsid w:val="55D2625E"/>
    <w:rsid w:val="55D342C0"/>
    <w:rsid w:val="55D936A7"/>
    <w:rsid w:val="55DA38A0"/>
    <w:rsid w:val="55DB13C7"/>
    <w:rsid w:val="55E069DD"/>
    <w:rsid w:val="55EA33B8"/>
    <w:rsid w:val="55ED452A"/>
    <w:rsid w:val="55F14746"/>
    <w:rsid w:val="55F221C8"/>
    <w:rsid w:val="55F25877"/>
    <w:rsid w:val="55F2604B"/>
    <w:rsid w:val="55F304BE"/>
    <w:rsid w:val="55F7482D"/>
    <w:rsid w:val="55F74830"/>
    <w:rsid w:val="55F869F5"/>
    <w:rsid w:val="55F935FB"/>
    <w:rsid w:val="55FC3817"/>
    <w:rsid w:val="560069AF"/>
    <w:rsid w:val="56026953"/>
    <w:rsid w:val="56030027"/>
    <w:rsid w:val="560468F6"/>
    <w:rsid w:val="56113843"/>
    <w:rsid w:val="56125CC2"/>
    <w:rsid w:val="56144780"/>
    <w:rsid w:val="56161BD4"/>
    <w:rsid w:val="561843C9"/>
    <w:rsid w:val="561F15E3"/>
    <w:rsid w:val="5622420A"/>
    <w:rsid w:val="56243764"/>
    <w:rsid w:val="56282707"/>
    <w:rsid w:val="562D6668"/>
    <w:rsid w:val="562D7E5B"/>
    <w:rsid w:val="56307270"/>
    <w:rsid w:val="56312D95"/>
    <w:rsid w:val="5637264E"/>
    <w:rsid w:val="56380882"/>
    <w:rsid w:val="563945B3"/>
    <w:rsid w:val="563A60ED"/>
    <w:rsid w:val="563F0D72"/>
    <w:rsid w:val="56440687"/>
    <w:rsid w:val="56444AB4"/>
    <w:rsid w:val="56452BCB"/>
    <w:rsid w:val="56461F01"/>
    <w:rsid w:val="56471A24"/>
    <w:rsid w:val="564C6FD3"/>
    <w:rsid w:val="565151E5"/>
    <w:rsid w:val="565A053D"/>
    <w:rsid w:val="566025B8"/>
    <w:rsid w:val="56603417"/>
    <w:rsid w:val="56644F18"/>
    <w:rsid w:val="56653CED"/>
    <w:rsid w:val="566748DD"/>
    <w:rsid w:val="566969D2"/>
    <w:rsid w:val="566E5940"/>
    <w:rsid w:val="56732835"/>
    <w:rsid w:val="56785D5C"/>
    <w:rsid w:val="567B042B"/>
    <w:rsid w:val="56823F5B"/>
    <w:rsid w:val="56834170"/>
    <w:rsid w:val="56837A94"/>
    <w:rsid w:val="56871704"/>
    <w:rsid w:val="568836AC"/>
    <w:rsid w:val="56890E23"/>
    <w:rsid w:val="568D446F"/>
    <w:rsid w:val="56903F5F"/>
    <w:rsid w:val="56921A85"/>
    <w:rsid w:val="569C0B56"/>
    <w:rsid w:val="569C2AFB"/>
    <w:rsid w:val="56AB6D07"/>
    <w:rsid w:val="56AB6FEB"/>
    <w:rsid w:val="56AD2D63"/>
    <w:rsid w:val="56B93E41"/>
    <w:rsid w:val="56C358D0"/>
    <w:rsid w:val="56C6574C"/>
    <w:rsid w:val="56C700C1"/>
    <w:rsid w:val="56D227CA"/>
    <w:rsid w:val="56D402F0"/>
    <w:rsid w:val="56D94391"/>
    <w:rsid w:val="56DE49E8"/>
    <w:rsid w:val="56E01FD3"/>
    <w:rsid w:val="56E10C5F"/>
    <w:rsid w:val="56F30E63"/>
    <w:rsid w:val="56F52014"/>
    <w:rsid w:val="56F563A5"/>
    <w:rsid w:val="56F72ACE"/>
    <w:rsid w:val="56F83D23"/>
    <w:rsid w:val="56FB1D20"/>
    <w:rsid w:val="57020662"/>
    <w:rsid w:val="57041072"/>
    <w:rsid w:val="57081D47"/>
    <w:rsid w:val="570C4656"/>
    <w:rsid w:val="57154464"/>
    <w:rsid w:val="57174680"/>
    <w:rsid w:val="5728063B"/>
    <w:rsid w:val="572A43B4"/>
    <w:rsid w:val="572B1392"/>
    <w:rsid w:val="572B1B77"/>
    <w:rsid w:val="57347A2F"/>
    <w:rsid w:val="57347DAF"/>
    <w:rsid w:val="5735698D"/>
    <w:rsid w:val="57362D58"/>
    <w:rsid w:val="573B211D"/>
    <w:rsid w:val="573F088A"/>
    <w:rsid w:val="573F1A51"/>
    <w:rsid w:val="57425DA3"/>
    <w:rsid w:val="57481DED"/>
    <w:rsid w:val="57482A8C"/>
    <w:rsid w:val="574B7E86"/>
    <w:rsid w:val="574E4D83"/>
    <w:rsid w:val="574E52F4"/>
    <w:rsid w:val="575718DC"/>
    <w:rsid w:val="576123D6"/>
    <w:rsid w:val="576254A6"/>
    <w:rsid w:val="57694C35"/>
    <w:rsid w:val="5774402B"/>
    <w:rsid w:val="57763155"/>
    <w:rsid w:val="5776562B"/>
    <w:rsid w:val="577A06BA"/>
    <w:rsid w:val="577B3F4D"/>
    <w:rsid w:val="577D3138"/>
    <w:rsid w:val="577F4CE4"/>
    <w:rsid w:val="57814294"/>
    <w:rsid w:val="5789732C"/>
    <w:rsid w:val="579228CF"/>
    <w:rsid w:val="57945CD1"/>
    <w:rsid w:val="579542E2"/>
    <w:rsid w:val="579F74A6"/>
    <w:rsid w:val="57A05711"/>
    <w:rsid w:val="57A16CEB"/>
    <w:rsid w:val="57A16D55"/>
    <w:rsid w:val="57A23F4A"/>
    <w:rsid w:val="57A31178"/>
    <w:rsid w:val="57A9177C"/>
    <w:rsid w:val="57AB105E"/>
    <w:rsid w:val="57AD29BA"/>
    <w:rsid w:val="57B65C47"/>
    <w:rsid w:val="57B679F5"/>
    <w:rsid w:val="57B87ECB"/>
    <w:rsid w:val="57C00175"/>
    <w:rsid w:val="57C15675"/>
    <w:rsid w:val="57C33EC0"/>
    <w:rsid w:val="57CF0AB7"/>
    <w:rsid w:val="57CF2865"/>
    <w:rsid w:val="57D8796C"/>
    <w:rsid w:val="57DB5B54"/>
    <w:rsid w:val="57DE3AFC"/>
    <w:rsid w:val="57E15E8A"/>
    <w:rsid w:val="57E5652D"/>
    <w:rsid w:val="57EF14B5"/>
    <w:rsid w:val="57F4758F"/>
    <w:rsid w:val="57FD3E2B"/>
    <w:rsid w:val="57FF75EE"/>
    <w:rsid w:val="58005114"/>
    <w:rsid w:val="58006EC2"/>
    <w:rsid w:val="580A7D41"/>
    <w:rsid w:val="581000EC"/>
    <w:rsid w:val="58106133"/>
    <w:rsid w:val="581417E1"/>
    <w:rsid w:val="58170A85"/>
    <w:rsid w:val="58196367"/>
    <w:rsid w:val="581B3040"/>
    <w:rsid w:val="581D5CC6"/>
    <w:rsid w:val="582232DD"/>
    <w:rsid w:val="58241B1A"/>
    <w:rsid w:val="582818A8"/>
    <w:rsid w:val="582C7CDE"/>
    <w:rsid w:val="5830221D"/>
    <w:rsid w:val="583161A3"/>
    <w:rsid w:val="58337D56"/>
    <w:rsid w:val="5838665C"/>
    <w:rsid w:val="583B614D"/>
    <w:rsid w:val="583E2172"/>
    <w:rsid w:val="584A3CB1"/>
    <w:rsid w:val="584A6390"/>
    <w:rsid w:val="584C09F9"/>
    <w:rsid w:val="584D37A9"/>
    <w:rsid w:val="5853793A"/>
    <w:rsid w:val="58553532"/>
    <w:rsid w:val="585A69C8"/>
    <w:rsid w:val="586466E1"/>
    <w:rsid w:val="586618D3"/>
    <w:rsid w:val="58675193"/>
    <w:rsid w:val="586B4C84"/>
    <w:rsid w:val="58746BD9"/>
    <w:rsid w:val="587F24DD"/>
    <w:rsid w:val="58801DB1"/>
    <w:rsid w:val="58841452"/>
    <w:rsid w:val="588C0756"/>
    <w:rsid w:val="588E2720"/>
    <w:rsid w:val="588E416F"/>
    <w:rsid w:val="58907103"/>
    <w:rsid w:val="58907A70"/>
    <w:rsid w:val="58977827"/>
    <w:rsid w:val="58986A27"/>
    <w:rsid w:val="589968A1"/>
    <w:rsid w:val="589B4229"/>
    <w:rsid w:val="589D6F3F"/>
    <w:rsid w:val="58AD53C5"/>
    <w:rsid w:val="58B531C5"/>
    <w:rsid w:val="58BC5126"/>
    <w:rsid w:val="58BD6086"/>
    <w:rsid w:val="58BF077B"/>
    <w:rsid w:val="58DB6D15"/>
    <w:rsid w:val="58DC7930"/>
    <w:rsid w:val="58E10AA2"/>
    <w:rsid w:val="58E72A6F"/>
    <w:rsid w:val="58E81E30"/>
    <w:rsid w:val="58EF598F"/>
    <w:rsid w:val="58EF7663"/>
    <w:rsid w:val="58F479E3"/>
    <w:rsid w:val="58FF22DB"/>
    <w:rsid w:val="58FF3D69"/>
    <w:rsid w:val="59030A18"/>
    <w:rsid w:val="5903310E"/>
    <w:rsid w:val="590649AC"/>
    <w:rsid w:val="590824D3"/>
    <w:rsid w:val="59091DA7"/>
    <w:rsid w:val="5909450C"/>
    <w:rsid w:val="590A2C81"/>
    <w:rsid w:val="590B7C9C"/>
    <w:rsid w:val="59101568"/>
    <w:rsid w:val="5910252B"/>
    <w:rsid w:val="59132A9D"/>
    <w:rsid w:val="5915074C"/>
    <w:rsid w:val="59183BD6"/>
    <w:rsid w:val="59195665"/>
    <w:rsid w:val="591A49CA"/>
    <w:rsid w:val="59215342"/>
    <w:rsid w:val="5923730C"/>
    <w:rsid w:val="59257140"/>
    <w:rsid w:val="592738E1"/>
    <w:rsid w:val="592F3F03"/>
    <w:rsid w:val="59305585"/>
    <w:rsid w:val="593212FE"/>
    <w:rsid w:val="59361550"/>
    <w:rsid w:val="59374B66"/>
    <w:rsid w:val="594070F3"/>
    <w:rsid w:val="5943175D"/>
    <w:rsid w:val="5947124D"/>
    <w:rsid w:val="594B3D3D"/>
    <w:rsid w:val="594E7BD3"/>
    <w:rsid w:val="59543BB4"/>
    <w:rsid w:val="59545718"/>
    <w:rsid w:val="595474C6"/>
    <w:rsid w:val="5955323E"/>
    <w:rsid w:val="59590F80"/>
    <w:rsid w:val="595C637A"/>
    <w:rsid w:val="59617E35"/>
    <w:rsid w:val="59653481"/>
    <w:rsid w:val="59657925"/>
    <w:rsid w:val="59690840"/>
    <w:rsid w:val="59693390"/>
    <w:rsid w:val="596A6CE9"/>
    <w:rsid w:val="596C0CB3"/>
    <w:rsid w:val="596F60AE"/>
    <w:rsid w:val="5973527B"/>
    <w:rsid w:val="59753252"/>
    <w:rsid w:val="59786A09"/>
    <w:rsid w:val="597914B4"/>
    <w:rsid w:val="5980290A"/>
    <w:rsid w:val="59822DEB"/>
    <w:rsid w:val="59837DAB"/>
    <w:rsid w:val="598558D1"/>
    <w:rsid w:val="598729A5"/>
    <w:rsid w:val="598A2EE8"/>
    <w:rsid w:val="598A35B0"/>
    <w:rsid w:val="599124C8"/>
    <w:rsid w:val="59926240"/>
    <w:rsid w:val="5995545D"/>
    <w:rsid w:val="5999137D"/>
    <w:rsid w:val="599B3347"/>
    <w:rsid w:val="59A01D23"/>
    <w:rsid w:val="59A12B57"/>
    <w:rsid w:val="59A87D08"/>
    <w:rsid w:val="59AE0721"/>
    <w:rsid w:val="59B17140"/>
    <w:rsid w:val="59B43525"/>
    <w:rsid w:val="59B611D6"/>
    <w:rsid w:val="59B678AD"/>
    <w:rsid w:val="59BA0642"/>
    <w:rsid w:val="59BA4AC3"/>
    <w:rsid w:val="59BA76B2"/>
    <w:rsid w:val="59BE19FA"/>
    <w:rsid w:val="59C02DAD"/>
    <w:rsid w:val="59C33FA5"/>
    <w:rsid w:val="59C356A8"/>
    <w:rsid w:val="59C61D34"/>
    <w:rsid w:val="59C95329"/>
    <w:rsid w:val="59CC52AE"/>
    <w:rsid w:val="59CE511D"/>
    <w:rsid w:val="59CE54CA"/>
    <w:rsid w:val="59CE765E"/>
    <w:rsid w:val="59CE7D0B"/>
    <w:rsid w:val="59CF1242"/>
    <w:rsid w:val="59D842D0"/>
    <w:rsid w:val="59DD395F"/>
    <w:rsid w:val="59E7658C"/>
    <w:rsid w:val="59E8796D"/>
    <w:rsid w:val="59E91753"/>
    <w:rsid w:val="59EA1BD8"/>
    <w:rsid w:val="59EE791A"/>
    <w:rsid w:val="59F01C15"/>
    <w:rsid w:val="59F27755"/>
    <w:rsid w:val="59F807F2"/>
    <w:rsid w:val="59F94AC0"/>
    <w:rsid w:val="59FE6DC7"/>
    <w:rsid w:val="5A013D74"/>
    <w:rsid w:val="5A040AB8"/>
    <w:rsid w:val="5A041B59"/>
    <w:rsid w:val="5A0802B0"/>
    <w:rsid w:val="5A0C1B4F"/>
    <w:rsid w:val="5A0D4FD3"/>
    <w:rsid w:val="5A0F6902"/>
    <w:rsid w:val="5A0F707A"/>
    <w:rsid w:val="5A137B38"/>
    <w:rsid w:val="5A184997"/>
    <w:rsid w:val="5A1B4488"/>
    <w:rsid w:val="5A1E1882"/>
    <w:rsid w:val="5A221372"/>
    <w:rsid w:val="5A2A0227"/>
    <w:rsid w:val="5A2C0443"/>
    <w:rsid w:val="5A2E6A57"/>
    <w:rsid w:val="5A3022F6"/>
    <w:rsid w:val="5A35111C"/>
    <w:rsid w:val="5A357F97"/>
    <w:rsid w:val="5A3B5FA0"/>
    <w:rsid w:val="5A421A14"/>
    <w:rsid w:val="5A427B73"/>
    <w:rsid w:val="5A474401"/>
    <w:rsid w:val="5A47702B"/>
    <w:rsid w:val="5A496915"/>
    <w:rsid w:val="5A4E2167"/>
    <w:rsid w:val="5A4E7CC0"/>
    <w:rsid w:val="5A4F108C"/>
    <w:rsid w:val="5A4F5EDF"/>
    <w:rsid w:val="5A5217AD"/>
    <w:rsid w:val="5A582FE6"/>
    <w:rsid w:val="5A5D0617"/>
    <w:rsid w:val="5A5D43AF"/>
    <w:rsid w:val="5A627366"/>
    <w:rsid w:val="5A67147B"/>
    <w:rsid w:val="5A696FA1"/>
    <w:rsid w:val="5A7029DE"/>
    <w:rsid w:val="5A764DB1"/>
    <w:rsid w:val="5A766126"/>
    <w:rsid w:val="5A79768C"/>
    <w:rsid w:val="5A7D0C9E"/>
    <w:rsid w:val="5A7D778E"/>
    <w:rsid w:val="5A821E11"/>
    <w:rsid w:val="5A830771"/>
    <w:rsid w:val="5A871B1D"/>
    <w:rsid w:val="5A8A4D39"/>
    <w:rsid w:val="5A8D5B3C"/>
    <w:rsid w:val="5A900A91"/>
    <w:rsid w:val="5A911684"/>
    <w:rsid w:val="5A936194"/>
    <w:rsid w:val="5A955FE8"/>
    <w:rsid w:val="5A971D60"/>
    <w:rsid w:val="5A987886"/>
    <w:rsid w:val="5A9C5CD3"/>
    <w:rsid w:val="5A9F6E67"/>
    <w:rsid w:val="5AA71877"/>
    <w:rsid w:val="5AAB2214"/>
    <w:rsid w:val="5AAC5656"/>
    <w:rsid w:val="5AAC58EC"/>
    <w:rsid w:val="5AAE0E58"/>
    <w:rsid w:val="5AAE2C06"/>
    <w:rsid w:val="5AB3021C"/>
    <w:rsid w:val="5AB346C0"/>
    <w:rsid w:val="5AB61502"/>
    <w:rsid w:val="5AB660D5"/>
    <w:rsid w:val="5AB741B0"/>
    <w:rsid w:val="5AB9705D"/>
    <w:rsid w:val="5ABE57D0"/>
    <w:rsid w:val="5AC13D20"/>
    <w:rsid w:val="5AC2539B"/>
    <w:rsid w:val="5AC4067B"/>
    <w:rsid w:val="5AD02E77"/>
    <w:rsid w:val="5AD42DE5"/>
    <w:rsid w:val="5AD563E4"/>
    <w:rsid w:val="5AD572B3"/>
    <w:rsid w:val="5AD64523"/>
    <w:rsid w:val="5ADC59C5"/>
    <w:rsid w:val="5ADD177D"/>
    <w:rsid w:val="5AE61A9C"/>
    <w:rsid w:val="5AE76118"/>
    <w:rsid w:val="5AEB6539"/>
    <w:rsid w:val="5AF341FE"/>
    <w:rsid w:val="5AF34ABD"/>
    <w:rsid w:val="5AF56B7C"/>
    <w:rsid w:val="5B026770"/>
    <w:rsid w:val="5B070568"/>
    <w:rsid w:val="5B0A0784"/>
    <w:rsid w:val="5B0E7B10"/>
    <w:rsid w:val="5B101A24"/>
    <w:rsid w:val="5B1213E7"/>
    <w:rsid w:val="5B12588A"/>
    <w:rsid w:val="5B141BEC"/>
    <w:rsid w:val="5B14445E"/>
    <w:rsid w:val="5B162D21"/>
    <w:rsid w:val="5B1651F0"/>
    <w:rsid w:val="5B1C4013"/>
    <w:rsid w:val="5B2474AC"/>
    <w:rsid w:val="5B2855C7"/>
    <w:rsid w:val="5B3A6B8F"/>
    <w:rsid w:val="5B402FBF"/>
    <w:rsid w:val="5B4041A6"/>
    <w:rsid w:val="5B466CB4"/>
    <w:rsid w:val="5B4973DB"/>
    <w:rsid w:val="5B52424E"/>
    <w:rsid w:val="5B547C51"/>
    <w:rsid w:val="5B607464"/>
    <w:rsid w:val="5B647768"/>
    <w:rsid w:val="5B6836FC"/>
    <w:rsid w:val="5B6A162C"/>
    <w:rsid w:val="5B714BB1"/>
    <w:rsid w:val="5B7B5478"/>
    <w:rsid w:val="5B7D0748"/>
    <w:rsid w:val="5B857E0A"/>
    <w:rsid w:val="5B8B2F47"/>
    <w:rsid w:val="5B8B5DF2"/>
    <w:rsid w:val="5B935248"/>
    <w:rsid w:val="5B94004E"/>
    <w:rsid w:val="5B9444F1"/>
    <w:rsid w:val="5B962018"/>
    <w:rsid w:val="5B97777F"/>
    <w:rsid w:val="5B985102"/>
    <w:rsid w:val="5B9938B6"/>
    <w:rsid w:val="5B9B13DC"/>
    <w:rsid w:val="5B9B5880"/>
    <w:rsid w:val="5BA65130"/>
    <w:rsid w:val="5BAD7361"/>
    <w:rsid w:val="5BB62F4F"/>
    <w:rsid w:val="5BBB1770"/>
    <w:rsid w:val="5BBB1A7E"/>
    <w:rsid w:val="5BC20A0D"/>
    <w:rsid w:val="5BC528FD"/>
    <w:rsid w:val="5BCD355F"/>
    <w:rsid w:val="5BD743DE"/>
    <w:rsid w:val="5BD82630"/>
    <w:rsid w:val="5BDC3065"/>
    <w:rsid w:val="5BDE5E3D"/>
    <w:rsid w:val="5BE24CBF"/>
    <w:rsid w:val="5BE25396"/>
    <w:rsid w:val="5BE32D83"/>
    <w:rsid w:val="5BEA7864"/>
    <w:rsid w:val="5BEB7F91"/>
    <w:rsid w:val="5BED775E"/>
    <w:rsid w:val="5BEF34D6"/>
    <w:rsid w:val="5BF127C1"/>
    <w:rsid w:val="5BF12EF0"/>
    <w:rsid w:val="5BF5277C"/>
    <w:rsid w:val="5BFA12D2"/>
    <w:rsid w:val="5BFE196B"/>
    <w:rsid w:val="5C0056E3"/>
    <w:rsid w:val="5C0351D3"/>
    <w:rsid w:val="5C036F81"/>
    <w:rsid w:val="5C050F4B"/>
    <w:rsid w:val="5C05719D"/>
    <w:rsid w:val="5C074D0E"/>
    <w:rsid w:val="5C08232A"/>
    <w:rsid w:val="5C0A69D0"/>
    <w:rsid w:val="5C0E0F8B"/>
    <w:rsid w:val="5C0E6052"/>
    <w:rsid w:val="5C1318BA"/>
    <w:rsid w:val="5C142F3C"/>
    <w:rsid w:val="5C207B33"/>
    <w:rsid w:val="5C2102D0"/>
    <w:rsid w:val="5C2C472A"/>
    <w:rsid w:val="5C2E04A2"/>
    <w:rsid w:val="5C304591"/>
    <w:rsid w:val="5C3053E8"/>
    <w:rsid w:val="5C317A60"/>
    <w:rsid w:val="5C356C4B"/>
    <w:rsid w:val="5C3706D2"/>
    <w:rsid w:val="5C384E7D"/>
    <w:rsid w:val="5C3977B6"/>
    <w:rsid w:val="5C3A119E"/>
    <w:rsid w:val="5C3C14F9"/>
    <w:rsid w:val="5C42409E"/>
    <w:rsid w:val="5C45068B"/>
    <w:rsid w:val="5C466E0C"/>
    <w:rsid w:val="5C4A4D88"/>
    <w:rsid w:val="5C4E28F2"/>
    <w:rsid w:val="5C4F2412"/>
    <w:rsid w:val="5C525071"/>
    <w:rsid w:val="5C583771"/>
    <w:rsid w:val="5C5872CD"/>
    <w:rsid w:val="5C593AC2"/>
    <w:rsid w:val="5C5B500F"/>
    <w:rsid w:val="5C661A4A"/>
    <w:rsid w:val="5C685E55"/>
    <w:rsid w:val="5C6A7000"/>
    <w:rsid w:val="5C704E57"/>
    <w:rsid w:val="5C7346DF"/>
    <w:rsid w:val="5C741C2D"/>
    <w:rsid w:val="5C7834CB"/>
    <w:rsid w:val="5C7D454D"/>
    <w:rsid w:val="5C7F0CFE"/>
    <w:rsid w:val="5C82259C"/>
    <w:rsid w:val="5C8A31FF"/>
    <w:rsid w:val="5C8E5C48"/>
    <w:rsid w:val="5C98714B"/>
    <w:rsid w:val="5C9B540C"/>
    <w:rsid w:val="5C9C1945"/>
    <w:rsid w:val="5C9D2289"/>
    <w:rsid w:val="5CA415FB"/>
    <w:rsid w:val="5CA5069D"/>
    <w:rsid w:val="5CA83399"/>
    <w:rsid w:val="5CAE513F"/>
    <w:rsid w:val="5CB71FB5"/>
    <w:rsid w:val="5CBD35D4"/>
    <w:rsid w:val="5CC23BA2"/>
    <w:rsid w:val="5CC5181A"/>
    <w:rsid w:val="5CC93D27"/>
    <w:rsid w:val="5CD0702B"/>
    <w:rsid w:val="5CD252D1"/>
    <w:rsid w:val="5CD64696"/>
    <w:rsid w:val="5CD821BC"/>
    <w:rsid w:val="5CDA23D8"/>
    <w:rsid w:val="5CDE1165"/>
    <w:rsid w:val="5CDF148F"/>
    <w:rsid w:val="5CDF3213"/>
    <w:rsid w:val="5CE1177F"/>
    <w:rsid w:val="5CE15956"/>
    <w:rsid w:val="5CE17B0A"/>
    <w:rsid w:val="5CE779D0"/>
    <w:rsid w:val="5CEF76FB"/>
    <w:rsid w:val="5CF3349A"/>
    <w:rsid w:val="5CF44AE0"/>
    <w:rsid w:val="5CF54B1C"/>
    <w:rsid w:val="5CF74EA3"/>
    <w:rsid w:val="5CFA0384"/>
    <w:rsid w:val="5D0134C1"/>
    <w:rsid w:val="5D015BB7"/>
    <w:rsid w:val="5D02548B"/>
    <w:rsid w:val="5D027239"/>
    <w:rsid w:val="5D0D6309"/>
    <w:rsid w:val="5D1458EA"/>
    <w:rsid w:val="5D1A2D78"/>
    <w:rsid w:val="5D1F428F"/>
    <w:rsid w:val="5D235B2D"/>
    <w:rsid w:val="5D2672BC"/>
    <w:rsid w:val="5D27532B"/>
    <w:rsid w:val="5D2B6790"/>
    <w:rsid w:val="5D2D2508"/>
    <w:rsid w:val="5D301260"/>
    <w:rsid w:val="5D327B1E"/>
    <w:rsid w:val="5D3B6F2A"/>
    <w:rsid w:val="5D3E051F"/>
    <w:rsid w:val="5D3F4364"/>
    <w:rsid w:val="5D441E39"/>
    <w:rsid w:val="5D515259"/>
    <w:rsid w:val="5D5757D7"/>
    <w:rsid w:val="5D584A99"/>
    <w:rsid w:val="5D5B6EE1"/>
    <w:rsid w:val="5D5C4B9B"/>
    <w:rsid w:val="5D6121B1"/>
    <w:rsid w:val="5D613BCB"/>
    <w:rsid w:val="5D6250B4"/>
    <w:rsid w:val="5D631084"/>
    <w:rsid w:val="5D7416F1"/>
    <w:rsid w:val="5D795F6D"/>
    <w:rsid w:val="5D7A3273"/>
    <w:rsid w:val="5D7E0E10"/>
    <w:rsid w:val="5D7F34E2"/>
    <w:rsid w:val="5D820D7F"/>
    <w:rsid w:val="5D876A04"/>
    <w:rsid w:val="5D884E5F"/>
    <w:rsid w:val="5D8F289A"/>
    <w:rsid w:val="5D9216EA"/>
    <w:rsid w:val="5D943DC1"/>
    <w:rsid w:val="5D9B1B67"/>
    <w:rsid w:val="5D9E6676"/>
    <w:rsid w:val="5DA14CA4"/>
    <w:rsid w:val="5DA34FE8"/>
    <w:rsid w:val="5DA87DE0"/>
    <w:rsid w:val="5DAC0B1E"/>
    <w:rsid w:val="5DAF3EB2"/>
    <w:rsid w:val="5DB4354B"/>
    <w:rsid w:val="5DB4432F"/>
    <w:rsid w:val="5DBB383A"/>
    <w:rsid w:val="5DBE03FE"/>
    <w:rsid w:val="5DBE13B2"/>
    <w:rsid w:val="5DBE7604"/>
    <w:rsid w:val="5DC15346"/>
    <w:rsid w:val="5DC170F4"/>
    <w:rsid w:val="5DC56BE4"/>
    <w:rsid w:val="5DC7223B"/>
    <w:rsid w:val="5DD21301"/>
    <w:rsid w:val="5DD24E5D"/>
    <w:rsid w:val="5DD86977"/>
    <w:rsid w:val="5DDC146F"/>
    <w:rsid w:val="5DE51034"/>
    <w:rsid w:val="5DE63BD7"/>
    <w:rsid w:val="5DE80B25"/>
    <w:rsid w:val="5DEA1D56"/>
    <w:rsid w:val="5DF23751"/>
    <w:rsid w:val="5DF272AD"/>
    <w:rsid w:val="5DFD07C0"/>
    <w:rsid w:val="5E0206DF"/>
    <w:rsid w:val="5E041FD8"/>
    <w:rsid w:val="5E0764B7"/>
    <w:rsid w:val="5E0A2849"/>
    <w:rsid w:val="5E0B4490"/>
    <w:rsid w:val="5E127071"/>
    <w:rsid w:val="5E1611EE"/>
    <w:rsid w:val="5E163EC6"/>
    <w:rsid w:val="5E1704AA"/>
    <w:rsid w:val="5E180EF4"/>
    <w:rsid w:val="5E18474A"/>
    <w:rsid w:val="5E18686B"/>
    <w:rsid w:val="5E1C432A"/>
    <w:rsid w:val="5E1C66D3"/>
    <w:rsid w:val="5E1E3878"/>
    <w:rsid w:val="5E1E62F4"/>
    <w:rsid w:val="5E254020"/>
    <w:rsid w:val="5E26485E"/>
    <w:rsid w:val="5E2725DC"/>
    <w:rsid w:val="5E2814C4"/>
    <w:rsid w:val="5E293092"/>
    <w:rsid w:val="5E2A6A47"/>
    <w:rsid w:val="5E2F35DF"/>
    <w:rsid w:val="5E345B18"/>
    <w:rsid w:val="5E3E6996"/>
    <w:rsid w:val="5E413D91"/>
    <w:rsid w:val="5E427006"/>
    <w:rsid w:val="5E442CB7"/>
    <w:rsid w:val="5E473A9D"/>
    <w:rsid w:val="5E4A3516"/>
    <w:rsid w:val="5E4C4C10"/>
    <w:rsid w:val="5E4C6BBC"/>
    <w:rsid w:val="5E4F1CDA"/>
    <w:rsid w:val="5E4F4700"/>
    <w:rsid w:val="5E5166CA"/>
    <w:rsid w:val="5E536942"/>
    <w:rsid w:val="5E545207"/>
    <w:rsid w:val="5E574F7A"/>
    <w:rsid w:val="5E5810F8"/>
    <w:rsid w:val="5E5E2B95"/>
    <w:rsid w:val="5E60047B"/>
    <w:rsid w:val="5E6155FE"/>
    <w:rsid w:val="5E6F08FE"/>
    <w:rsid w:val="5E7303EE"/>
    <w:rsid w:val="5E731EEF"/>
    <w:rsid w:val="5E79352B"/>
    <w:rsid w:val="5E7C38CA"/>
    <w:rsid w:val="5E7F3237"/>
    <w:rsid w:val="5E802B0B"/>
    <w:rsid w:val="5E8124A0"/>
    <w:rsid w:val="5E873F6F"/>
    <w:rsid w:val="5E8E26A4"/>
    <w:rsid w:val="5EA77D17"/>
    <w:rsid w:val="5EAA1DD9"/>
    <w:rsid w:val="5EAB402C"/>
    <w:rsid w:val="5EAE7678"/>
    <w:rsid w:val="5EAF6076"/>
    <w:rsid w:val="5EB2314A"/>
    <w:rsid w:val="5EB56C59"/>
    <w:rsid w:val="5EB57BCF"/>
    <w:rsid w:val="5EC450EE"/>
    <w:rsid w:val="5EC648CD"/>
    <w:rsid w:val="5EC809F4"/>
    <w:rsid w:val="5ED06163"/>
    <w:rsid w:val="5ED909AE"/>
    <w:rsid w:val="5EDD7F5D"/>
    <w:rsid w:val="5EE20946"/>
    <w:rsid w:val="5EE44E48"/>
    <w:rsid w:val="5EEC25B2"/>
    <w:rsid w:val="5EF64B7B"/>
    <w:rsid w:val="5EFA18BB"/>
    <w:rsid w:val="5EFA28BD"/>
    <w:rsid w:val="5EFF1C82"/>
    <w:rsid w:val="5F014F67"/>
    <w:rsid w:val="5F03515E"/>
    <w:rsid w:val="5F0D1098"/>
    <w:rsid w:val="5F0F19B8"/>
    <w:rsid w:val="5F1675C6"/>
    <w:rsid w:val="5F1D035A"/>
    <w:rsid w:val="5F20181C"/>
    <w:rsid w:val="5F27521E"/>
    <w:rsid w:val="5F2E60FA"/>
    <w:rsid w:val="5F3608F5"/>
    <w:rsid w:val="5F3C1128"/>
    <w:rsid w:val="5F3D00E1"/>
    <w:rsid w:val="5F3D3985"/>
    <w:rsid w:val="5F3F4774"/>
    <w:rsid w:val="5F477C2A"/>
    <w:rsid w:val="5F48379A"/>
    <w:rsid w:val="5F487ACD"/>
    <w:rsid w:val="5F49114F"/>
    <w:rsid w:val="5F4B7EC1"/>
    <w:rsid w:val="5F4E5671"/>
    <w:rsid w:val="5F54797E"/>
    <w:rsid w:val="5F561124"/>
    <w:rsid w:val="5F5E28DD"/>
    <w:rsid w:val="5F6076AF"/>
    <w:rsid w:val="5F623CFA"/>
    <w:rsid w:val="5F630E9D"/>
    <w:rsid w:val="5F6E5059"/>
    <w:rsid w:val="5F7505BB"/>
    <w:rsid w:val="5F795F2D"/>
    <w:rsid w:val="5F7B3891"/>
    <w:rsid w:val="5F7C32D2"/>
    <w:rsid w:val="5F7F7F09"/>
    <w:rsid w:val="5F812DA9"/>
    <w:rsid w:val="5F814D8D"/>
    <w:rsid w:val="5F8613F6"/>
    <w:rsid w:val="5F8B1768"/>
    <w:rsid w:val="5F922535"/>
    <w:rsid w:val="5F973A30"/>
    <w:rsid w:val="5F9F3465"/>
    <w:rsid w:val="5FA01B9B"/>
    <w:rsid w:val="5FA47A9A"/>
    <w:rsid w:val="5FA62A45"/>
    <w:rsid w:val="5FA865BC"/>
    <w:rsid w:val="5FAD16DE"/>
    <w:rsid w:val="5FAF52EE"/>
    <w:rsid w:val="5FB05672"/>
    <w:rsid w:val="5FB420A7"/>
    <w:rsid w:val="5FB4701C"/>
    <w:rsid w:val="5FB54A36"/>
    <w:rsid w:val="5FB707AE"/>
    <w:rsid w:val="5FBB029F"/>
    <w:rsid w:val="5FBD31C7"/>
    <w:rsid w:val="5FBD4480"/>
    <w:rsid w:val="5FC34143"/>
    <w:rsid w:val="5FCB4CE9"/>
    <w:rsid w:val="5FD03A22"/>
    <w:rsid w:val="5FD96977"/>
    <w:rsid w:val="5FDB26EF"/>
    <w:rsid w:val="5FDC78E1"/>
    <w:rsid w:val="5FDE21DF"/>
    <w:rsid w:val="5FDE3E83"/>
    <w:rsid w:val="5FE122F1"/>
    <w:rsid w:val="5FE64BF0"/>
    <w:rsid w:val="5FEB2206"/>
    <w:rsid w:val="5FED5F7E"/>
    <w:rsid w:val="5FEF48C7"/>
    <w:rsid w:val="5FF078FF"/>
    <w:rsid w:val="5FF13CC0"/>
    <w:rsid w:val="5FF27A39"/>
    <w:rsid w:val="5FF4555F"/>
    <w:rsid w:val="5FF6646E"/>
    <w:rsid w:val="5FF92B75"/>
    <w:rsid w:val="601260A9"/>
    <w:rsid w:val="60136F65"/>
    <w:rsid w:val="601479AF"/>
    <w:rsid w:val="6015244D"/>
    <w:rsid w:val="601B0B11"/>
    <w:rsid w:val="601F4A3C"/>
    <w:rsid w:val="60200102"/>
    <w:rsid w:val="6025396A"/>
    <w:rsid w:val="602A5424"/>
    <w:rsid w:val="602B3912"/>
    <w:rsid w:val="602C265E"/>
    <w:rsid w:val="602C2E66"/>
    <w:rsid w:val="60341DFF"/>
    <w:rsid w:val="603443B1"/>
    <w:rsid w:val="60352AAC"/>
    <w:rsid w:val="603620DB"/>
    <w:rsid w:val="603C0CB4"/>
    <w:rsid w:val="60402552"/>
    <w:rsid w:val="60411AA3"/>
    <w:rsid w:val="60491A92"/>
    <w:rsid w:val="60494C8A"/>
    <w:rsid w:val="604E1113"/>
    <w:rsid w:val="605129B1"/>
    <w:rsid w:val="6056497F"/>
    <w:rsid w:val="60580360"/>
    <w:rsid w:val="605A5EE4"/>
    <w:rsid w:val="60624553"/>
    <w:rsid w:val="60633696"/>
    <w:rsid w:val="606359E6"/>
    <w:rsid w:val="60636240"/>
    <w:rsid w:val="606964C9"/>
    <w:rsid w:val="606E745A"/>
    <w:rsid w:val="607526B4"/>
    <w:rsid w:val="60793C78"/>
    <w:rsid w:val="607B1928"/>
    <w:rsid w:val="607C617A"/>
    <w:rsid w:val="6084377A"/>
    <w:rsid w:val="608A7C71"/>
    <w:rsid w:val="60A06C4D"/>
    <w:rsid w:val="60A13198"/>
    <w:rsid w:val="60A24FBB"/>
    <w:rsid w:val="60A41C8B"/>
    <w:rsid w:val="60A521A0"/>
    <w:rsid w:val="60AA172A"/>
    <w:rsid w:val="60AF1486"/>
    <w:rsid w:val="60B445C7"/>
    <w:rsid w:val="60BA0556"/>
    <w:rsid w:val="60BB348D"/>
    <w:rsid w:val="60BD0047"/>
    <w:rsid w:val="60BD2AB5"/>
    <w:rsid w:val="60BD58AC"/>
    <w:rsid w:val="60C1676D"/>
    <w:rsid w:val="60C33FC4"/>
    <w:rsid w:val="60C456FF"/>
    <w:rsid w:val="60C72C73"/>
    <w:rsid w:val="60CC64DC"/>
    <w:rsid w:val="60CE1EFB"/>
    <w:rsid w:val="60D4713E"/>
    <w:rsid w:val="60D63B2E"/>
    <w:rsid w:val="60D809DC"/>
    <w:rsid w:val="60DC169F"/>
    <w:rsid w:val="60DF1D6B"/>
    <w:rsid w:val="60E277A8"/>
    <w:rsid w:val="60E65FC9"/>
    <w:rsid w:val="60EA66DE"/>
    <w:rsid w:val="60F02AC0"/>
    <w:rsid w:val="60FE666C"/>
    <w:rsid w:val="61021EFD"/>
    <w:rsid w:val="61042C76"/>
    <w:rsid w:val="61050A04"/>
    <w:rsid w:val="61066AA3"/>
    <w:rsid w:val="61083AAC"/>
    <w:rsid w:val="610C0686"/>
    <w:rsid w:val="610C4B2A"/>
    <w:rsid w:val="61113EEE"/>
    <w:rsid w:val="61167757"/>
    <w:rsid w:val="61177312"/>
    <w:rsid w:val="61181C3B"/>
    <w:rsid w:val="612F09ED"/>
    <w:rsid w:val="61333E65"/>
    <w:rsid w:val="61377DF9"/>
    <w:rsid w:val="61380167"/>
    <w:rsid w:val="61387EE8"/>
    <w:rsid w:val="613A3445"/>
    <w:rsid w:val="614147D4"/>
    <w:rsid w:val="6145155F"/>
    <w:rsid w:val="61475762"/>
    <w:rsid w:val="6149117D"/>
    <w:rsid w:val="614B7400"/>
    <w:rsid w:val="614E0C9F"/>
    <w:rsid w:val="6151078F"/>
    <w:rsid w:val="61513135"/>
    <w:rsid w:val="61520175"/>
    <w:rsid w:val="61614E76"/>
    <w:rsid w:val="6162474A"/>
    <w:rsid w:val="61627EF2"/>
    <w:rsid w:val="616404C2"/>
    <w:rsid w:val="61665FE8"/>
    <w:rsid w:val="61677FB2"/>
    <w:rsid w:val="61690897"/>
    <w:rsid w:val="61694115"/>
    <w:rsid w:val="61696F28"/>
    <w:rsid w:val="617B5F04"/>
    <w:rsid w:val="61840B64"/>
    <w:rsid w:val="6186304B"/>
    <w:rsid w:val="61952D71"/>
    <w:rsid w:val="61973DDE"/>
    <w:rsid w:val="619743F4"/>
    <w:rsid w:val="619F774C"/>
    <w:rsid w:val="61A30A46"/>
    <w:rsid w:val="61A37FBF"/>
    <w:rsid w:val="61A86601"/>
    <w:rsid w:val="61AC4F34"/>
    <w:rsid w:val="61AD67D9"/>
    <w:rsid w:val="61AF3E33"/>
    <w:rsid w:val="61B42D8B"/>
    <w:rsid w:val="61B5218A"/>
    <w:rsid w:val="61B76844"/>
    <w:rsid w:val="61BE00C7"/>
    <w:rsid w:val="61C667E4"/>
    <w:rsid w:val="61CC3C88"/>
    <w:rsid w:val="61D05715"/>
    <w:rsid w:val="61D54F1C"/>
    <w:rsid w:val="61DB43ED"/>
    <w:rsid w:val="61DC661C"/>
    <w:rsid w:val="61E1276F"/>
    <w:rsid w:val="61E6537B"/>
    <w:rsid w:val="61E6665C"/>
    <w:rsid w:val="61E84C4F"/>
    <w:rsid w:val="61F21F72"/>
    <w:rsid w:val="61F24E65"/>
    <w:rsid w:val="61FB4D8E"/>
    <w:rsid w:val="61FC6B54"/>
    <w:rsid w:val="62074A71"/>
    <w:rsid w:val="6208709F"/>
    <w:rsid w:val="620D46B6"/>
    <w:rsid w:val="62132AC5"/>
    <w:rsid w:val="62195750"/>
    <w:rsid w:val="621F43E9"/>
    <w:rsid w:val="622112F5"/>
    <w:rsid w:val="622A102E"/>
    <w:rsid w:val="622D2FAA"/>
    <w:rsid w:val="622D7B47"/>
    <w:rsid w:val="62307304"/>
    <w:rsid w:val="62373E29"/>
    <w:rsid w:val="623916BE"/>
    <w:rsid w:val="623B56C7"/>
    <w:rsid w:val="62402A42"/>
    <w:rsid w:val="624502F4"/>
    <w:rsid w:val="624C6E26"/>
    <w:rsid w:val="624E486D"/>
    <w:rsid w:val="625C73EB"/>
    <w:rsid w:val="62652AE1"/>
    <w:rsid w:val="626544F2"/>
    <w:rsid w:val="6267026A"/>
    <w:rsid w:val="62686413"/>
    <w:rsid w:val="62692F2D"/>
    <w:rsid w:val="626B289A"/>
    <w:rsid w:val="626C0F4F"/>
    <w:rsid w:val="626D635F"/>
    <w:rsid w:val="627A6223"/>
    <w:rsid w:val="627C1957"/>
    <w:rsid w:val="62803628"/>
    <w:rsid w:val="6280757E"/>
    <w:rsid w:val="62870D02"/>
    <w:rsid w:val="628D57F7"/>
    <w:rsid w:val="6291178B"/>
    <w:rsid w:val="62913E5B"/>
    <w:rsid w:val="62937F82"/>
    <w:rsid w:val="629503BF"/>
    <w:rsid w:val="6295776A"/>
    <w:rsid w:val="6297662A"/>
    <w:rsid w:val="629B323B"/>
    <w:rsid w:val="629E37E6"/>
    <w:rsid w:val="629E5C56"/>
    <w:rsid w:val="629F278C"/>
    <w:rsid w:val="62A31220"/>
    <w:rsid w:val="62B00A61"/>
    <w:rsid w:val="62B02E9C"/>
    <w:rsid w:val="62B13E15"/>
    <w:rsid w:val="62B31701"/>
    <w:rsid w:val="62BA6970"/>
    <w:rsid w:val="62BC7E8A"/>
    <w:rsid w:val="62C21463"/>
    <w:rsid w:val="62C236F2"/>
    <w:rsid w:val="62C25C0C"/>
    <w:rsid w:val="62C443B6"/>
    <w:rsid w:val="62CD5509"/>
    <w:rsid w:val="62CF1196"/>
    <w:rsid w:val="62D41C4B"/>
    <w:rsid w:val="62D578C9"/>
    <w:rsid w:val="62D82F16"/>
    <w:rsid w:val="62DF0794"/>
    <w:rsid w:val="62E15AE5"/>
    <w:rsid w:val="62E53885"/>
    <w:rsid w:val="62EA2C49"/>
    <w:rsid w:val="62ED7B55"/>
    <w:rsid w:val="62FE737D"/>
    <w:rsid w:val="63077F65"/>
    <w:rsid w:val="630930CF"/>
    <w:rsid w:val="630A7489"/>
    <w:rsid w:val="630F445E"/>
    <w:rsid w:val="63100C30"/>
    <w:rsid w:val="631660B0"/>
    <w:rsid w:val="631D301E"/>
    <w:rsid w:val="63232C71"/>
    <w:rsid w:val="63291928"/>
    <w:rsid w:val="632A1297"/>
    <w:rsid w:val="632C3261"/>
    <w:rsid w:val="632F6E64"/>
    <w:rsid w:val="63301343"/>
    <w:rsid w:val="63332842"/>
    <w:rsid w:val="63334A90"/>
    <w:rsid w:val="63352186"/>
    <w:rsid w:val="633B5253"/>
    <w:rsid w:val="633C694F"/>
    <w:rsid w:val="633D721D"/>
    <w:rsid w:val="633E4E82"/>
    <w:rsid w:val="633F11E7"/>
    <w:rsid w:val="634467FD"/>
    <w:rsid w:val="6347009B"/>
    <w:rsid w:val="635025C8"/>
    <w:rsid w:val="635212EF"/>
    <w:rsid w:val="6352254F"/>
    <w:rsid w:val="63552E8A"/>
    <w:rsid w:val="63554566"/>
    <w:rsid w:val="635923F7"/>
    <w:rsid w:val="635B1617"/>
    <w:rsid w:val="635B4CC7"/>
    <w:rsid w:val="635B7642"/>
    <w:rsid w:val="635C5978"/>
    <w:rsid w:val="636130E0"/>
    <w:rsid w:val="63627732"/>
    <w:rsid w:val="63666773"/>
    <w:rsid w:val="63697E6A"/>
    <w:rsid w:val="636A5214"/>
    <w:rsid w:val="636A6886"/>
    <w:rsid w:val="636E564F"/>
    <w:rsid w:val="636E73D6"/>
    <w:rsid w:val="637349EC"/>
    <w:rsid w:val="637372C1"/>
    <w:rsid w:val="637D075E"/>
    <w:rsid w:val="637F15F9"/>
    <w:rsid w:val="63891F1F"/>
    <w:rsid w:val="63894210"/>
    <w:rsid w:val="638C7AC1"/>
    <w:rsid w:val="638D1F52"/>
    <w:rsid w:val="63950C34"/>
    <w:rsid w:val="63A45B72"/>
    <w:rsid w:val="63A53508"/>
    <w:rsid w:val="63AA1BCD"/>
    <w:rsid w:val="63AE1B9F"/>
    <w:rsid w:val="63B06793"/>
    <w:rsid w:val="63B079EF"/>
    <w:rsid w:val="63BA261B"/>
    <w:rsid w:val="63BE035D"/>
    <w:rsid w:val="63C0668C"/>
    <w:rsid w:val="63C51931"/>
    <w:rsid w:val="63CD7716"/>
    <w:rsid w:val="63D00091"/>
    <w:rsid w:val="63D62269"/>
    <w:rsid w:val="63DA4A6C"/>
    <w:rsid w:val="63DB4576"/>
    <w:rsid w:val="63E034FC"/>
    <w:rsid w:val="63E44975"/>
    <w:rsid w:val="63E86948"/>
    <w:rsid w:val="63F7561D"/>
    <w:rsid w:val="63F82FF9"/>
    <w:rsid w:val="63FB5C60"/>
    <w:rsid w:val="63FE4BFE"/>
    <w:rsid w:val="640121BB"/>
    <w:rsid w:val="64037F24"/>
    <w:rsid w:val="64046278"/>
    <w:rsid w:val="6407369F"/>
    <w:rsid w:val="640815D9"/>
    <w:rsid w:val="640E2967"/>
    <w:rsid w:val="64137F7D"/>
    <w:rsid w:val="64142999"/>
    <w:rsid w:val="64175CC0"/>
    <w:rsid w:val="642B176B"/>
    <w:rsid w:val="642C3EEA"/>
    <w:rsid w:val="642C54C7"/>
    <w:rsid w:val="642E7A37"/>
    <w:rsid w:val="643237A5"/>
    <w:rsid w:val="64346872"/>
    <w:rsid w:val="6436623C"/>
    <w:rsid w:val="643855FF"/>
    <w:rsid w:val="643A21BF"/>
    <w:rsid w:val="64414AEB"/>
    <w:rsid w:val="64484B87"/>
    <w:rsid w:val="64487C27"/>
    <w:rsid w:val="64495E73"/>
    <w:rsid w:val="644B7576"/>
    <w:rsid w:val="644C042E"/>
    <w:rsid w:val="644F7208"/>
    <w:rsid w:val="64607667"/>
    <w:rsid w:val="64613556"/>
    <w:rsid w:val="646144B1"/>
    <w:rsid w:val="64626A30"/>
    <w:rsid w:val="64664551"/>
    <w:rsid w:val="646857E3"/>
    <w:rsid w:val="646F3406"/>
    <w:rsid w:val="647153D0"/>
    <w:rsid w:val="647C6712"/>
    <w:rsid w:val="647F30D1"/>
    <w:rsid w:val="64805613"/>
    <w:rsid w:val="64831853"/>
    <w:rsid w:val="64886EB0"/>
    <w:rsid w:val="648D7D30"/>
    <w:rsid w:val="64915201"/>
    <w:rsid w:val="64923598"/>
    <w:rsid w:val="6492443E"/>
    <w:rsid w:val="64947D16"/>
    <w:rsid w:val="6495567F"/>
    <w:rsid w:val="649E1F3D"/>
    <w:rsid w:val="64A50618"/>
    <w:rsid w:val="64B04BF4"/>
    <w:rsid w:val="64B67287"/>
    <w:rsid w:val="64B976B2"/>
    <w:rsid w:val="64BC50A8"/>
    <w:rsid w:val="64CC0858"/>
    <w:rsid w:val="64D55566"/>
    <w:rsid w:val="64D704F4"/>
    <w:rsid w:val="64D771FD"/>
    <w:rsid w:val="64DC78B8"/>
    <w:rsid w:val="64DE058B"/>
    <w:rsid w:val="64DF6B47"/>
    <w:rsid w:val="64E030DF"/>
    <w:rsid w:val="64E1336B"/>
    <w:rsid w:val="64E262CE"/>
    <w:rsid w:val="64E40E6A"/>
    <w:rsid w:val="64E42046"/>
    <w:rsid w:val="64E5191A"/>
    <w:rsid w:val="64EA33D4"/>
    <w:rsid w:val="64EA5A43"/>
    <w:rsid w:val="64EB4CCD"/>
    <w:rsid w:val="64F270AC"/>
    <w:rsid w:val="64F54AB1"/>
    <w:rsid w:val="64F664FA"/>
    <w:rsid w:val="64FE4734"/>
    <w:rsid w:val="64FE4ED3"/>
    <w:rsid w:val="65002528"/>
    <w:rsid w:val="65046244"/>
    <w:rsid w:val="65051FBC"/>
    <w:rsid w:val="65064C01"/>
    <w:rsid w:val="65065370"/>
    <w:rsid w:val="6509385A"/>
    <w:rsid w:val="651135B3"/>
    <w:rsid w:val="651A0578"/>
    <w:rsid w:val="651B358E"/>
    <w:rsid w:val="651D2067"/>
    <w:rsid w:val="651E6BDA"/>
    <w:rsid w:val="651F4987"/>
    <w:rsid w:val="6521758C"/>
    <w:rsid w:val="6522491C"/>
    <w:rsid w:val="6525440C"/>
    <w:rsid w:val="652667D3"/>
    <w:rsid w:val="65271F32"/>
    <w:rsid w:val="65292472"/>
    <w:rsid w:val="65293EFC"/>
    <w:rsid w:val="652B0517"/>
    <w:rsid w:val="652B4D81"/>
    <w:rsid w:val="652C2DFC"/>
    <w:rsid w:val="652E32C1"/>
    <w:rsid w:val="65312DB1"/>
    <w:rsid w:val="6531690D"/>
    <w:rsid w:val="65363F24"/>
    <w:rsid w:val="653D52B2"/>
    <w:rsid w:val="653F294D"/>
    <w:rsid w:val="653F727C"/>
    <w:rsid w:val="65444892"/>
    <w:rsid w:val="654C2076"/>
    <w:rsid w:val="654C747E"/>
    <w:rsid w:val="6552134C"/>
    <w:rsid w:val="6553078D"/>
    <w:rsid w:val="65605670"/>
    <w:rsid w:val="656A42D9"/>
    <w:rsid w:val="656F3DC7"/>
    <w:rsid w:val="65761938"/>
    <w:rsid w:val="6579736B"/>
    <w:rsid w:val="657B402C"/>
    <w:rsid w:val="657D1B52"/>
    <w:rsid w:val="65815A70"/>
    <w:rsid w:val="65841133"/>
    <w:rsid w:val="658730AF"/>
    <w:rsid w:val="65876E75"/>
    <w:rsid w:val="65877BED"/>
    <w:rsid w:val="65882D0B"/>
    <w:rsid w:val="65892A2A"/>
    <w:rsid w:val="658C7FE7"/>
    <w:rsid w:val="659059BC"/>
    <w:rsid w:val="65943D2E"/>
    <w:rsid w:val="65994698"/>
    <w:rsid w:val="659D3FA3"/>
    <w:rsid w:val="65A103A1"/>
    <w:rsid w:val="65AA24B1"/>
    <w:rsid w:val="65AE4402"/>
    <w:rsid w:val="65AF7B55"/>
    <w:rsid w:val="65B141EA"/>
    <w:rsid w:val="65B337C6"/>
    <w:rsid w:val="65B779D6"/>
    <w:rsid w:val="65B923E3"/>
    <w:rsid w:val="65BD4645"/>
    <w:rsid w:val="65BD5A7F"/>
    <w:rsid w:val="65C32A3D"/>
    <w:rsid w:val="65C43C25"/>
    <w:rsid w:val="65C50D1A"/>
    <w:rsid w:val="65C55159"/>
    <w:rsid w:val="65C71020"/>
    <w:rsid w:val="65D21DE8"/>
    <w:rsid w:val="65D315FF"/>
    <w:rsid w:val="65D33E68"/>
    <w:rsid w:val="65D5373C"/>
    <w:rsid w:val="65D5605E"/>
    <w:rsid w:val="65D610FA"/>
    <w:rsid w:val="65DA51F7"/>
    <w:rsid w:val="65DD2E84"/>
    <w:rsid w:val="65E1688D"/>
    <w:rsid w:val="65E6594A"/>
    <w:rsid w:val="65E76CC4"/>
    <w:rsid w:val="65F14EBD"/>
    <w:rsid w:val="65F917A1"/>
    <w:rsid w:val="66043597"/>
    <w:rsid w:val="6608615A"/>
    <w:rsid w:val="660A5ADC"/>
    <w:rsid w:val="660C3AF8"/>
    <w:rsid w:val="660D2ED6"/>
    <w:rsid w:val="660D7B9C"/>
    <w:rsid w:val="660F50CF"/>
    <w:rsid w:val="661204ED"/>
    <w:rsid w:val="66141D57"/>
    <w:rsid w:val="6615622F"/>
    <w:rsid w:val="66187ACD"/>
    <w:rsid w:val="661F2C0A"/>
    <w:rsid w:val="6620359F"/>
    <w:rsid w:val="662D11E6"/>
    <w:rsid w:val="662E7273"/>
    <w:rsid w:val="66365D84"/>
    <w:rsid w:val="6638106D"/>
    <w:rsid w:val="66390BC2"/>
    <w:rsid w:val="66391F1D"/>
    <w:rsid w:val="66393764"/>
    <w:rsid w:val="663C7C5F"/>
    <w:rsid w:val="663D7E90"/>
    <w:rsid w:val="66427B15"/>
    <w:rsid w:val="664A412A"/>
    <w:rsid w:val="66527571"/>
    <w:rsid w:val="66540B05"/>
    <w:rsid w:val="6659436D"/>
    <w:rsid w:val="6659611C"/>
    <w:rsid w:val="665D3D8F"/>
    <w:rsid w:val="66602BC7"/>
    <w:rsid w:val="666D7E19"/>
    <w:rsid w:val="6672542F"/>
    <w:rsid w:val="66734DBC"/>
    <w:rsid w:val="66754F1F"/>
    <w:rsid w:val="66794A10"/>
    <w:rsid w:val="667A512E"/>
    <w:rsid w:val="667D4F66"/>
    <w:rsid w:val="667E0188"/>
    <w:rsid w:val="667E42FD"/>
    <w:rsid w:val="6683233A"/>
    <w:rsid w:val="66876081"/>
    <w:rsid w:val="668A4527"/>
    <w:rsid w:val="668E78CD"/>
    <w:rsid w:val="66967370"/>
    <w:rsid w:val="66981404"/>
    <w:rsid w:val="669B5028"/>
    <w:rsid w:val="669C06FE"/>
    <w:rsid w:val="669C293B"/>
    <w:rsid w:val="669E6224"/>
    <w:rsid w:val="66A17AC3"/>
    <w:rsid w:val="66A7076B"/>
    <w:rsid w:val="66AB41DC"/>
    <w:rsid w:val="66AC29D5"/>
    <w:rsid w:val="66AD46B9"/>
    <w:rsid w:val="66AE6350"/>
    <w:rsid w:val="66B0547D"/>
    <w:rsid w:val="66B126AC"/>
    <w:rsid w:val="66B617C0"/>
    <w:rsid w:val="66BE7558"/>
    <w:rsid w:val="66C447A6"/>
    <w:rsid w:val="66CD08B8"/>
    <w:rsid w:val="66CD4D5B"/>
    <w:rsid w:val="66D33235"/>
    <w:rsid w:val="66D93700"/>
    <w:rsid w:val="66DB485A"/>
    <w:rsid w:val="66DC3E2C"/>
    <w:rsid w:val="66E0352A"/>
    <w:rsid w:val="66E704E6"/>
    <w:rsid w:val="66ED0F5A"/>
    <w:rsid w:val="66ED7FC0"/>
    <w:rsid w:val="66EF6D88"/>
    <w:rsid w:val="66F127F8"/>
    <w:rsid w:val="66F26570"/>
    <w:rsid w:val="66F6264B"/>
    <w:rsid w:val="66F756B2"/>
    <w:rsid w:val="66FD119D"/>
    <w:rsid w:val="66FD2343"/>
    <w:rsid w:val="66FD3A84"/>
    <w:rsid w:val="66FE7A12"/>
    <w:rsid w:val="67030A4B"/>
    <w:rsid w:val="6703521B"/>
    <w:rsid w:val="6705639B"/>
    <w:rsid w:val="67095D94"/>
    <w:rsid w:val="670C780B"/>
    <w:rsid w:val="670F58D2"/>
    <w:rsid w:val="6712234E"/>
    <w:rsid w:val="6712451C"/>
    <w:rsid w:val="67151166"/>
    <w:rsid w:val="67191D4F"/>
    <w:rsid w:val="671B6383"/>
    <w:rsid w:val="671C6AEB"/>
    <w:rsid w:val="671E1113"/>
    <w:rsid w:val="672030DD"/>
    <w:rsid w:val="67204E8B"/>
    <w:rsid w:val="672E75A8"/>
    <w:rsid w:val="67300A7E"/>
    <w:rsid w:val="673426E5"/>
    <w:rsid w:val="67361805"/>
    <w:rsid w:val="673D77EB"/>
    <w:rsid w:val="674509F6"/>
    <w:rsid w:val="674906F7"/>
    <w:rsid w:val="674A015A"/>
    <w:rsid w:val="674F0CAD"/>
    <w:rsid w:val="67515045"/>
    <w:rsid w:val="67582877"/>
    <w:rsid w:val="67595090"/>
    <w:rsid w:val="675C40F8"/>
    <w:rsid w:val="676077D1"/>
    <w:rsid w:val="676147DC"/>
    <w:rsid w:val="676254A4"/>
    <w:rsid w:val="67627252"/>
    <w:rsid w:val="6764746E"/>
    <w:rsid w:val="67672ABA"/>
    <w:rsid w:val="67676273"/>
    <w:rsid w:val="676B171D"/>
    <w:rsid w:val="676C5483"/>
    <w:rsid w:val="67746F85"/>
    <w:rsid w:val="677636D0"/>
    <w:rsid w:val="6778101E"/>
    <w:rsid w:val="67784CC7"/>
    <w:rsid w:val="677A0A3F"/>
    <w:rsid w:val="677B0314"/>
    <w:rsid w:val="677D22DE"/>
    <w:rsid w:val="677D408C"/>
    <w:rsid w:val="678371C8"/>
    <w:rsid w:val="6785252E"/>
    <w:rsid w:val="67883798"/>
    <w:rsid w:val="67896ED4"/>
    <w:rsid w:val="678B300A"/>
    <w:rsid w:val="678B43FF"/>
    <w:rsid w:val="679061BB"/>
    <w:rsid w:val="67916DB0"/>
    <w:rsid w:val="67955879"/>
    <w:rsid w:val="679B09B6"/>
    <w:rsid w:val="679D50B9"/>
    <w:rsid w:val="67AA376A"/>
    <w:rsid w:val="67B0620F"/>
    <w:rsid w:val="67B37A94"/>
    <w:rsid w:val="67B54917"/>
    <w:rsid w:val="67B81568"/>
    <w:rsid w:val="67BA708E"/>
    <w:rsid w:val="67BC16FA"/>
    <w:rsid w:val="67BD26DA"/>
    <w:rsid w:val="67BD76E1"/>
    <w:rsid w:val="67C16454"/>
    <w:rsid w:val="67C45239"/>
    <w:rsid w:val="67CD5371"/>
    <w:rsid w:val="67D11A02"/>
    <w:rsid w:val="67D57A24"/>
    <w:rsid w:val="67E220A2"/>
    <w:rsid w:val="67E4410B"/>
    <w:rsid w:val="67E47BAF"/>
    <w:rsid w:val="67E67E83"/>
    <w:rsid w:val="67E72967"/>
    <w:rsid w:val="67EC1211"/>
    <w:rsid w:val="67F0079E"/>
    <w:rsid w:val="67F21EBE"/>
    <w:rsid w:val="67F3434E"/>
    <w:rsid w:val="67FC60B7"/>
    <w:rsid w:val="680975BA"/>
    <w:rsid w:val="680B501F"/>
    <w:rsid w:val="680F7041"/>
    <w:rsid w:val="681345B8"/>
    <w:rsid w:val="681A18DB"/>
    <w:rsid w:val="681C56E8"/>
    <w:rsid w:val="68232E85"/>
    <w:rsid w:val="68273FF7"/>
    <w:rsid w:val="68297D70"/>
    <w:rsid w:val="68336E40"/>
    <w:rsid w:val="683834FE"/>
    <w:rsid w:val="683A2445"/>
    <w:rsid w:val="68403AFD"/>
    <w:rsid w:val="68430E58"/>
    <w:rsid w:val="684545C1"/>
    <w:rsid w:val="68541290"/>
    <w:rsid w:val="686113BA"/>
    <w:rsid w:val="68620649"/>
    <w:rsid w:val="68630D3F"/>
    <w:rsid w:val="6863434D"/>
    <w:rsid w:val="68637725"/>
    <w:rsid w:val="68660FC4"/>
    <w:rsid w:val="68690E30"/>
    <w:rsid w:val="686B6B0D"/>
    <w:rsid w:val="68721DB3"/>
    <w:rsid w:val="68727968"/>
    <w:rsid w:val="6875280B"/>
    <w:rsid w:val="687C07E7"/>
    <w:rsid w:val="687D5A18"/>
    <w:rsid w:val="687D7E6C"/>
    <w:rsid w:val="6884144A"/>
    <w:rsid w:val="688731D3"/>
    <w:rsid w:val="688B5105"/>
    <w:rsid w:val="688E1A70"/>
    <w:rsid w:val="68980099"/>
    <w:rsid w:val="689D3FFD"/>
    <w:rsid w:val="68A06E8C"/>
    <w:rsid w:val="68A23436"/>
    <w:rsid w:val="68AD1AA8"/>
    <w:rsid w:val="68AE7647"/>
    <w:rsid w:val="68B27FE5"/>
    <w:rsid w:val="68B33CBC"/>
    <w:rsid w:val="68B5009D"/>
    <w:rsid w:val="68BB130F"/>
    <w:rsid w:val="68BC404D"/>
    <w:rsid w:val="68BD5FEB"/>
    <w:rsid w:val="68BF69EE"/>
    <w:rsid w:val="68C05073"/>
    <w:rsid w:val="68C53F3C"/>
    <w:rsid w:val="68CC0D03"/>
    <w:rsid w:val="68CF6B69"/>
    <w:rsid w:val="68D423D1"/>
    <w:rsid w:val="68D81FC9"/>
    <w:rsid w:val="68E52BC5"/>
    <w:rsid w:val="68E71B98"/>
    <w:rsid w:val="68E80E73"/>
    <w:rsid w:val="68E92BD2"/>
    <w:rsid w:val="68ED3493"/>
    <w:rsid w:val="68EE27B7"/>
    <w:rsid w:val="68F17EB2"/>
    <w:rsid w:val="68F21DD6"/>
    <w:rsid w:val="68F6059A"/>
    <w:rsid w:val="68F63FD0"/>
    <w:rsid w:val="68F951EB"/>
    <w:rsid w:val="68FA0D09"/>
    <w:rsid w:val="68FC7232"/>
    <w:rsid w:val="69037434"/>
    <w:rsid w:val="690507DD"/>
    <w:rsid w:val="690518E3"/>
    <w:rsid w:val="69074555"/>
    <w:rsid w:val="69090935"/>
    <w:rsid w:val="69116C18"/>
    <w:rsid w:val="6913778D"/>
    <w:rsid w:val="692216E4"/>
    <w:rsid w:val="692349A9"/>
    <w:rsid w:val="6927100D"/>
    <w:rsid w:val="692769A5"/>
    <w:rsid w:val="692844CB"/>
    <w:rsid w:val="692D4CEA"/>
    <w:rsid w:val="6935729D"/>
    <w:rsid w:val="69362744"/>
    <w:rsid w:val="693E5A9D"/>
    <w:rsid w:val="69433CAC"/>
    <w:rsid w:val="69434E61"/>
    <w:rsid w:val="694A2693"/>
    <w:rsid w:val="694F1A58"/>
    <w:rsid w:val="69557280"/>
    <w:rsid w:val="69567CE1"/>
    <w:rsid w:val="695837E8"/>
    <w:rsid w:val="69647910"/>
    <w:rsid w:val="696A0640"/>
    <w:rsid w:val="697B284D"/>
    <w:rsid w:val="697D499D"/>
    <w:rsid w:val="697E2410"/>
    <w:rsid w:val="69852A6B"/>
    <w:rsid w:val="698612A5"/>
    <w:rsid w:val="69872CF3"/>
    <w:rsid w:val="698C2CAC"/>
    <w:rsid w:val="699157A6"/>
    <w:rsid w:val="69966F1F"/>
    <w:rsid w:val="699D5196"/>
    <w:rsid w:val="699F478D"/>
    <w:rsid w:val="69A262CD"/>
    <w:rsid w:val="69A82381"/>
    <w:rsid w:val="69A9504D"/>
    <w:rsid w:val="69A9560C"/>
    <w:rsid w:val="69AC2A06"/>
    <w:rsid w:val="69AE43A7"/>
    <w:rsid w:val="69AE6BD7"/>
    <w:rsid w:val="69AE7BC5"/>
    <w:rsid w:val="69AF0748"/>
    <w:rsid w:val="69B0271A"/>
    <w:rsid w:val="69B67D29"/>
    <w:rsid w:val="69C94295"/>
    <w:rsid w:val="69CF6E5F"/>
    <w:rsid w:val="69D11FEA"/>
    <w:rsid w:val="69D16911"/>
    <w:rsid w:val="69D81A4D"/>
    <w:rsid w:val="69E42DF0"/>
    <w:rsid w:val="69E71C2E"/>
    <w:rsid w:val="69EA17D9"/>
    <w:rsid w:val="69F85C4B"/>
    <w:rsid w:val="69FB573C"/>
    <w:rsid w:val="69FD3262"/>
    <w:rsid w:val="6A0202FD"/>
    <w:rsid w:val="6A021B51"/>
    <w:rsid w:val="6A050368"/>
    <w:rsid w:val="6A0518F8"/>
    <w:rsid w:val="6A0E36C1"/>
    <w:rsid w:val="6A102F95"/>
    <w:rsid w:val="6A107439"/>
    <w:rsid w:val="6A114A9A"/>
    <w:rsid w:val="6A1A0982"/>
    <w:rsid w:val="6A244C92"/>
    <w:rsid w:val="6A2627B9"/>
    <w:rsid w:val="6A342583"/>
    <w:rsid w:val="6A365B21"/>
    <w:rsid w:val="6A366774"/>
    <w:rsid w:val="6A422153"/>
    <w:rsid w:val="6A4470E3"/>
    <w:rsid w:val="6A476C62"/>
    <w:rsid w:val="6A4C6CBB"/>
    <w:rsid w:val="6A512E36"/>
    <w:rsid w:val="6A5135AE"/>
    <w:rsid w:val="6A5347B3"/>
    <w:rsid w:val="6A535578"/>
    <w:rsid w:val="6A5E0111"/>
    <w:rsid w:val="6A6B0B13"/>
    <w:rsid w:val="6A6F316D"/>
    <w:rsid w:val="6A7F45BF"/>
    <w:rsid w:val="6A8E035E"/>
    <w:rsid w:val="6A912DE0"/>
    <w:rsid w:val="6A935974"/>
    <w:rsid w:val="6A9401DE"/>
    <w:rsid w:val="6A943F85"/>
    <w:rsid w:val="6A977FEF"/>
    <w:rsid w:val="6A9B5332"/>
    <w:rsid w:val="6A9E2C97"/>
    <w:rsid w:val="6AA10091"/>
    <w:rsid w:val="6AA1131A"/>
    <w:rsid w:val="6AA933EA"/>
    <w:rsid w:val="6AAC487C"/>
    <w:rsid w:val="6AAD3143"/>
    <w:rsid w:val="6AAF3E38"/>
    <w:rsid w:val="6AB029CA"/>
    <w:rsid w:val="6ABC4ECB"/>
    <w:rsid w:val="6AC00B4D"/>
    <w:rsid w:val="6AC03367"/>
    <w:rsid w:val="6AC2152D"/>
    <w:rsid w:val="6AD26F50"/>
    <w:rsid w:val="6AD466B8"/>
    <w:rsid w:val="6AD54350"/>
    <w:rsid w:val="6AD80D14"/>
    <w:rsid w:val="6AE12B83"/>
    <w:rsid w:val="6AE6019A"/>
    <w:rsid w:val="6AE61B76"/>
    <w:rsid w:val="6AEC7D15"/>
    <w:rsid w:val="6AED32D6"/>
    <w:rsid w:val="6AF44665"/>
    <w:rsid w:val="6AF96F3D"/>
    <w:rsid w:val="6AFD7D57"/>
    <w:rsid w:val="6B032AFA"/>
    <w:rsid w:val="6B043F03"/>
    <w:rsid w:val="6B080100"/>
    <w:rsid w:val="6B1017A5"/>
    <w:rsid w:val="6B110DD4"/>
    <w:rsid w:val="6B166CD1"/>
    <w:rsid w:val="6B1A7FDC"/>
    <w:rsid w:val="6B1C57E8"/>
    <w:rsid w:val="6B222A27"/>
    <w:rsid w:val="6B264A3A"/>
    <w:rsid w:val="6B2A00D0"/>
    <w:rsid w:val="6B2E35BA"/>
    <w:rsid w:val="6B2F1B41"/>
    <w:rsid w:val="6B3233DF"/>
    <w:rsid w:val="6B3717AA"/>
    <w:rsid w:val="6B3A6E3B"/>
    <w:rsid w:val="6B3D34FE"/>
    <w:rsid w:val="6B3E6875"/>
    <w:rsid w:val="6B3E7FD6"/>
    <w:rsid w:val="6B453112"/>
    <w:rsid w:val="6B4E448C"/>
    <w:rsid w:val="6B555802"/>
    <w:rsid w:val="6B557938"/>
    <w:rsid w:val="6B5A3C35"/>
    <w:rsid w:val="6B5B2936"/>
    <w:rsid w:val="6B5B46E4"/>
    <w:rsid w:val="6B5D66AE"/>
    <w:rsid w:val="6B6611C3"/>
    <w:rsid w:val="6B66741E"/>
    <w:rsid w:val="6B671EB9"/>
    <w:rsid w:val="6B67752D"/>
    <w:rsid w:val="6B6F4633"/>
    <w:rsid w:val="6B713F07"/>
    <w:rsid w:val="6B753F21"/>
    <w:rsid w:val="6B785296"/>
    <w:rsid w:val="6B7C7A4B"/>
    <w:rsid w:val="6B80514F"/>
    <w:rsid w:val="6B87372B"/>
    <w:rsid w:val="6B8E29C0"/>
    <w:rsid w:val="6B900117"/>
    <w:rsid w:val="6B945E48"/>
    <w:rsid w:val="6B96396E"/>
    <w:rsid w:val="6B9B2D32"/>
    <w:rsid w:val="6B9D4CFC"/>
    <w:rsid w:val="6B9E0A74"/>
    <w:rsid w:val="6BA3608B"/>
    <w:rsid w:val="6BA72B30"/>
    <w:rsid w:val="6BA86101"/>
    <w:rsid w:val="6BAC7798"/>
    <w:rsid w:val="6BAD2501"/>
    <w:rsid w:val="6BAF40B2"/>
    <w:rsid w:val="6BB57E47"/>
    <w:rsid w:val="6BB74808"/>
    <w:rsid w:val="6BB77B3F"/>
    <w:rsid w:val="6BB87D88"/>
    <w:rsid w:val="6BB9765C"/>
    <w:rsid w:val="6BBB53B4"/>
    <w:rsid w:val="6BBD714D"/>
    <w:rsid w:val="6BC009EB"/>
    <w:rsid w:val="6BC03782"/>
    <w:rsid w:val="6BC229B5"/>
    <w:rsid w:val="6BC77FCB"/>
    <w:rsid w:val="6BCB40EA"/>
    <w:rsid w:val="6BD149A6"/>
    <w:rsid w:val="6BD44EF8"/>
    <w:rsid w:val="6BD526E8"/>
    <w:rsid w:val="6BD57763"/>
    <w:rsid w:val="6BDC2D4F"/>
    <w:rsid w:val="6BDF1392"/>
    <w:rsid w:val="6BDF3567"/>
    <w:rsid w:val="6BE02E3B"/>
    <w:rsid w:val="6BE50451"/>
    <w:rsid w:val="6BE7241B"/>
    <w:rsid w:val="6BE749C8"/>
    <w:rsid w:val="6BEB3756"/>
    <w:rsid w:val="6BEB3CFE"/>
    <w:rsid w:val="6BEE00B5"/>
    <w:rsid w:val="6BEF2B0E"/>
    <w:rsid w:val="6BF3491C"/>
    <w:rsid w:val="6C033A77"/>
    <w:rsid w:val="6C040115"/>
    <w:rsid w:val="6C053611"/>
    <w:rsid w:val="6C060AF4"/>
    <w:rsid w:val="6C0D4ACE"/>
    <w:rsid w:val="6C0F54CE"/>
    <w:rsid w:val="6C1929E0"/>
    <w:rsid w:val="6C1A634D"/>
    <w:rsid w:val="6C1F3963"/>
    <w:rsid w:val="6C2072C0"/>
    <w:rsid w:val="6C225202"/>
    <w:rsid w:val="6C292BE1"/>
    <w:rsid w:val="6C297FDE"/>
    <w:rsid w:val="6C2D7F5C"/>
    <w:rsid w:val="6C3311BD"/>
    <w:rsid w:val="6C346A47"/>
    <w:rsid w:val="6C382C77"/>
    <w:rsid w:val="6C393583"/>
    <w:rsid w:val="6C3B762A"/>
    <w:rsid w:val="6C3D1AE1"/>
    <w:rsid w:val="6C3E2B17"/>
    <w:rsid w:val="6C4038DA"/>
    <w:rsid w:val="6C430EC6"/>
    <w:rsid w:val="6C450EF0"/>
    <w:rsid w:val="6C460B8D"/>
    <w:rsid w:val="6C4B0260"/>
    <w:rsid w:val="6C4C4B88"/>
    <w:rsid w:val="6C5238F7"/>
    <w:rsid w:val="6C5850C7"/>
    <w:rsid w:val="6C60203D"/>
    <w:rsid w:val="6C604856"/>
    <w:rsid w:val="6C6217A7"/>
    <w:rsid w:val="6C6B4DFB"/>
    <w:rsid w:val="6C740C4D"/>
    <w:rsid w:val="6C747D90"/>
    <w:rsid w:val="6C7A6DEC"/>
    <w:rsid w:val="6C8163CC"/>
    <w:rsid w:val="6C860A2C"/>
    <w:rsid w:val="6C88775B"/>
    <w:rsid w:val="6C895962"/>
    <w:rsid w:val="6C8A2426"/>
    <w:rsid w:val="6C8B0AE9"/>
    <w:rsid w:val="6C976C1F"/>
    <w:rsid w:val="6CA02C98"/>
    <w:rsid w:val="6CA127B4"/>
    <w:rsid w:val="6CA27B74"/>
    <w:rsid w:val="6CA33476"/>
    <w:rsid w:val="6CA34594"/>
    <w:rsid w:val="6CA67BE1"/>
    <w:rsid w:val="6CA976D1"/>
    <w:rsid w:val="6CAE2F39"/>
    <w:rsid w:val="6CAE382B"/>
    <w:rsid w:val="6CB00A5F"/>
    <w:rsid w:val="6CB33693"/>
    <w:rsid w:val="6CB528A3"/>
    <w:rsid w:val="6CB55D42"/>
    <w:rsid w:val="6CB57243"/>
    <w:rsid w:val="6CB8671C"/>
    <w:rsid w:val="6CB90EA6"/>
    <w:rsid w:val="6CBA7A7E"/>
    <w:rsid w:val="6CBA7B30"/>
    <w:rsid w:val="6CBF6EF4"/>
    <w:rsid w:val="6CC77FD4"/>
    <w:rsid w:val="6CCB5481"/>
    <w:rsid w:val="6CCE5B95"/>
    <w:rsid w:val="6CD01102"/>
    <w:rsid w:val="6CD504C6"/>
    <w:rsid w:val="6CDB5E4B"/>
    <w:rsid w:val="6CE66A13"/>
    <w:rsid w:val="6CEC361C"/>
    <w:rsid w:val="6CF20041"/>
    <w:rsid w:val="6CF43042"/>
    <w:rsid w:val="6CFD1C68"/>
    <w:rsid w:val="6CFE7A1D"/>
    <w:rsid w:val="6CFF4016"/>
    <w:rsid w:val="6CFF5543"/>
    <w:rsid w:val="6D0607CC"/>
    <w:rsid w:val="6D091F16"/>
    <w:rsid w:val="6D0D4104"/>
    <w:rsid w:val="6D1347EA"/>
    <w:rsid w:val="6D140FEE"/>
    <w:rsid w:val="6D1B2C9B"/>
    <w:rsid w:val="6D1B5576"/>
    <w:rsid w:val="6D210F22"/>
    <w:rsid w:val="6D2471EB"/>
    <w:rsid w:val="6D2B6338"/>
    <w:rsid w:val="6D31159D"/>
    <w:rsid w:val="6D321474"/>
    <w:rsid w:val="6D3A50DF"/>
    <w:rsid w:val="6D3E42BD"/>
    <w:rsid w:val="6D503BE3"/>
    <w:rsid w:val="6D5164B6"/>
    <w:rsid w:val="6D545394"/>
    <w:rsid w:val="6D5C4743"/>
    <w:rsid w:val="6D5D0BE7"/>
    <w:rsid w:val="6D5F318C"/>
    <w:rsid w:val="6D605FE2"/>
    <w:rsid w:val="6D612985"/>
    <w:rsid w:val="6D614FFE"/>
    <w:rsid w:val="6D6840E5"/>
    <w:rsid w:val="6D6A21E0"/>
    <w:rsid w:val="6D7427C5"/>
    <w:rsid w:val="6D8223FC"/>
    <w:rsid w:val="6D8E6FF3"/>
    <w:rsid w:val="6D8F17B7"/>
    <w:rsid w:val="6D910EB2"/>
    <w:rsid w:val="6D940381"/>
    <w:rsid w:val="6D963072"/>
    <w:rsid w:val="6D9A25B3"/>
    <w:rsid w:val="6D9E2FAE"/>
    <w:rsid w:val="6DA118E1"/>
    <w:rsid w:val="6DA33AB1"/>
    <w:rsid w:val="6DA34120"/>
    <w:rsid w:val="6DA61D89"/>
    <w:rsid w:val="6DA75EB2"/>
    <w:rsid w:val="6DAB1855"/>
    <w:rsid w:val="6DB00E73"/>
    <w:rsid w:val="6DBD1686"/>
    <w:rsid w:val="6DC42A14"/>
    <w:rsid w:val="6DCC01D6"/>
    <w:rsid w:val="6DCF3167"/>
    <w:rsid w:val="6DD67BE0"/>
    <w:rsid w:val="6DD841D1"/>
    <w:rsid w:val="6DDD5884"/>
    <w:rsid w:val="6DDE5856"/>
    <w:rsid w:val="6DE1112A"/>
    <w:rsid w:val="6DE62234"/>
    <w:rsid w:val="6DEE1DA5"/>
    <w:rsid w:val="6DEE5CE3"/>
    <w:rsid w:val="6DF131D9"/>
    <w:rsid w:val="6DF362F1"/>
    <w:rsid w:val="6DFC0A94"/>
    <w:rsid w:val="6E0077C5"/>
    <w:rsid w:val="6E054764"/>
    <w:rsid w:val="6E0A419F"/>
    <w:rsid w:val="6E0D0B52"/>
    <w:rsid w:val="6E0D4393"/>
    <w:rsid w:val="6E0E7E73"/>
    <w:rsid w:val="6E105C5A"/>
    <w:rsid w:val="6E1135E9"/>
    <w:rsid w:val="6E133FEF"/>
    <w:rsid w:val="6E153270"/>
    <w:rsid w:val="6E163B54"/>
    <w:rsid w:val="6E166FE8"/>
    <w:rsid w:val="6E1F3AB9"/>
    <w:rsid w:val="6E22598D"/>
    <w:rsid w:val="6E2556E3"/>
    <w:rsid w:val="6E273436"/>
    <w:rsid w:val="6E291B51"/>
    <w:rsid w:val="6E2A4841"/>
    <w:rsid w:val="6E2B5B70"/>
    <w:rsid w:val="6E2E2225"/>
    <w:rsid w:val="6E300587"/>
    <w:rsid w:val="6E3260E0"/>
    <w:rsid w:val="6E344C48"/>
    <w:rsid w:val="6E3631E6"/>
    <w:rsid w:val="6E391146"/>
    <w:rsid w:val="6E4408FB"/>
    <w:rsid w:val="6E46026B"/>
    <w:rsid w:val="6E4F6056"/>
    <w:rsid w:val="6E5B2C4D"/>
    <w:rsid w:val="6E663B0E"/>
    <w:rsid w:val="6E6C4E5A"/>
    <w:rsid w:val="6E6E558C"/>
    <w:rsid w:val="6E6F1069"/>
    <w:rsid w:val="6E711FBB"/>
    <w:rsid w:val="6E777A87"/>
    <w:rsid w:val="6E7F4B8D"/>
    <w:rsid w:val="6E82467D"/>
    <w:rsid w:val="6E8D0A23"/>
    <w:rsid w:val="6E917D94"/>
    <w:rsid w:val="6E9216A3"/>
    <w:rsid w:val="6E95615F"/>
    <w:rsid w:val="6E9879FD"/>
    <w:rsid w:val="6E9A19C7"/>
    <w:rsid w:val="6E9C531E"/>
    <w:rsid w:val="6EB4221B"/>
    <w:rsid w:val="6EB97C9A"/>
    <w:rsid w:val="6EBA3EC2"/>
    <w:rsid w:val="6EBC6818"/>
    <w:rsid w:val="6EBF3EC0"/>
    <w:rsid w:val="6EC07E25"/>
    <w:rsid w:val="6EC425A0"/>
    <w:rsid w:val="6ECA2C9B"/>
    <w:rsid w:val="6ED053E9"/>
    <w:rsid w:val="6ED20C37"/>
    <w:rsid w:val="6ED547AD"/>
    <w:rsid w:val="6ED749C9"/>
    <w:rsid w:val="6ED8429D"/>
    <w:rsid w:val="6ED973FC"/>
    <w:rsid w:val="6EE25203"/>
    <w:rsid w:val="6EE352C5"/>
    <w:rsid w:val="6EED5F9B"/>
    <w:rsid w:val="6EEF3C2A"/>
    <w:rsid w:val="6EF2535F"/>
    <w:rsid w:val="6EFA6397"/>
    <w:rsid w:val="6EFF1BEC"/>
    <w:rsid w:val="6F0B6421"/>
    <w:rsid w:val="6F0C365F"/>
    <w:rsid w:val="6F124130"/>
    <w:rsid w:val="6F1564AF"/>
    <w:rsid w:val="6F174DC6"/>
    <w:rsid w:val="6F1B7BF4"/>
    <w:rsid w:val="6F1E1894"/>
    <w:rsid w:val="6F23376B"/>
    <w:rsid w:val="6F265009"/>
    <w:rsid w:val="6F2B0871"/>
    <w:rsid w:val="6F2D6397"/>
    <w:rsid w:val="6F2F65B3"/>
    <w:rsid w:val="6F302D4F"/>
    <w:rsid w:val="6F341033"/>
    <w:rsid w:val="6F34735B"/>
    <w:rsid w:val="6F3D4AEF"/>
    <w:rsid w:val="6F3F1D79"/>
    <w:rsid w:val="6F484F7F"/>
    <w:rsid w:val="6F4E6A14"/>
    <w:rsid w:val="6F535FB4"/>
    <w:rsid w:val="6F5A60DF"/>
    <w:rsid w:val="6F5C0A2B"/>
    <w:rsid w:val="6F60051B"/>
    <w:rsid w:val="6F6135D9"/>
    <w:rsid w:val="6F655B31"/>
    <w:rsid w:val="6F683873"/>
    <w:rsid w:val="6F693749"/>
    <w:rsid w:val="6F6A3147"/>
    <w:rsid w:val="6F6D2C38"/>
    <w:rsid w:val="6F7458D1"/>
    <w:rsid w:val="6F7904EA"/>
    <w:rsid w:val="6F7B5355"/>
    <w:rsid w:val="6F7C731F"/>
    <w:rsid w:val="6F8166E3"/>
    <w:rsid w:val="6F8416CF"/>
    <w:rsid w:val="6F857F81"/>
    <w:rsid w:val="6F8F7052"/>
    <w:rsid w:val="6F920CCE"/>
    <w:rsid w:val="6F9D7BE5"/>
    <w:rsid w:val="6F9E7295"/>
    <w:rsid w:val="6F9F2AB4"/>
    <w:rsid w:val="6FAA3E8C"/>
    <w:rsid w:val="6FAD1286"/>
    <w:rsid w:val="6FAD4CF3"/>
    <w:rsid w:val="6FAD7AAF"/>
    <w:rsid w:val="6FB1521A"/>
    <w:rsid w:val="6FB61999"/>
    <w:rsid w:val="6FB645DF"/>
    <w:rsid w:val="6FB70357"/>
    <w:rsid w:val="6FB77864"/>
    <w:rsid w:val="6FC00FB9"/>
    <w:rsid w:val="6FC03A6B"/>
    <w:rsid w:val="6FC0545D"/>
    <w:rsid w:val="6FC07FB0"/>
    <w:rsid w:val="6FC17269"/>
    <w:rsid w:val="6FC24913"/>
    <w:rsid w:val="6FCB1EF3"/>
    <w:rsid w:val="6FCC75D9"/>
    <w:rsid w:val="6FCD36D6"/>
    <w:rsid w:val="6FD269A1"/>
    <w:rsid w:val="6FD26F3F"/>
    <w:rsid w:val="6FD74555"/>
    <w:rsid w:val="6FDD0023"/>
    <w:rsid w:val="6FE25DC9"/>
    <w:rsid w:val="6FF173C5"/>
    <w:rsid w:val="6FF55494"/>
    <w:rsid w:val="6FF62C2D"/>
    <w:rsid w:val="6FFA619F"/>
    <w:rsid w:val="6FFD220E"/>
    <w:rsid w:val="700205F2"/>
    <w:rsid w:val="700510C2"/>
    <w:rsid w:val="70057314"/>
    <w:rsid w:val="70115BD2"/>
    <w:rsid w:val="70141305"/>
    <w:rsid w:val="70147557"/>
    <w:rsid w:val="701D3990"/>
    <w:rsid w:val="70236185"/>
    <w:rsid w:val="702632FF"/>
    <w:rsid w:val="70265F41"/>
    <w:rsid w:val="70307003"/>
    <w:rsid w:val="70311EB7"/>
    <w:rsid w:val="70315562"/>
    <w:rsid w:val="70334F93"/>
    <w:rsid w:val="7036127C"/>
    <w:rsid w:val="703620CB"/>
    <w:rsid w:val="703823E9"/>
    <w:rsid w:val="70396191"/>
    <w:rsid w:val="703D260A"/>
    <w:rsid w:val="704240C4"/>
    <w:rsid w:val="7046362A"/>
    <w:rsid w:val="70511328"/>
    <w:rsid w:val="70514307"/>
    <w:rsid w:val="705A19BC"/>
    <w:rsid w:val="705A27F4"/>
    <w:rsid w:val="705C4791"/>
    <w:rsid w:val="7060062E"/>
    <w:rsid w:val="706338B4"/>
    <w:rsid w:val="70666005"/>
    <w:rsid w:val="70671D7D"/>
    <w:rsid w:val="70673B2B"/>
    <w:rsid w:val="70795CE9"/>
    <w:rsid w:val="707D0B77"/>
    <w:rsid w:val="708041CD"/>
    <w:rsid w:val="70807928"/>
    <w:rsid w:val="70875F7B"/>
    <w:rsid w:val="708D29C2"/>
    <w:rsid w:val="708E10B8"/>
    <w:rsid w:val="70910BA8"/>
    <w:rsid w:val="7097247F"/>
    <w:rsid w:val="709A01EE"/>
    <w:rsid w:val="709F1517"/>
    <w:rsid w:val="709F453F"/>
    <w:rsid w:val="70A00DEB"/>
    <w:rsid w:val="70A61135"/>
    <w:rsid w:val="70A67126"/>
    <w:rsid w:val="70A7675A"/>
    <w:rsid w:val="70B14DA6"/>
    <w:rsid w:val="70B2124A"/>
    <w:rsid w:val="70B477CF"/>
    <w:rsid w:val="70B623BC"/>
    <w:rsid w:val="70B65F8C"/>
    <w:rsid w:val="70B66341"/>
    <w:rsid w:val="70B81788"/>
    <w:rsid w:val="70BE62B2"/>
    <w:rsid w:val="70BF5715"/>
    <w:rsid w:val="70C456BC"/>
    <w:rsid w:val="70C66AA3"/>
    <w:rsid w:val="70CA0C35"/>
    <w:rsid w:val="70CE7706"/>
    <w:rsid w:val="70D32F6E"/>
    <w:rsid w:val="70D56CE6"/>
    <w:rsid w:val="70D7170B"/>
    <w:rsid w:val="70D72A5F"/>
    <w:rsid w:val="70DF3B22"/>
    <w:rsid w:val="70E233A7"/>
    <w:rsid w:val="70E92792"/>
    <w:rsid w:val="70E96DA6"/>
    <w:rsid w:val="70EB1D07"/>
    <w:rsid w:val="70ED4030"/>
    <w:rsid w:val="70FE3A5B"/>
    <w:rsid w:val="70FF26CB"/>
    <w:rsid w:val="71047056"/>
    <w:rsid w:val="71053D85"/>
    <w:rsid w:val="71080E6A"/>
    <w:rsid w:val="710E5EDF"/>
    <w:rsid w:val="711315BD"/>
    <w:rsid w:val="71184E25"/>
    <w:rsid w:val="711E3CE1"/>
    <w:rsid w:val="712A1E3E"/>
    <w:rsid w:val="712E4649"/>
    <w:rsid w:val="713339AD"/>
    <w:rsid w:val="71336167"/>
    <w:rsid w:val="713438AD"/>
    <w:rsid w:val="713A123F"/>
    <w:rsid w:val="71462131"/>
    <w:rsid w:val="71477CCB"/>
    <w:rsid w:val="7148395C"/>
    <w:rsid w:val="714C01AF"/>
    <w:rsid w:val="714C1194"/>
    <w:rsid w:val="714C1A59"/>
    <w:rsid w:val="714C59B7"/>
    <w:rsid w:val="71535E5D"/>
    <w:rsid w:val="71551766"/>
    <w:rsid w:val="71557E27"/>
    <w:rsid w:val="715B2E69"/>
    <w:rsid w:val="716342F2"/>
    <w:rsid w:val="7163703D"/>
    <w:rsid w:val="7169030C"/>
    <w:rsid w:val="716957C8"/>
    <w:rsid w:val="71713049"/>
    <w:rsid w:val="71724535"/>
    <w:rsid w:val="717304A3"/>
    <w:rsid w:val="7175660B"/>
    <w:rsid w:val="717750A4"/>
    <w:rsid w:val="717B7D39"/>
    <w:rsid w:val="71844269"/>
    <w:rsid w:val="71856665"/>
    <w:rsid w:val="718A7A50"/>
    <w:rsid w:val="719C15B2"/>
    <w:rsid w:val="719E4941"/>
    <w:rsid w:val="71A036E1"/>
    <w:rsid w:val="71A1025C"/>
    <w:rsid w:val="71A83AF7"/>
    <w:rsid w:val="71A843FB"/>
    <w:rsid w:val="71A86F32"/>
    <w:rsid w:val="71A924BF"/>
    <w:rsid w:val="71AD13D4"/>
    <w:rsid w:val="71BB412E"/>
    <w:rsid w:val="71BD3A7A"/>
    <w:rsid w:val="71C07997"/>
    <w:rsid w:val="71C56D5B"/>
    <w:rsid w:val="71C64881"/>
    <w:rsid w:val="71C77AE4"/>
    <w:rsid w:val="71CD79BE"/>
    <w:rsid w:val="71CE2917"/>
    <w:rsid w:val="71D376CA"/>
    <w:rsid w:val="71D47A7F"/>
    <w:rsid w:val="71D85B59"/>
    <w:rsid w:val="71DA06AB"/>
    <w:rsid w:val="71DD22F7"/>
    <w:rsid w:val="71E4203D"/>
    <w:rsid w:val="71E82A49"/>
    <w:rsid w:val="71E926CD"/>
    <w:rsid w:val="71ED62B2"/>
    <w:rsid w:val="71F41769"/>
    <w:rsid w:val="71F509A5"/>
    <w:rsid w:val="71FF39C3"/>
    <w:rsid w:val="72083B33"/>
    <w:rsid w:val="720B57FE"/>
    <w:rsid w:val="720B62BF"/>
    <w:rsid w:val="720B63C0"/>
    <w:rsid w:val="720D24B0"/>
    <w:rsid w:val="720D3D20"/>
    <w:rsid w:val="72140B3E"/>
    <w:rsid w:val="7215244A"/>
    <w:rsid w:val="721C0443"/>
    <w:rsid w:val="72203F91"/>
    <w:rsid w:val="72216562"/>
    <w:rsid w:val="72253C9E"/>
    <w:rsid w:val="72277008"/>
    <w:rsid w:val="7229261B"/>
    <w:rsid w:val="722A28E9"/>
    <w:rsid w:val="722C01C9"/>
    <w:rsid w:val="722C2936"/>
    <w:rsid w:val="72304722"/>
    <w:rsid w:val="7242215A"/>
    <w:rsid w:val="724A3704"/>
    <w:rsid w:val="724E3E15"/>
    <w:rsid w:val="724F5E6C"/>
    <w:rsid w:val="72554177"/>
    <w:rsid w:val="725D1AA0"/>
    <w:rsid w:val="72657495"/>
    <w:rsid w:val="726860D8"/>
    <w:rsid w:val="72692740"/>
    <w:rsid w:val="72693B8A"/>
    <w:rsid w:val="726E117A"/>
    <w:rsid w:val="72712A3F"/>
    <w:rsid w:val="72764326"/>
    <w:rsid w:val="72781F16"/>
    <w:rsid w:val="727918F3"/>
    <w:rsid w:val="72793834"/>
    <w:rsid w:val="728032BA"/>
    <w:rsid w:val="728D4FDC"/>
    <w:rsid w:val="728E1843"/>
    <w:rsid w:val="72914E8F"/>
    <w:rsid w:val="72936E59"/>
    <w:rsid w:val="729A209E"/>
    <w:rsid w:val="729D3834"/>
    <w:rsid w:val="729E390D"/>
    <w:rsid w:val="729F135A"/>
    <w:rsid w:val="72A16523"/>
    <w:rsid w:val="72A21C17"/>
    <w:rsid w:val="72A41241"/>
    <w:rsid w:val="72A746B3"/>
    <w:rsid w:val="72AA78B4"/>
    <w:rsid w:val="72B304CF"/>
    <w:rsid w:val="72B33057"/>
    <w:rsid w:val="72B868C0"/>
    <w:rsid w:val="72B97FD0"/>
    <w:rsid w:val="72BC3359"/>
    <w:rsid w:val="72BE1FED"/>
    <w:rsid w:val="72C34F6A"/>
    <w:rsid w:val="72C40186"/>
    <w:rsid w:val="72C63A44"/>
    <w:rsid w:val="72C730FE"/>
    <w:rsid w:val="72C963D7"/>
    <w:rsid w:val="72CB03A1"/>
    <w:rsid w:val="72CD6A50"/>
    <w:rsid w:val="72CE08E3"/>
    <w:rsid w:val="72DA6836"/>
    <w:rsid w:val="72DC25AE"/>
    <w:rsid w:val="72E34342"/>
    <w:rsid w:val="72E613A6"/>
    <w:rsid w:val="72E8337C"/>
    <w:rsid w:val="72E90827"/>
    <w:rsid w:val="72F10F91"/>
    <w:rsid w:val="72F21DD2"/>
    <w:rsid w:val="72F434FA"/>
    <w:rsid w:val="72FA2A34"/>
    <w:rsid w:val="72FE5E6C"/>
    <w:rsid w:val="72FF629D"/>
    <w:rsid w:val="730B2421"/>
    <w:rsid w:val="730B2A5D"/>
    <w:rsid w:val="730D1C62"/>
    <w:rsid w:val="731356C2"/>
    <w:rsid w:val="73151916"/>
    <w:rsid w:val="73184198"/>
    <w:rsid w:val="731B4281"/>
    <w:rsid w:val="73262E6D"/>
    <w:rsid w:val="733046A8"/>
    <w:rsid w:val="73371398"/>
    <w:rsid w:val="73373C05"/>
    <w:rsid w:val="73394622"/>
    <w:rsid w:val="733A70C3"/>
    <w:rsid w:val="733B0348"/>
    <w:rsid w:val="733F63CB"/>
    <w:rsid w:val="734168B5"/>
    <w:rsid w:val="73490DFC"/>
    <w:rsid w:val="734A5387"/>
    <w:rsid w:val="73555688"/>
    <w:rsid w:val="73555EBD"/>
    <w:rsid w:val="735A6C75"/>
    <w:rsid w:val="73670110"/>
    <w:rsid w:val="736C1BDF"/>
    <w:rsid w:val="736E2B3F"/>
    <w:rsid w:val="7370719A"/>
    <w:rsid w:val="737218FE"/>
    <w:rsid w:val="737278CE"/>
    <w:rsid w:val="73740A39"/>
    <w:rsid w:val="73754FD7"/>
    <w:rsid w:val="73781BAB"/>
    <w:rsid w:val="737C169B"/>
    <w:rsid w:val="737C7606"/>
    <w:rsid w:val="7383089D"/>
    <w:rsid w:val="738524FE"/>
    <w:rsid w:val="73885B0B"/>
    <w:rsid w:val="738E4CE0"/>
    <w:rsid w:val="738F7621"/>
    <w:rsid w:val="73905147"/>
    <w:rsid w:val="73930A62"/>
    <w:rsid w:val="739A5FC5"/>
    <w:rsid w:val="73A10265"/>
    <w:rsid w:val="73A26CD8"/>
    <w:rsid w:val="73AA26AC"/>
    <w:rsid w:val="73AF7CC3"/>
    <w:rsid w:val="73B30C55"/>
    <w:rsid w:val="73B34E42"/>
    <w:rsid w:val="73B83040"/>
    <w:rsid w:val="73BA1DA6"/>
    <w:rsid w:val="73BF2DAF"/>
    <w:rsid w:val="73C07505"/>
    <w:rsid w:val="73C17A92"/>
    <w:rsid w:val="73C278BA"/>
    <w:rsid w:val="73C90A44"/>
    <w:rsid w:val="73CA5289"/>
    <w:rsid w:val="73D2575F"/>
    <w:rsid w:val="73E01C2A"/>
    <w:rsid w:val="73E14BDD"/>
    <w:rsid w:val="73E35202"/>
    <w:rsid w:val="73E536E4"/>
    <w:rsid w:val="73E613AD"/>
    <w:rsid w:val="73E829D8"/>
    <w:rsid w:val="73EB2411"/>
    <w:rsid w:val="73EC6716"/>
    <w:rsid w:val="73F2112A"/>
    <w:rsid w:val="73F62B37"/>
    <w:rsid w:val="73F62D1F"/>
    <w:rsid w:val="73F94CA3"/>
    <w:rsid w:val="73F9563A"/>
    <w:rsid w:val="740578E3"/>
    <w:rsid w:val="740759EF"/>
    <w:rsid w:val="74094E3D"/>
    <w:rsid w:val="740D2C3B"/>
    <w:rsid w:val="7410198C"/>
    <w:rsid w:val="741531EB"/>
    <w:rsid w:val="7416389E"/>
    <w:rsid w:val="741713C4"/>
    <w:rsid w:val="74181EB8"/>
    <w:rsid w:val="741B55F1"/>
    <w:rsid w:val="741E2752"/>
    <w:rsid w:val="741F54A2"/>
    <w:rsid w:val="742331AE"/>
    <w:rsid w:val="74284E02"/>
    <w:rsid w:val="7428537F"/>
    <w:rsid w:val="742A10F7"/>
    <w:rsid w:val="742D67D1"/>
    <w:rsid w:val="742D72B6"/>
    <w:rsid w:val="742F2BB2"/>
    <w:rsid w:val="743553DE"/>
    <w:rsid w:val="74376A9D"/>
    <w:rsid w:val="743D0A2B"/>
    <w:rsid w:val="74416441"/>
    <w:rsid w:val="74485B23"/>
    <w:rsid w:val="744C0614"/>
    <w:rsid w:val="74551EB3"/>
    <w:rsid w:val="74583EB6"/>
    <w:rsid w:val="745A0FA0"/>
    <w:rsid w:val="746149C3"/>
    <w:rsid w:val="74734A14"/>
    <w:rsid w:val="747405C4"/>
    <w:rsid w:val="74797F6C"/>
    <w:rsid w:val="747A70CC"/>
    <w:rsid w:val="74876A28"/>
    <w:rsid w:val="74884175"/>
    <w:rsid w:val="748C3FC9"/>
    <w:rsid w:val="748C6568"/>
    <w:rsid w:val="749132B1"/>
    <w:rsid w:val="749705E3"/>
    <w:rsid w:val="74982505"/>
    <w:rsid w:val="749D15EC"/>
    <w:rsid w:val="749D3FBF"/>
    <w:rsid w:val="74A54C22"/>
    <w:rsid w:val="74AB11EE"/>
    <w:rsid w:val="74AC6BC6"/>
    <w:rsid w:val="74BD1F6B"/>
    <w:rsid w:val="74C20A25"/>
    <w:rsid w:val="74C50E20"/>
    <w:rsid w:val="74CA4688"/>
    <w:rsid w:val="74CE5F27"/>
    <w:rsid w:val="74D13C69"/>
    <w:rsid w:val="74DB74D6"/>
    <w:rsid w:val="74DF3CDB"/>
    <w:rsid w:val="74E04982"/>
    <w:rsid w:val="74E314C0"/>
    <w:rsid w:val="74EE5664"/>
    <w:rsid w:val="74F160B9"/>
    <w:rsid w:val="74F236DC"/>
    <w:rsid w:val="74F87447"/>
    <w:rsid w:val="74FD05BA"/>
    <w:rsid w:val="750162FC"/>
    <w:rsid w:val="750174A3"/>
    <w:rsid w:val="75137DDD"/>
    <w:rsid w:val="751A5826"/>
    <w:rsid w:val="751B5B7D"/>
    <w:rsid w:val="751C1388"/>
    <w:rsid w:val="752129D4"/>
    <w:rsid w:val="752B5127"/>
    <w:rsid w:val="752C6AB2"/>
    <w:rsid w:val="752E2E69"/>
    <w:rsid w:val="7530273D"/>
    <w:rsid w:val="75322959"/>
    <w:rsid w:val="7534397E"/>
    <w:rsid w:val="7535244A"/>
    <w:rsid w:val="753540AD"/>
    <w:rsid w:val="75355AB1"/>
    <w:rsid w:val="753A35BC"/>
    <w:rsid w:val="753A7A60"/>
    <w:rsid w:val="753C7334"/>
    <w:rsid w:val="7540442C"/>
    <w:rsid w:val="75492994"/>
    <w:rsid w:val="75494AE8"/>
    <w:rsid w:val="754D7793"/>
    <w:rsid w:val="754F7885"/>
    <w:rsid w:val="755522D4"/>
    <w:rsid w:val="756349B2"/>
    <w:rsid w:val="75646882"/>
    <w:rsid w:val="75664928"/>
    <w:rsid w:val="75684996"/>
    <w:rsid w:val="756A2C6E"/>
    <w:rsid w:val="756C5695"/>
    <w:rsid w:val="75720FA8"/>
    <w:rsid w:val="75735A2A"/>
    <w:rsid w:val="75774810"/>
    <w:rsid w:val="757C028F"/>
    <w:rsid w:val="75826D11"/>
    <w:rsid w:val="75836B45"/>
    <w:rsid w:val="75845947"/>
    <w:rsid w:val="75850468"/>
    <w:rsid w:val="75866BE9"/>
    <w:rsid w:val="758807CB"/>
    <w:rsid w:val="758E56B6"/>
    <w:rsid w:val="759B6003"/>
    <w:rsid w:val="759C32BC"/>
    <w:rsid w:val="75A04F3B"/>
    <w:rsid w:val="75A26BC4"/>
    <w:rsid w:val="75A417BE"/>
    <w:rsid w:val="75A803E5"/>
    <w:rsid w:val="75AE59C7"/>
    <w:rsid w:val="75AE7B06"/>
    <w:rsid w:val="75B61842"/>
    <w:rsid w:val="75B73335"/>
    <w:rsid w:val="75BC78AF"/>
    <w:rsid w:val="75C335B1"/>
    <w:rsid w:val="75C604F3"/>
    <w:rsid w:val="75C97681"/>
    <w:rsid w:val="75CB7BF0"/>
    <w:rsid w:val="75CD4AE6"/>
    <w:rsid w:val="75D06B7B"/>
    <w:rsid w:val="75D22390"/>
    <w:rsid w:val="75D2632D"/>
    <w:rsid w:val="75D36F1A"/>
    <w:rsid w:val="75D62BEE"/>
    <w:rsid w:val="75D74EF8"/>
    <w:rsid w:val="75E20E90"/>
    <w:rsid w:val="75E27AE1"/>
    <w:rsid w:val="75F93E43"/>
    <w:rsid w:val="75FE283B"/>
    <w:rsid w:val="760338C7"/>
    <w:rsid w:val="76066358"/>
    <w:rsid w:val="76067CFC"/>
    <w:rsid w:val="760719A1"/>
    <w:rsid w:val="760A52CC"/>
    <w:rsid w:val="760C4ED0"/>
    <w:rsid w:val="760D3186"/>
    <w:rsid w:val="760E4842"/>
    <w:rsid w:val="761C7166"/>
    <w:rsid w:val="7621477C"/>
    <w:rsid w:val="76261C26"/>
    <w:rsid w:val="76261D92"/>
    <w:rsid w:val="762F2954"/>
    <w:rsid w:val="7630676D"/>
    <w:rsid w:val="76342701"/>
    <w:rsid w:val="76384F46"/>
    <w:rsid w:val="76454210"/>
    <w:rsid w:val="764566BC"/>
    <w:rsid w:val="7646764A"/>
    <w:rsid w:val="764A5A81"/>
    <w:rsid w:val="764D5571"/>
    <w:rsid w:val="764E1B03"/>
    <w:rsid w:val="76516E0F"/>
    <w:rsid w:val="7652226E"/>
    <w:rsid w:val="765406AD"/>
    <w:rsid w:val="76572242"/>
    <w:rsid w:val="765C57B4"/>
    <w:rsid w:val="765E3E0F"/>
    <w:rsid w:val="76636B42"/>
    <w:rsid w:val="76650B0D"/>
    <w:rsid w:val="766703E1"/>
    <w:rsid w:val="766823AB"/>
    <w:rsid w:val="766D79C1"/>
    <w:rsid w:val="76780840"/>
    <w:rsid w:val="767C19B2"/>
    <w:rsid w:val="767D5E56"/>
    <w:rsid w:val="767E66C8"/>
    <w:rsid w:val="7683069C"/>
    <w:rsid w:val="76852F5D"/>
    <w:rsid w:val="76880357"/>
    <w:rsid w:val="76891A32"/>
    <w:rsid w:val="76A27DD7"/>
    <w:rsid w:val="76A72ED3"/>
    <w:rsid w:val="76A96C4B"/>
    <w:rsid w:val="76AD15F9"/>
    <w:rsid w:val="76BB6589"/>
    <w:rsid w:val="76BD26BC"/>
    <w:rsid w:val="76BE4F30"/>
    <w:rsid w:val="76C15599"/>
    <w:rsid w:val="76C70E7F"/>
    <w:rsid w:val="76CC0B8C"/>
    <w:rsid w:val="76CD220E"/>
    <w:rsid w:val="76CD451D"/>
    <w:rsid w:val="76CE1E61"/>
    <w:rsid w:val="76CF1A7C"/>
    <w:rsid w:val="76D22E2E"/>
    <w:rsid w:val="76D53B6A"/>
    <w:rsid w:val="76D8308D"/>
    <w:rsid w:val="76DF08BF"/>
    <w:rsid w:val="76E30E67"/>
    <w:rsid w:val="76EE2591"/>
    <w:rsid w:val="76EF7D2C"/>
    <w:rsid w:val="76F0487A"/>
    <w:rsid w:val="76F0798D"/>
    <w:rsid w:val="76F2314F"/>
    <w:rsid w:val="76F53C3E"/>
    <w:rsid w:val="76F72F95"/>
    <w:rsid w:val="76F96011"/>
    <w:rsid w:val="76FB5CCC"/>
    <w:rsid w:val="770056C4"/>
    <w:rsid w:val="770318FD"/>
    <w:rsid w:val="77075720"/>
    <w:rsid w:val="77084AA0"/>
    <w:rsid w:val="770C35E3"/>
    <w:rsid w:val="77100A78"/>
    <w:rsid w:val="7711659E"/>
    <w:rsid w:val="77146E97"/>
    <w:rsid w:val="771766AF"/>
    <w:rsid w:val="771D558A"/>
    <w:rsid w:val="771E6C8B"/>
    <w:rsid w:val="77253DF8"/>
    <w:rsid w:val="772A140E"/>
    <w:rsid w:val="77334767"/>
    <w:rsid w:val="773E26D2"/>
    <w:rsid w:val="773F047D"/>
    <w:rsid w:val="77403575"/>
    <w:rsid w:val="7748368E"/>
    <w:rsid w:val="774F6700"/>
    <w:rsid w:val="77516029"/>
    <w:rsid w:val="77533F2B"/>
    <w:rsid w:val="77543014"/>
    <w:rsid w:val="7755104E"/>
    <w:rsid w:val="775517FF"/>
    <w:rsid w:val="776C6C6C"/>
    <w:rsid w:val="776D5DAA"/>
    <w:rsid w:val="776E1C43"/>
    <w:rsid w:val="77725362"/>
    <w:rsid w:val="77761AE8"/>
    <w:rsid w:val="777860D8"/>
    <w:rsid w:val="77843F46"/>
    <w:rsid w:val="778D031B"/>
    <w:rsid w:val="778D7747"/>
    <w:rsid w:val="778E4093"/>
    <w:rsid w:val="778E7BEF"/>
    <w:rsid w:val="7792252C"/>
    <w:rsid w:val="77980C53"/>
    <w:rsid w:val="779867AF"/>
    <w:rsid w:val="77991C3E"/>
    <w:rsid w:val="779A6594"/>
    <w:rsid w:val="779A7B04"/>
    <w:rsid w:val="779C0F37"/>
    <w:rsid w:val="77A2369A"/>
    <w:rsid w:val="77A83CB3"/>
    <w:rsid w:val="77A92C7B"/>
    <w:rsid w:val="77AE0291"/>
    <w:rsid w:val="77AE7402"/>
    <w:rsid w:val="77B238DE"/>
    <w:rsid w:val="77B533CE"/>
    <w:rsid w:val="77B70EF4"/>
    <w:rsid w:val="77B75398"/>
    <w:rsid w:val="77BF5BB1"/>
    <w:rsid w:val="77C33D3D"/>
    <w:rsid w:val="77C64823"/>
    <w:rsid w:val="77C87BF6"/>
    <w:rsid w:val="77C96E79"/>
    <w:rsid w:val="77DF4943"/>
    <w:rsid w:val="77E34AEE"/>
    <w:rsid w:val="77E837A3"/>
    <w:rsid w:val="77EB3293"/>
    <w:rsid w:val="77ED2B68"/>
    <w:rsid w:val="77ED700C"/>
    <w:rsid w:val="77F26063"/>
    <w:rsid w:val="77FE310D"/>
    <w:rsid w:val="78063C29"/>
    <w:rsid w:val="780B4A40"/>
    <w:rsid w:val="78191BAF"/>
    <w:rsid w:val="781B5927"/>
    <w:rsid w:val="781B72AA"/>
    <w:rsid w:val="781C67C3"/>
    <w:rsid w:val="78256D46"/>
    <w:rsid w:val="782745B5"/>
    <w:rsid w:val="782B4437"/>
    <w:rsid w:val="78315590"/>
    <w:rsid w:val="783C2021"/>
    <w:rsid w:val="783E1615"/>
    <w:rsid w:val="783F079D"/>
    <w:rsid w:val="7847671C"/>
    <w:rsid w:val="784C1F84"/>
    <w:rsid w:val="78533C42"/>
    <w:rsid w:val="785661D7"/>
    <w:rsid w:val="78595654"/>
    <w:rsid w:val="785C2B71"/>
    <w:rsid w:val="785F235F"/>
    <w:rsid w:val="78623A97"/>
    <w:rsid w:val="7866291A"/>
    <w:rsid w:val="786A679E"/>
    <w:rsid w:val="787E207D"/>
    <w:rsid w:val="787E7C64"/>
    <w:rsid w:val="78827754"/>
    <w:rsid w:val="78841D97"/>
    <w:rsid w:val="78844572"/>
    <w:rsid w:val="78872FBC"/>
    <w:rsid w:val="78900078"/>
    <w:rsid w:val="78906E61"/>
    <w:rsid w:val="789254BD"/>
    <w:rsid w:val="78946D0A"/>
    <w:rsid w:val="78992CEF"/>
    <w:rsid w:val="789A1ACA"/>
    <w:rsid w:val="78A13597"/>
    <w:rsid w:val="78A56AB5"/>
    <w:rsid w:val="78B24F5D"/>
    <w:rsid w:val="78BE28F5"/>
    <w:rsid w:val="78C620B9"/>
    <w:rsid w:val="78C7785D"/>
    <w:rsid w:val="78C966FA"/>
    <w:rsid w:val="78CB1B99"/>
    <w:rsid w:val="78CE2454"/>
    <w:rsid w:val="78D67AA0"/>
    <w:rsid w:val="78DB266A"/>
    <w:rsid w:val="78DB325B"/>
    <w:rsid w:val="78DC5A8E"/>
    <w:rsid w:val="78DD498A"/>
    <w:rsid w:val="78E0091E"/>
    <w:rsid w:val="78E91F32"/>
    <w:rsid w:val="78EA52F9"/>
    <w:rsid w:val="78F12B57"/>
    <w:rsid w:val="78F341AE"/>
    <w:rsid w:val="78F8252B"/>
    <w:rsid w:val="78F9378E"/>
    <w:rsid w:val="790463BB"/>
    <w:rsid w:val="79053EE1"/>
    <w:rsid w:val="79093888"/>
    <w:rsid w:val="790A315A"/>
    <w:rsid w:val="790D6D3D"/>
    <w:rsid w:val="790E7239"/>
    <w:rsid w:val="79142376"/>
    <w:rsid w:val="791648AD"/>
    <w:rsid w:val="791A0A74"/>
    <w:rsid w:val="791D122B"/>
    <w:rsid w:val="791F1D70"/>
    <w:rsid w:val="79217712"/>
    <w:rsid w:val="79246A5D"/>
    <w:rsid w:val="79311193"/>
    <w:rsid w:val="79360258"/>
    <w:rsid w:val="7937681E"/>
    <w:rsid w:val="793F5645"/>
    <w:rsid w:val="79430114"/>
    <w:rsid w:val="794331C4"/>
    <w:rsid w:val="79440AEE"/>
    <w:rsid w:val="794A1A4C"/>
    <w:rsid w:val="79515378"/>
    <w:rsid w:val="795A7399"/>
    <w:rsid w:val="796C31B8"/>
    <w:rsid w:val="797855A3"/>
    <w:rsid w:val="797967FE"/>
    <w:rsid w:val="797A33BA"/>
    <w:rsid w:val="797A6C80"/>
    <w:rsid w:val="797B41A3"/>
    <w:rsid w:val="797D43BF"/>
    <w:rsid w:val="797F1EE5"/>
    <w:rsid w:val="798175E5"/>
    <w:rsid w:val="79825532"/>
    <w:rsid w:val="79872276"/>
    <w:rsid w:val="79890FF4"/>
    <w:rsid w:val="7989257D"/>
    <w:rsid w:val="79892D64"/>
    <w:rsid w:val="79907C4E"/>
    <w:rsid w:val="79922D97"/>
    <w:rsid w:val="79927E6B"/>
    <w:rsid w:val="79A12D47"/>
    <w:rsid w:val="79A454A8"/>
    <w:rsid w:val="79AA26DF"/>
    <w:rsid w:val="79B70EF8"/>
    <w:rsid w:val="79B80F53"/>
    <w:rsid w:val="79C15542"/>
    <w:rsid w:val="79C43D9C"/>
    <w:rsid w:val="79C67B14"/>
    <w:rsid w:val="79C75326"/>
    <w:rsid w:val="79CD0EA3"/>
    <w:rsid w:val="79CD2C51"/>
    <w:rsid w:val="79D57D57"/>
    <w:rsid w:val="79D668E4"/>
    <w:rsid w:val="79D833A4"/>
    <w:rsid w:val="79EB497D"/>
    <w:rsid w:val="79ED32F3"/>
    <w:rsid w:val="79F6754E"/>
    <w:rsid w:val="79FB0261"/>
    <w:rsid w:val="79FB2DAF"/>
    <w:rsid w:val="7A052DF2"/>
    <w:rsid w:val="7A087BDF"/>
    <w:rsid w:val="7A0B5527"/>
    <w:rsid w:val="7A0C565C"/>
    <w:rsid w:val="7A0C5E8F"/>
    <w:rsid w:val="7A1C2352"/>
    <w:rsid w:val="7A1C61A9"/>
    <w:rsid w:val="7A2B7977"/>
    <w:rsid w:val="7A41719B"/>
    <w:rsid w:val="7A445701"/>
    <w:rsid w:val="7A461DCE"/>
    <w:rsid w:val="7A484CAA"/>
    <w:rsid w:val="7A4A24F3"/>
    <w:rsid w:val="7A4D1FE3"/>
    <w:rsid w:val="7A4E7D67"/>
    <w:rsid w:val="7A5001CD"/>
    <w:rsid w:val="7A560E98"/>
    <w:rsid w:val="7A5E7D4D"/>
    <w:rsid w:val="7A5F3524"/>
    <w:rsid w:val="7A62317A"/>
    <w:rsid w:val="7A6510DB"/>
    <w:rsid w:val="7A666C01"/>
    <w:rsid w:val="7A695F3F"/>
    <w:rsid w:val="7A6D1D3E"/>
    <w:rsid w:val="7A801888"/>
    <w:rsid w:val="7A807CC3"/>
    <w:rsid w:val="7A813A3B"/>
    <w:rsid w:val="7A817172"/>
    <w:rsid w:val="7A884DCA"/>
    <w:rsid w:val="7A885FEA"/>
    <w:rsid w:val="7A890F22"/>
    <w:rsid w:val="7A8B6668"/>
    <w:rsid w:val="7A916DEC"/>
    <w:rsid w:val="7A94551C"/>
    <w:rsid w:val="7A955A03"/>
    <w:rsid w:val="7A9F2CF5"/>
    <w:rsid w:val="7AA17C39"/>
    <w:rsid w:val="7AA23342"/>
    <w:rsid w:val="7AA53BCD"/>
    <w:rsid w:val="7AA60701"/>
    <w:rsid w:val="7AA80FC8"/>
    <w:rsid w:val="7AAB0A21"/>
    <w:rsid w:val="7AAB47DF"/>
    <w:rsid w:val="7AAC0AB8"/>
    <w:rsid w:val="7AAE5C60"/>
    <w:rsid w:val="7AB041E9"/>
    <w:rsid w:val="7AB43E11"/>
    <w:rsid w:val="7ABE4C8F"/>
    <w:rsid w:val="7ABF2B31"/>
    <w:rsid w:val="7ABF4168"/>
    <w:rsid w:val="7ABF529A"/>
    <w:rsid w:val="7AC0465B"/>
    <w:rsid w:val="7AC322A6"/>
    <w:rsid w:val="7AC34054"/>
    <w:rsid w:val="7AC4352C"/>
    <w:rsid w:val="7AC926EB"/>
    <w:rsid w:val="7ACE2AB8"/>
    <w:rsid w:val="7AD128A9"/>
    <w:rsid w:val="7AD2187C"/>
    <w:rsid w:val="7AD55B44"/>
    <w:rsid w:val="7ADC456B"/>
    <w:rsid w:val="7ADD3367"/>
    <w:rsid w:val="7AE45DA6"/>
    <w:rsid w:val="7AE46F51"/>
    <w:rsid w:val="7AEA0DF1"/>
    <w:rsid w:val="7AEF309B"/>
    <w:rsid w:val="7AF54EF0"/>
    <w:rsid w:val="7AF67F85"/>
    <w:rsid w:val="7AF95CC7"/>
    <w:rsid w:val="7B05488D"/>
    <w:rsid w:val="7B06480D"/>
    <w:rsid w:val="7B09415C"/>
    <w:rsid w:val="7B095F0A"/>
    <w:rsid w:val="7B0A06CB"/>
    <w:rsid w:val="7B0D17BE"/>
    <w:rsid w:val="7B154961"/>
    <w:rsid w:val="7B18614D"/>
    <w:rsid w:val="7B1B7EFC"/>
    <w:rsid w:val="7B1F0B72"/>
    <w:rsid w:val="7B1F572E"/>
    <w:rsid w:val="7B21683B"/>
    <w:rsid w:val="7B242D44"/>
    <w:rsid w:val="7B284E41"/>
    <w:rsid w:val="7B2D07A7"/>
    <w:rsid w:val="7B345352"/>
    <w:rsid w:val="7B354232"/>
    <w:rsid w:val="7B4056A4"/>
    <w:rsid w:val="7B430CF1"/>
    <w:rsid w:val="7B4754DF"/>
    <w:rsid w:val="7B4E3BEA"/>
    <w:rsid w:val="7B4F4164"/>
    <w:rsid w:val="7B532E03"/>
    <w:rsid w:val="7B552FFC"/>
    <w:rsid w:val="7B5B0730"/>
    <w:rsid w:val="7B5B603A"/>
    <w:rsid w:val="7B626231"/>
    <w:rsid w:val="7B656EB9"/>
    <w:rsid w:val="7B6F568B"/>
    <w:rsid w:val="7B7A4AA1"/>
    <w:rsid w:val="7B813614"/>
    <w:rsid w:val="7B841A35"/>
    <w:rsid w:val="7B851426"/>
    <w:rsid w:val="7B8639A2"/>
    <w:rsid w:val="7B86755B"/>
    <w:rsid w:val="7B8706E0"/>
    <w:rsid w:val="7B871525"/>
    <w:rsid w:val="7B89704B"/>
    <w:rsid w:val="7B8D5C55"/>
    <w:rsid w:val="7B931C78"/>
    <w:rsid w:val="7B9559F0"/>
    <w:rsid w:val="7B98728E"/>
    <w:rsid w:val="7B9D6653"/>
    <w:rsid w:val="7B9E4FF6"/>
    <w:rsid w:val="7BA07EF1"/>
    <w:rsid w:val="7BAA2A01"/>
    <w:rsid w:val="7BAD0F8C"/>
    <w:rsid w:val="7BB51BEE"/>
    <w:rsid w:val="7BB526B3"/>
    <w:rsid w:val="7BB75847"/>
    <w:rsid w:val="7BB75966"/>
    <w:rsid w:val="7BBC2F7D"/>
    <w:rsid w:val="7BC26E14"/>
    <w:rsid w:val="7BC912FA"/>
    <w:rsid w:val="7BCA0A81"/>
    <w:rsid w:val="7BCE4A5E"/>
    <w:rsid w:val="7BD10038"/>
    <w:rsid w:val="7BD13580"/>
    <w:rsid w:val="7BD302C6"/>
    <w:rsid w:val="7BD5192D"/>
    <w:rsid w:val="7BD670EF"/>
    <w:rsid w:val="7BD71211"/>
    <w:rsid w:val="7BD81D81"/>
    <w:rsid w:val="7BDD1C51"/>
    <w:rsid w:val="7BE06574"/>
    <w:rsid w:val="7BE50268"/>
    <w:rsid w:val="7BE734B3"/>
    <w:rsid w:val="7BE73D72"/>
    <w:rsid w:val="7BE8294B"/>
    <w:rsid w:val="7BEE611A"/>
    <w:rsid w:val="7BEE62DE"/>
    <w:rsid w:val="7BF07FCB"/>
    <w:rsid w:val="7BFF730D"/>
    <w:rsid w:val="7C013085"/>
    <w:rsid w:val="7C01327F"/>
    <w:rsid w:val="7C014FB3"/>
    <w:rsid w:val="7C015A8E"/>
    <w:rsid w:val="7C0244F2"/>
    <w:rsid w:val="7C0A2C05"/>
    <w:rsid w:val="7C1015B8"/>
    <w:rsid w:val="7C122B9D"/>
    <w:rsid w:val="7C181EB2"/>
    <w:rsid w:val="7C1831D3"/>
    <w:rsid w:val="7C1903CF"/>
    <w:rsid w:val="7C262AEC"/>
    <w:rsid w:val="7C2B4424"/>
    <w:rsid w:val="7C2C5002"/>
    <w:rsid w:val="7C304F8E"/>
    <w:rsid w:val="7C305719"/>
    <w:rsid w:val="7C336FB7"/>
    <w:rsid w:val="7C39281F"/>
    <w:rsid w:val="7C4371FA"/>
    <w:rsid w:val="7C4C370C"/>
    <w:rsid w:val="7C4D20D0"/>
    <w:rsid w:val="7C4E1279"/>
    <w:rsid w:val="7C4F089D"/>
    <w:rsid w:val="7C523106"/>
    <w:rsid w:val="7C5232BC"/>
    <w:rsid w:val="7C5238E1"/>
    <w:rsid w:val="7C553E96"/>
    <w:rsid w:val="7C5D7BDC"/>
    <w:rsid w:val="7C5D7E4F"/>
    <w:rsid w:val="7C605B0C"/>
    <w:rsid w:val="7C616CB3"/>
    <w:rsid w:val="7C630C65"/>
    <w:rsid w:val="7C66113B"/>
    <w:rsid w:val="7C6929D9"/>
    <w:rsid w:val="7C740BE5"/>
    <w:rsid w:val="7C740D99"/>
    <w:rsid w:val="7C760599"/>
    <w:rsid w:val="7C79545B"/>
    <w:rsid w:val="7C7C5114"/>
    <w:rsid w:val="7C831CEC"/>
    <w:rsid w:val="7C855A65"/>
    <w:rsid w:val="7C88789A"/>
    <w:rsid w:val="7C8D4919"/>
    <w:rsid w:val="7C8D49CC"/>
    <w:rsid w:val="7C921E2D"/>
    <w:rsid w:val="7C935AB5"/>
    <w:rsid w:val="7C9960FD"/>
    <w:rsid w:val="7CA87E11"/>
    <w:rsid w:val="7CB4634A"/>
    <w:rsid w:val="7CC62D8B"/>
    <w:rsid w:val="7CCA4662"/>
    <w:rsid w:val="7CCF762A"/>
    <w:rsid w:val="7CD364DB"/>
    <w:rsid w:val="7CD51F65"/>
    <w:rsid w:val="7CD67752"/>
    <w:rsid w:val="7CDD2818"/>
    <w:rsid w:val="7CE04A49"/>
    <w:rsid w:val="7CE34539"/>
    <w:rsid w:val="7CE50743"/>
    <w:rsid w:val="7CF60710"/>
    <w:rsid w:val="7CF77FE5"/>
    <w:rsid w:val="7D000F24"/>
    <w:rsid w:val="7D00333D"/>
    <w:rsid w:val="7D040449"/>
    <w:rsid w:val="7D0A5491"/>
    <w:rsid w:val="7D140B97"/>
    <w:rsid w:val="7D1C7A4B"/>
    <w:rsid w:val="7D1D2D01"/>
    <w:rsid w:val="7D2232B3"/>
    <w:rsid w:val="7D231188"/>
    <w:rsid w:val="7D31427A"/>
    <w:rsid w:val="7D357EBC"/>
    <w:rsid w:val="7D366D5F"/>
    <w:rsid w:val="7D377BC1"/>
    <w:rsid w:val="7D382AD7"/>
    <w:rsid w:val="7D435848"/>
    <w:rsid w:val="7D470F6C"/>
    <w:rsid w:val="7D4D5E56"/>
    <w:rsid w:val="7D582BD3"/>
    <w:rsid w:val="7D633A67"/>
    <w:rsid w:val="7D637428"/>
    <w:rsid w:val="7D662AF9"/>
    <w:rsid w:val="7D663E1B"/>
    <w:rsid w:val="7D6A0E2C"/>
    <w:rsid w:val="7D6F29AF"/>
    <w:rsid w:val="7D705CBB"/>
    <w:rsid w:val="7D7149AA"/>
    <w:rsid w:val="7D7B17F2"/>
    <w:rsid w:val="7D7E3B4B"/>
    <w:rsid w:val="7D80447E"/>
    <w:rsid w:val="7D8103DB"/>
    <w:rsid w:val="7D817656"/>
    <w:rsid w:val="7D822A25"/>
    <w:rsid w:val="7D845D1C"/>
    <w:rsid w:val="7D8862B7"/>
    <w:rsid w:val="7D8C71F3"/>
    <w:rsid w:val="7D8F021D"/>
    <w:rsid w:val="7D935E67"/>
    <w:rsid w:val="7D99109C"/>
    <w:rsid w:val="7D9A1AD4"/>
    <w:rsid w:val="7D9B184A"/>
    <w:rsid w:val="7D9F4822"/>
    <w:rsid w:val="7D9F519D"/>
    <w:rsid w:val="7DA3023D"/>
    <w:rsid w:val="7DA43CC8"/>
    <w:rsid w:val="7DAE0FEB"/>
    <w:rsid w:val="7DAF3A78"/>
    <w:rsid w:val="7DB61C4E"/>
    <w:rsid w:val="7DB71C83"/>
    <w:rsid w:val="7DB84577"/>
    <w:rsid w:val="7DBF5565"/>
    <w:rsid w:val="7DBF6D54"/>
    <w:rsid w:val="7DC46119"/>
    <w:rsid w:val="7DC9372F"/>
    <w:rsid w:val="7DD303DA"/>
    <w:rsid w:val="7DD9273F"/>
    <w:rsid w:val="7DE20C95"/>
    <w:rsid w:val="7DE40F78"/>
    <w:rsid w:val="7DE871B4"/>
    <w:rsid w:val="7DE93DD1"/>
    <w:rsid w:val="7DEA0341"/>
    <w:rsid w:val="7DEB37E9"/>
    <w:rsid w:val="7DF2712A"/>
    <w:rsid w:val="7DF82266"/>
    <w:rsid w:val="7DFD162B"/>
    <w:rsid w:val="7E052486"/>
    <w:rsid w:val="7E0751A3"/>
    <w:rsid w:val="7E154DD1"/>
    <w:rsid w:val="7E17093E"/>
    <w:rsid w:val="7E1846B6"/>
    <w:rsid w:val="7E197282"/>
    <w:rsid w:val="7E1A5C35"/>
    <w:rsid w:val="7E1D3A7B"/>
    <w:rsid w:val="7E221091"/>
    <w:rsid w:val="7E2748F9"/>
    <w:rsid w:val="7E2766A8"/>
    <w:rsid w:val="7E297621"/>
    <w:rsid w:val="7E2C4707"/>
    <w:rsid w:val="7E2E3EDA"/>
    <w:rsid w:val="7E35325C"/>
    <w:rsid w:val="7E393919"/>
    <w:rsid w:val="7E395B7B"/>
    <w:rsid w:val="7E397153"/>
    <w:rsid w:val="7E451291"/>
    <w:rsid w:val="7E4659E0"/>
    <w:rsid w:val="7E47281F"/>
    <w:rsid w:val="7E4A6504"/>
    <w:rsid w:val="7E4D4360"/>
    <w:rsid w:val="7E4E1E86"/>
    <w:rsid w:val="7E4F47AB"/>
    <w:rsid w:val="7E576F8D"/>
    <w:rsid w:val="7E58122B"/>
    <w:rsid w:val="7E5922C5"/>
    <w:rsid w:val="7E592387"/>
    <w:rsid w:val="7E5971A9"/>
    <w:rsid w:val="7E5A4CCF"/>
    <w:rsid w:val="7E5F4093"/>
    <w:rsid w:val="7E67570A"/>
    <w:rsid w:val="7E6E2528"/>
    <w:rsid w:val="7E6E7C52"/>
    <w:rsid w:val="7E7062A0"/>
    <w:rsid w:val="7E723DC7"/>
    <w:rsid w:val="7E7531CA"/>
    <w:rsid w:val="7E786F03"/>
    <w:rsid w:val="7E795086"/>
    <w:rsid w:val="7E7E09BD"/>
    <w:rsid w:val="7E845D81"/>
    <w:rsid w:val="7E8813E9"/>
    <w:rsid w:val="7E906943"/>
    <w:rsid w:val="7E9A2FD7"/>
    <w:rsid w:val="7E9C7095"/>
    <w:rsid w:val="7E9E696A"/>
    <w:rsid w:val="7EA06B86"/>
    <w:rsid w:val="7EA96C28"/>
    <w:rsid w:val="7EAB45DB"/>
    <w:rsid w:val="7EB911C6"/>
    <w:rsid w:val="7EB97C47"/>
    <w:rsid w:val="7EBF64A4"/>
    <w:rsid w:val="7EC21F55"/>
    <w:rsid w:val="7EC27667"/>
    <w:rsid w:val="7EC62364"/>
    <w:rsid w:val="7ECB606F"/>
    <w:rsid w:val="7ECC4309"/>
    <w:rsid w:val="7ECF4B58"/>
    <w:rsid w:val="7ECF746B"/>
    <w:rsid w:val="7EDA196C"/>
    <w:rsid w:val="7EE15DC9"/>
    <w:rsid w:val="7EE328E6"/>
    <w:rsid w:val="7EE54876"/>
    <w:rsid w:val="7EE75606"/>
    <w:rsid w:val="7EEA3505"/>
    <w:rsid w:val="7EEC6DDC"/>
    <w:rsid w:val="7EED78F1"/>
    <w:rsid w:val="7EF22037"/>
    <w:rsid w:val="7EF649F8"/>
    <w:rsid w:val="7EF71012"/>
    <w:rsid w:val="7EF77AD5"/>
    <w:rsid w:val="7EFB0260"/>
    <w:rsid w:val="7F007624"/>
    <w:rsid w:val="7F0C5FC9"/>
    <w:rsid w:val="7F0D48FA"/>
    <w:rsid w:val="7F1050B8"/>
    <w:rsid w:val="7F1175B5"/>
    <w:rsid w:val="7F121106"/>
    <w:rsid w:val="7F1B26B0"/>
    <w:rsid w:val="7F1B445E"/>
    <w:rsid w:val="7F1C3D32"/>
    <w:rsid w:val="7F1E3F4E"/>
    <w:rsid w:val="7F2038A7"/>
    <w:rsid w:val="7F261F6C"/>
    <w:rsid w:val="7F2D5F40"/>
    <w:rsid w:val="7F2F74D9"/>
    <w:rsid w:val="7F3C180D"/>
    <w:rsid w:val="7F4B329E"/>
    <w:rsid w:val="7F4B424A"/>
    <w:rsid w:val="7F5E434B"/>
    <w:rsid w:val="7F673200"/>
    <w:rsid w:val="7F691204"/>
    <w:rsid w:val="7F711704"/>
    <w:rsid w:val="7F722025"/>
    <w:rsid w:val="7F737DF6"/>
    <w:rsid w:val="7F763062"/>
    <w:rsid w:val="7F796BA3"/>
    <w:rsid w:val="7F7A3700"/>
    <w:rsid w:val="7F8D24A4"/>
    <w:rsid w:val="7F8E4C30"/>
    <w:rsid w:val="7F9014F2"/>
    <w:rsid w:val="7F9020BE"/>
    <w:rsid w:val="7F911291"/>
    <w:rsid w:val="7F9C7BF7"/>
    <w:rsid w:val="7FA77AA0"/>
    <w:rsid w:val="7FAA57E2"/>
    <w:rsid w:val="7FB623D9"/>
    <w:rsid w:val="7FBE4DEA"/>
    <w:rsid w:val="7FC33FFE"/>
    <w:rsid w:val="7FC625E9"/>
    <w:rsid w:val="7FCE57F4"/>
    <w:rsid w:val="7FCE7723"/>
    <w:rsid w:val="7FD14B1D"/>
    <w:rsid w:val="7FD42553"/>
    <w:rsid w:val="7FD5285F"/>
    <w:rsid w:val="7FD64829"/>
    <w:rsid w:val="7FDE0B57"/>
    <w:rsid w:val="7FDF7A6C"/>
    <w:rsid w:val="7FE02050"/>
    <w:rsid w:val="7FE2578F"/>
    <w:rsid w:val="7FEB2083"/>
    <w:rsid w:val="7FF058EB"/>
    <w:rsid w:val="7FF13411"/>
    <w:rsid w:val="7FF408E5"/>
    <w:rsid w:val="7FF60A27"/>
    <w:rsid w:val="7FF672E6"/>
    <w:rsid w:val="7FFC4290"/>
    <w:rsid w:val="7FFF5F4E"/>
    <w:rsid w:val="7FFF78DC"/>
    <w:rsid w:val="DE5FBF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uiPriority w:val="0"/>
    <w:pPr>
      <w:keepNext/>
      <w:keepLines/>
      <w:adjustRightInd w:val="0"/>
      <w:snapToGrid w:val="0"/>
      <w:spacing w:before="156" w:line="360" w:lineRule="auto"/>
      <w:outlineLvl w:val="1"/>
    </w:pPr>
    <w:rPr>
      <w:b/>
      <w:sz w:val="24"/>
    </w:rPr>
  </w:style>
  <w:style w:type="paragraph" w:styleId="4">
    <w:name w:val="heading 3"/>
    <w:basedOn w:val="1"/>
    <w:next w:val="1"/>
    <w:qFormat/>
    <w:uiPriority w:val="0"/>
    <w:pPr>
      <w:keepNext/>
      <w:keepLines/>
      <w:spacing w:line="360" w:lineRule="auto"/>
      <w:ind w:left="852"/>
      <w:outlineLvl w:val="2"/>
    </w:pPr>
    <w:rPr>
      <w:rFonts w:eastAsia="黑体"/>
      <w:b/>
      <w:kern w:val="0"/>
      <w:sz w:val="24"/>
    </w:rPr>
  </w:style>
  <w:style w:type="paragraph" w:styleId="5">
    <w:name w:val="heading 4"/>
    <w:basedOn w:val="1"/>
    <w:next w:val="1"/>
    <w:qFormat/>
    <w:uiPriority w:val="0"/>
    <w:pPr>
      <w:keepNext/>
      <w:keepLines/>
      <w:spacing w:line="360" w:lineRule="auto"/>
      <w:outlineLvl w:val="3"/>
    </w:pPr>
    <w:rPr>
      <w:b/>
      <w:sz w:val="24"/>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6">
    <w:name w:val="List 3"/>
    <w:basedOn w:val="1"/>
    <w:qFormat/>
    <w:uiPriority w:val="0"/>
    <w:pPr>
      <w:jc w:val="center"/>
    </w:pPr>
  </w:style>
  <w:style w:type="paragraph" w:styleId="7">
    <w:name w:val="Normal Indent"/>
    <w:basedOn w:val="1"/>
    <w:next w:val="8"/>
    <w:qFormat/>
    <w:uiPriority w:val="0"/>
    <w:pPr>
      <w:ind w:firstLine="420" w:firstLineChars="200"/>
    </w:pPr>
  </w:style>
  <w:style w:type="paragraph" w:customStyle="1" w:styleId="8">
    <w:name w:val="表头"/>
    <w:basedOn w:val="9"/>
    <w:next w:val="1"/>
    <w:qFormat/>
    <w:uiPriority w:val="0"/>
    <w:pPr>
      <w:spacing w:line="360" w:lineRule="auto"/>
      <w:ind w:firstLine="2169" w:firstLineChars="1029"/>
    </w:pPr>
    <w:rPr>
      <w:rFonts w:ascii="宋体" w:hAnsi="宋体"/>
      <w:b/>
      <w:kern w:val="0"/>
      <w:szCs w:val="21"/>
    </w:rPr>
  </w:style>
  <w:style w:type="paragraph" w:customStyle="1" w:styleId="9">
    <w:name w:val="T正文"/>
    <w:qFormat/>
    <w:uiPriority w:val="0"/>
    <w:pPr>
      <w:widowControl w:val="0"/>
      <w:adjustRightInd w:val="0"/>
      <w:snapToGrid w:val="0"/>
      <w:spacing w:line="360" w:lineRule="auto"/>
      <w:ind w:firstLine="200" w:firstLineChars="200"/>
      <w:jc w:val="both"/>
    </w:pPr>
    <w:rPr>
      <w:rFonts w:ascii="Times New Roman" w:hAnsi="Times New Roman" w:eastAsia="仿宋_GB2312" w:cs="Times New Roman"/>
      <w:sz w:val="28"/>
      <w:lang w:val="en-US" w:eastAsia="zh-CN" w:bidi="ar-SA"/>
    </w:rPr>
  </w:style>
  <w:style w:type="paragraph" w:styleId="10">
    <w:name w:val="caption"/>
    <w:basedOn w:val="1"/>
    <w:next w:val="1"/>
    <w:qFormat/>
    <w:uiPriority w:val="0"/>
    <w:rPr>
      <w:rFonts w:ascii="Arial" w:hAnsi="Arial" w:eastAsia="黑体" w:cs="Arial"/>
      <w:sz w:val="20"/>
      <w:szCs w:val="20"/>
    </w:rPr>
  </w:style>
  <w:style w:type="paragraph" w:styleId="11">
    <w:name w:val="toa heading"/>
    <w:basedOn w:val="1"/>
    <w:next w:val="1"/>
    <w:unhideWhenUsed/>
    <w:qFormat/>
    <w:uiPriority w:val="99"/>
    <w:pPr>
      <w:spacing w:before="120"/>
    </w:pPr>
    <w:rPr>
      <w:rFonts w:ascii="Cambria" w:hAnsi="Cambria"/>
      <w:sz w:val="24"/>
    </w:rPr>
  </w:style>
  <w:style w:type="paragraph" w:styleId="12">
    <w:name w:val="annotation text"/>
    <w:basedOn w:val="1"/>
    <w:qFormat/>
    <w:uiPriority w:val="0"/>
    <w:pPr>
      <w:jc w:val="left"/>
    </w:pPr>
  </w:style>
  <w:style w:type="paragraph" w:styleId="13">
    <w:name w:val="Salutation"/>
    <w:basedOn w:val="1"/>
    <w:next w:val="1"/>
    <w:qFormat/>
    <w:uiPriority w:val="0"/>
  </w:style>
  <w:style w:type="paragraph" w:styleId="14">
    <w:name w:val="Body Text"/>
    <w:basedOn w:val="1"/>
    <w:next w:val="1"/>
    <w:qFormat/>
    <w:uiPriority w:val="0"/>
    <w:pPr>
      <w:spacing w:after="120"/>
    </w:pPr>
  </w:style>
  <w:style w:type="paragraph" w:styleId="15">
    <w:name w:val="Body Text Indent"/>
    <w:basedOn w:val="1"/>
    <w:next w:val="1"/>
    <w:qFormat/>
    <w:uiPriority w:val="0"/>
    <w:pPr>
      <w:widowControl/>
      <w:spacing w:after="120"/>
      <w:ind w:left="420" w:leftChars="200"/>
      <w:jc w:val="left"/>
    </w:pPr>
    <w:rPr>
      <w:kern w:val="0"/>
      <w:sz w:val="24"/>
    </w:rPr>
  </w:style>
  <w:style w:type="paragraph" w:styleId="16">
    <w:name w:val="Block Text"/>
    <w:basedOn w:val="1"/>
    <w:qFormat/>
    <w:uiPriority w:val="0"/>
    <w:pPr>
      <w:spacing w:after="120"/>
      <w:ind w:left="1440" w:leftChars="700" w:right="1440" w:rightChars="700"/>
    </w:pPr>
  </w:style>
  <w:style w:type="paragraph" w:styleId="17">
    <w:name w:val="Plain Text"/>
    <w:basedOn w:val="1"/>
    <w:next w:val="1"/>
    <w:qFormat/>
    <w:uiPriority w:val="0"/>
    <w:rPr>
      <w:rFonts w:ascii="宋体" w:hAnsi="Courier New"/>
    </w:rPr>
  </w:style>
  <w:style w:type="paragraph" w:styleId="18">
    <w:name w:val="List Bullet 5"/>
    <w:basedOn w:val="1"/>
    <w:qFormat/>
    <w:uiPriority w:val="0"/>
    <w:pPr>
      <w:numPr>
        <w:ilvl w:val="0"/>
        <w:numId w:val="1"/>
      </w:numPr>
    </w:pPr>
  </w:style>
  <w:style w:type="paragraph" w:styleId="19">
    <w:name w:val="Date"/>
    <w:basedOn w:val="1"/>
    <w:next w:val="1"/>
    <w:qFormat/>
    <w:uiPriority w:val="0"/>
    <w:rPr>
      <w:sz w:val="24"/>
      <w:szCs w:val="20"/>
    </w:rPr>
  </w:style>
  <w:style w:type="paragraph" w:styleId="20">
    <w:name w:val="Body Text Indent 2"/>
    <w:basedOn w:val="1"/>
    <w:qFormat/>
    <w:uiPriority w:val="0"/>
    <w:pPr>
      <w:spacing w:after="120" w:line="480" w:lineRule="auto"/>
      <w:ind w:left="200" w:leftChars="200"/>
    </w:pPr>
    <w:rPr>
      <w:sz w:val="24"/>
    </w:rPr>
  </w:style>
  <w:style w:type="paragraph" w:styleId="21">
    <w:name w:val="footer"/>
    <w:basedOn w:val="1"/>
    <w:qFormat/>
    <w:uiPriority w:val="99"/>
    <w:pPr>
      <w:tabs>
        <w:tab w:val="center" w:pos="4153"/>
        <w:tab w:val="right" w:pos="8306"/>
      </w:tabs>
      <w:snapToGrid w:val="0"/>
      <w:jc w:val="left"/>
    </w:pPr>
    <w:rPr>
      <w:kern w:val="0"/>
      <w:sz w:val="18"/>
      <w:szCs w:val="20"/>
    </w:rPr>
  </w:style>
  <w:style w:type="paragraph" w:styleId="22">
    <w:name w:val="header"/>
    <w:basedOn w:val="1"/>
    <w:next w:val="10"/>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3">
    <w:name w:val="toc 1"/>
    <w:basedOn w:val="1"/>
    <w:next w:val="1"/>
    <w:qFormat/>
    <w:uiPriority w:val="0"/>
  </w:style>
  <w:style w:type="paragraph" w:styleId="24">
    <w:name w:val="index heading"/>
    <w:basedOn w:val="1"/>
    <w:next w:val="25"/>
    <w:qFormat/>
    <w:uiPriority w:val="0"/>
    <w:rPr>
      <w:rFonts w:ascii="Arial" w:hAnsi="Arial"/>
      <w:b/>
    </w:rPr>
  </w:style>
  <w:style w:type="paragraph" w:styleId="25">
    <w:name w:val="index 1"/>
    <w:basedOn w:val="1"/>
    <w:next w:val="1"/>
    <w:semiHidden/>
    <w:qFormat/>
    <w:uiPriority w:val="0"/>
    <w:pPr>
      <w:adjustRightInd w:val="0"/>
      <w:snapToGrid w:val="0"/>
      <w:ind w:firstLine="823" w:firstLineChars="358"/>
      <w:jc w:val="left"/>
    </w:pPr>
    <w:rPr>
      <w:rFonts w:ascii="宋体" w:hAnsi="宋体"/>
      <w:spacing w:val="10"/>
    </w:rPr>
  </w:style>
  <w:style w:type="paragraph" w:styleId="26">
    <w:name w:val="Body Text Indent 3"/>
    <w:basedOn w:val="1"/>
    <w:qFormat/>
    <w:uiPriority w:val="0"/>
    <w:pPr>
      <w:spacing w:after="120"/>
      <w:ind w:left="420" w:leftChars="200"/>
    </w:pPr>
    <w:rPr>
      <w:sz w:val="16"/>
      <w:szCs w:val="16"/>
    </w:rPr>
  </w:style>
  <w:style w:type="paragraph" w:styleId="27">
    <w:name w:val="Normal (Web)"/>
    <w:basedOn w:val="1"/>
    <w:qFormat/>
    <w:uiPriority w:val="0"/>
    <w:pPr>
      <w:widowControl/>
      <w:spacing w:before="100" w:beforeAutospacing="1" w:after="100" w:afterAutospacing="1"/>
      <w:jc w:val="left"/>
    </w:pPr>
    <w:rPr>
      <w:rFonts w:ascii="宋体" w:hAnsi="宋体"/>
      <w:kern w:val="0"/>
      <w:sz w:val="24"/>
      <w:szCs w:val="20"/>
    </w:rPr>
  </w:style>
  <w:style w:type="paragraph" w:styleId="28">
    <w:name w:val="Body Text First Indent"/>
    <w:basedOn w:val="14"/>
    <w:next w:val="1"/>
    <w:qFormat/>
    <w:uiPriority w:val="0"/>
    <w:pPr>
      <w:ind w:firstLine="420" w:firstLineChars="100"/>
    </w:pPr>
    <w:rPr>
      <w:sz w:val="24"/>
    </w:rPr>
  </w:style>
  <w:style w:type="paragraph" w:styleId="29">
    <w:name w:val="Body Text First Indent 2"/>
    <w:basedOn w:val="1"/>
    <w:next w:val="28"/>
    <w:qFormat/>
    <w:uiPriority w:val="0"/>
    <w:pPr>
      <w:ind w:firstLine="420" w:firstLineChars="200"/>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basedOn w:val="32"/>
    <w:qFormat/>
    <w:uiPriority w:val="0"/>
  </w:style>
  <w:style w:type="character" w:styleId="35">
    <w:name w:val="Emphasis"/>
    <w:qFormat/>
    <w:uiPriority w:val="20"/>
  </w:style>
  <w:style w:type="character" w:styleId="36">
    <w:name w:val="Hyperlink"/>
    <w:basedOn w:val="32"/>
    <w:qFormat/>
    <w:uiPriority w:val="0"/>
    <w:rPr>
      <w:color w:val="000000"/>
      <w:u w:val="none"/>
    </w:rPr>
  </w:style>
  <w:style w:type="character" w:styleId="37">
    <w:name w:val="annotation reference"/>
    <w:basedOn w:val="32"/>
    <w:qFormat/>
    <w:uiPriority w:val="0"/>
    <w:rPr>
      <w:sz w:val="21"/>
    </w:rPr>
  </w:style>
  <w:style w:type="paragraph" w:customStyle="1" w:styleId="38">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39">
    <w:name w:val="Default"/>
    <w:basedOn w:val="40"/>
    <w:next w:val="29"/>
    <w:qFormat/>
    <w:uiPriority w:val="0"/>
    <w:pPr>
      <w:autoSpaceDE w:val="0"/>
      <w:autoSpaceDN w:val="0"/>
      <w:adjustRightInd w:val="0"/>
    </w:pPr>
    <w:rPr>
      <w:rFonts w:ascii="Times New Roman" w:hAnsi="Times New Roman"/>
      <w:color w:val="000000"/>
      <w:sz w:val="24"/>
    </w:rPr>
  </w:style>
  <w:style w:type="paragraph" w:customStyle="1" w:styleId="40">
    <w:name w:val="批注文字1"/>
    <w:basedOn w:val="1"/>
    <w:next w:val="12"/>
    <w:unhideWhenUsed/>
    <w:qFormat/>
    <w:uiPriority w:val="99"/>
    <w:rPr>
      <w:rFonts w:ascii="Calibri" w:hAnsi="Calibri"/>
    </w:rPr>
  </w:style>
  <w:style w:type="paragraph" w:customStyle="1" w:styleId="41">
    <w:name w:val="纯文本1"/>
    <w:basedOn w:val="1"/>
    <w:qFormat/>
    <w:uiPriority w:val="0"/>
    <w:pPr>
      <w:adjustRightInd w:val="0"/>
      <w:textAlignment w:val="baseline"/>
    </w:pPr>
    <w:rPr>
      <w:rFonts w:ascii="宋体"/>
      <w:kern w:val="0"/>
      <w:szCs w:val="20"/>
    </w:rPr>
  </w:style>
  <w:style w:type="paragraph" w:customStyle="1" w:styleId="42">
    <w:name w:val="样式 标题 1 + 四号 段前: 0 磅 段后: 0 磅 行距: 1.5 倍行距"/>
    <w:basedOn w:val="43"/>
    <w:next w:val="44"/>
    <w:qFormat/>
    <w:uiPriority w:val="0"/>
    <w:pPr>
      <w:spacing w:line="360" w:lineRule="auto"/>
      <w:jc w:val="center"/>
    </w:pPr>
  </w:style>
  <w:style w:type="paragraph" w:customStyle="1" w:styleId="43">
    <w:name w:val="1正文"/>
    <w:basedOn w:val="1"/>
    <w:qFormat/>
    <w:uiPriority w:val="0"/>
    <w:pPr>
      <w:spacing w:line="500" w:lineRule="exact"/>
      <w:ind w:firstLine="588" w:firstLineChars="196"/>
    </w:pPr>
    <w:rPr>
      <w:rFonts w:eastAsia="楷体_GB2312"/>
      <w:sz w:val="30"/>
      <w:szCs w:val="30"/>
    </w:rPr>
  </w:style>
  <w:style w:type="paragraph" w:customStyle="1" w:styleId="44">
    <w:name w:val="文本正文"/>
    <w:basedOn w:val="1"/>
    <w:qFormat/>
    <w:uiPriority w:val="0"/>
    <w:pPr>
      <w:snapToGrid w:val="0"/>
      <w:spacing w:line="360" w:lineRule="auto"/>
      <w:ind w:firstLine="510"/>
      <w:jc w:val="left"/>
    </w:pPr>
    <w:rPr>
      <w:spacing w:val="4"/>
      <w:kern w:val="24"/>
      <w:lang w:val="zh-CN"/>
    </w:rPr>
  </w:style>
  <w:style w:type="paragraph" w:customStyle="1" w:styleId="45">
    <w:name w:val="报告表正文"/>
    <w:basedOn w:val="1"/>
    <w:qFormat/>
    <w:uiPriority w:val="0"/>
    <w:pPr>
      <w:adjustRightInd w:val="0"/>
      <w:spacing w:line="312" w:lineRule="auto"/>
      <w:ind w:left="113" w:right="113" w:firstLine="482"/>
      <w:jc w:val="left"/>
      <w:textAlignment w:val="baseline"/>
    </w:pPr>
    <w:rPr>
      <w:kern w:val="0"/>
      <w:sz w:val="24"/>
    </w:rPr>
  </w:style>
  <w:style w:type="paragraph" w:customStyle="1" w:styleId="46">
    <w:name w:val="样式 黑色 行距: 最小值 26 磅"/>
    <w:basedOn w:val="1"/>
    <w:qFormat/>
    <w:uiPriority w:val="0"/>
    <w:pPr>
      <w:ind w:firstLine="200" w:firstLineChars="200"/>
      <w:jc w:val="left"/>
    </w:pPr>
    <w:rPr>
      <w:rFonts w:eastAsia="楷体_GB2312" w:cs="宋体"/>
      <w:color w:val="000000"/>
      <w:spacing w:val="6"/>
      <w:sz w:val="28"/>
      <w:szCs w:val="20"/>
    </w:rPr>
  </w:style>
  <w:style w:type="paragraph" w:customStyle="1" w:styleId="47">
    <w:name w:val="表格"/>
    <w:basedOn w:val="7"/>
    <w:next w:val="1"/>
    <w:qFormat/>
    <w:uiPriority w:val="0"/>
    <w:pPr>
      <w:adjustRightInd w:val="0"/>
      <w:snapToGrid w:val="0"/>
      <w:spacing w:beforeLines="10" w:afterLines="10" w:line="259" w:lineRule="auto"/>
      <w:jc w:val="center"/>
    </w:pPr>
    <w:rPr>
      <w:rFonts w:ascii="宋体"/>
      <w:kern w:val="0"/>
      <w:szCs w:val="20"/>
    </w:rPr>
  </w:style>
  <w:style w:type="paragraph" w:customStyle="1" w:styleId="48">
    <w:name w:val="图标题"/>
    <w:basedOn w:val="1"/>
    <w:qFormat/>
    <w:uiPriority w:val="0"/>
    <w:pPr>
      <w:tabs>
        <w:tab w:val="left" w:pos="1035"/>
      </w:tabs>
      <w:spacing w:afterLines="100"/>
      <w:jc w:val="center"/>
    </w:pPr>
    <w:rPr>
      <w:sz w:val="24"/>
    </w:rPr>
  </w:style>
  <w:style w:type="paragraph" w:customStyle="1" w:styleId="49">
    <w:name w:val="表格及表头"/>
    <w:basedOn w:val="1"/>
    <w:next w:val="1"/>
    <w:qFormat/>
    <w:uiPriority w:val="0"/>
    <w:rPr>
      <w:szCs w:val="21"/>
    </w:rPr>
  </w:style>
  <w:style w:type="paragraph" w:customStyle="1" w:styleId="50">
    <w:name w:val="p17"/>
    <w:basedOn w:val="1"/>
    <w:qFormat/>
    <w:uiPriority w:val="0"/>
    <w:pPr>
      <w:widowControl/>
      <w:spacing w:after="120"/>
    </w:pPr>
    <w:rPr>
      <w:kern w:val="0"/>
      <w:sz w:val="30"/>
      <w:szCs w:val="30"/>
    </w:rPr>
  </w:style>
  <w:style w:type="paragraph" w:customStyle="1" w:styleId="51">
    <w:name w:val="文本内容"/>
    <w:basedOn w:val="1"/>
    <w:qFormat/>
    <w:uiPriority w:val="0"/>
    <w:pPr>
      <w:adjustRightInd w:val="0"/>
      <w:snapToGrid w:val="0"/>
      <w:spacing w:line="360" w:lineRule="auto"/>
      <w:ind w:firstLine="546" w:firstLineChars="200"/>
    </w:pPr>
    <w:rPr>
      <w:rFonts w:ascii="Calibri" w:hAnsi="Calibri"/>
      <w:sz w:val="28"/>
    </w:rPr>
  </w:style>
  <w:style w:type="character" w:customStyle="1" w:styleId="52">
    <w:name w:val="ggzbt011"/>
    <w:basedOn w:val="32"/>
    <w:qFormat/>
    <w:uiPriority w:val="0"/>
  </w:style>
  <w:style w:type="paragraph" w:customStyle="1" w:styleId="53">
    <w:name w:val="中文报告书样式"/>
    <w:basedOn w:val="1"/>
    <w:qFormat/>
    <w:uiPriority w:val="0"/>
    <w:pPr>
      <w:adjustRightInd w:val="0"/>
      <w:spacing w:line="480" w:lineRule="atLeast"/>
      <w:ind w:firstLine="482"/>
      <w:textAlignment w:val="baseline"/>
    </w:pPr>
    <w:rPr>
      <w:kern w:val="24"/>
      <w:sz w:val="24"/>
      <w:szCs w:val="20"/>
    </w:rPr>
  </w:style>
  <w:style w:type="character" w:customStyle="1" w:styleId="54">
    <w:name w:val="dz1"/>
    <w:qFormat/>
    <w:uiPriority w:val="0"/>
    <w:rPr>
      <w:rFonts w:hint="default" w:ascii="Geneva" w:hAnsi="Geneva"/>
      <w:sz w:val="20"/>
      <w:szCs w:val="20"/>
    </w:rPr>
  </w:style>
  <w:style w:type="paragraph" w:customStyle="1" w:styleId="55">
    <w:name w:val="制表格"/>
    <w:basedOn w:val="1"/>
    <w:qFormat/>
    <w:uiPriority w:val="0"/>
    <w:pPr>
      <w:jc w:val="center"/>
    </w:pPr>
    <w:rPr>
      <w:snapToGrid w:val="0"/>
      <w:kern w:val="0"/>
      <w:szCs w:val="28"/>
    </w:rPr>
  </w:style>
  <w:style w:type="paragraph" w:customStyle="1" w:styleId="56">
    <w:name w:val="环科院正文"/>
    <w:basedOn w:val="1"/>
    <w:qFormat/>
    <w:uiPriority w:val="0"/>
    <w:pPr>
      <w:tabs>
        <w:tab w:val="left" w:pos="5760"/>
      </w:tabs>
      <w:spacing w:line="360" w:lineRule="auto"/>
      <w:ind w:firstLine="480" w:firstLineChars="200"/>
    </w:pPr>
    <w:rPr>
      <w:rFonts w:hAnsi="宋体"/>
      <w:bCs/>
      <w:sz w:val="24"/>
      <w:szCs w:val="20"/>
    </w:rPr>
  </w:style>
  <w:style w:type="paragraph" w:customStyle="1" w:styleId="57">
    <w:name w:val="11"/>
    <w:basedOn w:val="14"/>
    <w:next w:val="16"/>
    <w:qFormat/>
    <w:uiPriority w:val="0"/>
    <w:pPr>
      <w:autoSpaceDE w:val="0"/>
      <w:autoSpaceDN w:val="0"/>
      <w:adjustRightInd w:val="0"/>
      <w:spacing w:after="0" w:line="360" w:lineRule="auto"/>
      <w:ind w:firstLine="1320" w:firstLineChars="550"/>
      <w:textAlignment w:val="baseline"/>
    </w:pPr>
    <w:rPr>
      <w:sz w:val="24"/>
    </w:rPr>
  </w:style>
  <w:style w:type="paragraph" w:customStyle="1" w:styleId="58">
    <w:name w:val="样式 小四 行距: 1.5 倍行距"/>
    <w:qFormat/>
    <w:uiPriority w:val="0"/>
    <w:pPr>
      <w:adjustRightInd w:val="0"/>
      <w:snapToGrid w:val="0"/>
      <w:spacing w:line="360" w:lineRule="auto"/>
      <w:ind w:firstLine="480" w:firstLineChars="200"/>
    </w:pPr>
    <w:rPr>
      <w:rFonts w:ascii="Times New Roman" w:hAnsi="Times New Roman" w:eastAsia="宋体" w:cs="Times New Roman"/>
      <w:sz w:val="24"/>
      <w:lang w:val="en-US" w:eastAsia="zh-CN" w:bidi="ar-SA"/>
    </w:rPr>
  </w:style>
  <w:style w:type="paragraph" w:customStyle="1" w:styleId="59">
    <w:name w:val="WPSOffice手动目录 1"/>
    <w:qFormat/>
    <w:uiPriority w:val="0"/>
    <w:rPr>
      <w:rFonts w:ascii="Times New Roman" w:hAnsi="Times New Roman" w:eastAsia="宋体" w:cs="Times New Roman"/>
      <w:lang w:val="en-US" w:eastAsia="zh-CN" w:bidi="ar-SA"/>
    </w:rPr>
  </w:style>
  <w:style w:type="paragraph" w:customStyle="1" w:styleId="60">
    <w:name w:val="表头（书）"/>
    <w:basedOn w:val="1"/>
    <w:next w:val="47"/>
    <w:qFormat/>
    <w:uiPriority w:val="0"/>
    <w:pPr>
      <w:numPr>
        <w:ilvl w:val="4"/>
        <w:numId w:val="2"/>
      </w:numPr>
      <w:jc w:val="center"/>
    </w:pPr>
    <w:rPr>
      <w:b/>
      <w:bCs/>
    </w:rPr>
  </w:style>
  <w:style w:type="paragraph" w:customStyle="1" w:styleId="61">
    <w:name w:val="无间隔1"/>
    <w:qFormat/>
    <w:uiPriority w:val="0"/>
    <w:pPr>
      <w:widowControl w:val="0"/>
      <w:jc w:val="center"/>
    </w:pPr>
    <w:rPr>
      <w:rFonts w:ascii="Times New Roman" w:hAnsi="Times New Roman" w:eastAsia="宋体" w:cs="Times New Roman"/>
      <w:kern w:val="2"/>
      <w:sz w:val="21"/>
      <w:szCs w:val="22"/>
      <w:lang w:val="en-US" w:eastAsia="zh-CN" w:bidi="ar-SA"/>
    </w:rPr>
  </w:style>
  <w:style w:type="paragraph" w:customStyle="1" w:styleId="62">
    <w:name w:val="p0"/>
    <w:basedOn w:val="1"/>
    <w:qFormat/>
    <w:uiPriority w:val="0"/>
    <w:pPr>
      <w:widowControl/>
    </w:pPr>
    <w:rPr>
      <w:rFonts w:eastAsia="Arial Unicode MS"/>
      <w:kern w:val="0"/>
      <w:szCs w:val="21"/>
    </w:rPr>
  </w:style>
  <w:style w:type="paragraph" w:customStyle="1" w:styleId="63">
    <w:name w:val="赵"/>
    <w:basedOn w:val="1"/>
    <w:qFormat/>
    <w:uiPriority w:val="0"/>
    <w:pPr>
      <w:spacing w:line="360" w:lineRule="auto"/>
      <w:ind w:firstLine="200" w:firstLineChars="200"/>
    </w:pPr>
    <w:rPr>
      <w:color w:val="000000"/>
      <w:kern w:val="0"/>
      <w:sz w:val="24"/>
    </w:rPr>
  </w:style>
  <w:style w:type="paragraph" w:customStyle="1" w:styleId="64">
    <w:name w:val="表题"/>
    <w:qFormat/>
    <w:uiPriority w:val="0"/>
    <w:pPr>
      <w:adjustRightInd w:val="0"/>
      <w:snapToGrid w:val="0"/>
      <w:spacing w:before="156" w:after="156"/>
      <w:jc w:val="center"/>
    </w:pPr>
    <w:rPr>
      <w:rFonts w:ascii="Times New Roman" w:hAnsi="Times New Roman" w:eastAsia="PMingLiU" w:cs="Times New Roman"/>
      <w:sz w:val="24"/>
      <w:lang w:val="en-US" w:eastAsia="zh-CN" w:bidi="ar-SA"/>
    </w:rPr>
  </w:style>
  <w:style w:type="paragraph" w:customStyle="1" w:styleId="65">
    <w:name w:val="填表5中"/>
    <w:basedOn w:val="1"/>
    <w:next w:val="1"/>
    <w:qFormat/>
    <w:uiPriority w:val="0"/>
    <w:pPr>
      <w:spacing w:line="300" w:lineRule="exact"/>
      <w:jc w:val="center"/>
    </w:pPr>
    <w:rPr>
      <w:rFonts w:ascii="宋体"/>
      <w:sz w:val="24"/>
      <w:szCs w:val="21"/>
    </w:rPr>
  </w:style>
  <w:style w:type="character" w:customStyle="1" w:styleId="66">
    <w:name w:val="fw2"/>
    <w:basedOn w:val="32"/>
    <w:qFormat/>
    <w:uiPriority w:val="0"/>
  </w:style>
  <w:style w:type="paragraph" w:customStyle="1" w:styleId="67">
    <w:name w:val="_Style 2"/>
    <w:qFormat/>
    <w:uiPriority w:val="0"/>
    <w:pPr>
      <w:widowControl w:val="0"/>
      <w:spacing w:line="240" w:lineRule="atLeast"/>
      <w:jc w:val="both"/>
    </w:pPr>
    <w:rPr>
      <w:rFonts w:ascii="Calibri" w:hAnsi="Calibri" w:eastAsia="宋体" w:cs="Times New Roman"/>
      <w:kern w:val="2"/>
      <w:sz w:val="21"/>
      <w:szCs w:val="22"/>
      <w:lang w:val="en-US" w:eastAsia="zh-CN" w:bidi="ar-SA"/>
    </w:rPr>
  </w:style>
  <w:style w:type="paragraph" w:customStyle="1" w:styleId="68">
    <w:name w:val="1文章"/>
    <w:basedOn w:val="1"/>
    <w:qFormat/>
    <w:uiPriority w:val="0"/>
    <w:pPr>
      <w:spacing w:line="360" w:lineRule="auto"/>
      <w:ind w:firstLine="573"/>
    </w:pPr>
    <w:rPr>
      <w:rFonts w:eastAsia="楷体_GB2312"/>
      <w:sz w:val="28"/>
      <w:szCs w:val="20"/>
    </w:rPr>
  </w:style>
  <w:style w:type="paragraph" w:customStyle="1" w:styleId="69">
    <w:name w:val="正文内容"/>
    <w:qFormat/>
    <w:uiPriority w:val="0"/>
    <w:pPr>
      <w:widowControl w:val="0"/>
      <w:snapToGrid w:val="0"/>
      <w:spacing w:before="60" w:after="60" w:line="440" w:lineRule="exact"/>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70">
    <w:name w:val="列出段落1"/>
    <w:basedOn w:val="1"/>
    <w:qFormat/>
    <w:uiPriority w:val="0"/>
    <w:pPr>
      <w:ind w:firstLine="420" w:firstLineChars="200"/>
    </w:pPr>
    <w:rPr>
      <w:szCs w:val="22"/>
    </w:rPr>
  </w:style>
  <w:style w:type="paragraph" w:customStyle="1" w:styleId="71">
    <w:name w:val="报告表格"/>
    <w:basedOn w:val="1"/>
    <w:qFormat/>
    <w:uiPriority w:val="0"/>
    <w:pPr>
      <w:autoSpaceDE w:val="0"/>
      <w:autoSpaceDN w:val="0"/>
      <w:adjustRightInd w:val="0"/>
      <w:spacing w:before="40" w:after="40"/>
      <w:jc w:val="center"/>
    </w:pPr>
    <w:rPr>
      <w:kern w:val="0"/>
    </w:rPr>
  </w:style>
  <w:style w:type="paragraph" w:customStyle="1" w:styleId="72">
    <w:name w:val="正文01"/>
    <w:basedOn w:val="3"/>
    <w:qFormat/>
    <w:uiPriority w:val="0"/>
    <w:pPr>
      <w:keepNext w:val="0"/>
      <w:keepLines w:val="0"/>
      <w:adjustRightInd/>
      <w:snapToGrid/>
      <w:spacing w:before="60" w:line="460" w:lineRule="exact"/>
      <w:ind w:firstLine="200" w:firstLineChars="200"/>
      <w:outlineLvl w:val="9"/>
    </w:pPr>
    <w:rPr>
      <w:b w:val="0"/>
    </w:rPr>
  </w:style>
  <w:style w:type="paragraph" w:customStyle="1" w:styleId="73">
    <w:name w:val="表格 32"/>
    <w:basedOn w:val="1"/>
    <w:qFormat/>
    <w:uiPriority w:val="0"/>
    <w:pPr>
      <w:autoSpaceDE w:val="0"/>
      <w:autoSpaceDN w:val="0"/>
      <w:adjustRightInd w:val="0"/>
      <w:jc w:val="center"/>
      <w:textAlignment w:val="baseline"/>
    </w:pPr>
    <w:rPr>
      <w:rFonts w:ascii="宋体" w:hAnsi="Impact"/>
      <w:kern w:val="24"/>
    </w:rPr>
  </w:style>
  <w:style w:type="paragraph" w:customStyle="1" w:styleId="74">
    <w:name w:val="reader-word-layer reader-word-s6-8"/>
    <w:basedOn w:val="1"/>
    <w:qFormat/>
    <w:uiPriority w:val="0"/>
    <w:pPr>
      <w:widowControl/>
      <w:spacing w:before="100" w:beforeAutospacing="1" w:after="100" w:afterAutospacing="1"/>
      <w:jc w:val="left"/>
    </w:pPr>
    <w:rPr>
      <w:rFonts w:cs="宋体"/>
      <w:kern w:val="0"/>
      <w:sz w:val="24"/>
    </w:rPr>
  </w:style>
  <w:style w:type="paragraph" w:customStyle="1" w:styleId="75">
    <w:name w:val="正文样式1"/>
    <w:basedOn w:val="1"/>
    <w:qFormat/>
    <w:uiPriority w:val="0"/>
    <w:pPr>
      <w:adjustRightInd w:val="0"/>
      <w:spacing w:line="288" w:lineRule="auto"/>
      <w:ind w:firstLine="360" w:firstLineChars="150"/>
      <w:textAlignment w:val="baseline"/>
    </w:pPr>
    <w:rPr>
      <w:kern w:val="0"/>
      <w:sz w:val="24"/>
      <w:szCs w:val="20"/>
    </w:rPr>
  </w:style>
  <w:style w:type="character" w:customStyle="1" w:styleId="76">
    <w:name w:val="正文文本 Char1"/>
    <w:qFormat/>
    <w:uiPriority w:val="0"/>
    <w:rPr>
      <w:rFonts w:eastAsia="宋体"/>
      <w:kern w:val="2"/>
      <w:sz w:val="28"/>
      <w:szCs w:val="24"/>
      <w:lang w:val="en-US" w:eastAsia="zh-CN" w:bidi="ar-SA"/>
    </w:rPr>
  </w:style>
  <w:style w:type="paragraph" w:customStyle="1" w:styleId="77">
    <w:name w:val="文本22"/>
    <w:basedOn w:val="1"/>
    <w:qFormat/>
    <w:uiPriority w:val="0"/>
    <w:pPr>
      <w:autoSpaceDE w:val="0"/>
      <w:autoSpaceDN w:val="0"/>
      <w:adjustRightInd w:val="0"/>
      <w:spacing w:line="360" w:lineRule="auto"/>
      <w:ind w:firstLine="480" w:firstLineChars="200"/>
    </w:pPr>
    <w:rPr>
      <w:sz w:val="24"/>
    </w:rPr>
  </w:style>
  <w:style w:type="paragraph" w:customStyle="1" w:styleId="78">
    <w:name w:val="样式 cucd-0 + (西文) Arial (中文) 仿宋_GB2312"/>
    <w:basedOn w:val="1"/>
    <w:qFormat/>
    <w:uiPriority w:val="0"/>
    <w:pPr>
      <w:widowControl/>
      <w:spacing w:line="360" w:lineRule="auto"/>
      <w:ind w:firstLine="480" w:firstLineChars="200"/>
      <w:jc w:val="left"/>
    </w:pPr>
    <w:rPr>
      <w:rFonts w:ascii="Arial" w:hAnsi="Arial" w:eastAsia="仿宋_GB2312"/>
      <w:sz w:val="28"/>
      <w:szCs w:val="21"/>
    </w:rPr>
  </w:style>
  <w:style w:type="paragraph" w:customStyle="1" w:styleId="79">
    <w:name w:val="缩进2正文"/>
    <w:basedOn w:val="80"/>
    <w:qFormat/>
    <w:uiPriority w:val="0"/>
    <w:pPr>
      <w:tabs>
        <w:tab w:val="left" w:pos="4860"/>
      </w:tabs>
      <w:ind w:firstLine="560"/>
      <w:jc w:val="both"/>
    </w:pPr>
    <w:rPr>
      <w:sz w:val="28"/>
      <w:szCs w:val="28"/>
    </w:rPr>
  </w:style>
  <w:style w:type="paragraph" w:customStyle="1" w:styleId="80">
    <w:name w:val="报告正文"/>
    <w:basedOn w:val="1"/>
    <w:qFormat/>
    <w:uiPriority w:val="0"/>
    <w:pPr>
      <w:spacing w:line="360" w:lineRule="auto"/>
      <w:ind w:firstLine="200" w:firstLineChars="200"/>
      <w:jc w:val="left"/>
    </w:pPr>
    <w:rPr>
      <w:sz w:val="24"/>
    </w:rPr>
  </w:style>
  <w:style w:type="paragraph" w:customStyle="1" w:styleId="81">
    <w:name w:val="列出段落11"/>
    <w:basedOn w:val="1"/>
    <w:qFormat/>
    <w:uiPriority w:val="34"/>
    <w:pPr>
      <w:ind w:firstLine="420" w:firstLineChars="200"/>
    </w:pPr>
    <w:rPr>
      <w:szCs w:val="20"/>
    </w:rPr>
  </w:style>
  <w:style w:type="paragraph" w:customStyle="1" w:styleId="82">
    <w:name w:val="Char"/>
    <w:basedOn w:val="1"/>
    <w:qFormat/>
    <w:uiPriority w:val="0"/>
    <w:pPr>
      <w:snapToGrid w:val="0"/>
      <w:spacing w:line="360" w:lineRule="auto"/>
      <w:ind w:firstLine="529" w:firstLineChars="200"/>
    </w:pPr>
  </w:style>
  <w:style w:type="paragraph" w:customStyle="1" w:styleId="83">
    <w:name w:val="Table Paragraph"/>
    <w:basedOn w:val="1"/>
    <w:unhideWhenUsed/>
    <w:qFormat/>
    <w:uiPriority w:val="1"/>
    <w:rPr>
      <w:sz w:val="24"/>
    </w:rPr>
  </w:style>
  <w:style w:type="paragraph" w:customStyle="1" w:styleId="84">
    <w:name w:val="样式1"/>
    <w:basedOn w:val="5"/>
    <w:qFormat/>
    <w:uiPriority w:val="0"/>
    <w:pPr>
      <w:spacing w:before="160" w:after="170" w:line="372" w:lineRule="auto"/>
    </w:pPr>
    <w:rPr>
      <w:rFonts w:eastAsia="仿宋_GB2312"/>
    </w:rPr>
  </w:style>
  <w:style w:type="paragraph" w:customStyle="1" w:styleId="85">
    <w:name w:val="样式 (西文) Times New Roman 小四 行距: 1.5 倍行距 首行缩进:  2 字符"/>
    <w:basedOn w:val="1"/>
    <w:qFormat/>
    <w:uiPriority w:val="0"/>
    <w:pPr>
      <w:spacing w:line="360" w:lineRule="auto"/>
      <w:ind w:firstLine="480" w:firstLineChars="200"/>
    </w:pPr>
    <w:rPr>
      <w:rFonts w:cs="宋体"/>
      <w:sz w:val="24"/>
      <w:szCs w:val="20"/>
    </w:rPr>
  </w:style>
  <w:style w:type="paragraph" w:customStyle="1" w:styleId="86">
    <w:name w:val="表格小五"/>
    <w:basedOn w:val="1"/>
    <w:qFormat/>
    <w:uiPriority w:val="0"/>
    <w:pPr>
      <w:adjustRightInd w:val="0"/>
      <w:snapToGrid w:val="0"/>
      <w:spacing w:after="93" w:afterLines="30" w:line="240" w:lineRule="atLeast"/>
      <w:ind w:firstLine="510"/>
      <w:jc w:val="left"/>
    </w:pPr>
    <w:rPr>
      <w:spacing w:val="16"/>
      <w:kern w:val="0"/>
      <w:sz w:val="18"/>
      <w:szCs w:val="20"/>
    </w:rPr>
  </w:style>
  <w:style w:type="paragraph" w:customStyle="1" w:styleId="87">
    <w:name w:val="表格内容"/>
    <w:basedOn w:val="1"/>
    <w:qFormat/>
    <w:uiPriority w:val="0"/>
    <w:pPr>
      <w:adjustRightInd w:val="0"/>
      <w:snapToGrid w:val="0"/>
      <w:jc w:val="center"/>
    </w:pPr>
    <w:rPr>
      <w:rFonts w:eastAsia="Times New Roman"/>
      <w:szCs w:val="21"/>
    </w:rPr>
  </w:style>
  <w:style w:type="paragraph" w:customStyle="1" w:styleId="88">
    <w:name w:val="1正文段落"/>
    <w:basedOn w:val="1"/>
    <w:unhideWhenUsed/>
    <w:qFormat/>
    <w:uiPriority w:val="0"/>
    <w:pPr>
      <w:spacing w:line="360" w:lineRule="auto"/>
      <w:ind w:firstLine="200" w:firstLineChars="200"/>
    </w:pPr>
    <w:rPr>
      <w:snapToGrid w:val="0"/>
      <w:kern w:val="0"/>
      <w:sz w:val="24"/>
    </w:rPr>
  </w:style>
  <w:style w:type="paragraph" w:customStyle="1" w:styleId="89">
    <w:name w:val="表格文字"/>
    <w:basedOn w:val="8"/>
    <w:next w:val="1"/>
    <w:qFormat/>
    <w:uiPriority w:val="0"/>
    <w:pPr>
      <w:spacing w:line="320" w:lineRule="exact"/>
      <w:jc w:val="center"/>
    </w:pPr>
    <w:rPr>
      <w:rFonts w:ascii="宋体"/>
      <w:szCs w:val="24"/>
    </w:rPr>
  </w:style>
  <w:style w:type="paragraph" w:customStyle="1" w:styleId="90">
    <w:name w:val="方案正文"/>
    <w:basedOn w:val="1"/>
    <w:qFormat/>
    <w:uiPriority w:val="0"/>
    <w:rPr>
      <w:kern w:val="0"/>
      <w:sz w:val="24"/>
      <w:szCs w:val="20"/>
    </w:rPr>
  </w:style>
  <w:style w:type="paragraph" w:customStyle="1" w:styleId="91">
    <w:name w:val="1、正文文本"/>
    <w:next w:val="1"/>
    <w:qFormat/>
    <w:uiPriority w:val="0"/>
    <w:pPr>
      <w:adjustRightInd w:val="0"/>
      <w:snapToGrid w:val="0"/>
      <w:spacing w:line="360" w:lineRule="auto"/>
      <w:ind w:firstLine="200" w:firstLineChars="200"/>
      <w:jc w:val="both"/>
    </w:pPr>
    <w:rPr>
      <w:rFonts w:ascii="Times New Roman" w:hAnsi="Times New Roman" w:eastAsia="宋体" w:cs="宋体"/>
      <w:kern w:val="2"/>
      <w:sz w:val="24"/>
      <w:lang w:val="en-US" w:eastAsia="zh-CN" w:bidi="ar-SA"/>
    </w:rPr>
  </w:style>
  <w:style w:type="character" w:customStyle="1" w:styleId="92">
    <w:name w:val="font01"/>
    <w:basedOn w:val="32"/>
    <w:qFormat/>
    <w:uiPriority w:val="0"/>
    <w:rPr>
      <w:rFonts w:hint="eastAsia" w:ascii="宋体" w:hAnsi="宋体" w:eastAsia="宋体" w:cs="宋体"/>
      <w:color w:val="000000"/>
      <w:sz w:val="21"/>
      <w:szCs w:val="21"/>
      <w:u w:val="none"/>
    </w:rPr>
  </w:style>
  <w:style w:type="character" w:customStyle="1" w:styleId="93">
    <w:name w:val="font21"/>
    <w:basedOn w:val="32"/>
    <w:qFormat/>
    <w:uiPriority w:val="0"/>
    <w:rPr>
      <w:rFonts w:hint="default" w:ascii="Times New Roman" w:hAnsi="Times New Roman" w:cs="Times New Roman"/>
      <w:color w:val="000000"/>
      <w:sz w:val="21"/>
      <w:szCs w:val="21"/>
      <w:u w:val="none"/>
    </w:rPr>
  </w:style>
  <w:style w:type="character" w:customStyle="1" w:styleId="94">
    <w:name w:val="font41"/>
    <w:basedOn w:val="32"/>
    <w:qFormat/>
    <w:uiPriority w:val="0"/>
    <w:rPr>
      <w:rFonts w:hint="default" w:ascii="Times New Roman" w:hAnsi="Times New Roman" w:cs="Times New Roman"/>
      <w:b/>
      <w:bCs/>
      <w:color w:val="000000"/>
      <w:sz w:val="21"/>
      <w:szCs w:val="21"/>
      <w:u w:val="none"/>
    </w:rPr>
  </w:style>
  <w:style w:type="character" w:customStyle="1" w:styleId="95">
    <w:name w:val="font31"/>
    <w:basedOn w:val="32"/>
    <w:qFormat/>
    <w:uiPriority w:val="0"/>
    <w:rPr>
      <w:rFonts w:hint="default" w:ascii="Times New Roman" w:hAnsi="Times New Roman" w:cs="Times New Roman"/>
      <w:color w:val="000000"/>
      <w:sz w:val="21"/>
      <w:szCs w:val="21"/>
      <w:u w:val="none"/>
    </w:rPr>
  </w:style>
  <w:style w:type="character" w:customStyle="1" w:styleId="96">
    <w:name w:val="font51"/>
    <w:basedOn w:val="32"/>
    <w:qFormat/>
    <w:uiPriority w:val="0"/>
    <w:rPr>
      <w:rFonts w:hint="default" w:ascii="Times New Roman" w:hAnsi="Times New Roman" w:cs="Times New Roman"/>
      <w:color w:val="000000"/>
      <w:sz w:val="21"/>
      <w:szCs w:val="21"/>
      <w:u w:val="none"/>
      <w:vertAlign w:val="subscript"/>
    </w:rPr>
  </w:style>
  <w:style w:type="character" w:customStyle="1" w:styleId="97">
    <w:name w:val="正文文本_"/>
    <w:link w:val="98"/>
    <w:qFormat/>
    <w:locked/>
    <w:uiPriority w:val="99"/>
    <w:rPr>
      <w:rFonts w:ascii="MingLiU" w:hAnsi="MingLiU" w:eastAsia="MingLiU"/>
      <w:spacing w:val="10"/>
      <w:kern w:val="0"/>
      <w:szCs w:val="21"/>
    </w:rPr>
  </w:style>
  <w:style w:type="paragraph" w:customStyle="1" w:styleId="98">
    <w:name w:val="正文文本3"/>
    <w:basedOn w:val="1"/>
    <w:link w:val="97"/>
    <w:qFormat/>
    <w:uiPriority w:val="99"/>
    <w:pPr>
      <w:shd w:val="clear" w:color="auto" w:fill="FFFFFF"/>
      <w:spacing w:before="240" w:line="466" w:lineRule="exact"/>
      <w:ind w:hanging="480"/>
      <w:jc w:val="distribute"/>
    </w:pPr>
    <w:rPr>
      <w:rFonts w:ascii="MingLiU" w:hAnsi="MingLiU" w:eastAsia="MingLiU"/>
      <w:spacing w:val="10"/>
      <w:kern w:val="0"/>
      <w:szCs w:val="21"/>
    </w:rPr>
  </w:style>
  <w:style w:type="paragraph" w:customStyle="1" w:styleId="99">
    <w:name w:val="wlm表头"/>
    <w:basedOn w:val="1"/>
    <w:qFormat/>
    <w:uiPriority w:val="0"/>
    <w:pPr>
      <w:jc w:val="center"/>
    </w:pPr>
    <w:rPr>
      <w:b/>
      <w:szCs w:val="21"/>
    </w:rPr>
  </w:style>
  <w:style w:type="paragraph" w:customStyle="1" w:styleId="100">
    <w:name w:val="wlm表格"/>
    <w:basedOn w:val="1"/>
    <w:qFormat/>
    <w:uiPriority w:val="0"/>
    <w:pPr>
      <w:snapToGrid w:val="0"/>
      <w:jc w:val="center"/>
    </w:pPr>
    <w:rPr>
      <w:snapToGrid w:val="0"/>
      <w:spacing w:val="2"/>
      <w:szCs w:val="21"/>
    </w:rPr>
  </w:style>
  <w:style w:type="paragraph" w:customStyle="1" w:styleId="101">
    <w:name w:val="正文四号"/>
    <w:basedOn w:val="1"/>
    <w:qFormat/>
    <w:uiPriority w:val="0"/>
    <w:pPr>
      <w:spacing w:line="600" w:lineRule="exact"/>
      <w:ind w:firstLine="200" w:firstLineChars="200"/>
    </w:pPr>
    <w:rPr>
      <w:rFonts w:ascii="Calibri" w:hAnsi="Calibri" w:eastAsia="仿宋_GB2312"/>
      <w:sz w:val="28"/>
      <w:szCs w:val="28"/>
    </w:rPr>
  </w:style>
  <w:style w:type="paragraph" w:customStyle="1" w:styleId="102">
    <w:name w:val="表头、图尾"/>
    <w:basedOn w:val="1"/>
    <w:qFormat/>
    <w:uiPriority w:val="0"/>
    <w:pPr>
      <w:spacing w:beforeLines="50" w:afterLines="20"/>
      <w:jc w:val="center"/>
      <w:outlineLvl w:val="1"/>
    </w:pPr>
    <w:rPr>
      <w:b/>
    </w:rPr>
  </w:style>
  <w:style w:type="character" w:customStyle="1" w:styleId="103">
    <w:name w:val="NormalCharacter"/>
    <w:qFormat/>
    <w:uiPriority w:val="0"/>
  </w:style>
  <w:style w:type="paragraph" w:customStyle="1" w:styleId="104">
    <w:name w:val="cucd-0"/>
    <w:qFormat/>
    <w:uiPriority w:val="0"/>
    <w:pPr>
      <w:spacing w:line="360" w:lineRule="auto"/>
      <w:ind w:firstLine="480" w:firstLineChars="200"/>
    </w:pPr>
    <w:rPr>
      <w:rFonts w:ascii="Times New Roman" w:hAnsi="Times New Roman" w:eastAsia="Times New Roman" w:cs="Times New Roman"/>
      <w:szCs w:val="24"/>
      <w:lang w:val="en-US" w:eastAsia="zh-CN" w:bidi="ar-SA"/>
    </w:rPr>
  </w:style>
  <w:style w:type="paragraph" w:customStyle="1" w:styleId="105">
    <w:name w:val="表格标题"/>
    <w:basedOn w:val="1"/>
    <w:qFormat/>
    <w:uiPriority w:val="0"/>
    <w:pPr>
      <w:spacing w:line="540" w:lineRule="exact"/>
      <w:jc w:val="center"/>
    </w:pPr>
    <w:rPr>
      <w:rFonts w:ascii="宋体" w:hAnsi="宋体"/>
      <w:bCs/>
      <w:sz w:val="24"/>
    </w:rPr>
  </w:style>
  <w:style w:type="character" w:customStyle="1" w:styleId="106">
    <w:name w:val="viewthreadtxt"/>
    <w:basedOn w:val="32"/>
    <w:qFormat/>
    <w:uiPriority w:val="0"/>
  </w:style>
  <w:style w:type="paragraph" w:customStyle="1" w:styleId="107">
    <w:name w:val="Char Char Char Char"/>
    <w:basedOn w:val="1"/>
    <w:qFormat/>
    <w:uiPriority w:val="0"/>
    <w:pPr>
      <w:snapToGrid w:val="0"/>
      <w:spacing w:line="360" w:lineRule="auto"/>
      <w:ind w:firstLine="200" w:firstLineChars="200"/>
    </w:pPr>
    <w:rPr>
      <w:szCs w:val="20"/>
    </w:rPr>
  </w:style>
  <w:style w:type="character" w:customStyle="1" w:styleId="108">
    <w:name w:val="font11"/>
    <w:basedOn w:val="32"/>
    <w:qFormat/>
    <w:uiPriority w:val="0"/>
    <w:rPr>
      <w:rFonts w:hint="eastAsia" w:ascii="宋体" w:hAnsi="宋体" w:eastAsia="宋体" w:cs="宋体"/>
      <w:color w:val="000000"/>
      <w:sz w:val="21"/>
      <w:szCs w:val="21"/>
      <w:u w:val="none"/>
    </w:rPr>
  </w:style>
  <w:style w:type="paragraph" w:customStyle="1" w:styleId="109">
    <w:name w:val="文本"/>
    <w:basedOn w:val="1"/>
    <w:qFormat/>
    <w:uiPriority w:val="0"/>
    <w:pPr>
      <w:ind w:firstLine="480" w:firstLineChars="200"/>
    </w:pPr>
  </w:style>
  <w:style w:type="character" w:customStyle="1" w:styleId="110">
    <w:name w:val="font61"/>
    <w:basedOn w:val="32"/>
    <w:qFormat/>
    <w:uiPriority w:val="0"/>
    <w:rPr>
      <w:rFonts w:hint="default" w:ascii="Times New Roman" w:hAnsi="Times New Roman" w:cs="Times New Roman"/>
      <w:color w:val="000000"/>
      <w:sz w:val="21"/>
      <w:szCs w:val="21"/>
      <w:u w:val="none"/>
      <w:vertAlign w:val="subscript"/>
    </w:rPr>
  </w:style>
  <w:style w:type="character" w:customStyle="1" w:styleId="111">
    <w:name w:val="全部 Char Char"/>
    <w:link w:val="112"/>
    <w:qFormat/>
    <w:uiPriority w:val="0"/>
    <w:rPr>
      <w:rFonts w:ascii="宋体" w:hAnsi="宋体"/>
      <w:color w:val="000000"/>
      <w:sz w:val="24"/>
    </w:rPr>
  </w:style>
  <w:style w:type="paragraph" w:customStyle="1" w:styleId="112">
    <w:name w:val="全部"/>
    <w:basedOn w:val="1"/>
    <w:link w:val="111"/>
    <w:qFormat/>
    <w:uiPriority w:val="0"/>
    <w:pPr>
      <w:spacing w:before="156" w:beforeLines="50" w:after="156" w:afterLines="50" w:line="360" w:lineRule="auto"/>
      <w:ind w:firstLine="480" w:firstLineChars="200"/>
    </w:pPr>
    <w:rPr>
      <w:rFonts w:ascii="宋体" w:hAnsi="宋体"/>
      <w:color w:val="000000"/>
      <w:sz w:val="24"/>
    </w:rPr>
  </w:style>
  <w:style w:type="character" w:customStyle="1" w:styleId="113">
    <w:name w:val="样式 样式 小四 段前: 7.8 磅 段后: 7.8 磅 行距: 1.5 倍行距 + 首行缩进:  2 字符 Char Char"/>
    <w:link w:val="114"/>
    <w:qFormat/>
    <w:uiPriority w:val="0"/>
    <w:rPr>
      <w:spacing w:val="20"/>
      <w:sz w:val="24"/>
    </w:rPr>
  </w:style>
  <w:style w:type="paragraph" w:customStyle="1" w:styleId="114">
    <w:name w:val="样式 样式 小四 段前: 7.8 磅 段后: 7.8 磅 行距: 1.5 倍行距 + 首行缩进:  2 字符"/>
    <w:basedOn w:val="1"/>
    <w:link w:val="113"/>
    <w:qFormat/>
    <w:uiPriority w:val="0"/>
    <w:pPr>
      <w:spacing w:before="156" w:after="156" w:line="360" w:lineRule="auto"/>
      <w:ind w:firstLine="560" w:firstLineChars="200"/>
    </w:pPr>
    <w:rPr>
      <w:spacing w:val="20"/>
      <w:sz w:val="24"/>
    </w:rPr>
  </w:style>
  <w:style w:type="character" w:customStyle="1" w:styleId="115">
    <w:name w:val="fontstyle01"/>
    <w:basedOn w:val="32"/>
    <w:qFormat/>
    <w:uiPriority w:val="0"/>
    <w:rPr>
      <w:rFonts w:hint="eastAsia" w:ascii="宋体" w:hAnsi="宋体" w:eastAsia="宋体"/>
      <w:color w:val="000000"/>
      <w:sz w:val="24"/>
      <w:szCs w:val="24"/>
    </w:rPr>
  </w:style>
  <w:style w:type="paragraph" w:customStyle="1" w:styleId="116">
    <w:name w:val="首行缩进"/>
    <w:basedOn w:val="1"/>
    <w:qFormat/>
    <w:uiPriority w:val="0"/>
    <w:pPr>
      <w:snapToGrid w:val="0"/>
      <w:spacing w:line="360" w:lineRule="auto"/>
      <w:ind w:firstLine="482"/>
    </w:pPr>
    <w:rPr>
      <w:rFonts w:ascii="宋体" w:hAnsi="Calibri"/>
    </w:rPr>
  </w:style>
  <w:style w:type="table" w:customStyle="1" w:styleId="117">
    <w:name w:val="Table Normal"/>
    <w:semiHidden/>
    <w:unhideWhenUsed/>
    <w:qFormat/>
    <w:uiPriority w:val="2"/>
    <w:tblPr>
      <w:tblCellMar>
        <w:top w:w="0" w:type="dxa"/>
        <w:left w:w="0" w:type="dxa"/>
        <w:bottom w:w="0" w:type="dxa"/>
        <w:right w:w="0" w:type="dxa"/>
      </w:tblCellMar>
    </w:tblPr>
  </w:style>
  <w:style w:type="paragraph" w:customStyle="1" w:styleId="118">
    <w:name w:val="表格中文字"/>
    <w:basedOn w:val="1"/>
    <w:qFormat/>
    <w:uiPriority w:val="0"/>
    <w:rPr>
      <w:szCs w:val="52"/>
    </w:rPr>
  </w:style>
  <w:style w:type="paragraph" w:customStyle="1" w:styleId="119">
    <w:name w:val="报告书正文"/>
    <w:basedOn w:val="1"/>
    <w:qFormat/>
    <w:uiPriority w:val="0"/>
    <w:pPr>
      <w:spacing w:line="300" w:lineRule="auto"/>
      <w:ind w:firstLine="480" w:firstLineChars="200"/>
    </w:pPr>
    <w:rPr>
      <w:color w:val="000000"/>
      <w:sz w:val="24"/>
    </w:rPr>
  </w:style>
  <w:style w:type="paragraph" w:customStyle="1" w:styleId="120">
    <w:name w:val="样式 宋体 小四 两端对齐 左侧:  0 厘米 首行缩进:  2 字符"/>
    <w:basedOn w:val="1"/>
    <w:qFormat/>
    <w:uiPriority w:val="0"/>
    <w:pPr>
      <w:spacing w:before="100" w:beforeAutospacing="1" w:after="100" w:afterAutospacing="1"/>
    </w:pPr>
    <w:rPr>
      <w:rFonts w:ascii="宋体" w:hAnsi="宋体" w:cs="宋体"/>
      <w:b/>
      <w:bCs/>
    </w:rPr>
  </w:style>
  <w:style w:type="paragraph" w:customStyle="1" w:styleId="121">
    <w:name w:val="中 表格-内容"/>
    <w:basedOn w:val="1"/>
    <w:qFormat/>
    <w:uiPriority w:val="1"/>
    <w:pPr>
      <w:tabs>
        <w:tab w:val="right" w:leader="dot" w:pos="8160"/>
      </w:tabs>
      <w:spacing w:before="40" w:after="40"/>
      <w:jc w:val="center"/>
      <w:textAlignment w:val="baseline"/>
    </w:pPr>
    <w:rPr>
      <w:rFonts w:ascii="Arial Narrow" w:hAnsi="Arial Narrow"/>
      <w:kern w:val="0"/>
      <w:sz w:val="24"/>
    </w:rPr>
  </w:style>
  <w:style w:type="paragraph" w:customStyle="1" w:styleId="122">
    <w:name w:val="Char Char Char Char Char Char Char Char Char1 Char Char Char Char"/>
    <w:basedOn w:val="1"/>
    <w:qFormat/>
    <w:uiPriority w:val="0"/>
    <w:pPr>
      <w:widowControl/>
      <w:jc w:val="left"/>
    </w:pPr>
    <w:rPr>
      <w:rFonts w:ascii="宋体" w:hAnsi="宋体" w:cs="宋体"/>
      <w:kern w:val="0"/>
      <w:sz w:val="24"/>
      <w:szCs w:val="21"/>
    </w:rPr>
  </w:style>
  <w:style w:type="paragraph" w:customStyle="1" w:styleId="123">
    <w:name w:val="环科院正文 Char Char"/>
    <w:basedOn w:val="1"/>
    <w:qFormat/>
    <w:uiPriority w:val="0"/>
    <w:pPr>
      <w:spacing w:line="300" w:lineRule="auto"/>
      <w:ind w:firstLine="480" w:firstLineChars="200"/>
    </w:pPr>
    <w:rPr>
      <w:rFonts w:ascii="宋体" w:hAnsi="宋体"/>
      <w:bCs/>
      <w:kern w:val="0"/>
      <w:sz w:val="24"/>
    </w:rPr>
  </w:style>
  <w:style w:type="character" w:customStyle="1" w:styleId="124">
    <w:name w:val="font71"/>
    <w:basedOn w:val="32"/>
    <w:qFormat/>
    <w:uiPriority w:val="0"/>
    <w:rPr>
      <w:rFonts w:hint="default" w:ascii="Times New Roman" w:hAnsi="Times New Roman" w:cs="Times New Roman"/>
      <w:b/>
      <w:bCs/>
      <w:color w:val="000000"/>
      <w:sz w:val="21"/>
      <w:szCs w:val="21"/>
      <w:u w:val="none"/>
    </w:rPr>
  </w:style>
  <w:style w:type="paragraph" w:customStyle="1" w:styleId="125">
    <w:name w:val="Table Text"/>
    <w:basedOn w:val="1"/>
    <w:semiHidden/>
    <w:qFormat/>
    <w:uiPriority w:val="0"/>
    <w:rPr>
      <w:rFonts w:ascii="微软雅黑" w:hAnsi="微软雅黑" w:eastAsia="微软雅黑" w:cs="微软雅黑"/>
      <w:sz w:val="28"/>
      <w:szCs w:val="28"/>
      <w:lang w:eastAsia="en-US"/>
    </w:rPr>
  </w:style>
  <w:style w:type="paragraph" w:customStyle="1" w:styleId="126">
    <w:name w:val="表格（居中）"/>
    <w:basedOn w:val="1"/>
    <w:qFormat/>
    <w:uiPriority w:val="0"/>
    <w:pPr>
      <w:spacing w:line="360" w:lineRule="exact"/>
      <w:ind w:firstLine="0" w:firstLineChars="0"/>
      <w:jc w:val="center"/>
    </w:pPr>
    <w:rPr>
      <w:rFonts w:hint="eastAsia" w:ascii="Times New Roman" w:hAnsi="Times New Roman" w:eastAsia="宋体"/>
      <w:sz w:val="21"/>
    </w:rPr>
  </w:style>
  <w:style w:type="paragraph" w:customStyle="1" w:styleId="127">
    <w:name w:val="表格（两端对齐）"/>
    <w:basedOn w:val="7"/>
    <w:next w:val="1"/>
    <w:qFormat/>
    <w:uiPriority w:val="99"/>
    <w:pPr>
      <w:tabs>
        <w:tab w:val="left" w:pos="5530"/>
      </w:tabs>
      <w:overflowPunct w:val="0"/>
      <w:adjustRightInd/>
      <w:spacing w:before="0" w:after="0" w:afterLines="0" w:line="360" w:lineRule="exact"/>
      <w:ind w:firstLine="480" w:firstLineChars="200"/>
      <w:jc w:val="both"/>
    </w:pPr>
    <w:rPr>
      <w:rFonts w:ascii="Times New Roman" w:hAnsi="Times New Roman" w:eastAsia="宋体"/>
      <w:sz w:val="21"/>
    </w:rPr>
  </w:style>
  <w:style w:type="paragraph" w:customStyle="1" w:styleId="128">
    <w:name w:val="List Paragraph"/>
    <w:basedOn w:val="1"/>
    <w:qFormat/>
    <w:uiPriority w:val="0"/>
    <w:pPr>
      <w:ind w:firstLine="420" w:firstLineChars="200"/>
    </w:pPr>
    <w:rPr>
      <w:szCs w:val="22"/>
    </w:rPr>
  </w:style>
  <w:style w:type="paragraph" w:customStyle="1" w:styleId="129">
    <w:name w:val="表名"/>
    <w:basedOn w:val="1"/>
    <w:qFormat/>
    <w:uiPriority w:val="0"/>
    <w:pPr>
      <w:spacing w:line="360" w:lineRule="auto"/>
      <w:jc w:val="center"/>
    </w:pPr>
    <w:rPr>
      <w:rFonts w:eastAsia="黑体"/>
      <w:b/>
      <w:kern w:val="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jpe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oleObject" Target="embeddings/oleObject5.bin"/><Relationship Id="rId17" Type="http://schemas.openxmlformats.org/officeDocument/2006/relationships/image" Target="media/image4.emf"/><Relationship Id="rId16" Type="http://schemas.openxmlformats.org/officeDocument/2006/relationships/oleObject" Target="embeddings/oleObject4.bin"/><Relationship Id="rId15" Type="http://schemas.openxmlformats.org/officeDocument/2006/relationships/image" Target="media/image3.emf"/><Relationship Id="rId14" Type="http://schemas.openxmlformats.org/officeDocument/2006/relationships/oleObject" Target="embeddings/oleObject3.bin"/><Relationship Id="rId13" Type="http://schemas.openxmlformats.org/officeDocument/2006/relationships/image" Target="media/image2.emf"/><Relationship Id="rId12" Type="http://schemas.openxmlformats.org/officeDocument/2006/relationships/oleObject" Target="embeddings/oleObject2.bin"/><Relationship Id="rId11" Type="http://schemas.openxmlformats.org/officeDocument/2006/relationships/image" Target="media/image1.e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1036"/>
    <customShpInfo spid="_x0000_s1043"/>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146</Pages>
  <Words>12592</Words>
  <Characters>13232</Characters>
  <Lines>845</Lines>
  <Paragraphs>238</Paragraphs>
  <TotalTime>157</TotalTime>
  <ScaleCrop>false</ScaleCrop>
  <LinksUpToDate>false</LinksUpToDate>
  <CharactersWithSpaces>13311</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2021-02-01T16:12:00Z</dcterms:created>
  <dc:creator>gc</dc:creator>
  <cp:lastModifiedBy>丫头</cp:lastModifiedBy>
  <cp:lastPrinted>2026-04-03T16:34:00Z</cp:lastPrinted>
  <dcterms:modified xsi:type="dcterms:W3CDTF">2026-09-29T06:37:31Z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CF29AA2682374E58B80A889063BBFD50_13</vt:lpwstr>
  </property>
  <property fmtid="{D5CDD505-2E9C-101B-9397-08002B2CF9AE}" pid="4" name="KSOTemplateDocerSaveRecord">
    <vt:lpwstr>eyJoZGlkIjoiZjRmNmFlOGUwMjhjNDk2ODU1NDQyOThmZDk5MTc1MTMiLCJ1c2VySWQiOiI2NjU5OTY2NDQifQ==</vt:lpwstr>
  </property>
</Properties>
</file>