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0" w:firstLineChars="0"/>
        <w:jc w:val="center"/>
        <w:rPr>
          <w:rFonts w:eastAsia="方正小标宋_GBK"/>
          <w:color w:val="000000" w:themeColor="text1"/>
          <w:sz w:val="56"/>
          <w:szCs w:val="36"/>
          <w14:textFill>
            <w14:solidFill>
              <w14:schemeClr w14:val="tx1"/>
            </w14:solidFill>
          </w14:textFill>
        </w:rPr>
      </w:pPr>
      <w:bookmarkStart w:id="0" w:name="_Toc64618121"/>
      <w:bookmarkStart w:id="1" w:name="_Toc25609"/>
      <w:bookmarkStart w:id="2" w:name="_Toc28817"/>
      <w:bookmarkStart w:id="3" w:name="_Toc7043"/>
      <w:bookmarkStart w:id="4" w:name="_Toc30042"/>
      <w:bookmarkStart w:id="5" w:name="_Toc6110"/>
      <w:bookmarkStart w:id="6" w:name="_Toc18984"/>
      <w:bookmarkStart w:id="7" w:name="_Toc3419"/>
      <w:bookmarkStart w:id="8" w:name="_Toc23282"/>
    </w:p>
    <w:p>
      <w:pPr>
        <w:spacing w:line="240" w:lineRule="auto"/>
        <w:ind w:firstLine="0" w:firstLineChars="0"/>
        <w:jc w:val="center"/>
        <w:rPr>
          <w:rFonts w:eastAsia="方正小标宋_GBK"/>
          <w:color w:val="000000" w:themeColor="text1"/>
          <w:sz w:val="56"/>
          <w:szCs w:val="36"/>
          <w14:textFill>
            <w14:solidFill>
              <w14:schemeClr w14:val="tx1"/>
            </w14:solidFill>
          </w14:textFill>
        </w:rPr>
      </w:pPr>
    </w:p>
    <w:p>
      <w:pPr>
        <w:spacing w:line="240" w:lineRule="auto"/>
        <w:ind w:firstLine="0" w:firstLineChars="0"/>
        <w:jc w:val="center"/>
        <w:rPr>
          <w:rFonts w:hint="eastAsia" w:ascii="方正小标宋_GBK" w:hAnsi="方正小标宋_GBK" w:eastAsia="方正小标宋_GBK" w:cs="方正小标宋_GBK"/>
          <w:color w:val="000000" w:themeColor="text1"/>
          <w:sz w:val="56"/>
          <w:szCs w:val="36"/>
          <w14:textFill>
            <w14:solidFill>
              <w14:schemeClr w14:val="tx1"/>
            </w14:solidFill>
          </w14:textFill>
        </w:rPr>
      </w:pPr>
      <w:r>
        <w:rPr>
          <w:rFonts w:hint="eastAsia" w:ascii="方正小标宋_GBK" w:hAnsi="方正小标宋_GBK" w:eastAsia="方正小标宋_GBK" w:cs="方正小标宋_GBK"/>
          <w:color w:val="000000" w:themeColor="text1"/>
          <w:sz w:val="56"/>
          <w:szCs w:val="36"/>
          <w14:textFill>
            <w14:solidFill>
              <w14:schemeClr w14:val="tx1"/>
            </w14:solidFill>
          </w14:textFill>
        </w:rPr>
        <w:t>玉溪市“十五五”防震减灾规划</w:t>
      </w:r>
    </w:p>
    <w:p>
      <w:pPr>
        <w:spacing w:line="240" w:lineRule="auto"/>
        <w:ind w:firstLine="0" w:firstLineChars="0"/>
        <w:jc w:val="center"/>
        <w:rPr>
          <w:rFonts w:hint="eastAsia" w:ascii="方正小标宋_GBK" w:hAnsi="方正小标宋_GBK" w:eastAsia="方正小标宋_GBK" w:cs="方正小标宋_GBK"/>
          <w:color w:val="000000" w:themeColor="text1"/>
          <w:sz w:val="36"/>
          <w:szCs w:val="21"/>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21"/>
          <w:lang w:eastAsia="zh-CN"/>
          <w14:textFill>
            <w14:solidFill>
              <w14:schemeClr w14:val="tx1"/>
            </w14:solidFill>
          </w14:textFill>
        </w:rPr>
        <w:t>（征求意见稿）</w:t>
      </w:r>
    </w:p>
    <w:p>
      <w:pPr>
        <w:tabs>
          <w:tab w:val="left" w:pos="8844"/>
        </w:tabs>
        <w:spacing w:line="590" w:lineRule="exact"/>
        <w:ind w:right="-56" w:rightChars="-17" w:firstLine="0" w:firstLineChars="0"/>
        <w:jc w:val="center"/>
        <w:rPr>
          <w:rFonts w:eastAsia="方正小标宋_GBK"/>
          <w:color w:val="000000" w:themeColor="text1"/>
          <w:sz w:val="44"/>
          <w:szCs w:val="44"/>
          <w14:textFill>
            <w14:solidFill>
              <w14:schemeClr w14:val="tx1"/>
            </w14:solidFill>
          </w14:textFill>
        </w:rPr>
      </w:pPr>
    </w:p>
    <w:p>
      <w:pPr>
        <w:tabs>
          <w:tab w:val="left" w:pos="8844"/>
        </w:tabs>
        <w:spacing w:line="590" w:lineRule="exact"/>
        <w:ind w:right="-56" w:rightChars="-17" w:firstLine="0" w:firstLineChars="0"/>
        <w:jc w:val="center"/>
        <w:rPr>
          <w:rFonts w:eastAsia="方正小标宋_GBK"/>
          <w:color w:val="000000" w:themeColor="text1"/>
          <w:sz w:val="44"/>
          <w:szCs w:val="44"/>
          <w14:textFill>
            <w14:solidFill>
              <w14:schemeClr w14:val="tx1"/>
            </w14:solidFill>
          </w14:textFill>
        </w:rPr>
      </w:pPr>
    </w:p>
    <w:p>
      <w:pPr>
        <w:tabs>
          <w:tab w:val="left" w:pos="8844"/>
        </w:tabs>
        <w:spacing w:line="590" w:lineRule="exact"/>
        <w:ind w:right="-56" w:rightChars="-17" w:firstLine="0" w:firstLineChars="0"/>
        <w:jc w:val="center"/>
        <w:rPr>
          <w:rFonts w:eastAsia="方正小标宋_GBK"/>
          <w:color w:val="000000" w:themeColor="text1"/>
          <w:sz w:val="44"/>
          <w:szCs w:val="44"/>
          <w14:textFill>
            <w14:solidFill>
              <w14:schemeClr w14:val="tx1"/>
            </w14:solidFill>
          </w14:textFill>
        </w:rPr>
      </w:pPr>
    </w:p>
    <w:p>
      <w:pPr>
        <w:ind w:firstLine="0" w:firstLineChars="0"/>
        <w:jc w:val="center"/>
        <w:rPr>
          <w:rFonts w:eastAsia="方正小标宋_GBK"/>
          <w:color w:val="000000" w:themeColor="text1"/>
          <w:sz w:val="44"/>
          <w:szCs w:val="44"/>
          <w14:textFill>
            <w14:solidFill>
              <w14:schemeClr w14:val="tx1"/>
            </w14:solidFill>
          </w14:textFill>
        </w:rPr>
      </w:pPr>
    </w:p>
    <w:p>
      <w:pPr>
        <w:ind w:firstLine="0" w:firstLineChars="0"/>
        <w:jc w:val="center"/>
        <w:rPr>
          <w:rFonts w:eastAsia="方正小标宋_GBK"/>
          <w:color w:val="000000" w:themeColor="text1"/>
          <w:sz w:val="44"/>
          <w:szCs w:val="44"/>
          <w14:textFill>
            <w14:solidFill>
              <w14:schemeClr w14:val="tx1"/>
            </w14:solidFill>
          </w14:textFill>
        </w:rPr>
      </w:pPr>
    </w:p>
    <w:p>
      <w:pPr>
        <w:ind w:firstLine="0" w:firstLineChars="0"/>
        <w:jc w:val="center"/>
        <w:rPr>
          <w:rFonts w:eastAsia="方正小标宋_GBK"/>
          <w:color w:val="000000" w:themeColor="text1"/>
          <w:sz w:val="44"/>
          <w:szCs w:val="44"/>
          <w14:textFill>
            <w14:solidFill>
              <w14:schemeClr w14:val="tx1"/>
            </w14:solidFill>
          </w14:textFill>
        </w:rPr>
      </w:pPr>
    </w:p>
    <w:p>
      <w:pPr>
        <w:ind w:firstLine="0" w:firstLineChars="0"/>
        <w:jc w:val="center"/>
        <w:rPr>
          <w:rFonts w:eastAsia="方正小标宋_GBK"/>
          <w:color w:val="000000" w:themeColor="text1"/>
          <w:sz w:val="44"/>
          <w:szCs w:val="44"/>
          <w14:textFill>
            <w14:solidFill>
              <w14:schemeClr w14:val="tx1"/>
            </w14:solidFill>
          </w14:textFill>
        </w:rPr>
      </w:pPr>
    </w:p>
    <w:p>
      <w:pPr>
        <w:ind w:firstLine="0" w:firstLineChars="0"/>
        <w:jc w:val="center"/>
        <w:rPr>
          <w:rFonts w:eastAsia="方正小标宋_GBK"/>
          <w:color w:val="000000" w:themeColor="text1"/>
          <w:sz w:val="44"/>
          <w:szCs w:val="44"/>
          <w14:textFill>
            <w14:solidFill>
              <w14:schemeClr w14:val="tx1"/>
            </w14:solidFill>
          </w14:textFill>
        </w:rPr>
      </w:pPr>
    </w:p>
    <w:p>
      <w:pPr>
        <w:ind w:firstLine="0" w:firstLineChars="0"/>
        <w:jc w:val="center"/>
        <w:rPr>
          <w:rFonts w:eastAsia="方正小标宋_GBK"/>
          <w:color w:val="000000" w:themeColor="text1"/>
          <w:sz w:val="44"/>
          <w:szCs w:val="44"/>
          <w14:textFill>
            <w14:solidFill>
              <w14:schemeClr w14:val="tx1"/>
            </w14:solidFill>
          </w14:textFill>
        </w:rPr>
      </w:pPr>
    </w:p>
    <w:p>
      <w:pPr>
        <w:ind w:firstLine="0" w:firstLineChars="0"/>
        <w:jc w:val="center"/>
        <w:rPr>
          <w:rFonts w:eastAsia="方正小标宋_GBK"/>
          <w:color w:val="000000" w:themeColor="text1"/>
          <w:sz w:val="44"/>
          <w:szCs w:val="44"/>
          <w14:textFill>
            <w14:solidFill>
              <w14:schemeClr w14:val="tx1"/>
            </w14:solidFill>
          </w14:textFill>
        </w:rPr>
      </w:pPr>
    </w:p>
    <w:p>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玉溪市防震减灾局</w:t>
      </w:r>
    </w:p>
    <w:p>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2026</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年</w:t>
      </w:r>
      <w:r>
        <w:rPr>
          <w:rFonts w:hint="eastAsia"/>
          <w:color w:val="000000" w:themeColor="text1"/>
          <w14:textFill>
            <w14:solidFill>
              <w14:schemeClr w14:val="tx1"/>
            </w14:solidFill>
          </w14:textFill>
        </w:rPr>
        <w:t xml:space="preserve"> 9 </w:t>
      </w:r>
      <w:r>
        <w:rPr>
          <w:color w:val="000000" w:themeColor="text1"/>
          <w14:textFill>
            <w14:solidFill>
              <w14:schemeClr w14:val="tx1"/>
            </w14:solidFill>
          </w14:textFill>
        </w:rPr>
        <w:t>月</w:t>
      </w:r>
    </w:p>
    <w:p>
      <w:pPr>
        <w:ind w:firstLine="912"/>
        <w:jc w:val="center"/>
        <w:rPr>
          <w:rFonts w:eastAsia="方正小标宋_GBK"/>
          <w:color w:val="000000" w:themeColor="text1"/>
          <w:sz w:val="44"/>
          <w:szCs w:val="44"/>
          <w14:textFill>
            <w14:solidFill>
              <w14:schemeClr w14:val="tx1"/>
            </w14:solidFill>
          </w14:textFill>
        </w:rPr>
      </w:pPr>
    </w:p>
    <w:p>
      <w:pPr>
        <w:ind w:firstLine="912"/>
        <w:jc w:val="center"/>
        <w:rPr>
          <w:rFonts w:eastAsia="方正小标宋_GBK"/>
          <w:color w:val="000000" w:themeColor="text1"/>
          <w:sz w:val="44"/>
          <w:szCs w:val="44"/>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1361" w:footer="1191" w:gutter="0"/>
          <w:pgNumType w:fmt="decimal"/>
          <w:cols w:space="720" w:num="1"/>
          <w:docGrid w:type="linesAndChars" w:linePitch="600" w:charSpace="3229"/>
        </w:sectPr>
      </w:pPr>
    </w:p>
    <w:p>
      <w:pPr>
        <w:tabs>
          <w:tab w:val="left" w:pos="8844"/>
        </w:tabs>
        <w:spacing w:line="590" w:lineRule="exact"/>
        <w:ind w:right="-56" w:rightChars="-17" w:firstLine="0" w:firstLineChars="0"/>
        <w:jc w:val="center"/>
        <w:rPr>
          <w:rFonts w:eastAsia="方正小标宋_GBK"/>
          <w:color w:val="000000" w:themeColor="text1"/>
          <w:sz w:val="44"/>
          <w:szCs w:val="44"/>
          <w14:textFill>
            <w14:solidFill>
              <w14:schemeClr w14:val="tx1"/>
            </w14:solidFill>
          </w14:textFill>
        </w:rPr>
      </w:pPr>
      <w:r>
        <w:rPr>
          <w:rFonts w:eastAsia="方正小标宋_GBK"/>
          <w:color w:val="000000" w:themeColor="text1"/>
          <w:sz w:val="44"/>
          <w:szCs w:val="44"/>
          <w14:textFill>
            <w14:solidFill>
              <w14:schemeClr w14:val="tx1"/>
            </w14:solidFill>
          </w14:textFill>
        </w:rPr>
        <w:t>目   录</w:t>
      </w:r>
    </w:p>
    <w:p>
      <w:pPr>
        <w:pStyle w:val="13"/>
        <w:tabs>
          <w:tab w:val="right" w:leader="dot" w:pos="8306"/>
        </w:tabs>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TOC \o "1-3" \h \z \u </w:instrText>
      </w:r>
      <w:r>
        <w:rPr>
          <w:color w:val="000000" w:themeColor="text1"/>
          <w14:textFill>
            <w14:solidFill>
              <w14:schemeClr w14:val="tx1"/>
            </w14:solidFill>
          </w14:textFill>
        </w:rPr>
        <w:fldChar w:fldCharType="separate"/>
      </w:r>
      <w:r>
        <w:fldChar w:fldCharType="begin"/>
      </w:r>
      <w:r>
        <w:instrText xml:space="preserve"> HYPERLINK \l "_Toc6025" </w:instrText>
      </w:r>
      <w:r>
        <w:fldChar w:fldCharType="separate"/>
      </w:r>
      <w:r>
        <w:rPr>
          <w:color w:val="000000" w:themeColor="text1"/>
          <w:kern w:val="44"/>
          <w14:textFill>
            <w14:solidFill>
              <w14:schemeClr w14:val="tx1"/>
            </w14:solidFill>
          </w14:textFill>
        </w:rPr>
        <w:t>一、现状与形势</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_Toc6025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14"/>
        <w:tabs>
          <w:tab w:val="right" w:leader="dot" w:pos="8306"/>
        </w:tabs>
        <w:ind w:left="0" w:leftChars="0" w:firstLine="665" w:firstLineChars="199"/>
        <w:rPr>
          <w:color w:val="000000" w:themeColor="text1"/>
          <w14:textFill>
            <w14:solidFill>
              <w14:schemeClr w14:val="tx1"/>
            </w14:solidFill>
          </w14:textFill>
        </w:rPr>
      </w:pPr>
      <w:r>
        <w:fldChar w:fldCharType="begin"/>
      </w:r>
      <w:r>
        <w:instrText xml:space="preserve"> HYPERLINK \l "_Toc24685" </w:instrText>
      </w:r>
      <w:r>
        <w:fldChar w:fldCharType="separate"/>
      </w:r>
      <w:r>
        <w:rPr>
          <w:color w:val="000000" w:themeColor="text1"/>
          <w:kern w:val="0"/>
          <w14:textFill>
            <w14:solidFill>
              <w14:schemeClr w14:val="tx1"/>
            </w14:solidFill>
          </w14:textFill>
        </w:rPr>
        <w:t>（一）发展成效</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_Toc24685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14"/>
        <w:tabs>
          <w:tab w:val="right" w:leader="dot" w:pos="8306"/>
        </w:tabs>
        <w:ind w:left="0" w:leftChars="0" w:firstLine="665" w:firstLineChars="199"/>
        <w:rPr>
          <w:color w:val="000000" w:themeColor="text1"/>
          <w14:textFill>
            <w14:solidFill>
              <w14:schemeClr w14:val="tx1"/>
            </w14:solidFill>
          </w14:textFill>
        </w:rPr>
      </w:pPr>
      <w:r>
        <w:fldChar w:fldCharType="begin"/>
      </w:r>
      <w:r>
        <w:instrText xml:space="preserve"> HYPERLINK \l "_Toc32351" </w:instrText>
      </w:r>
      <w:r>
        <w:fldChar w:fldCharType="separate"/>
      </w:r>
      <w:r>
        <w:rPr>
          <w:color w:val="000000" w:themeColor="text1"/>
          <w:kern w:val="0"/>
          <w14:textFill>
            <w14:solidFill>
              <w14:schemeClr w14:val="tx1"/>
            </w14:solidFill>
          </w14:textFill>
        </w:rPr>
        <w:t>（二）</w:t>
      </w:r>
      <w:r>
        <w:rPr>
          <w:bCs/>
          <w:color w:val="000000" w:themeColor="text1"/>
          <w14:textFill>
            <w14:solidFill>
              <w14:schemeClr w14:val="tx1"/>
            </w14:solidFill>
          </w14:textFill>
        </w:rPr>
        <w:t>当前形势</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_Toc32351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13"/>
        <w:tabs>
          <w:tab w:val="right" w:leader="dot" w:pos="8306"/>
        </w:tabs>
        <w:ind w:firstLine="0" w:firstLineChars="0"/>
        <w:rPr>
          <w:rFonts w:hint="eastAsia" w:eastAsia="方正仿宋_GBK"/>
          <w:color w:val="000000" w:themeColor="text1"/>
          <w:lang w:eastAsia="zh-CN"/>
          <w14:textFill>
            <w14:solidFill>
              <w14:schemeClr w14:val="tx1"/>
            </w14:solidFill>
          </w14:textFill>
        </w:rPr>
      </w:pPr>
      <w:r>
        <w:fldChar w:fldCharType="begin"/>
      </w:r>
      <w:r>
        <w:instrText xml:space="preserve"> HYPERLINK \l "_Toc3614" </w:instrText>
      </w:r>
      <w:r>
        <w:fldChar w:fldCharType="separate"/>
      </w:r>
      <w:r>
        <w:rPr>
          <w:color w:val="000000" w:themeColor="text1"/>
          <w:kern w:val="44"/>
          <w14:textFill>
            <w14:solidFill>
              <w14:schemeClr w14:val="tx1"/>
            </w14:solidFill>
          </w14:textFill>
        </w:rPr>
        <w:t>二、总体要求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8</w:t>
      </w:r>
    </w:p>
    <w:p>
      <w:pPr>
        <w:pStyle w:val="13"/>
        <w:tabs>
          <w:tab w:val="right" w:leader="dot" w:pos="8306"/>
        </w:tabs>
        <w:ind w:firstLine="0" w:firstLineChars="0"/>
        <w:rPr>
          <w:rFonts w:hint="eastAsia" w:eastAsia="方正仿宋_GBK"/>
          <w:color w:val="000000" w:themeColor="text1"/>
          <w:lang w:eastAsia="zh-CN"/>
          <w14:textFill>
            <w14:solidFill>
              <w14:schemeClr w14:val="tx1"/>
            </w14:solidFill>
          </w14:textFill>
        </w:rPr>
      </w:pPr>
      <w:r>
        <w:fldChar w:fldCharType="begin"/>
      </w:r>
      <w:r>
        <w:instrText xml:space="preserve"> HYPERLINK \l "_Toc26576" </w:instrText>
      </w:r>
      <w:r>
        <w:fldChar w:fldCharType="separate"/>
      </w:r>
      <w:r>
        <w:rPr>
          <w:color w:val="000000" w:themeColor="text1"/>
          <w:kern w:val="44"/>
          <w14:textFill>
            <w14:solidFill>
              <w14:schemeClr w14:val="tx1"/>
            </w14:solidFill>
          </w14:textFill>
        </w:rPr>
        <w:t>三、总体布局和主要任务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_Toc26576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1</w:t>
      </w:r>
    </w:p>
    <w:p>
      <w:pPr>
        <w:pStyle w:val="14"/>
        <w:tabs>
          <w:tab w:val="right" w:leader="dot" w:pos="8306"/>
        </w:tabs>
        <w:ind w:left="0" w:leftChars="0" w:firstLine="665" w:firstLineChars="199"/>
        <w:rPr>
          <w:rFonts w:hint="eastAsia" w:eastAsia="方正仿宋_GBK"/>
          <w:color w:val="000000" w:themeColor="text1"/>
          <w:lang w:eastAsia="zh-CN"/>
          <w14:textFill>
            <w14:solidFill>
              <w14:schemeClr w14:val="tx1"/>
            </w14:solidFill>
          </w14:textFill>
        </w:rPr>
      </w:pPr>
      <w:r>
        <w:fldChar w:fldCharType="begin"/>
      </w:r>
      <w:r>
        <w:instrText xml:space="preserve"> HYPERLINK \l "_Toc11997" </w:instrText>
      </w:r>
      <w:r>
        <w:fldChar w:fldCharType="separate"/>
      </w:r>
      <w:r>
        <w:rPr>
          <w:color w:val="000000" w:themeColor="text1"/>
          <w:kern w:val="0"/>
          <w14:textFill>
            <w14:solidFill>
              <w14:schemeClr w14:val="tx1"/>
            </w14:solidFill>
          </w14:textFill>
        </w:rPr>
        <w:t>（一）总体布局</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_Toc11997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1</w:t>
      </w:r>
    </w:p>
    <w:p>
      <w:pPr>
        <w:pStyle w:val="14"/>
        <w:tabs>
          <w:tab w:val="right" w:leader="dot" w:pos="8306"/>
        </w:tabs>
        <w:ind w:left="0" w:leftChars="0" w:firstLine="665" w:firstLineChars="199"/>
        <w:rPr>
          <w:rFonts w:hint="eastAsia" w:eastAsia="方正仿宋_GBK"/>
          <w:color w:val="000000" w:themeColor="text1"/>
          <w:lang w:eastAsia="zh-CN"/>
          <w14:textFill>
            <w14:solidFill>
              <w14:schemeClr w14:val="tx1"/>
            </w14:solidFill>
          </w14:textFill>
        </w:rPr>
      </w:pPr>
      <w:r>
        <w:fldChar w:fldCharType="begin"/>
      </w:r>
      <w:r>
        <w:instrText xml:space="preserve"> HYPERLINK \l "_Toc20603" </w:instrText>
      </w:r>
      <w:r>
        <w:fldChar w:fldCharType="separate"/>
      </w:r>
      <w:r>
        <w:rPr>
          <w:color w:val="000000" w:themeColor="text1"/>
          <w:kern w:val="0"/>
          <w14:textFill>
            <w14:solidFill>
              <w14:schemeClr w14:val="tx1"/>
            </w14:solidFill>
          </w14:textFill>
        </w:rPr>
        <w:t>（二）主要任务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_Toc20603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3</w:t>
      </w:r>
    </w:p>
    <w:p>
      <w:pPr>
        <w:pStyle w:val="9"/>
        <w:tabs>
          <w:tab w:val="right" w:leader="dot" w:pos="8306"/>
        </w:tabs>
        <w:ind w:left="0" w:leftChars="0" w:firstLine="994" w:firstLineChars="297"/>
        <w:rPr>
          <w:rFonts w:hint="eastAsia" w:eastAsia="方正仿宋_GBK"/>
          <w:color w:val="000000" w:themeColor="text1"/>
          <w:lang w:eastAsia="zh-CN"/>
          <w14:textFill>
            <w14:solidFill>
              <w14:schemeClr w14:val="tx1"/>
            </w14:solidFill>
          </w14:textFill>
        </w:rPr>
      </w:pPr>
      <w:r>
        <w:fldChar w:fldCharType="begin"/>
      </w:r>
      <w:r>
        <w:instrText xml:space="preserve"> HYPERLINK \l "_Toc28095" </w:instrText>
      </w:r>
      <w:r>
        <w:fldChar w:fldCharType="separate"/>
      </w:r>
      <w:r>
        <w:rPr>
          <w:bCs/>
          <w:color w:val="000000" w:themeColor="text1"/>
          <w14:textFill>
            <w14:solidFill>
              <w14:schemeClr w14:val="tx1"/>
            </w14:solidFill>
          </w14:textFill>
        </w:rPr>
        <w:t>1.提升地震监测预报预警能力</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_Toc28095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3</w:t>
      </w:r>
    </w:p>
    <w:p>
      <w:pPr>
        <w:pStyle w:val="9"/>
        <w:tabs>
          <w:tab w:val="right" w:leader="dot" w:pos="8306"/>
        </w:tabs>
        <w:ind w:left="0" w:leftChars="0" w:firstLine="994" w:firstLineChars="297"/>
        <w:rPr>
          <w:rFonts w:hint="eastAsia" w:eastAsia="方正仿宋_GBK"/>
          <w:color w:val="000000" w:themeColor="text1"/>
          <w:lang w:eastAsia="zh-CN"/>
          <w14:textFill>
            <w14:solidFill>
              <w14:schemeClr w14:val="tx1"/>
            </w14:solidFill>
          </w14:textFill>
        </w:rPr>
      </w:pPr>
      <w:r>
        <w:fldChar w:fldCharType="begin"/>
      </w:r>
      <w:r>
        <w:instrText xml:space="preserve"> HYPERLINK \l "_Toc7248" </w:instrText>
      </w:r>
      <w:r>
        <w:fldChar w:fldCharType="separate"/>
      </w:r>
      <w:r>
        <w:rPr>
          <w:bCs/>
          <w:color w:val="000000" w:themeColor="text1"/>
          <w14:textFill>
            <w14:solidFill>
              <w14:schemeClr w14:val="tx1"/>
            </w14:solidFill>
          </w14:textFill>
        </w:rPr>
        <w:t>2.增强地震灾害防御能力</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_Toc7248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4</w:t>
      </w:r>
    </w:p>
    <w:p>
      <w:pPr>
        <w:pStyle w:val="9"/>
        <w:tabs>
          <w:tab w:val="right" w:leader="dot" w:pos="8306"/>
        </w:tabs>
        <w:ind w:left="0" w:leftChars="0" w:firstLine="994" w:firstLineChars="297"/>
        <w:rPr>
          <w:rFonts w:hint="eastAsia" w:eastAsia="方正仿宋_GBK"/>
          <w:color w:val="000000" w:themeColor="text1"/>
          <w:lang w:eastAsia="zh-CN"/>
          <w14:textFill>
            <w14:solidFill>
              <w14:schemeClr w14:val="tx1"/>
            </w14:solidFill>
          </w14:textFill>
        </w:rPr>
      </w:pPr>
      <w:r>
        <w:fldChar w:fldCharType="begin"/>
      </w:r>
      <w:r>
        <w:instrText xml:space="preserve"> HYPERLINK \l "_Toc6003" </w:instrText>
      </w:r>
      <w:r>
        <w:fldChar w:fldCharType="separate"/>
      </w:r>
      <w:r>
        <w:rPr>
          <w:bCs/>
          <w:color w:val="000000" w:themeColor="text1"/>
          <w14:textFill>
            <w14:solidFill>
              <w14:schemeClr w14:val="tx1"/>
            </w14:solidFill>
          </w14:textFill>
        </w:rPr>
        <w:t>3.加强地震灾害处置能力</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_Toc6003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5</w:t>
      </w:r>
    </w:p>
    <w:p>
      <w:pPr>
        <w:pStyle w:val="9"/>
        <w:tabs>
          <w:tab w:val="right" w:leader="dot" w:pos="8306"/>
        </w:tabs>
        <w:ind w:left="0" w:leftChars="0" w:firstLine="994" w:firstLineChars="297"/>
        <w:rPr>
          <w:rFonts w:hint="default" w:eastAsia="方正仿宋_GBK"/>
          <w:color w:val="000000" w:themeColor="text1"/>
          <w:lang w:val="en-US" w:eastAsia="zh-CN"/>
          <w14:textFill>
            <w14:solidFill>
              <w14:schemeClr w14:val="tx1"/>
            </w14:solidFill>
          </w14:textFill>
        </w:rPr>
      </w:pPr>
      <w:r>
        <w:fldChar w:fldCharType="begin"/>
      </w:r>
      <w:r>
        <w:instrText xml:space="preserve"> HYPERLINK \l "_Toc950" </w:instrText>
      </w:r>
      <w:r>
        <w:fldChar w:fldCharType="separate"/>
      </w:r>
      <w:r>
        <w:rPr>
          <w:bCs/>
          <w:color w:val="000000" w:themeColor="text1"/>
          <w14:textFill>
            <w14:solidFill>
              <w14:schemeClr w14:val="tx1"/>
            </w14:solidFill>
          </w14:textFill>
        </w:rPr>
        <w:t>4.强化公共服务能力</w:t>
      </w:r>
      <w:r>
        <w:rPr>
          <w:color w:val="000000" w:themeColor="text1"/>
          <w14:textFill>
            <w14:solidFill>
              <w14:schemeClr w14:val="tx1"/>
            </w14:solidFill>
          </w14:textFill>
        </w:rPr>
        <w:tab/>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16</w:t>
      </w:r>
    </w:p>
    <w:p>
      <w:pPr>
        <w:pStyle w:val="9"/>
        <w:tabs>
          <w:tab w:val="right" w:leader="dot" w:pos="8306"/>
        </w:tabs>
        <w:ind w:left="0" w:leftChars="0" w:firstLine="994" w:firstLineChars="297"/>
        <w:rPr>
          <w:rFonts w:hint="eastAsia" w:eastAsia="方正仿宋_GBK"/>
          <w:color w:val="000000" w:themeColor="text1"/>
          <w:lang w:eastAsia="zh-CN"/>
          <w14:textFill>
            <w14:solidFill>
              <w14:schemeClr w14:val="tx1"/>
            </w14:solidFill>
          </w14:textFill>
        </w:rPr>
      </w:pPr>
      <w:r>
        <w:fldChar w:fldCharType="begin"/>
      </w:r>
      <w:r>
        <w:instrText xml:space="preserve"> HYPERLINK \l "_Toc3930" </w:instrText>
      </w:r>
      <w:r>
        <w:fldChar w:fldCharType="separate"/>
      </w:r>
      <w:r>
        <w:rPr>
          <w:bCs/>
          <w:color w:val="000000" w:themeColor="text1"/>
          <w14:textFill>
            <w14:solidFill>
              <w14:schemeClr w14:val="tx1"/>
            </w14:solidFill>
          </w14:textFill>
        </w:rPr>
        <w:t>5.强化科技应用和人才支撑</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_Toc3930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7</w:t>
      </w:r>
    </w:p>
    <w:p>
      <w:pPr>
        <w:pStyle w:val="9"/>
        <w:tabs>
          <w:tab w:val="right" w:leader="dot" w:pos="8306"/>
        </w:tabs>
        <w:ind w:left="0" w:leftChars="0" w:firstLine="994" w:firstLineChars="297"/>
        <w:rPr>
          <w:rFonts w:hint="eastAsia" w:eastAsia="方正仿宋_GBK"/>
          <w:color w:val="000000" w:themeColor="text1"/>
          <w:lang w:eastAsia="zh-CN"/>
          <w14:textFill>
            <w14:solidFill>
              <w14:schemeClr w14:val="tx1"/>
            </w14:solidFill>
          </w14:textFill>
        </w:rPr>
      </w:pPr>
      <w:r>
        <w:fldChar w:fldCharType="begin"/>
      </w:r>
      <w:r>
        <w:instrText xml:space="preserve"> HYPERLINK \l "_Toc32470" </w:instrText>
      </w:r>
      <w:r>
        <w:fldChar w:fldCharType="separate"/>
      </w:r>
      <w:r>
        <w:rPr>
          <w:bCs/>
          <w:color w:val="000000" w:themeColor="text1"/>
          <w14:textFill>
            <w14:solidFill>
              <w14:schemeClr w14:val="tx1"/>
            </w14:solidFill>
          </w14:textFill>
        </w:rPr>
        <w:t>6.筑牢防震减灾法治保障</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_Toc32470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7</w:t>
      </w:r>
    </w:p>
    <w:p>
      <w:pPr>
        <w:pStyle w:val="13"/>
        <w:tabs>
          <w:tab w:val="right" w:leader="dot" w:pos="8306"/>
        </w:tabs>
        <w:ind w:firstLine="0" w:firstLineChars="0"/>
        <w:rPr>
          <w:rFonts w:hint="eastAsia" w:eastAsia="方正仿宋_GBK"/>
          <w:color w:val="000000" w:themeColor="text1"/>
          <w:lang w:eastAsia="zh-CN"/>
          <w14:textFill>
            <w14:solidFill>
              <w14:schemeClr w14:val="tx1"/>
            </w14:solidFill>
          </w14:textFill>
        </w:rPr>
      </w:pPr>
      <w:r>
        <w:fldChar w:fldCharType="begin"/>
      </w:r>
      <w:r>
        <w:instrText xml:space="preserve"> HYPERLINK \l "_Toc11801" </w:instrText>
      </w:r>
      <w:r>
        <w:fldChar w:fldCharType="separate"/>
      </w:r>
      <w:r>
        <w:rPr>
          <w:color w:val="000000" w:themeColor="text1"/>
          <w:kern w:val="44"/>
          <w14:textFill>
            <w14:solidFill>
              <w14:schemeClr w14:val="tx1"/>
            </w14:solidFill>
          </w14:textFill>
        </w:rPr>
        <w:t>四、重点工程项目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_Toc11801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8</w:t>
      </w:r>
    </w:p>
    <w:p>
      <w:pPr>
        <w:pStyle w:val="14"/>
        <w:tabs>
          <w:tab w:val="right" w:leader="dot" w:pos="8306"/>
        </w:tabs>
        <w:ind w:left="0" w:leftChars="0" w:firstLine="665" w:firstLineChars="199"/>
        <w:rPr>
          <w:rFonts w:hint="eastAsia" w:eastAsia="方正仿宋_GBK"/>
          <w:color w:val="000000" w:themeColor="text1"/>
          <w:lang w:val="en-US" w:eastAsia="zh-CN"/>
          <w14:textFill>
            <w14:solidFill>
              <w14:schemeClr w14:val="tx1"/>
            </w14:solidFill>
          </w14:textFill>
        </w:rPr>
      </w:pPr>
      <w:r>
        <w:fldChar w:fldCharType="begin"/>
      </w:r>
      <w:r>
        <w:instrText xml:space="preserve"> HYPERLINK \l "_Toc18525" </w:instrText>
      </w:r>
      <w:r>
        <w:fldChar w:fldCharType="separate"/>
      </w:r>
      <w:r>
        <w:rPr>
          <w:color w:val="000000" w:themeColor="text1"/>
          <w:kern w:val="0"/>
          <w14:textFill>
            <w14:solidFill>
              <w14:schemeClr w14:val="tx1"/>
            </w14:solidFill>
          </w14:textFill>
        </w:rPr>
        <w:t>（一）多学科地震监测预报预警能力提升工程</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_Toc18525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8</w:t>
      </w:r>
    </w:p>
    <w:p>
      <w:pPr>
        <w:pStyle w:val="14"/>
        <w:tabs>
          <w:tab w:val="right" w:leader="dot" w:pos="8306"/>
        </w:tabs>
        <w:ind w:left="0" w:leftChars="0" w:firstLine="665" w:firstLineChars="199"/>
        <w:rPr>
          <w:rFonts w:hint="eastAsia" w:eastAsia="方正仿宋_GBK"/>
          <w:color w:val="000000" w:themeColor="text1"/>
          <w:lang w:eastAsia="zh-CN"/>
          <w14:textFill>
            <w14:solidFill>
              <w14:schemeClr w14:val="tx1"/>
            </w14:solidFill>
          </w14:textFill>
        </w:rPr>
      </w:pPr>
      <w:r>
        <w:fldChar w:fldCharType="begin"/>
      </w:r>
      <w:r>
        <w:instrText xml:space="preserve"> HYPERLINK \l "_Toc24026" </w:instrText>
      </w:r>
      <w:r>
        <w:fldChar w:fldCharType="separate"/>
      </w:r>
      <w:r>
        <w:rPr>
          <w:color w:val="000000" w:themeColor="text1"/>
          <w:kern w:val="0"/>
          <w14:textFill>
            <w14:solidFill>
              <w14:schemeClr w14:val="tx1"/>
            </w14:solidFill>
          </w14:textFill>
        </w:rPr>
        <w:t>（二）地震灾害风险应对与韧性城乡建设工程</w:t>
      </w:r>
      <w:r>
        <w:rPr>
          <w:color w:val="000000" w:themeColor="text1"/>
          <w14:textFill>
            <w14:solidFill>
              <w14:schemeClr w14:val="tx1"/>
            </w14:solidFill>
          </w14:textFill>
        </w:rPr>
        <w:tab/>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19</w:t>
      </w:r>
    </w:p>
    <w:p>
      <w:pPr>
        <w:pStyle w:val="14"/>
        <w:tabs>
          <w:tab w:val="right" w:leader="dot" w:pos="8306"/>
        </w:tabs>
        <w:ind w:left="0" w:leftChars="0" w:firstLine="665" w:firstLineChars="199"/>
        <w:rPr>
          <w:rFonts w:hint="eastAsia" w:eastAsia="方正仿宋_GBK"/>
          <w:color w:val="000000" w:themeColor="text1"/>
          <w:lang w:eastAsia="zh-CN"/>
          <w14:textFill>
            <w14:solidFill>
              <w14:schemeClr w14:val="tx1"/>
            </w14:solidFill>
          </w14:textFill>
        </w:rPr>
      </w:pPr>
      <w:r>
        <w:fldChar w:fldCharType="begin"/>
      </w:r>
      <w:r>
        <w:instrText xml:space="preserve"> HYPERLINK \l "_Toc6964" </w:instrText>
      </w:r>
      <w:r>
        <w:fldChar w:fldCharType="separate"/>
      </w:r>
      <w:r>
        <w:rPr>
          <w:color w:val="000000" w:themeColor="text1"/>
          <w:kern w:val="0"/>
          <w14:textFill>
            <w14:solidFill>
              <w14:schemeClr w14:val="tx1"/>
            </w14:solidFill>
          </w14:textFill>
        </w:rPr>
        <w:t>（三）</w:t>
      </w:r>
      <w:r>
        <w:rPr>
          <w:color w:val="000000" w:themeColor="text1"/>
          <w14:textFill>
            <w14:solidFill>
              <w14:schemeClr w14:val="tx1"/>
            </w14:solidFill>
          </w14:textFill>
        </w:rPr>
        <w:t>公众防震避险能力建设工程</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_Toc6964 \h </w:instrText>
      </w:r>
      <w:r>
        <w:rPr>
          <w:color w:val="000000" w:themeColor="text1"/>
          <w14:textFill>
            <w14:solidFill>
              <w14:schemeClr w14:val="tx1"/>
            </w14:solidFill>
          </w14:textFill>
        </w:rPr>
        <w:fldChar w:fldCharType="separate"/>
      </w:r>
      <w:r>
        <w:rPr>
          <w:rFonts w:hint="eastAsia"/>
          <w:color w:val="000000" w:themeColor="text1"/>
          <w:lang w:val="en-US" w:eastAsia="zh-CN"/>
          <w14:textFill>
            <w14:solidFill>
              <w14:schemeClr w14:val="tx1"/>
            </w14:solidFill>
          </w14:textFill>
        </w:rPr>
        <w:t>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pStyle w:val="13"/>
        <w:tabs>
          <w:tab w:val="right" w:leader="dot" w:pos="8306"/>
        </w:tabs>
        <w:ind w:firstLine="0" w:firstLineChars="0"/>
        <w:rPr>
          <w:rFonts w:hint="default" w:eastAsia="方正仿宋_GBK"/>
          <w:color w:val="000000" w:themeColor="text1"/>
          <w:lang w:val="en-US" w:eastAsia="zh-CN"/>
          <w14:textFill>
            <w14:solidFill>
              <w14:schemeClr w14:val="tx1"/>
            </w14:solidFill>
          </w14:textFill>
        </w:rPr>
      </w:pPr>
      <w:r>
        <w:fldChar w:fldCharType="begin"/>
      </w:r>
      <w:r>
        <w:instrText xml:space="preserve"> HYPERLINK \l "_Toc10664" </w:instrText>
      </w:r>
      <w:r>
        <w:fldChar w:fldCharType="separate"/>
      </w:r>
      <w:r>
        <w:rPr>
          <w:color w:val="000000" w:themeColor="text1"/>
          <w:kern w:val="44"/>
          <w14:textFill>
            <w14:solidFill>
              <w14:schemeClr w14:val="tx1"/>
            </w14:solidFill>
          </w14:textFill>
        </w:rPr>
        <w:t>五、保障措施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21</w:t>
      </w:r>
    </w:p>
    <w:p>
      <w:pPr>
        <w:pStyle w:val="14"/>
        <w:tabs>
          <w:tab w:val="right" w:leader="dot" w:pos="8306"/>
        </w:tabs>
        <w:ind w:left="10" w:leftChars="0" w:firstLine="665" w:firstLineChars="199"/>
        <w:rPr>
          <w:rFonts w:hint="default" w:eastAsia="方正仿宋_GBK"/>
          <w:color w:val="000000" w:themeColor="text1"/>
          <w:lang w:val="en-US" w:eastAsia="zh-CN"/>
          <w14:textFill>
            <w14:solidFill>
              <w14:schemeClr w14:val="tx1"/>
            </w14:solidFill>
          </w14:textFill>
        </w:rPr>
      </w:pPr>
      <w:r>
        <w:fldChar w:fldCharType="begin"/>
      </w:r>
      <w:r>
        <w:instrText xml:space="preserve"> HYPERLINK \l "_Toc10998" </w:instrText>
      </w:r>
      <w:r>
        <w:fldChar w:fldCharType="separate"/>
      </w:r>
      <w:r>
        <w:rPr>
          <w:color w:val="000000" w:themeColor="text1"/>
          <w:kern w:val="0"/>
          <w14:textFill>
            <w14:solidFill>
              <w14:schemeClr w14:val="tx1"/>
            </w14:solidFill>
          </w14:textFill>
        </w:rPr>
        <w:t>（一）加强组织领导，扛实主体责任</w:t>
      </w:r>
      <w:r>
        <w:rPr>
          <w:color w:val="000000" w:themeColor="text1"/>
          <w14:textFill>
            <w14:solidFill>
              <w14:schemeClr w14:val="tx1"/>
            </w14:solidFill>
          </w14:textFill>
        </w:rPr>
        <w:tab/>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21</w:t>
      </w:r>
    </w:p>
    <w:p>
      <w:pPr>
        <w:pStyle w:val="14"/>
        <w:tabs>
          <w:tab w:val="right" w:leader="dot" w:pos="8306"/>
        </w:tabs>
        <w:ind w:left="10" w:leftChars="0" w:firstLine="665" w:firstLineChars="199"/>
        <w:rPr>
          <w:rFonts w:hint="default" w:eastAsia="方正仿宋_GBK"/>
          <w:color w:val="000000" w:themeColor="text1"/>
          <w:lang w:val="en-US" w:eastAsia="zh-CN"/>
          <w14:textFill>
            <w14:solidFill>
              <w14:schemeClr w14:val="tx1"/>
            </w14:solidFill>
          </w14:textFill>
        </w:rPr>
      </w:pPr>
      <w:r>
        <w:fldChar w:fldCharType="begin"/>
      </w:r>
      <w:r>
        <w:instrText xml:space="preserve"> HYPERLINK \l "_Toc24703" </w:instrText>
      </w:r>
      <w:r>
        <w:fldChar w:fldCharType="separate"/>
      </w:r>
      <w:r>
        <w:rPr>
          <w:color w:val="000000" w:themeColor="text1"/>
          <w:kern w:val="0"/>
          <w14:textFill>
            <w14:solidFill>
              <w14:schemeClr w14:val="tx1"/>
            </w14:solidFill>
          </w14:textFill>
        </w:rPr>
        <w:t>（二）健全投入机制，强化资金保障</w:t>
      </w:r>
      <w:r>
        <w:rPr>
          <w:color w:val="000000" w:themeColor="text1"/>
          <w14:textFill>
            <w14:solidFill>
              <w14:schemeClr w14:val="tx1"/>
            </w14:solidFill>
          </w14:textFill>
        </w:rPr>
        <w:tab/>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21</w:t>
      </w:r>
    </w:p>
    <w:p>
      <w:pPr>
        <w:pStyle w:val="14"/>
        <w:tabs>
          <w:tab w:val="right" w:leader="dot" w:pos="8306"/>
        </w:tabs>
        <w:ind w:left="10" w:leftChars="0" w:firstLine="665" w:firstLineChars="199"/>
        <w:rPr>
          <w:rFonts w:hint="default" w:eastAsia="方正仿宋_GBK"/>
          <w:color w:val="000000" w:themeColor="text1"/>
          <w:lang w:val="en-US" w:eastAsia="zh-CN"/>
          <w14:textFill>
            <w14:solidFill>
              <w14:schemeClr w14:val="tx1"/>
            </w14:solidFill>
          </w14:textFill>
        </w:rPr>
      </w:pPr>
      <w:r>
        <w:fldChar w:fldCharType="begin"/>
      </w:r>
      <w:r>
        <w:instrText xml:space="preserve"> HYPERLINK \l "_Toc5430" </w:instrText>
      </w:r>
      <w:r>
        <w:fldChar w:fldCharType="separate"/>
      </w:r>
      <w:r>
        <w:rPr>
          <w:color w:val="000000" w:themeColor="text1"/>
          <w:kern w:val="0"/>
          <w14:textFill>
            <w14:solidFill>
              <w14:schemeClr w14:val="tx1"/>
            </w14:solidFill>
          </w14:textFill>
        </w:rPr>
        <w:t>（三）强化人才培养，筑牢发展根基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_Toc5430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21</w:t>
      </w:r>
    </w:p>
    <w:p>
      <w:pPr>
        <w:pStyle w:val="14"/>
        <w:tabs>
          <w:tab w:val="right" w:leader="dot" w:pos="8306"/>
        </w:tabs>
        <w:ind w:left="10" w:leftChars="0" w:firstLine="665" w:firstLineChars="199"/>
        <w:rPr>
          <w:color w:val="000000" w:themeColor="text1"/>
          <w14:textFill>
            <w14:solidFill>
              <w14:schemeClr w14:val="tx1"/>
            </w14:solidFill>
          </w14:textFill>
        </w:rPr>
      </w:pPr>
      <w:r>
        <w:fldChar w:fldCharType="begin"/>
      </w:r>
      <w:r>
        <w:instrText xml:space="preserve"> HYPERLINK \l "_Toc12810" </w:instrText>
      </w:r>
      <w:r>
        <w:fldChar w:fldCharType="separate"/>
      </w:r>
      <w:r>
        <w:rPr>
          <w:color w:val="000000" w:themeColor="text1"/>
          <w:kern w:val="0"/>
          <w14:textFill>
            <w14:solidFill>
              <w14:schemeClr w14:val="tx1"/>
            </w14:solidFill>
          </w14:textFill>
        </w:rPr>
        <w:t>（四）完善监督评估，确保实施成效</w:t>
      </w:r>
      <w:r>
        <w:rPr>
          <w:color w:val="000000" w:themeColor="text1"/>
          <w14:textFill>
            <w14:solidFill>
              <w14:schemeClr w14:val="tx1"/>
            </w14:solidFill>
          </w14:textFill>
        </w:rPr>
        <w:tab/>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_Toc12810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pPr>
        <w:ind w:firstLine="0" w:firstLineChars="0"/>
        <w:rPr>
          <w:rFonts w:eastAsia="方正小标宋_GBK"/>
          <w:color w:val="000000" w:themeColor="text1"/>
          <w:szCs w:val="44"/>
          <w14:textFill>
            <w14:solidFill>
              <w14:schemeClr w14:val="tx1"/>
            </w14:solidFill>
          </w14:textFill>
        </w:rPr>
        <w:sectPr>
          <w:footerReference r:id="rId11" w:type="default"/>
          <w:pgSz w:w="11906" w:h="16838"/>
          <w:pgMar w:top="1440" w:right="1800" w:bottom="1440" w:left="1800" w:header="1361" w:footer="1191" w:gutter="0"/>
          <w:pgNumType w:fmt="decimal" w:start="1"/>
          <w:cols w:space="720" w:num="1"/>
          <w:docGrid w:type="linesAndChars" w:linePitch="600" w:charSpace="3229"/>
        </w:sectPr>
      </w:pPr>
      <w:r>
        <w:rPr>
          <w:bCs/>
          <w:color w:val="000000" w:themeColor="text1"/>
          <w:lang w:val="zh-CN"/>
          <w14:textFill>
            <w14:solidFill>
              <w14:schemeClr w14:val="tx1"/>
            </w14:solidFill>
          </w14:textFill>
        </w:rPr>
        <w:fldChar w:fldCharType="end"/>
      </w:r>
    </w:p>
    <w:p>
      <w:pPr>
        <w:pageBreakBefore w:val="0"/>
        <w:widowControl w:val="0"/>
        <w:kinsoku/>
        <w:wordWrap/>
        <w:overflowPunct/>
        <w:topLinePunct w:val="0"/>
        <w:autoSpaceDE w:val="0"/>
        <w:autoSpaceDN w:val="0"/>
        <w:bidi w:val="0"/>
        <w:adjustRightInd w:val="0"/>
        <w:snapToGrid/>
        <w:spacing w:line="240" w:lineRule="auto"/>
        <w:ind w:firstLine="712"/>
        <w:jc w:val="both"/>
        <w:textAlignment w:val="auto"/>
        <w:rPr>
          <w:rFonts w:hint="eastAsia" w:ascii="Times New Roman" w:hAnsi="Times New Roman" w:eastAsia="方正仿宋_GBK" w:cs="Times New Roman"/>
          <w:color w:val="000000" w:themeColor="text1"/>
          <w:kern w:val="0"/>
          <w:sz w:val="32"/>
          <w:szCs w:val="32"/>
          <w:lang w:eastAsia="zh-CN"/>
          <w14:textFill>
            <w14:solidFill>
              <w14:schemeClr w14:val="tx1"/>
            </w14:solidFill>
          </w14:textFill>
        </w:rPr>
      </w:pPr>
      <w:r>
        <w:rPr>
          <w:rFonts w:hint="default" w:ascii="Times New Roman" w:hAnsi="Times New Roman" w:cs="Times New Roman"/>
          <w:color w:val="000000" w:themeColor="text1"/>
          <w:kern w:val="0"/>
          <w:sz w:val="32"/>
          <w:szCs w:val="32"/>
          <w14:textFill>
            <w14:solidFill>
              <w14:schemeClr w14:val="tx1"/>
            </w14:solidFill>
          </w14:textFill>
        </w:rPr>
        <w:t>防震减灾事关人民群众生命财产安全，事关社会和谐稳定，事关经济社会高质量发展。为回答好习近平总书记“大震之问”，</w:t>
      </w:r>
      <w:r>
        <w:rPr>
          <w:rFonts w:hint="default" w:ascii="Times New Roman" w:hAnsi="Times New Roman" w:cs="Times New Roman"/>
          <w:color w:val="000000" w:themeColor="text1"/>
          <w:sz w:val="32"/>
          <w:szCs w:val="32"/>
          <w14:textFill>
            <w14:solidFill>
              <w14:schemeClr w14:val="tx1"/>
            </w14:solidFill>
          </w14:textFill>
        </w:rPr>
        <w:t>加快推进玉溪市防震减灾事业高质量发展，</w:t>
      </w:r>
      <w:r>
        <w:rPr>
          <w:rFonts w:hint="default" w:ascii="Times New Roman" w:hAnsi="Times New Roman" w:cs="Times New Roman"/>
          <w:color w:val="000000" w:themeColor="text1"/>
          <w:kern w:val="0"/>
          <w:sz w:val="32"/>
          <w:szCs w:val="32"/>
          <w14:textFill>
            <w14:solidFill>
              <w14:schemeClr w14:val="tx1"/>
            </w14:solidFill>
          </w14:textFill>
        </w:rPr>
        <w:t>依据《中华人民共和国防震减灾法》、《云南省防震减灾条例》、《云南省“十五五”防震减灾规划》、《玉溪市国民经济和社会发展第十五个五年规划纲要》、《玉溪市综合防灾减灾规划（</w:t>
      </w:r>
      <w:r>
        <w:rPr>
          <w:color w:val="000000" w:themeColor="text1"/>
          <w:kern w:val="0"/>
          <w:sz w:val="32"/>
          <w:szCs w:val="32"/>
          <w14:textFill>
            <w14:solidFill>
              <w14:schemeClr w14:val="tx1"/>
            </w14:solidFill>
          </w14:textFill>
        </w:rPr>
        <w:t>2026—2030年</w:t>
      </w:r>
      <w:r>
        <w:rPr>
          <w:rFonts w:hint="default" w:ascii="Times New Roman" w:hAnsi="Times New Roman" w:cs="Times New Roman"/>
          <w:color w:val="000000" w:themeColor="text1"/>
          <w:kern w:val="0"/>
          <w:sz w:val="32"/>
          <w:szCs w:val="32"/>
          <w14:textFill>
            <w14:solidFill>
              <w14:schemeClr w14:val="tx1"/>
            </w14:solidFill>
          </w14:textFill>
        </w:rPr>
        <w:t>）》等法律法规和相关文件，结合实际，制订本规划。</w:t>
      </w:r>
    </w:p>
    <w:p>
      <w:pPr>
        <w:keepNext/>
        <w:keepLines/>
        <w:pageBreakBefore w:val="0"/>
        <w:widowControl w:val="0"/>
        <w:kinsoku/>
        <w:wordWrap/>
        <w:overflowPunct/>
        <w:topLinePunct w:val="0"/>
        <w:bidi w:val="0"/>
        <w:snapToGrid/>
        <w:spacing w:line="240" w:lineRule="auto"/>
        <w:ind w:firstLine="712"/>
        <w:jc w:val="both"/>
        <w:textAlignment w:val="auto"/>
        <w:outlineLvl w:val="0"/>
        <w:rPr>
          <w:rFonts w:ascii="Times New Roman" w:hAnsi="Times New Roman" w:eastAsia="方正黑体_GBK" w:cs="Times New Roman"/>
          <w:color w:val="000000" w:themeColor="text1"/>
          <w:kern w:val="44"/>
          <w:sz w:val="32"/>
          <w14:textFill>
            <w14:solidFill>
              <w14:schemeClr w14:val="tx1"/>
            </w14:solidFill>
          </w14:textFill>
        </w:rPr>
      </w:pPr>
      <w:bookmarkStart w:id="9" w:name="_Toc6025"/>
      <w:bookmarkStart w:id="10" w:name="_Toc15306"/>
      <w:r>
        <w:rPr>
          <w:rFonts w:hint="default" w:ascii="Times New Roman" w:hAnsi="Times New Roman" w:eastAsia="方正黑体_GBK" w:cs="Times New Roman"/>
          <w:color w:val="000000" w:themeColor="text1"/>
          <w:kern w:val="44"/>
          <w:sz w:val="32"/>
          <w14:textFill>
            <w14:solidFill>
              <w14:schemeClr w14:val="tx1"/>
            </w14:solidFill>
          </w14:textFill>
        </w:rPr>
        <w:t>一、现状与形势</w:t>
      </w:r>
      <w:bookmarkEnd w:id="9"/>
      <w:bookmarkEnd w:id="10"/>
    </w:p>
    <w:p>
      <w:pPr>
        <w:pageBreakBefore w:val="0"/>
        <w:widowControl w:val="0"/>
        <w:kinsoku/>
        <w:wordWrap/>
        <w:overflowPunct/>
        <w:topLinePunct w:val="0"/>
        <w:bidi w:val="0"/>
        <w:snapToGrid/>
        <w:spacing w:line="240" w:lineRule="auto"/>
        <w:ind w:firstLine="712"/>
        <w:jc w:val="both"/>
        <w:textAlignment w:val="auto"/>
        <w:outlineLvl w:val="1"/>
        <w:rPr>
          <w:rFonts w:ascii="Times New Roman" w:hAnsi="Times New Roman" w:eastAsia="方正楷体_GBK" w:cs="Times New Roman"/>
          <w:color w:val="000000" w:themeColor="text1"/>
          <w:kern w:val="0"/>
          <w:sz w:val="32"/>
          <w14:textFill>
            <w14:solidFill>
              <w14:schemeClr w14:val="tx1"/>
            </w14:solidFill>
          </w14:textFill>
        </w:rPr>
      </w:pPr>
      <w:bookmarkStart w:id="11" w:name="_Toc21245"/>
      <w:bookmarkStart w:id="12" w:name="_Toc17347"/>
      <w:bookmarkStart w:id="13" w:name="_Toc28298"/>
      <w:bookmarkStart w:id="14" w:name="_Toc22779"/>
      <w:bookmarkStart w:id="15" w:name="_Toc64618107"/>
      <w:bookmarkStart w:id="16" w:name="_Toc27229"/>
      <w:bookmarkStart w:id="17" w:name="_Toc24685"/>
      <w:bookmarkStart w:id="18" w:name="_Toc23542"/>
      <w:bookmarkStart w:id="19" w:name="_Toc5778"/>
      <w:bookmarkStart w:id="20" w:name="_Toc17570"/>
      <w:r>
        <w:rPr>
          <w:rFonts w:ascii="Times New Roman" w:hAnsi="Times New Roman" w:eastAsia="方正楷体_GBK" w:cs="Times New Roman"/>
          <w:color w:val="000000" w:themeColor="text1"/>
          <w:kern w:val="0"/>
          <w:sz w:val="32"/>
          <w14:textFill>
            <w14:solidFill>
              <w14:schemeClr w14:val="tx1"/>
            </w14:solidFill>
          </w14:textFill>
        </w:rPr>
        <w:t>（一）发展成效</w:t>
      </w:r>
      <w:bookmarkEnd w:id="11"/>
      <w:bookmarkEnd w:id="12"/>
      <w:bookmarkEnd w:id="13"/>
      <w:bookmarkEnd w:id="14"/>
      <w:bookmarkEnd w:id="15"/>
      <w:bookmarkEnd w:id="16"/>
      <w:bookmarkEnd w:id="17"/>
      <w:bookmarkEnd w:id="18"/>
      <w:bookmarkEnd w:id="19"/>
      <w:bookmarkEnd w:id="20"/>
    </w:p>
    <w:p>
      <w:pPr>
        <w:pageBreakBefore w:val="0"/>
        <w:widowControl w:val="0"/>
        <w:kinsoku/>
        <w:wordWrap/>
        <w:overflowPunct/>
        <w:topLinePunct w:val="0"/>
        <w:bidi w:val="0"/>
        <w:adjustRightInd w:val="0"/>
        <w:snapToGrid/>
        <w:spacing w:line="240" w:lineRule="auto"/>
        <w:ind w:firstLine="712"/>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十四五</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时期，</w:t>
      </w:r>
      <w:r>
        <w:rPr>
          <w:rFonts w:hint="default" w:ascii="Times New Roman" w:hAnsi="Times New Roman" w:cs="Times New Roman"/>
          <w:color w:val="000000" w:themeColor="text1"/>
          <w:spacing w:val="-7"/>
          <w:kern w:val="0"/>
          <w:sz w:val="32"/>
          <w14:textFill>
            <w14:solidFill>
              <w14:schemeClr w14:val="tx1"/>
            </w14:solidFill>
          </w14:textFill>
        </w:rPr>
        <w:t>在以习近平同志为核心的党中央坚强领导下，按照党中央、国务院决策部署及省委、省政府工作要求，玉溪市始终坚持人民至上、生命至上，将防震减灾救灾融入经济社会发展大局，全面实现“十四五”规划目标，全市防震减灾能力稳步提升。</w:t>
      </w:r>
    </w:p>
    <w:p>
      <w:pPr>
        <w:pageBreakBefore w:val="0"/>
        <w:widowControl w:val="0"/>
        <w:kinsoku/>
        <w:wordWrap/>
        <w:overflowPunct/>
        <w:topLinePunct w:val="0"/>
        <w:bidi w:val="0"/>
        <w:adjustRightInd w:val="0"/>
        <w:snapToGrid/>
        <w:spacing w:line="240" w:lineRule="auto"/>
        <w:ind w:firstLine="714"/>
        <w:jc w:val="both"/>
        <w:textAlignment w:val="auto"/>
        <w:rPr>
          <w:color w:val="000000" w:themeColor="text1"/>
          <w:kern w:val="0"/>
          <w:sz w:val="32"/>
          <w14:textFill>
            <w14:solidFill>
              <w14:schemeClr w14:val="tx1"/>
            </w14:solidFill>
          </w14:textFill>
        </w:rPr>
      </w:pPr>
      <w:r>
        <w:rPr>
          <w:rFonts w:ascii="Times New Roman" w:hAnsi="Times New Roman" w:cs="Times New Roman"/>
          <w:b/>
          <w:bCs/>
          <w:color w:val="000000" w:themeColor="text1"/>
          <w:kern w:val="0"/>
          <w:sz w:val="32"/>
          <w14:textFill>
            <w14:solidFill>
              <w14:schemeClr w14:val="tx1"/>
            </w14:solidFill>
          </w14:textFill>
        </w:rPr>
        <w:t>一是地震监测预警能力</w:t>
      </w:r>
      <w:r>
        <w:rPr>
          <w:rFonts w:hint="default" w:ascii="Times New Roman" w:hAnsi="Times New Roman" w:cs="Times New Roman"/>
          <w:b/>
          <w:bCs/>
          <w:color w:val="000000" w:themeColor="text1"/>
          <w:kern w:val="0"/>
          <w:sz w:val="32"/>
          <w14:textFill>
            <w14:solidFill>
              <w14:schemeClr w14:val="tx1"/>
            </w14:solidFill>
          </w14:textFill>
        </w:rPr>
        <w:t>逐步</w:t>
      </w:r>
      <w:r>
        <w:rPr>
          <w:rFonts w:ascii="Times New Roman" w:hAnsi="Times New Roman" w:cs="Times New Roman"/>
          <w:b/>
          <w:bCs/>
          <w:color w:val="000000" w:themeColor="text1"/>
          <w:kern w:val="0"/>
          <w:sz w:val="32"/>
          <w14:textFill>
            <w14:solidFill>
              <w14:schemeClr w14:val="tx1"/>
            </w14:solidFill>
          </w14:textFill>
        </w:rPr>
        <w:t>增强。</w:t>
      </w:r>
      <w:r>
        <w:rPr>
          <w:rFonts w:hint="default" w:ascii="Times New Roman" w:hAnsi="Times New Roman" w:cs="Times New Roman"/>
          <w:color w:val="000000" w:themeColor="text1"/>
          <w:kern w:val="0"/>
          <w:sz w:val="32"/>
          <w14:textFill>
            <w14:solidFill>
              <w14:schemeClr w14:val="tx1"/>
            </w14:solidFill>
          </w14:textFill>
        </w:rPr>
        <w:t>扎实推进中国地震科学实验场云南项目玉溪分项建设，积极争取到项目资金2300余万元，率先在全省建成9个示范站点。高效实施玉溪市巨灾防范工程，有效提高重点危险区地震监测科技支撑能力。</w:t>
      </w:r>
      <w:r>
        <w:rPr>
          <w:rFonts w:hint="default" w:cs="Times New Roman"/>
          <w:color w:val="000000" w:themeColor="text1"/>
          <w:kern w:val="0"/>
          <w:sz w:val="32"/>
          <w:highlight w:val="none"/>
          <w:lang w:eastAsia="zh-CN"/>
          <w14:textFill>
            <w14:solidFill>
              <w14:schemeClr w14:val="tx1"/>
            </w14:solidFill>
          </w14:textFill>
        </w:rPr>
        <w:t>新建峨山水晶山、红塔龙马山和华宁郭家营等地震监测站；完成红塔黄草坝、易门绿汁和元江划船寨等地震监测站升级改造；</w:t>
      </w:r>
      <w:r>
        <w:rPr>
          <w:color w:val="000000" w:themeColor="text1"/>
          <w:kern w:val="0"/>
          <w:sz w:val="32"/>
          <w14:textFill>
            <w14:solidFill>
              <w14:schemeClr w14:val="tx1"/>
            </w14:solidFill>
          </w14:textFill>
        </w:rPr>
        <w:t>完成20个台站观测环境整治和18个台站标准化、智能化升级。完成中国地震烈度速报与预警工程云南分项玉溪子项63个功能台站建设</w:t>
      </w:r>
      <w:r>
        <w:rPr>
          <w:rFonts w:hint="default"/>
          <w:color w:val="000000" w:themeColor="text1"/>
          <w:kern w:val="0"/>
          <w:sz w:val="32"/>
          <w:lang w:eastAsia="zh-CN"/>
          <w14:textFill>
            <w14:solidFill>
              <w14:schemeClr w14:val="tx1"/>
            </w14:solidFill>
          </w14:textFill>
        </w:rPr>
        <w:t>。</w:t>
      </w:r>
      <w:r>
        <w:rPr>
          <w:color w:val="000000" w:themeColor="text1"/>
          <w:kern w:val="0"/>
          <w:sz w:val="32"/>
          <w14:textFill>
            <w14:solidFill>
              <w14:schemeClr w14:val="tx1"/>
            </w14:solidFill>
          </w14:textFill>
        </w:rPr>
        <w:t>建成153个宏观</w:t>
      </w:r>
      <w:r>
        <w:rPr>
          <w:rFonts w:hint="default"/>
          <w:color w:val="000000" w:themeColor="text1"/>
          <w:kern w:val="0"/>
          <w:sz w:val="32"/>
          <w:lang w:eastAsia="zh-CN"/>
          <w14:textFill>
            <w14:solidFill>
              <w14:schemeClr w14:val="tx1"/>
            </w14:solidFill>
          </w14:textFill>
        </w:rPr>
        <w:t>观</w:t>
      </w:r>
      <w:r>
        <w:rPr>
          <w:color w:val="000000" w:themeColor="text1"/>
          <w:kern w:val="0"/>
          <w:sz w:val="32"/>
          <w14:textFill>
            <w14:solidFill>
              <w14:schemeClr w14:val="tx1"/>
            </w14:solidFill>
          </w14:textFill>
        </w:rPr>
        <w:t>测点</w:t>
      </w:r>
      <w:r>
        <w:rPr>
          <w:rFonts w:hint="default"/>
          <w:color w:val="000000" w:themeColor="text1"/>
          <w:kern w:val="0"/>
          <w:sz w:val="32"/>
          <w:lang w:eastAsia="zh-CN"/>
          <w14:textFill>
            <w14:solidFill>
              <w14:schemeClr w14:val="tx1"/>
            </w14:solidFill>
          </w14:textFill>
        </w:rPr>
        <w:t>。</w:t>
      </w:r>
      <w:r>
        <w:rPr>
          <w:color w:val="000000" w:themeColor="text1"/>
          <w:kern w:val="0"/>
          <w:sz w:val="32"/>
          <w14:textFill>
            <w14:solidFill>
              <w14:schemeClr w14:val="tx1"/>
            </w14:solidFill>
          </w14:textFill>
        </w:rPr>
        <w:t>依托</w:t>
      </w:r>
      <w:r>
        <w:rPr>
          <w:rFonts w:hint="default"/>
          <w:color w:val="000000" w:themeColor="text1"/>
          <w:kern w:val="0"/>
          <w:sz w:val="32"/>
          <w:lang w:val="en-US" w:eastAsia="zh-CN"/>
          <w14:textFill>
            <w14:solidFill>
              <w14:schemeClr w14:val="tx1"/>
            </w14:solidFill>
          </w14:textFill>
        </w:rPr>
        <w:t>6</w:t>
      </w:r>
      <w:r>
        <w:rPr>
          <w:color w:val="000000" w:themeColor="text1"/>
          <w:kern w:val="0"/>
          <w:sz w:val="32"/>
          <w14:textFill>
            <w14:solidFill>
              <w14:schemeClr w14:val="tx1"/>
            </w14:solidFill>
          </w14:textFill>
        </w:rPr>
        <w:t>个自建测震台、引入20个</w:t>
      </w:r>
      <w:r>
        <w:rPr>
          <w:rFonts w:hint="default"/>
          <w:color w:val="000000" w:themeColor="text1"/>
          <w:kern w:val="0"/>
          <w:sz w:val="32"/>
          <w:lang w:eastAsia="zh-CN"/>
          <w14:textFill>
            <w14:solidFill>
              <w14:schemeClr w14:val="tx1"/>
            </w14:solidFill>
          </w14:textFill>
        </w:rPr>
        <w:t>省管</w:t>
      </w:r>
      <w:r>
        <w:rPr>
          <w:color w:val="000000" w:themeColor="text1"/>
          <w:kern w:val="0"/>
          <w:sz w:val="32"/>
          <w14:textFill>
            <w14:solidFill>
              <w14:schemeClr w14:val="tx1"/>
            </w14:solidFill>
          </w14:textFill>
        </w:rPr>
        <w:t>测震</w:t>
      </w:r>
      <w:r>
        <w:rPr>
          <w:rFonts w:hint="default"/>
          <w:color w:val="000000" w:themeColor="text1"/>
          <w:kern w:val="0"/>
          <w:sz w:val="32"/>
          <w:lang w:eastAsia="zh-CN"/>
          <w14:textFill>
            <w14:solidFill>
              <w14:schemeClr w14:val="tx1"/>
            </w14:solidFill>
          </w14:textFill>
        </w:rPr>
        <w:t>台</w:t>
      </w:r>
      <w:r>
        <w:rPr>
          <w:color w:val="000000" w:themeColor="text1"/>
          <w:kern w:val="0"/>
          <w:sz w:val="32"/>
          <w14:textFill>
            <w14:solidFill>
              <w14:schemeClr w14:val="tx1"/>
            </w14:solidFill>
          </w14:textFill>
        </w:rPr>
        <w:t>信号实现玉溪市境内1.5级以上地震快速定位及短信推送。完成覆盖学校、医院、党政机关等关键场所的1134套预警终端安装，实现全市中小学全覆盖。通海、华宁、峨山将地震预警信号接入应急广播系统，推广手机、电视等多元预警手段，完成“终端+广播+手机+电视”的多维预警矩阵构建。</w:t>
      </w:r>
      <w:r>
        <w:rPr>
          <w:rFonts w:ascii="Times New Roman" w:hAnsi="Times New Roman" w:cs="Times New Roman"/>
          <w:b/>
          <w:bCs/>
          <w:color w:val="000000" w:themeColor="text1"/>
          <w:kern w:val="0"/>
          <w:sz w:val="32"/>
          <w14:textFill>
            <w14:solidFill>
              <w14:schemeClr w14:val="tx1"/>
            </w14:solidFill>
          </w14:textFill>
        </w:rPr>
        <w:t>二是震情跟踪分析研判水平持续提升。</w:t>
      </w:r>
      <w:r>
        <w:rPr>
          <w:rFonts w:ascii="Times New Roman" w:hAnsi="Times New Roman" w:cs="Times New Roman"/>
          <w:color w:val="000000" w:themeColor="text1"/>
          <w:kern w:val="0"/>
          <w:sz w:val="32"/>
          <w14:textFill>
            <w14:solidFill>
              <w14:schemeClr w14:val="tx1"/>
            </w14:solidFill>
          </w14:textFill>
        </w:rPr>
        <w:t>推进《玉溪震情监视跟踪工作方案和技术方案》年度更新。成立</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玉溪市6.0级以上强震短临跟踪工作组”，建立震情趋势“日、周、月、年”常态化震情趋势会商机制。累计组织并参与</w:t>
      </w:r>
      <w:r>
        <w:rPr>
          <w:rFonts w:hint="default" w:ascii="Times New Roman" w:hAnsi="Times New Roman" w:cs="Times New Roman"/>
          <w:color w:val="000000" w:themeColor="text1"/>
          <w:kern w:val="0"/>
          <w:sz w:val="32"/>
          <w14:textFill>
            <w14:solidFill>
              <w14:schemeClr w14:val="tx1"/>
            </w14:solidFill>
          </w14:textFill>
        </w:rPr>
        <w:t>云南</w:t>
      </w:r>
      <w:r>
        <w:rPr>
          <w:rFonts w:ascii="Times New Roman" w:hAnsi="Times New Roman" w:cs="Times New Roman"/>
          <w:color w:val="000000" w:themeColor="text1"/>
          <w:kern w:val="0"/>
          <w:sz w:val="32"/>
          <w14:textFill>
            <w14:solidFill>
              <w14:schemeClr w14:val="tx1"/>
            </w14:solidFill>
          </w14:textFill>
        </w:rPr>
        <w:t>省地震局、预报协作区等各级会商</w:t>
      </w:r>
      <w:r>
        <w:rPr>
          <w:color w:val="000000" w:themeColor="text1"/>
          <w:kern w:val="0"/>
          <w:sz w:val="32"/>
          <w14:textFill>
            <w14:solidFill>
              <w14:schemeClr w14:val="tx1"/>
            </w14:solidFill>
          </w14:textFill>
        </w:rPr>
        <w:t>300余次，形成分析报告300余份，编制震情简报、专题分析报告60余份</w:t>
      </w:r>
      <w:r>
        <w:rPr>
          <w:rFonts w:ascii="Times New Roman" w:hAnsi="Times New Roman" w:cs="Times New Roman"/>
          <w:color w:val="000000" w:themeColor="text1"/>
          <w:kern w:val="0"/>
          <w:sz w:val="32"/>
          <w14:textFill>
            <w14:solidFill>
              <w14:schemeClr w14:val="tx1"/>
            </w14:solidFill>
          </w14:textFill>
        </w:rPr>
        <w:t>，为</w:t>
      </w:r>
      <w:r>
        <w:rPr>
          <w:rFonts w:hint="default" w:ascii="Times New Roman" w:hAnsi="Times New Roman" w:cs="Times New Roman"/>
          <w:color w:val="000000" w:themeColor="text1"/>
          <w:kern w:val="0"/>
          <w:sz w:val="32"/>
          <w14:textFill>
            <w14:solidFill>
              <w14:schemeClr w14:val="tx1"/>
            </w14:solidFill>
          </w14:textFill>
        </w:rPr>
        <w:t>玉溪市</w:t>
      </w:r>
      <w:r>
        <w:rPr>
          <w:rFonts w:ascii="Times New Roman" w:hAnsi="Times New Roman" w:cs="Times New Roman"/>
          <w:color w:val="000000" w:themeColor="text1"/>
          <w:kern w:val="0"/>
          <w:sz w:val="32"/>
          <w14:textFill>
            <w14:solidFill>
              <w14:schemeClr w14:val="tx1"/>
            </w14:solidFill>
          </w14:textFill>
        </w:rPr>
        <w:t>应急决策提供有力支撑。</w:t>
      </w:r>
      <w:r>
        <w:rPr>
          <w:rFonts w:hint="default" w:ascii="Times New Roman" w:hAnsi="Times New Roman" w:cs="Times New Roman"/>
          <w:color w:val="000000" w:themeColor="text1"/>
          <w:kern w:val="0"/>
          <w:sz w:val="32"/>
          <w14:textFill>
            <w14:solidFill>
              <w14:schemeClr w14:val="tx1"/>
            </w14:solidFill>
          </w14:textFill>
        </w:rPr>
        <w:t>玉溪市防震减灾局撰写的《云南省年度地震趋势研究报告》连续12年获评云南省地震局州市组前两名。</w:t>
      </w:r>
      <w:bookmarkStart w:id="21" w:name="_Toc64618111"/>
      <w:r>
        <w:rPr>
          <w:rFonts w:ascii="Times New Roman" w:hAnsi="Times New Roman" w:cs="Times New Roman"/>
          <w:b/>
          <w:bCs/>
          <w:color w:val="000000" w:themeColor="text1"/>
          <w:kern w:val="0"/>
          <w:sz w:val="32"/>
          <w14:textFill>
            <w14:solidFill>
              <w14:schemeClr w14:val="tx1"/>
            </w14:solidFill>
          </w14:textFill>
        </w:rPr>
        <w:t>三是地震灾害防治基础不断夯实。</w:t>
      </w:r>
      <w:r>
        <w:rPr>
          <w:rFonts w:ascii="Times New Roman" w:hAnsi="Times New Roman" w:cs="Times New Roman"/>
          <w:color w:val="000000" w:themeColor="text1"/>
          <w:kern w:val="0"/>
          <w:sz w:val="32"/>
          <w14:textFill>
            <w14:solidFill>
              <w14:schemeClr w14:val="tx1"/>
            </w14:solidFill>
          </w14:textFill>
        </w:rPr>
        <w:t>高质量完成全国第一次自然灾害综合风险普查地震灾害普查专项任务，顺利推进玉溪市市级150万平方米房屋建筑承灾体抽样详查工作，完成红塔区、江川区、峨山县局部区域城乡典型建筑结构特征抽样详查，</w:t>
      </w:r>
      <w:r>
        <w:rPr>
          <w:rFonts w:hint="default" w:ascii="Times New Roman" w:hAnsi="Times New Roman" w:cs="Times New Roman"/>
          <w:color w:val="000000" w:themeColor="text1"/>
          <w:kern w:val="0"/>
          <w:sz w:val="32"/>
          <w14:textFill>
            <w14:solidFill>
              <w14:schemeClr w14:val="tx1"/>
            </w14:solidFill>
          </w14:textFill>
        </w:rPr>
        <w:t>同步</w:t>
      </w:r>
      <w:r>
        <w:rPr>
          <w:rFonts w:ascii="Times New Roman" w:hAnsi="Times New Roman" w:cs="Times New Roman"/>
          <w:color w:val="000000" w:themeColor="text1"/>
          <w:kern w:val="0"/>
          <w:sz w:val="32"/>
          <w14:textFill>
            <w14:solidFill>
              <w14:schemeClr w14:val="tx1"/>
            </w14:solidFill>
          </w14:textFill>
        </w:rPr>
        <w:t>建立房屋设施抗震设防信息“常态化采集+动态化更新”机制</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为大震巨灾风险评估提供科学依据。</w:t>
      </w:r>
      <w:r>
        <w:rPr>
          <w:rFonts w:hint="default" w:ascii="Times New Roman" w:hAnsi="Times New Roman" w:cs="Times New Roman"/>
          <w:color w:val="000000" w:themeColor="text1"/>
          <w:kern w:val="0"/>
          <w:sz w:val="32"/>
          <w14:textFill>
            <w14:solidFill>
              <w14:schemeClr w14:val="tx1"/>
            </w14:solidFill>
          </w14:textFill>
        </w:rPr>
        <w:t>完成全市《1:25万地震构造分布图》、《1:5万活动断层分布图》编制，总体摸清玉溪市地震构造特征与活动断层空间分布情况，为城乡发展规划、项目选址论证及防震减灾中长期规划提供坚实科学支撑</w:t>
      </w:r>
      <w:r>
        <w:rPr>
          <w:rFonts w:ascii="Times New Roman" w:hAnsi="Times New Roman" w:cs="Times New Roman"/>
          <w:color w:val="000000" w:themeColor="text1"/>
          <w:kern w:val="0"/>
          <w:sz w:val="32"/>
          <w14:textFill>
            <w14:solidFill>
              <w14:schemeClr w14:val="tx1"/>
            </w14:solidFill>
          </w14:textFill>
        </w:rPr>
        <w:t>。</w:t>
      </w:r>
      <w:r>
        <w:rPr>
          <w:color w:val="000000" w:themeColor="text1"/>
          <w:kern w:val="0"/>
          <w:sz w:val="32"/>
          <w14:textFill>
            <w14:solidFill>
              <w14:schemeClr w14:val="tx1"/>
            </w14:solidFill>
          </w14:textFill>
        </w:rPr>
        <w:t>制定印发《建设工程抗震设防要求监管与地震安全性评价现场工作检查实施意见》</w:t>
      </w:r>
      <w:r>
        <w:rPr>
          <w:rFonts w:hint="default"/>
          <w:color w:val="000000" w:themeColor="text1"/>
          <w:kern w:val="0"/>
          <w:sz w:val="32"/>
          <w:lang w:eastAsia="zh-CN"/>
          <w14:textFill>
            <w14:solidFill>
              <w14:schemeClr w14:val="tx1"/>
            </w14:solidFill>
          </w14:textFill>
        </w:rPr>
        <w:t>，</w:t>
      </w:r>
      <w:r>
        <w:rPr>
          <w:color w:val="000000" w:themeColor="text1"/>
          <w:kern w:val="0"/>
          <w:sz w:val="32"/>
          <w14:textFill>
            <w14:solidFill>
              <w14:schemeClr w14:val="tx1"/>
            </w14:solidFill>
          </w14:textFill>
        </w:rPr>
        <w:t>深入开展玉溪市国土空间规划编制、重点园区及项目选址论证、重大工程前期评估等规划编制及项目论证工作</w:t>
      </w:r>
      <w:r>
        <w:rPr>
          <w:rFonts w:hint="default"/>
          <w:color w:val="000000" w:themeColor="text1"/>
          <w:kern w:val="0"/>
          <w:sz w:val="32"/>
          <w:lang w:eastAsia="zh-CN"/>
          <w14:textFill>
            <w14:solidFill>
              <w14:schemeClr w14:val="tx1"/>
            </w14:solidFill>
          </w14:textFill>
        </w:rPr>
        <w:t>，防震减灾服务重大项目建设能力持续增强</w:t>
      </w:r>
      <w:r>
        <w:rPr>
          <w:color w:val="000000" w:themeColor="text1"/>
          <w:kern w:val="0"/>
          <w:sz w:val="32"/>
          <w14:textFill>
            <w14:solidFill>
              <w14:schemeClr w14:val="tx1"/>
            </w14:solidFill>
          </w14:textFill>
        </w:rPr>
        <w:t>。</w:t>
      </w:r>
      <w:r>
        <w:rPr>
          <w:b/>
          <w:bCs/>
          <w:color w:val="000000" w:themeColor="text1"/>
          <w:kern w:val="0"/>
          <w:sz w:val="32"/>
          <w14:textFill>
            <w14:solidFill>
              <w14:schemeClr w14:val="tx1"/>
            </w14:solidFill>
          </w14:textFill>
        </w:rPr>
        <w:t>四是地震灾害应急处置能力稳步提高。</w:t>
      </w:r>
      <w:r>
        <w:rPr>
          <w:color w:val="000000" w:themeColor="text1"/>
          <w:kern w:val="0"/>
          <w:sz w:val="32"/>
          <w14:textFill>
            <w14:solidFill>
              <w14:schemeClr w14:val="tx1"/>
            </w14:solidFill>
          </w14:textFill>
        </w:rPr>
        <w:t>高效处置2021年双柏“6</w:t>
      </w:r>
      <w:r>
        <w:rPr>
          <w:rFonts w:ascii="Times New Roman" w:hAnsi="Times New Roman" w:cs="Times New Roman"/>
          <w:color w:val="000000" w:themeColor="text1"/>
          <w:kern w:val="0"/>
          <w:sz w:val="32"/>
          <w14:textFill>
            <w14:solidFill>
              <w14:schemeClr w14:val="tx1"/>
            </w14:solidFill>
          </w14:textFill>
        </w:rPr>
        <w:t>·</w:t>
      </w:r>
      <w:r>
        <w:rPr>
          <w:color w:val="000000" w:themeColor="text1"/>
          <w:kern w:val="0"/>
          <w:sz w:val="32"/>
          <w14:textFill>
            <w14:solidFill>
              <w14:schemeClr w14:val="tx1"/>
            </w14:solidFill>
          </w14:textFill>
        </w:rPr>
        <w:t>10”5.1级地震、2022年红河“11</w:t>
      </w:r>
      <w:r>
        <w:rPr>
          <w:rFonts w:ascii="Times New Roman" w:hAnsi="Times New Roman" w:cs="Times New Roman"/>
          <w:color w:val="000000" w:themeColor="text1"/>
          <w:kern w:val="0"/>
          <w:sz w:val="32"/>
          <w14:textFill>
            <w14:solidFill>
              <w14:schemeClr w14:val="tx1"/>
            </w14:solidFill>
          </w14:textFill>
        </w:rPr>
        <w:t>·</w:t>
      </w:r>
      <w:r>
        <w:rPr>
          <w:color w:val="000000" w:themeColor="text1"/>
          <w:kern w:val="0"/>
          <w:sz w:val="32"/>
          <w14:textFill>
            <w14:solidFill>
              <w14:schemeClr w14:val="tx1"/>
            </w14:solidFill>
          </w14:textFill>
        </w:rPr>
        <w:t>19”红河5.0级地震。</w:t>
      </w:r>
      <w:r>
        <w:rPr>
          <w:rFonts w:hint="default"/>
          <w:color w:val="000000" w:themeColor="text1"/>
          <w:kern w:val="0"/>
          <w:sz w:val="32"/>
          <w14:textFill>
            <w14:solidFill>
              <w14:schemeClr w14:val="tx1"/>
            </w14:solidFill>
          </w14:textFill>
        </w:rPr>
        <w:t>进一步完善</w:t>
      </w:r>
      <w:r>
        <w:rPr>
          <w:color w:val="000000" w:themeColor="text1"/>
          <w:kern w:val="0"/>
          <w:sz w:val="32"/>
          <w14:textFill>
            <w14:solidFill>
              <w14:schemeClr w14:val="tx1"/>
            </w14:solidFill>
          </w14:textFill>
        </w:rPr>
        <w:t>抗震救灾工作机制，推动形成“党委领导、政府主导，预防优先、平战结合，军地联动、社会参与”的工作格局。明确“123快速响应机制”市级行动清单，</w:t>
      </w:r>
      <w:r>
        <w:rPr>
          <w:rFonts w:hint="default"/>
          <w:color w:val="000000" w:themeColor="text1"/>
          <w:kern w:val="0"/>
          <w:highlight w:val="none"/>
          <w:lang w:val="en-US" w:eastAsia="zh-CN"/>
          <w14:textFill>
            <w14:solidFill>
              <w14:schemeClr w14:val="tx1"/>
            </w14:solidFill>
          </w14:textFill>
        </w:rPr>
        <w:t>出台细化“5618”紧急叫应叫醒工作措施</w:t>
      </w:r>
      <w:r>
        <w:rPr>
          <w:rFonts w:hint="default"/>
          <w:color w:val="000000" w:themeColor="text1"/>
          <w:kern w:val="0"/>
          <w:highlight w:val="none"/>
          <w:lang w:eastAsia="zh-CN"/>
          <w14:textFill>
            <w14:solidFill>
              <w14:schemeClr w14:val="tx1"/>
            </w14:solidFill>
          </w14:textFill>
        </w:rPr>
        <w:t>，</w:t>
      </w:r>
      <w:r>
        <w:rPr>
          <w:color w:val="000000" w:themeColor="text1"/>
          <w:kern w:val="0"/>
          <w:sz w:val="32"/>
          <w14:textFill>
            <w14:solidFill>
              <w14:schemeClr w14:val="tx1"/>
            </w14:solidFill>
          </w14:textFill>
        </w:rPr>
        <w:t>细化气象水文监测组联动流程，完成《玉溪市地震应急预案》、《玉溪市较大及以上地震灾害应急处置工作方案》等核心预案方案编制，构建起覆盖“事前预防--事中处置--事后恢复” 的全链条预案体系。创新建立常态化地震应急“五不”演练机制</w:t>
      </w:r>
      <w:r>
        <w:rPr>
          <w:rFonts w:hint="default"/>
          <w:color w:val="000000" w:themeColor="text1"/>
          <w:kern w:val="0"/>
          <w:sz w:val="32"/>
          <w:lang w:eastAsia="zh-CN"/>
          <w14:textFill>
            <w14:solidFill>
              <w14:schemeClr w14:val="tx1"/>
            </w14:solidFill>
          </w14:textFill>
        </w:rPr>
        <w:t>，</w:t>
      </w:r>
      <w:r>
        <w:rPr>
          <w:color w:val="000000" w:themeColor="text1"/>
          <w:kern w:val="0"/>
          <w:sz w:val="32"/>
          <w14:textFill>
            <w14:solidFill>
              <w14:schemeClr w14:val="tx1"/>
            </w14:solidFill>
          </w14:textFill>
        </w:rPr>
        <w:t>聚焦基层“最后一公里”响应能力，构建“市--县--乡--村--组”五级联动推进机制。大力推进基层地震应急“第一响应人”队伍建设，创建“</w:t>
      </w:r>
      <w:r>
        <w:rPr>
          <w:rFonts w:hint="default"/>
          <w:color w:val="000000" w:themeColor="text1"/>
          <w:kern w:val="0"/>
          <w:sz w:val="32"/>
          <w14:textFill>
            <w14:solidFill>
              <w14:schemeClr w14:val="tx1"/>
            </w14:solidFill>
          </w14:textFill>
        </w:rPr>
        <w:t>“</w:t>
      </w:r>
      <w:r>
        <w:rPr>
          <w:color w:val="000000" w:themeColor="text1"/>
          <w:kern w:val="0"/>
          <w:sz w:val="32"/>
          <w14:textFill>
            <w14:solidFill>
              <w14:schemeClr w14:val="tx1"/>
            </w14:solidFill>
          </w14:textFill>
        </w:rPr>
        <w:t>第一响应人</w:t>
      </w:r>
      <w:r>
        <w:rPr>
          <w:rFonts w:hint="default"/>
          <w:color w:val="000000" w:themeColor="text1"/>
          <w:kern w:val="0"/>
          <w:sz w:val="32"/>
          <w14:textFill>
            <w14:solidFill>
              <w14:schemeClr w14:val="tx1"/>
            </w14:solidFill>
          </w14:textFill>
        </w:rPr>
        <w:t>”</w:t>
      </w:r>
      <w:r>
        <w:rPr>
          <w:color w:val="000000" w:themeColor="text1"/>
          <w:kern w:val="0"/>
          <w:sz w:val="32"/>
          <w14:textFill>
            <w14:solidFill>
              <w14:schemeClr w14:val="tx1"/>
            </w14:solidFill>
          </w14:textFill>
        </w:rPr>
        <w:t>培训与基干民兵训练”融合模式</w:t>
      </w:r>
      <w:r>
        <w:rPr>
          <w:rFonts w:hint="default"/>
          <w:color w:val="000000" w:themeColor="text1"/>
          <w:kern w:val="0"/>
          <w:sz w:val="32"/>
          <w:lang w:eastAsia="zh-CN"/>
          <w14:textFill>
            <w14:solidFill>
              <w14:schemeClr w14:val="tx1"/>
            </w14:solidFill>
          </w14:textFill>
        </w:rPr>
        <w:t>，</w:t>
      </w:r>
      <w:r>
        <w:rPr>
          <w:color w:val="000000" w:themeColor="text1"/>
          <w:kern w:val="0"/>
          <w:sz w:val="32"/>
          <w14:textFill>
            <w14:solidFill>
              <w14:schemeClr w14:val="tx1"/>
            </w14:solidFill>
          </w14:textFill>
        </w:rPr>
        <w:t>制订</w:t>
      </w:r>
      <w:r>
        <w:rPr>
          <w:rFonts w:hint="default"/>
          <w:color w:val="000000" w:themeColor="text1"/>
          <w:kern w:val="0"/>
          <w:sz w:val="32"/>
          <w:lang w:eastAsia="zh-CN"/>
          <w14:textFill>
            <w14:solidFill>
              <w14:schemeClr w14:val="tx1"/>
            </w14:solidFill>
          </w14:textFill>
        </w:rPr>
        <w:t>“</w:t>
      </w:r>
      <w:r>
        <w:rPr>
          <w:rFonts w:hint="default"/>
          <w:color w:val="000000" w:themeColor="text1"/>
          <w:kern w:val="0"/>
          <w:sz w:val="32"/>
          <w:lang w:val="en-US" w:eastAsia="zh-CN"/>
          <w14:textFill>
            <w14:solidFill>
              <w14:schemeClr w14:val="tx1"/>
            </w14:solidFill>
          </w14:textFill>
        </w:rPr>
        <w:t>第一响应人</w:t>
      </w:r>
      <w:r>
        <w:rPr>
          <w:rFonts w:hint="default"/>
          <w:color w:val="000000" w:themeColor="text1"/>
          <w:kern w:val="0"/>
          <w:sz w:val="32"/>
          <w:lang w:eastAsia="zh-CN"/>
          <w14:textFill>
            <w14:solidFill>
              <w14:schemeClr w14:val="tx1"/>
            </w14:solidFill>
          </w14:textFill>
        </w:rPr>
        <w:t>”</w:t>
      </w:r>
      <w:r>
        <w:rPr>
          <w:rFonts w:hint="default"/>
          <w:color w:val="000000" w:themeColor="text1"/>
          <w:kern w:val="0"/>
          <w:sz w:val="32"/>
          <w:lang w:val="en-US" w:eastAsia="zh-CN"/>
          <w14:textFill>
            <w14:solidFill>
              <w14:schemeClr w14:val="tx1"/>
            </w14:solidFill>
          </w14:textFill>
        </w:rPr>
        <w:t>队伍建设</w:t>
      </w:r>
      <w:r>
        <w:rPr>
          <w:color w:val="000000" w:themeColor="text1"/>
          <w:kern w:val="0"/>
          <w:sz w:val="32"/>
          <w14:textFill>
            <w14:solidFill>
              <w14:schemeClr w14:val="tx1"/>
            </w14:solidFill>
          </w14:textFill>
        </w:rPr>
        <w:t>专项工作方案，累计完成培训592期、4.91万人次，实现全市6750个村（居）民小组全覆盖。全面启用“云南地震灾害快速评估与智能决策服务平台”，定期更新完善地震应急</w:t>
      </w:r>
      <w:r>
        <w:rPr>
          <w:rFonts w:hint="default"/>
          <w:color w:val="000000" w:themeColor="text1"/>
          <w:kern w:val="0"/>
          <w:sz w:val="32"/>
          <w:lang w:val="en-US" w:eastAsia="zh-CN"/>
          <w14:textFill>
            <w14:solidFill>
              <w14:schemeClr w14:val="tx1"/>
            </w14:solidFill>
          </w14:textFill>
        </w:rPr>
        <w:t>基础</w:t>
      </w:r>
      <w:r>
        <w:rPr>
          <w:color w:val="000000" w:themeColor="text1"/>
          <w:kern w:val="0"/>
          <w:sz w:val="32"/>
          <w14:textFill>
            <w14:solidFill>
              <w14:schemeClr w14:val="tx1"/>
            </w14:solidFill>
          </w14:textFill>
        </w:rPr>
        <w:t>数据库，为抗震救灾指挥决策和抢险救援提供科学数据支撑。</w:t>
      </w:r>
      <w:r>
        <w:rPr>
          <w:b/>
          <w:bCs/>
          <w:color w:val="000000" w:themeColor="text1"/>
          <w:kern w:val="0"/>
          <w:sz w:val="32"/>
          <w14:textFill>
            <w14:solidFill>
              <w14:schemeClr w14:val="tx1"/>
            </w14:solidFill>
          </w14:textFill>
        </w:rPr>
        <w:t>五是防震减灾执法保障更加坚实。</w:t>
      </w:r>
      <w:r>
        <w:rPr>
          <w:color w:val="000000" w:themeColor="text1"/>
          <w:kern w:val="0"/>
          <w:sz w:val="32"/>
          <w14:textFill>
            <w14:solidFill>
              <w14:schemeClr w14:val="tx1"/>
            </w14:solidFill>
          </w14:textFill>
        </w:rPr>
        <w:t>制定《玉溪市行政执法能力提升三年行动实施方案》，在全省范围内率先建成权责清晰、流程规范的防震减灾行政执法体系。开展《</w:t>
      </w:r>
      <w:r>
        <w:rPr>
          <w:rFonts w:hint="eastAsia"/>
          <w:color w:val="000000" w:themeColor="text1"/>
          <w:kern w:val="0"/>
          <w:sz w:val="32"/>
          <w14:textFill>
            <w14:solidFill>
              <w14:schemeClr w14:val="tx1"/>
            </w14:solidFill>
          </w14:textFill>
        </w:rPr>
        <w:t>中华</w:t>
      </w:r>
      <w:r>
        <w:rPr>
          <w:color w:val="000000" w:themeColor="text1"/>
          <w:kern w:val="0"/>
          <w:sz w:val="32"/>
          <w14:textFill>
            <w14:solidFill>
              <w14:schemeClr w14:val="tx1"/>
            </w14:solidFill>
          </w14:textFill>
        </w:rPr>
        <w:t>人民共和国防震减灾法》贯彻落实专项执法检查，深入推进行政执法“两违四乱”专项整治及群众身边突出问题整治。推行“区块链+行政执法和监督”平台应用，实现执法监管的数字化、规范化。构建涵盖重大建设工程、人员密集场所等重点区域的“全链条、多维度”监管服务体系，对防震减灾重大决策、重点工作开展合法性审查，实现“依法履职、规范用权”双保障。</w:t>
      </w:r>
      <w:r>
        <w:rPr>
          <w:b/>
          <w:bCs/>
          <w:color w:val="000000" w:themeColor="text1"/>
          <w:kern w:val="0"/>
          <w:sz w:val="32"/>
          <w14:textFill>
            <w14:solidFill>
              <w14:schemeClr w14:val="tx1"/>
            </w14:solidFill>
          </w14:textFill>
        </w:rPr>
        <w:t>六是防震减灾科普宣传更加深入。</w:t>
      </w:r>
      <w:r>
        <w:rPr>
          <w:color w:val="000000" w:themeColor="text1"/>
          <w14:textFill>
            <w14:solidFill>
              <w14:schemeClr w14:val="tx1"/>
            </w14:solidFill>
          </w14:textFill>
        </w:rPr>
        <w:t>抓好 “1</w:t>
      </w:r>
      <w:r>
        <w:rPr>
          <w:rFonts w:hint="default" w:ascii="Times New Roman" w:hAnsi="Times New Roman" w:eastAsia="微软雅黑" w:cs="Times New Roman"/>
          <w:color w:val="000000" w:themeColor="text1"/>
          <w14:textFill>
            <w14:solidFill>
              <w14:schemeClr w14:val="tx1"/>
            </w14:solidFill>
          </w14:textFill>
        </w:rPr>
        <w:t>・</w:t>
      </w:r>
      <w:r>
        <w:rPr>
          <w:color w:val="000000" w:themeColor="text1"/>
          <w14:textFill>
            <w14:solidFill>
              <w14:schemeClr w14:val="tx1"/>
            </w14:solidFill>
          </w14:textFill>
        </w:rPr>
        <w:t>05” 通海大地震纪念日、“5</w:t>
      </w:r>
      <w:r>
        <w:rPr>
          <w:rFonts w:hint="default" w:ascii="Times New Roman" w:hAnsi="Times New Roman" w:eastAsia="微软雅黑" w:cs="Times New Roman"/>
          <w:color w:val="000000" w:themeColor="text1"/>
          <w14:textFill>
            <w14:solidFill>
              <w14:schemeClr w14:val="tx1"/>
            </w14:solidFill>
          </w14:textFill>
        </w:rPr>
        <w:t>・</w:t>
      </w:r>
      <w:r>
        <w:rPr>
          <w:color w:val="000000" w:themeColor="text1"/>
          <w14:textFill>
            <w14:solidFill>
              <w14:schemeClr w14:val="tx1"/>
            </w14:solidFill>
          </w14:textFill>
        </w:rPr>
        <w:t>12” 全国防灾减灾日等关键节点，组织开展系列宣传活动。</w:t>
      </w:r>
      <w:r>
        <w:rPr>
          <w:color w:val="000000" w:themeColor="text1"/>
          <w:kern w:val="0"/>
          <w:sz w:val="32"/>
          <w14:textFill>
            <w14:solidFill>
              <w14:schemeClr w14:val="tx1"/>
            </w14:solidFill>
          </w14:textFill>
        </w:rPr>
        <w:t>累计开展讲座1413场次、疏散演练1928场次、广场宣传515次，发放宣传资料47万余份，受众近100万人次。实现防震减灾与文化科技卫生“三下乡”、科技活动周、科普大篷车、全国科普月联动宣传，形成“日常教育+节点强化”立体宣传格局。持续开展“地震科普 携手同行”防震减灾科普进校园主题活动，覆盖师生182万人次。创新主题晚会、科普短剧小视频、宣传记录片、专场文艺演出、知识竞赛等科普宣传载体，拍摄巨灾防范工程纪实片2部、产出系列多民族语言的宣传音视频，首次建立线上宣传平台。完成玉溪市防震减灾科普馆升级改造，成功构建“馆校协同”研学体系。2021年防震减灾科普馆成功创建为“国家防震减灾科普教育基地”，同年被玉溪市社科联认定为“玉溪市社会科学普及示范基地”，2022年被玉溪市科协命名为“玉溪市科普教育示范基地”。</w:t>
      </w:r>
    </w:p>
    <w:p>
      <w:pPr>
        <w:adjustRightInd w:val="0"/>
        <w:spacing w:line="240" w:lineRule="auto"/>
        <w:ind w:left="-3" w:leftChars="-95" w:hanging="315" w:hangingChars="89"/>
        <w:rPr>
          <w:color w:val="000000" w:themeColor="text1"/>
          <w:kern w:val="0"/>
          <w:sz w:val="34"/>
          <w14:textFill>
            <w14:solidFill>
              <w14:schemeClr w14:val="tx1"/>
            </w14:solidFill>
          </w14:textFill>
        </w:rPr>
      </w:pPr>
      <w:r>
        <w:rPr>
          <w:rFonts w:hint="eastAsia"/>
          <w:color w:val="000000" w:themeColor="text1"/>
          <w:kern w:val="0"/>
          <w:sz w:val="34"/>
          <w14:textFill>
            <w14:solidFill>
              <w14:schemeClr w14:val="tx1"/>
            </w14:solidFill>
          </w14:textFill>
        </w:rPr>
        <w:drawing>
          <wp:inline distT="0" distB="0" distL="114300" distR="114300">
            <wp:extent cx="5570220" cy="2453005"/>
            <wp:effectExtent l="0" t="0" r="7620" b="635"/>
            <wp:docPr id="12" name="图片 12" descr="防震减灾科普工作数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防震减灾科普工作数据图"/>
                    <pic:cNvPicPr>
                      <a:picLocks noChangeAspect="1"/>
                    </pic:cNvPicPr>
                  </pic:nvPicPr>
                  <pic:blipFill>
                    <a:blip r:embed="rId15"/>
                    <a:stretch>
                      <a:fillRect/>
                    </a:stretch>
                  </pic:blipFill>
                  <pic:spPr>
                    <a:xfrm>
                      <a:off x="0" y="0"/>
                      <a:ext cx="5570220" cy="2453005"/>
                    </a:xfrm>
                    <a:prstGeom prst="rect">
                      <a:avLst/>
                    </a:prstGeom>
                  </pic:spPr>
                </pic:pic>
              </a:graphicData>
            </a:graphic>
          </wp:inline>
        </w:drawing>
      </w:r>
    </w:p>
    <w:p>
      <w:pPr>
        <w:widowControl/>
        <w:spacing w:line="240" w:lineRule="auto"/>
        <w:ind w:firstLine="0" w:firstLineChars="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图1 科普工作成效</w:t>
      </w:r>
    </w:p>
    <w:p>
      <w:pPr>
        <w:keepNext w:val="0"/>
        <w:keepLines w:val="0"/>
        <w:pageBreakBefore w:val="0"/>
        <w:widowControl w:val="0"/>
        <w:kinsoku/>
        <w:wordWrap/>
        <w:overflowPunct/>
        <w:topLinePunct w:val="0"/>
        <w:autoSpaceDE/>
        <w:autoSpaceDN/>
        <w:bidi w:val="0"/>
        <w:snapToGrid/>
        <w:spacing w:line="240" w:lineRule="auto"/>
        <w:ind w:firstLine="712"/>
        <w:jc w:val="both"/>
        <w:textAlignment w:val="auto"/>
        <w:outlineLvl w:val="1"/>
        <w:rPr>
          <w:rFonts w:ascii="Times New Roman" w:hAnsi="Times New Roman" w:eastAsia="方正楷体_GBK" w:cs="Times New Roman"/>
          <w:color w:val="000000" w:themeColor="text1"/>
          <w:kern w:val="0"/>
          <w:sz w:val="32"/>
          <w14:textFill>
            <w14:solidFill>
              <w14:schemeClr w14:val="tx1"/>
            </w14:solidFill>
          </w14:textFill>
        </w:rPr>
      </w:pPr>
      <w:bookmarkStart w:id="22" w:name="_Toc32351"/>
      <w:r>
        <w:rPr>
          <w:rFonts w:ascii="Times New Roman" w:hAnsi="Times New Roman" w:eastAsia="方正楷体_GBK" w:cs="Times New Roman"/>
          <w:color w:val="000000" w:themeColor="text1"/>
          <w:kern w:val="0"/>
          <w:sz w:val="32"/>
          <w14:textFill>
            <w14:solidFill>
              <w14:schemeClr w14:val="tx1"/>
            </w14:solidFill>
          </w14:textFill>
        </w:rPr>
        <w:t>（二）</w:t>
      </w:r>
      <w:bookmarkEnd w:id="21"/>
      <w:r>
        <w:rPr>
          <w:rFonts w:ascii="Times New Roman" w:hAnsi="Times New Roman" w:eastAsia="方正楷体_GBK" w:cs="Times New Roman"/>
          <w:color w:val="000000" w:themeColor="text1"/>
          <w:kern w:val="0"/>
          <w:sz w:val="32"/>
          <w14:textFill>
            <w14:solidFill>
              <w14:schemeClr w14:val="tx1"/>
            </w14:solidFill>
          </w14:textFill>
        </w:rPr>
        <w:t>当前形势</w:t>
      </w:r>
      <w:bookmarkEnd w:id="22"/>
    </w:p>
    <w:p>
      <w:pPr>
        <w:keepNext w:val="0"/>
        <w:keepLines w:val="0"/>
        <w:pageBreakBefore w:val="0"/>
        <w:widowControl w:val="0"/>
        <w:kinsoku/>
        <w:wordWrap/>
        <w:overflowPunct/>
        <w:topLinePunct w:val="0"/>
        <w:autoSpaceDE/>
        <w:autoSpaceDN/>
        <w:bidi w:val="0"/>
        <w:adjustRightInd w:val="0"/>
        <w:snapToGrid/>
        <w:spacing w:line="240" w:lineRule="auto"/>
        <w:ind w:firstLine="712"/>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十五五</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时期</w:t>
      </w:r>
      <w:r>
        <w:rPr>
          <w:rFonts w:hint="default" w:ascii="Times New Roman" w:hAnsi="Times New Roman" w:cs="Times New Roman"/>
          <w:color w:val="000000" w:themeColor="text1"/>
          <w:kern w:val="0"/>
          <w:sz w:val="32"/>
          <w14:textFill>
            <w14:solidFill>
              <w14:schemeClr w14:val="tx1"/>
            </w14:solidFill>
          </w14:textFill>
        </w:rPr>
        <w:t>是玉溪</w:t>
      </w:r>
      <w:r>
        <w:rPr>
          <w:rFonts w:ascii="Times New Roman" w:hAnsi="Times New Roman" w:cs="Times New Roman"/>
          <w:color w:val="000000" w:themeColor="text1"/>
          <w:kern w:val="0"/>
          <w:sz w:val="32"/>
          <w14:textFill>
            <w14:solidFill>
              <w14:schemeClr w14:val="tx1"/>
            </w14:solidFill>
          </w14:textFill>
        </w:rPr>
        <w:t>基本实现社会主义现代化夯实基础、全面发力的关键时期，</w:t>
      </w:r>
      <w:r>
        <w:rPr>
          <w:rFonts w:hint="default" w:ascii="Times New Roman" w:hAnsi="Times New Roman" w:cs="Times New Roman"/>
          <w:color w:val="000000" w:themeColor="text1"/>
          <w:kern w:val="0"/>
          <w:sz w:val="32"/>
          <w14:textFill>
            <w14:solidFill>
              <w14:schemeClr w14:val="tx1"/>
            </w14:solidFill>
          </w14:textFill>
        </w:rPr>
        <w:t>也</w:t>
      </w:r>
      <w:r>
        <w:rPr>
          <w:rFonts w:ascii="Times New Roman" w:hAnsi="Times New Roman" w:cs="Times New Roman"/>
          <w:color w:val="000000" w:themeColor="text1"/>
          <w:kern w:val="0"/>
          <w:sz w:val="32"/>
          <w14:textFill>
            <w14:solidFill>
              <w14:schemeClr w14:val="tx1"/>
            </w14:solidFill>
          </w14:textFill>
        </w:rPr>
        <w:t>是</w:t>
      </w:r>
      <w:r>
        <w:rPr>
          <w:rFonts w:hint="default" w:ascii="Times New Roman" w:hAnsi="Times New Roman" w:cs="Times New Roman"/>
          <w:color w:val="000000" w:themeColor="text1"/>
          <w:kern w:val="0"/>
          <w:sz w:val="32"/>
          <w14:textFill>
            <w14:solidFill>
              <w14:schemeClr w14:val="tx1"/>
            </w14:solidFill>
          </w14:textFill>
        </w:rPr>
        <w:t>玉溪市</w:t>
      </w:r>
      <w:r>
        <w:rPr>
          <w:rFonts w:ascii="Times New Roman" w:hAnsi="Times New Roman" w:cs="Times New Roman"/>
          <w:color w:val="000000" w:themeColor="text1"/>
          <w:kern w:val="0"/>
          <w:sz w:val="32"/>
          <w14:textFill>
            <w14:solidFill>
              <w14:schemeClr w14:val="tx1"/>
            </w14:solidFill>
          </w14:textFill>
        </w:rPr>
        <w:t>防震减灾事业</w:t>
      </w:r>
      <w:r>
        <w:rPr>
          <w:rFonts w:hint="eastAsia"/>
          <w:color w:val="000000" w:themeColor="text1"/>
          <w:kern w:val="0"/>
          <w14:textFill>
            <w14:solidFill>
              <w14:schemeClr w14:val="tx1"/>
            </w14:solidFill>
          </w14:textFill>
        </w:rPr>
        <w:t>加快转型升级、提质增效的关键期</w:t>
      </w:r>
      <w:r>
        <w:rPr>
          <w:rFonts w:ascii="Times New Roman" w:hAnsi="Times New Roman" w:cs="Times New Roman"/>
          <w:color w:val="000000" w:themeColor="text1"/>
          <w:kern w:val="0"/>
          <w:sz w:val="32"/>
          <w14:textFill>
            <w14:solidFill>
              <w14:schemeClr w14:val="tx1"/>
            </w14:solidFill>
          </w14:textFill>
        </w:rPr>
        <w:t>。</w:t>
      </w:r>
      <w:r>
        <w:rPr>
          <w:rFonts w:hint="default" w:ascii="Times New Roman" w:hAnsi="Times New Roman" w:cs="Times New Roman"/>
          <w:color w:val="000000" w:themeColor="text1"/>
          <w:kern w:val="0"/>
          <w:sz w:val="32"/>
          <w14:textFill>
            <w14:solidFill>
              <w14:schemeClr w14:val="tx1"/>
            </w14:solidFill>
          </w14:textFill>
        </w:rPr>
        <w:t>“十四五”以来，玉溪市深入学习贯彻习近平总书记关于防灾减灾救灾重要论述和防震减灾重要指示批示精神，坚持高位推动、大事大抓、强基固本，防震减灾事业取得长足进步。防震减灾工作发展进入新的历史时期。</w:t>
      </w:r>
      <w:r>
        <w:rPr>
          <w:b/>
          <w:bCs/>
          <w:color w:val="000000" w:themeColor="text1"/>
          <w:kern w:val="0"/>
          <w14:textFill>
            <w14:solidFill>
              <w14:schemeClr w14:val="tx1"/>
            </w14:solidFill>
          </w14:textFill>
        </w:rPr>
        <w:t>一是习近平总书记</w:t>
      </w:r>
      <w:r>
        <w:rPr>
          <w:rFonts w:hint="eastAsia"/>
          <w:b/>
          <w:bCs/>
          <w:color w:val="000000" w:themeColor="text1"/>
          <w:kern w:val="0"/>
          <w14:textFill>
            <w14:solidFill>
              <w14:schemeClr w14:val="tx1"/>
            </w14:solidFill>
          </w14:textFill>
        </w:rPr>
        <w:t>“</w:t>
      </w:r>
      <w:r>
        <w:rPr>
          <w:b/>
          <w:bCs/>
          <w:color w:val="000000" w:themeColor="text1"/>
          <w:kern w:val="0"/>
          <w14:textFill>
            <w14:solidFill>
              <w14:schemeClr w14:val="tx1"/>
            </w14:solidFill>
          </w14:textFill>
        </w:rPr>
        <w:t>大震之问</w:t>
      </w:r>
      <w:r>
        <w:rPr>
          <w:rFonts w:hint="eastAsia"/>
          <w:b/>
          <w:bCs/>
          <w:color w:val="000000" w:themeColor="text1"/>
          <w:kern w:val="0"/>
          <w14:textFill>
            <w14:solidFill>
              <w14:schemeClr w14:val="tx1"/>
            </w14:solidFill>
          </w14:textFill>
        </w:rPr>
        <w:t>”</w:t>
      </w:r>
      <w:r>
        <w:rPr>
          <w:b/>
          <w:bCs/>
          <w:color w:val="000000" w:themeColor="text1"/>
          <w:kern w:val="0"/>
          <w14:textFill>
            <w14:solidFill>
              <w14:schemeClr w14:val="tx1"/>
            </w14:solidFill>
          </w14:textFill>
        </w:rPr>
        <w:t>深入人心，同题共答的工作格局全面形</w:t>
      </w:r>
      <w:r>
        <w:rPr>
          <w:rFonts w:ascii="Times New Roman" w:hAnsi="Times New Roman" w:cs="Times New Roman"/>
          <w:b/>
          <w:bCs/>
          <w:color w:val="000000" w:themeColor="text1"/>
          <w:kern w:val="0"/>
          <w:sz w:val="32"/>
          <w14:textFill>
            <w14:solidFill>
              <w14:schemeClr w14:val="tx1"/>
            </w14:solidFill>
          </w14:textFill>
        </w:rPr>
        <w:t>成。</w:t>
      </w:r>
      <w:r>
        <w:rPr>
          <w:rFonts w:ascii="Times New Roman" w:hAnsi="Times New Roman" w:cs="Times New Roman"/>
          <w:color w:val="000000" w:themeColor="text1"/>
          <w:kern w:val="0"/>
          <w:sz w:val="32"/>
          <w14:textFill>
            <w14:solidFill>
              <w14:schemeClr w14:val="tx1"/>
            </w14:solidFill>
          </w14:textFill>
        </w:rPr>
        <w:t>党的十八大以来，习近平总书记就防灾减灾救灾工作作出一系列重要指示批示，提出了一系列新理念新思想新战略，</w:t>
      </w:r>
      <w:r>
        <w:rPr>
          <w:rFonts w:hint="default" w:ascii="Times New Roman" w:hAnsi="Times New Roman" w:cs="Times New Roman"/>
          <w:color w:val="000000" w:themeColor="text1"/>
          <w:spacing w:val="-7"/>
          <w:kern w:val="0"/>
          <w:sz w:val="32"/>
          <w14:textFill>
            <w14:solidFill>
              <w14:schemeClr w14:val="tx1"/>
            </w14:solidFill>
          </w14:textFill>
        </w:rPr>
        <w:t>为玉溪市防震减灾工作指明了方向、提供了根本遵循。</w:t>
      </w:r>
      <w:r>
        <w:rPr>
          <w:rFonts w:hint="eastAsia"/>
          <w:color w:val="000000" w:themeColor="text1"/>
          <w14:textFill>
            <w14:solidFill>
              <w14:schemeClr w14:val="tx1"/>
            </w14:solidFill>
          </w14:textFill>
        </w:rPr>
        <w:t>玉溪市各级</w:t>
      </w:r>
      <w:r>
        <w:rPr>
          <w:bCs/>
          <w:color w:val="000000" w:themeColor="text1"/>
          <w:kern w:val="0"/>
          <w14:textFill>
            <w14:solidFill>
              <w14:schemeClr w14:val="tx1"/>
            </w14:solidFill>
          </w14:textFill>
        </w:rPr>
        <w:t>社会组织</w:t>
      </w:r>
      <w:r>
        <w:rPr>
          <w:rFonts w:hint="eastAsia"/>
          <w:bCs/>
          <w:color w:val="000000" w:themeColor="text1"/>
          <w:kern w:val="0"/>
          <w14:textFill>
            <w14:solidFill>
              <w14:schemeClr w14:val="tx1"/>
            </w14:solidFill>
          </w14:textFill>
        </w:rPr>
        <w:t>积极参与防震减灾事业</w:t>
      </w:r>
      <w:r>
        <w:rPr>
          <w:bCs/>
          <w:color w:val="000000" w:themeColor="text1"/>
          <w:kern w:val="0"/>
          <w14:textFill>
            <w14:solidFill>
              <w14:schemeClr w14:val="tx1"/>
            </w14:solidFill>
          </w14:textFill>
        </w:rPr>
        <w:t>，社会力量正逐步成为防震减灾工作的重要组成部分，进一步凝聚起群防群治的强大合力</w:t>
      </w:r>
      <w:r>
        <w:rPr>
          <w:rFonts w:hint="default" w:ascii="Times New Roman" w:hAnsi="Times New Roman" w:cs="Times New Roman"/>
          <w:color w:val="000000" w:themeColor="text1"/>
          <w:kern w:val="0"/>
          <w:sz w:val="32"/>
          <w14:textFill>
            <w14:solidFill>
              <w14:schemeClr w14:val="tx1"/>
            </w14:solidFill>
          </w14:textFill>
        </w:rPr>
        <w:t>。</w:t>
      </w:r>
      <w:r>
        <w:rPr>
          <w:rFonts w:hint="default" w:ascii="Times New Roman" w:hAnsi="Times New Roman" w:cs="Times New Roman"/>
          <w:b/>
          <w:bCs/>
          <w:color w:val="000000" w:themeColor="text1"/>
          <w:kern w:val="0"/>
          <w:sz w:val="32"/>
          <w14:textFill>
            <w14:solidFill>
              <w14:schemeClr w14:val="tx1"/>
            </w14:solidFill>
          </w14:textFill>
        </w:rPr>
        <w:t>二是防震减灾治理保障更加坚实充分。</w:t>
      </w:r>
      <w:r>
        <w:rPr>
          <w:rFonts w:hint="eastAsia"/>
          <w:color w:val="000000" w:themeColor="text1"/>
          <w:kern w:val="0"/>
          <w14:textFill>
            <w14:solidFill>
              <w14:schemeClr w14:val="tx1"/>
            </w14:solidFill>
          </w14:textFill>
        </w:rPr>
        <w:t>随着“一带一路”高质量共建、新时代西部大开发、滇中城市群融合发展等国家及区域重大战略深入实施，为玉溪市经济社会长远发展积蓄了强劲动能、提供了坚实支撑。清晰明确的区域发展战略定位，为全市防震减灾事业高质量发展筑牢了发展根基、创造了有利条件。当前，新时代防震减灾工作聚焦综合减灾、防救协同、系统治理、社会共治，持续健全与经济社会发展同频适配、协同推进的防灾减灾救灾现代化体系，治理保障水平持续提质增效。</w:t>
      </w:r>
      <w:r>
        <w:rPr>
          <w:rFonts w:hint="default" w:ascii="Times New Roman" w:hAnsi="Times New Roman" w:cs="Times New Roman"/>
          <w:b/>
          <w:bCs/>
          <w:color w:val="000000" w:themeColor="text1"/>
          <w:kern w:val="0"/>
          <w:sz w:val="32"/>
          <w14:textFill>
            <w14:solidFill>
              <w14:schemeClr w14:val="tx1"/>
            </w14:solidFill>
          </w14:textFill>
        </w:rPr>
        <w:t>三</w:t>
      </w:r>
      <w:r>
        <w:rPr>
          <w:rFonts w:ascii="Times New Roman" w:hAnsi="Times New Roman" w:cs="Times New Roman"/>
          <w:b/>
          <w:bCs/>
          <w:color w:val="000000" w:themeColor="text1"/>
          <w:kern w:val="0"/>
          <w:sz w:val="32"/>
          <w14:textFill>
            <w14:solidFill>
              <w14:schemeClr w14:val="tx1"/>
            </w14:solidFill>
          </w14:textFill>
        </w:rPr>
        <w:t>是城市更新行动</w:t>
      </w:r>
      <w:r>
        <w:rPr>
          <w:rFonts w:hint="default" w:ascii="Times New Roman" w:hAnsi="Times New Roman" w:cs="Times New Roman"/>
          <w:b/>
          <w:bCs/>
          <w:color w:val="000000" w:themeColor="text1"/>
          <w:kern w:val="0"/>
          <w:sz w:val="32"/>
          <w14:textFill>
            <w14:solidFill>
              <w14:schemeClr w14:val="tx1"/>
            </w14:solidFill>
          </w14:textFill>
        </w:rPr>
        <w:t>全面开展。</w:t>
      </w:r>
      <w:r>
        <w:rPr>
          <w:rFonts w:ascii="Times New Roman" w:hAnsi="Times New Roman" w:cs="Times New Roman"/>
          <w:b w:val="0"/>
          <w:bCs w:val="0"/>
          <w:color w:val="000000" w:themeColor="text1"/>
          <w:kern w:val="0"/>
          <w:sz w:val="32"/>
          <w14:textFill>
            <w14:solidFill>
              <w14:schemeClr w14:val="tx1"/>
            </w14:solidFill>
          </w14:textFill>
        </w:rPr>
        <w:t>随着国家、省、市全面部署推进城市更新行动，全市新型城镇化建设提质提速、纵深推进，为防震减灾事业提质增效提供了重要载体与有利契机。</w:t>
      </w:r>
      <w:r>
        <w:rPr>
          <w:rFonts w:ascii="Times New Roman" w:hAnsi="Times New Roman" w:cs="Times New Roman"/>
          <w:color w:val="000000" w:themeColor="text1"/>
          <w:kern w:val="0"/>
          <w:sz w:val="32"/>
          <w14:textFill>
            <w14:solidFill>
              <w14:schemeClr w14:val="tx1"/>
            </w14:solidFill>
          </w14:textFill>
        </w:rPr>
        <w:t>立足创新、宜居、美丽、韧性、文明、智慧的现代化城市建设目标，防震减灾工作深度融入城市规划建设、更新改造全过程，同步推进老旧建筑抗震隐患排查、房屋设施抗震加固、城市防灾功能补短板强弱项。</w:t>
      </w:r>
      <w:r>
        <w:rPr>
          <w:rFonts w:hint="default" w:ascii="Times New Roman" w:hAnsi="Times New Roman" w:cs="Times New Roman"/>
          <w:b/>
          <w:bCs/>
          <w:color w:val="000000" w:themeColor="text1"/>
          <w:kern w:val="0"/>
          <w:sz w:val="32"/>
          <w14:textFill>
            <w14:solidFill>
              <w14:schemeClr w14:val="tx1"/>
            </w14:solidFill>
          </w14:textFill>
        </w:rPr>
        <w:t>四</w:t>
      </w:r>
      <w:r>
        <w:rPr>
          <w:rFonts w:ascii="Times New Roman" w:hAnsi="Times New Roman" w:cs="Times New Roman"/>
          <w:b/>
          <w:bCs/>
          <w:color w:val="000000" w:themeColor="text1"/>
          <w:kern w:val="0"/>
          <w:sz w:val="32"/>
          <w14:textFill>
            <w14:solidFill>
              <w14:schemeClr w14:val="tx1"/>
            </w14:solidFill>
          </w14:textFill>
        </w:rPr>
        <w:t>是科技赋能效应加速释放。</w:t>
      </w:r>
      <w:r>
        <w:rPr>
          <w:rFonts w:hint="default" w:ascii="Times New Roman" w:hAnsi="Times New Roman" w:cs="Times New Roman"/>
          <w:color w:val="000000" w:themeColor="text1"/>
          <w:kern w:val="0"/>
          <w:sz w:val="32"/>
          <w14:textFill>
            <w14:solidFill>
              <w14:schemeClr w14:val="tx1"/>
            </w14:solidFill>
          </w14:textFill>
        </w:rPr>
        <w:t>玉溪市</w:t>
      </w:r>
      <w:r>
        <w:rPr>
          <w:rFonts w:ascii="Times New Roman" w:hAnsi="Times New Roman" w:cs="Times New Roman"/>
          <w:color w:val="000000" w:themeColor="text1"/>
          <w:kern w:val="0"/>
          <w:sz w:val="32"/>
          <w14:textFill>
            <w14:solidFill>
              <w14:schemeClr w14:val="tx1"/>
            </w14:solidFill>
          </w14:textFill>
        </w:rPr>
        <w:t>深入实施创新驱动发展战略，</w:t>
      </w:r>
      <w:r>
        <w:rPr>
          <w:rFonts w:hint="default" w:ascii="Times New Roman" w:hAnsi="Times New Roman" w:cs="Times New Roman"/>
          <w:color w:val="000000" w:themeColor="text1"/>
          <w:kern w:val="0"/>
          <w:sz w:val="32"/>
          <w14:textFill>
            <w14:solidFill>
              <w14:schemeClr w14:val="tx1"/>
            </w14:solidFill>
          </w14:textFill>
        </w:rPr>
        <w:t>深化</w:t>
      </w:r>
      <w:r>
        <w:rPr>
          <w:rFonts w:ascii="Times New Roman" w:hAnsi="Times New Roman" w:cs="Times New Roman"/>
          <w:color w:val="000000" w:themeColor="text1"/>
          <w:kern w:val="0"/>
          <w:sz w:val="32"/>
          <w14:textFill>
            <w14:solidFill>
              <w14:schemeClr w14:val="tx1"/>
            </w14:solidFill>
          </w14:textFill>
        </w:rPr>
        <w:t>大数据、人工智能</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等新一代信息技术与社会治理深度融合，提升城市整体数字化治理</w:t>
      </w:r>
      <w:r>
        <w:rPr>
          <w:rFonts w:hint="default" w:ascii="Times New Roman" w:hAnsi="Times New Roman" w:cs="Times New Roman"/>
          <w:color w:val="000000" w:themeColor="text1"/>
          <w:kern w:val="0"/>
          <w:sz w:val="32"/>
          <w14:textFill>
            <w14:solidFill>
              <w14:schemeClr w14:val="tx1"/>
            </w14:solidFill>
          </w14:textFill>
        </w:rPr>
        <w:t>水平，持续为防震减灾事业注入创新动能</w:t>
      </w:r>
      <w:r>
        <w:rPr>
          <w:rFonts w:ascii="Times New Roman" w:hAnsi="Times New Roman" w:cs="Times New Roman"/>
          <w:color w:val="000000" w:themeColor="text1"/>
          <w:kern w:val="0"/>
          <w:sz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spacing w:line="240" w:lineRule="auto"/>
        <w:ind w:firstLine="712"/>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color w:val="000000" w:themeColor="text1"/>
          <w:kern w:val="0"/>
          <w:sz w:val="32"/>
          <w14:textFill>
            <w14:solidFill>
              <w14:schemeClr w14:val="tx1"/>
            </w14:solidFill>
          </w14:textFill>
        </w:rPr>
        <w:t>同时，玉溪市存在地震灾害风险高、防范化解难度大、任务重的客观现实，“十五五”时期防震减灾工作面临多重压力与考验。</w:t>
      </w:r>
      <w:r>
        <w:rPr>
          <w:rFonts w:hint="default" w:ascii="Times New Roman" w:hAnsi="Times New Roman" w:cs="Times New Roman"/>
          <w:b/>
          <w:bCs/>
          <w:color w:val="000000" w:themeColor="text1"/>
          <w:kern w:val="0"/>
          <w:sz w:val="32"/>
          <w14:textFill>
            <w14:solidFill>
              <w14:schemeClr w14:val="tx1"/>
            </w14:solidFill>
          </w14:textFill>
        </w:rPr>
        <w:t>一是发震规律把握难。</w:t>
      </w:r>
      <w:r>
        <w:rPr>
          <w:rFonts w:hint="default" w:ascii="Times New Roman" w:hAnsi="Times New Roman" w:cs="Times New Roman"/>
          <w:color w:val="000000" w:themeColor="text1"/>
          <w:kern w:val="0"/>
          <w:sz w:val="32"/>
          <w14:textFill>
            <w14:solidFill>
              <w14:schemeClr w14:val="tx1"/>
            </w14:solidFill>
          </w14:textFill>
        </w:rPr>
        <w:t>玉溪地处南北地震带南段，活动断裂</w:t>
      </w:r>
      <w:r>
        <w:rPr>
          <w:rFonts w:hint="default" w:cs="Times New Roman"/>
          <w:color w:val="000000" w:themeColor="text1"/>
          <w:kern w:val="0"/>
          <w:sz w:val="32"/>
          <w:lang w:eastAsia="zh-CN"/>
          <w14:textFill>
            <w14:solidFill>
              <w14:schemeClr w14:val="tx1"/>
            </w14:solidFill>
          </w14:textFill>
        </w:rPr>
        <w:t>纵横交错</w:t>
      </w:r>
      <w:r>
        <w:rPr>
          <w:rFonts w:hint="default" w:ascii="Times New Roman" w:hAnsi="Times New Roman" w:cs="Times New Roman"/>
          <w:color w:val="000000" w:themeColor="text1"/>
          <w:kern w:val="0"/>
          <w:sz w:val="32"/>
          <w14:textFill>
            <w14:solidFill>
              <w14:schemeClr w14:val="tx1"/>
            </w14:solidFill>
          </w14:textFill>
        </w:rPr>
        <w:t>，目前地震预测仍未取得突破性进展，地震危险源探查、城市活断层探测相对滞后，地震发生机理、成灾规律尚未完全摸清，</w:t>
      </w:r>
      <w:r>
        <w:rPr>
          <w:color w:val="000000" w:themeColor="text1"/>
          <w:kern w:val="0"/>
          <w:sz w:val="32"/>
          <w14:textFill>
            <w14:solidFill>
              <w14:schemeClr w14:val="tx1"/>
            </w14:solidFill>
          </w14:textFill>
        </w:rPr>
        <w:t>地震监测能力向减灾实效转化仍存在差距</w:t>
      </w:r>
      <w:r>
        <w:rPr>
          <w:rFonts w:hint="default" w:ascii="Times New Roman" w:hAnsi="Times New Roman" w:cs="Times New Roman"/>
          <w:color w:val="000000" w:themeColor="text1"/>
          <w:kern w:val="0"/>
          <w:sz w:val="32"/>
          <w14:textFill>
            <w14:solidFill>
              <w14:schemeClr w14:val="tx1"/>
            </w14:solidFill>
          </w14:textFill>
        </w:rPr>
        <w:t>。</w:t>
      </w:r>
      <w:r>
        <w:rPr>
          <w:rFonts w:hint="default" w:ascii="Times New Roman" w:hAnsi="Times New Roman" w:cs="Times New Roman"/>
          <w:b/>
          <w:bCs/>
          <w:color w:val="000000" w:themeColor="text1"/>
          <w:kern w:val="0"/>
          <w:sz w:val="32"/>
          <w14:textFill>
            <w14:solidFill>
              <w14:schemeClr w14:val="tx1"/>
            </w14:solidFill>
          </w14:textFill>
        </w:rPr>
        <w:t>二是次生灾害处置难。</w:t>
      </w:r>
      <w:r>
        <w:rPr>
          <w:rFonts w:hint="default" w:ascii="Times New Roman" w:hAnsi="Times New Roman" w:cs="Times New Roman"/>
          <w:color w:val="000000" w:themeColor="text1"/>
          <w:kern w:val="0"/>
          <w:sz w:val="32"/>
          <w14:textFill>
            <w14:solidFill>
              <w14:schemeClr w14:val="tx1"/>
            </w14:solidFill>
          </w14:textFill>
        </w:rPr>
        <w:t>玉溪构造环境复杂多样，地质条件脆弱，大地震诱发滑坡、崩塌、泥石流、堰塞湖、火灾等多类型、大规模的次生灾害风险高，将造成较大甚至重大灾害损失，加大地震抢险救援和恢复重建难度。</w:t>
      </w:r>
      <w:r>
        <w:rPr>
          <w:rFonts w:hint="default" w:ascii="Times New Roman" w:hAnsi="Times New Roman" w:cs="Times New Roman"/>
          <w:b/>
          <w:bCs/>
          <w:color w:val="000000" w:themeColor="text1"/>
          <w:kern w:val="0"/>
          <w:sz w:val="32"/>
          <w14:textFill>
            <w14:solidFill>
              <w14:schemeClr w14:val="tx1"/>
            </w14:solidFill>
          </w14:textFill>
        </w:rPr>
        <w:t>三是极端情况应对难。</w:t>
      </w:r>
      <w:r>
        <w:rPr>
          <w:rFonts w:hint="default" w:ascii="Times New Roman" w:hAnsi="Times New Roman" w:cs="Times New Roman"/>
          <w:color w:val="000000" w:themeColor="text1"/>
          <w:kern w:val="0"/>
          <w:sz w:val="32"/>
          <w14:textFill>
            <w14:solidFill>
              <w14:schemeClr w14:val="tx1"/>
            </w14:solidFill>
          </w14:textFill>
        </w:rPr>
        <w:t>玉溪地形、气候条件多样，人口分布不均，大震后易造成断路、断电、断网等极端情况，特别是一些山高谷深、高温干燥地区，地震后的应急指挥调度、救援力量投送、救灾物资调运等尤为困难。</w:t>
      </w:r>
      <w:r>
        <w:rPr>
          <w:rFonts w:hint="default" w:ascii="Times New Roman" w:hAnsi="Times New Roman" w:cs="Times New Roman"/>
          <w:b/>
          <w:bCs/>
          <w:color w:val="000000" w:themeColor="text1"/>
          <w:kern w:val="0"/>
          <w:sz w:val="32"/>
          <w14:textFill>
            <w14:solidFill>
              <w14:schemeClr w14:val="tx1"/>
            </w14:solidFill>
          </w14:textFill>
        </w:rPr>
        <w:t>四是抗震韧性提升难。</w:t>
      </w:r>
      <w:r>
        <w:rPr>
          <w:rFonts w:hint="default" w:ascii="Times New Roman" w:hAnsi="Times New Roman" w:cs="Times New Roman"/>
          <w:color w:val="000000" w:themeColor="text1"/>
          <w:kern w:val="0"/>
          <w:sz w:val="32"/>
          <w14:textFill>
            <w14:solidFill>
              <w14:schemeClr w14:val="tx1"/>
            </w14:solidFill>
          </w14:textFill>
        </w:rPr>
        <w:t>随着经济社会不断发展，人口聚集、产业聚集持续显现，基础设施数量、规模持续扩大，城市老旧建筑、农村房屋抗震能力仍有不足，防震减灾公共服务供给有差距，引领性科技创新成果不多，抗震韧性难以实现跨越式提升。</w:t>
      </w:r>
      <w:r>
        <w:rPr>
          <w:rFonts w:hint="default" w:ascii="Times New Roman" w:hAnsi="Times New Roman" w:cs="Times New Roman"/>
          <w:b/>
          <w:bCs/>
          <w:color w:val="000000" w:themeColor="text1"/>
          <w:kern w:val="0"/>
          <w:sz w:val="32"/>
          <w14:textFill>
            <w14:solidFill>
              <w14:schemeClr w14:val="tx1"/>
            </w14:solidFill>
          </w14:textFill>
        </w:rPr>
        <w:t>五是群众避险素养提升难。</w:t>
      </w:r>
      <w:r>
        <w:rPr>
          <w:rFonts w:hint="default" w:ascii="Times New Roman" w:hAnsi="Times New Roman" w:cs="Times New Roman"/>
          <w:color w:val="000000" w:themeColor="text1"/>
          <w:kern w:val="0"/>
          <w:sz w:val="32"/>
          <w14:textFill>
            <w14:solidFill>
              <w14:schemeClr w14:val="tx1"/>
            </w14:solidFill>
          </w14:textFill>
        </w:rPr>
        <w:t>全市防震减灾科普宣传覆盖面、渗透度仍有短板，社会公众地震风险防范意识较为薄弱，主动参与防震避险、防灾自救的积极性不足，各行业、各领域防震减灾工作重视程度不均衡。同时，各（市、区）科普阵地及专业设施建设滞后，沉浸式、体验式科普宣教资源欠缺，基层科普工作力量薄弱，难以适配全域化、专业化、常态化的防震减灾科普宣教工作需求，群众整体应急避险、自救互救能力提升受限。</w:t>
      </w:r>
    </w:p>
    <w:p>
      <w:pPr>
        <w:keepNext w:val="0"/>
        <w:keepLines w:val="0"/>
        <w:pageBreakBefore w:val="0"/>
        <w:widowControl w:val="0"/>
        <w:kinsoku/>
        <w:wordWrap/>
        <w:overflowPunct/>
        <w:topLinePunct w:val="0"/>
        <w:autoSpaceDE/>
        <w:autoSpaceDN/>
        <w:bidi w:val="0"/>
        <w:snapToGrid/>
        <w:spacing w:line="240" w:lineRule="auto"/>
        <w:ind w:firstLine="712"/>
        <w:jc w:val="both"/>
        <w:textAlignment w:val="auto"/>
        <w:outlineLvl w:val="0"/>
        <w:rPr>
          <w:rFonts w:ascii="Times New Roman" w:hAnsi="Times New Roman" w:eastAsia="方正黑体_GBK" w:cs="Times New Roman"/>
          <w:color w:val="000000" w:themeColor="text1"/>
          <w:kern w:val="44"/>
          <w:sz w:val="32"/>
          <w14:textFill>
            <w14:solidFill>
              <w14:schemeClr w14:val="tx1"/>
            </w14:solidFill>
          </w14:textFill>
        </w:rPr>
      </w:pPr>
      <w:bookmarkStart w:id="23" w:name="_Toc3614"/>
      <w:r>
        <w:rPr>
          <w:rFonts w:hint="default" w:ascii="Times New Roman" w:hAnsi="Times New Roman" w:eastAsia="方正黑体_GBK" w:cs="Times New Roman"/>
          <w:color w:val="000000" w:themeColor="text1"/>
          <w:kern w:val="44"/>
          <w:sz w:val="32"/>
          <w14:textFill>
            <w14:solidFill>
              <w14:schemeClr w14:val="tx1"/>
            </w14:solidFill>
          </w14:textFill>
        </w:rPr>
        <w:t>二、</w:t>
      </w:r>
      <w:bookmarkEnd w:id="0"/>
      <w:r>
        <w:rPr>
          <w:rFonts w:hint="default" w:ascii="Times New Roman" w:hAnsi="Times New Roman" w:eastAsia="方正黑体_GBK" w:cs="Times New Roman"/>
          <w:color w:val="000000" w:themeColor="text1"/>
          <w:kern w:val="44"/>
          <w:sz w:val="32"/>
          <w14:textFill>
            <w14:solidFill>
              <w14:schemeClr w14:val="tx1"/>
            </w14:solidFill>
          </w14:textFill>
        </w:rPr>
        <w:t>总体要求</w:t>
      </w:r>
      <w:bookmarkEnd w:id="1"/>
      <w:bookmarkEnd w:id="2"/>
      <w:bookmarkEnd w:id="3"/>
      <w:bookmarkEnd w:id="4"/>
      <w:bookmarkEnd w:id="5"/>
      <w:bookmarkEnd w:id="6"/>
      <w:bookmarkEnd w:id="7"/>
      <w:bookmarkEnd w:id="8"/>
      <w:bookmarkEnd w:id="23"/>
    </w:p>
    <w:p>
      <w:pPr>
        <w:keepNext w:val="0"/>
        <w:keepLines w:val="0"/>
        <w:pageBreakBefore w:val="0"/>
        <w:widowControl w:val="0"/>
        <w:kinsoku/>
        <w:wordWrap/>
        <w:overflowPunct/>
        <w:topLinePunct w:val="0"/>
        <w:autoSpaceDE/>
        <w:autoSpaceDN/>
        <w:bidi w:val="0"/>
        <w:adjustRightInd w:val="0"/>
        <w:snapToGrid/>
        <w:spacing w:line="240" w:lineRule="auto"/>
        <w:ind w:firstLine="712"/>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color w:val="000000" w:themeColor="text1"/>
          <w:kern w:val="0"/>
          <w:sz w:val="32"/>
          <w14:textFill>
            <w14:solidFill>
              <w14:schemeClr w14:val="tx1"/>
            </w14:solidFill>
          </w14:textFill>
        </w:rPr>
        <w:t>坚持</w:t>
      </w:r>
      <w:r>
        <w:rPr>
          <w:rFonts w:ascii="Times New Roman" w:hAnsi="Times New Roman" w:cs="Times New Roman"/>
          <w:color w:val="000000" w:themeColor="text1"/>
          <w:kern w:val="0"/>
          <w:sz w:val="32"/>
          <w14:textFill>
            <w14:solidFill>
              <w14:schemeClr w14:val="tx1"/>
            </w14:solidFill>
          </w14:textFill>
        </w:rPr>
        <w:t>以习近平新时代中国特色社会主义思想为指导，深入贯彻党的二十大和二十届历次全会精神，全面落实习近平总书记关于防灾减灾救灾重要论述及考察云南重要讲话精神。</w:t>
      </w:r>
      <w:r>
        <w:rPr>
          <w:rFonts w:hint="default" w:ascii="Times New Roman" w:hAnsi="Times New Roman" w:cs="Times New Roman"/>
          <w:color w:val="000000" w:themeColor="text1"/>
          <w:kern w:val="0"/>
          <w:sz w:val="32"/>
          <w14:textFill>
            <w14:solidFill>
              <w14:schemeClr w14:val="tx1"/>
            </w14:solidFill>
          </w14:textFill>
        </w:rPr>
        <w:t>以回答好习近平总书记“大震之问”为引领，坚持党的全面领导，坚持以人民为中心的发展思想，统筹发展和安全，深入践行“两个坚持、三个转变”防灾减灾救灾理念，加快转型升级，补齐能力短板，立足玉溪市情震情，</w:t>
      </w:r>
      <w:r>
        <w:rPr>
          <w:rFonts w:ascii="Times New Roman" w:hAnsi="Times New Roman" w:cs="Times New Roman"/>
          <w:color w:val="000000" w:themeColor="text1"/>
          <w:kern w:val="0"/>
          <w:sz w:val="32"/>
          <w14:textFill>
            <w14:solidFill>
              <w14:schemeClr w14:val="tx1"/>
            </w14:solidFill>
          </w14:textFill>
        </w:rPr>
        <w:t>全面推进防震减灾事业现代化建设，推动防震减灾事业高质量发展</w:t>
      </w:r>
      <w:r>
        <w:rPr>
          <w:rFonts w:hint="default" w:ascii="Times New Roman" w:hAnsi="Times New Roman" w:cs="Times New Roman"/>
          <w:color w:val="000000" w:themeColor="text1"/>
          <w:kern w:val="0"/>
          <w:sz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spacing w:line="240" w:lineRule="auto"/>
        <w:ind w:firstLine="712"/>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color w:val="000000" w:themeColor="text1"/>
          <w:kern w:val="0"/>
          <w:sz w:val="32"/>
          <w14:textFill>
            <w14:solidFill>
              <w14:schemeClr w14:val="tx1"/>
            </w14:solidFill>
          </w14:textFill>
        </w:rPr>
        <w:t>主要目标是：到2030年，防震减灾事业现代化建设取得阶段性成效，基本实现“监测智能、防治精细、服务高效、科技先进、管理科学”的新时代玉溪市防震减灾事业现代化目标。监测站网持续优化、测项更加丰富，地震预警效能有效发挥，地震预报水平稳中有升，防治区划更加精准，大震巨灾应对准备更加充分，灾害风险感知更加及时灵敏，公众防震避险能力和重大基础设施韧性明显提升，防震减灾信息化、智能化水平迈上新台阶，全市城乡综合抗御 6 级左右地震的能力持续巩固，</w:t>
      </w:r>
      <w:r>
        <w:rPr>
          <w:rFonts w:ascii="Times New Roman" w:hAnsi="Times New Roman" w:cs="Times New Roman"/>
          <w:color w:val="000000" w:themeColor="text1"/>
          <w:kern w:val="0"/>
          <w:sz w:val="32"/>
          <w14:textFill>
            <w14:solidFill>
              <w14:schemeClr w14:val="tx1"/>
            </w14:solidFill>
          </w14:textFill>
        </w:rPr>
        <w:t>为玉溪闯出高质量跨越式发展新路子筑牢</w:t>
      </w:r>
      <w:r>
        <w:rPr>
          <w:rFonts w:hint="default" w:ascii="Times New Roman" w:hAnsi="Times New Roman" w:cs="Times New Roman"/>
          <w:color w:val="000000" w:themeColor="text1"/>
          <w:kern w:val="0"/>
          <w:sz w:val="32"/>
          <w14:textFill>
            <w14:solidFill>
              <w14:schemeClr w14:val="tx1"/>
            </w14:solidFill>
          </w14:textFill>
        </w:rPr>
        <w:t>地震</w:t>
      </w:r>
      <w:r>
        <w:rPr>
          <w:rFonts w:ascii="Times New Roman" w:hAnsi="Times New Roman" w:cs="Times New Roman"/>
          <w:color w:val="000000" w:themeColor="text1"/>
          <w:kern w:val="0"/>
          <w:sz w:val="32"/>
          <w14:textFill>
            <w14:solidFill>
              <w14:schemeClr w14:val="tx1"/>
            </w14:solidFill>
          </w14:textFill>
        </w:rPr>
        <w:t>安全屏障。</w:t>
      </w:r>
    </w:p>
    <w:tbl>
      <w:tblPr>
        <w:tblStyle w:val="15"/>
        <w:tblW w:w="5174" w:type="pct"/>
        <w:jc w:val="center"/>
        <w:tblLayout w:type="fixed"/>
        <w:tblCellMar>
          <w:top w:w="0" w:type="dxa"/>
          <w:left w:w="108" w:type="dxa"/>
          <w:bottom w:w="0" w:type="dxa"/>
          <w:right w:w="108" w:type="dxa"/>
        </w:tblCellMar>
      </w:tblPr>
      <w:tblGrid>
        <w:gridCol w:w="1581"/>
        <w:gridCol w:w="945"/>
        <w:gridCol w:w="2630"/>
        <w:gridCol w:w="3663"/>
      </w:tblGrid>
      <w:tr>
        <w:tblPrEx>
          <w:tblCellMar>
            <w:top w:w="0" w:type="dxa"/>
            <w:left w:w="108" w:type="dxa"/>
            <w:bottom w:w="0" w:type="dxa"/>
            <w:right w:w="108" w:type="dxa"/>
          </w:tblCellMar>
        </w:tblPrEx>
        <w:trPr>
          <w:trHeight w:val="562" w:hRule="atLeast"/>
          <w:tblHeader/>
          <w:jc w:val="center"/>
        </w:trPr>
        <w:tc>
          <w:tcPr>
            <w:tcW w:w="5000" w:type="pct"/>
            <w:gridSpan w:val="4"/>
            <w:tcBorders>
              <w:top w:val="single" w:color="auto" w:sz="4" w:space="0"/>
              <w:left w:val="single" w:color="auto" w:sz="4" w:space="0"/>
              <w:bottom w:val="single" w:color="000000" w:sz="4" w:space="0"/>
              <w:right w:val="single" w:color="auto" w:sz="4" w:space="0"/>
              <w:tl2br w:val="nil"/>
            </w:tcBorders>
            <w:shd w:val="clear" w:color="auto" w:fill="FFFFFF"/>
            <w:vAlign w:val="center"/>
          </w:tcPr>
          <w:p>
            <w:pPr>
              <w:keepNext/>
              <w:adjustRightInd w:val="0"/>
              <w:snapToGrid w:val="0"/>
              <w:spacing w:line="400" w:lineRule="exact"/>
              <w:ind w:firstLine="0" w:firstLineChars="0"/>
              <w:jc w:val="center"/>
              <w:rPr>
                <w:rFonts w:ascii="Times New Roman" w:hAnsi="Times New Roman" w:eastAsia="宋体" w:cs="Times New Roman"/>
                <w:bCs/>
                <w:color w:val="000000" w:themeColor="text1"/>
                <w:kern w:val="0"/>
                <w:sz w:val="28"/>
                <w:szCs w:val="28"/>
                <w14:textFill>
                  <w14:solidFill>
                    <w14:schemeClr w14:val="tx1"/>
                  </w14:solidFill>
                </w14:textFill>
              </w:rPr>
            </w:pPr>
            <w:bookmarkStart w:id="24" w:name="_Toc9137"/>
            <w:bookmarkStart w:id="25" w:name="_Toc32049"/>
            <w:r>
              <w:rPr>
                <w:color w:val="000000" w:themeColor="text1"/>
                <w14:textFill>
                  <w14:solidFill>
                    <w14:schemeClr w14:val="tx1"/>
                  </w14:solidFill>
                </w14:textFill>
              </w:rPr>
              <w:br w:type="page"/>
            </w:r>
            <w:r>
              <w:rPr>
                <w:rFonts w:hint="default" w:ascii="Times New Roman" w:hAnsi="Times New Roman" w:eastAsia="方正小标宋_GBK" w:cs="Times New Roman"/>
                <w:snapToGrid w:val="0"/>
                <w:color w:val="000000" w:themeColor="text1"/>
                <w:kern w:val="0"/>
                <w:sz w:val="32"/>
                <w:szCs w:val="32"/>
                <w14:textFill>
                  <w14:solidFill>
                    <w14:schemeClr w14:val="tx1"/>
                  </w14:solidFill>
                </w14:textFill>
              </w:rPr>
              <w:t>“</w:t>
            </w:r>
            <w:r>
              <w:rPr>
                <w:rFonts w:ascii="Times New Roman" w:hAnsi="Times New Roman" w:eastAsia="方正小标宋_GBK" w:cs="Times New Roman"/>
                <w:snapToGrid w:val="0"/>
                <w:color w:val="000000" w:themeColor="text1"/>
                <w:kern w:val="0"/>
                <w:sz w:val="32"/>
                <w:szCs w:val="32"/>
                <w14:textFill>
                  <w14:solidFill>
                    <w14:schemeClr w14:val="tx1"/>
                  </w14:solidFill>
                </w14:textFill>
              </w:rPr>
              <w:t>十五五</w:t>
            </w:r>
            <w:r>
              <w:rPr>
                <w:rFonts w:hint="default" w:ascii="Times New Roman" w:hAnsi="Times New Roman" w:eastAsia="方正小标宋_GBK" w:cs="Times New Roman"/>
                <w:snapToGrid w:val="0"/>
                <w:color w:val="000000" w:themeColor="text1"/>
                <w:kern w:val="0"/>
                <w:sz w:val="32"/>
                <w:szCs w:val="32"/>
                <w14:textFill>
                  <w14:solidFill>
                    <w14:schemeClr w14:val="tx1"/>
                  </w14:solidFill>
                </w14:textFill>
              </w:rPr>
              <w:t>”</w:t>
            </w:r>
            <w:r>
              <w:rPr>
                <w:rFonts w:ascii="Times New Roman" w:hAnsi="Times New Roman" w:eastAsia="方正小标宋_GBK" w:cs="Times New Roman"/>
                <w:snapToGrid w:val="0"/>
                <w:color w:val="000000" w:themeColor="text1"/>
                <w:kern w:val="0"/>
                <w:sz w:val="32"/>
                <w:szCs w:val="32"/>
                <w14:textFill>
                  <w14:solidFill>
                    <w14:schemeClr w14:val="tx1"/>
                  </w14:solidFill>
                </w14:textFill>
              </w:rPr>
              <w:t>时期防震减灾主要指标</w:t>
            </w:r>
          </w:p>
        </w:tc>
      </w:tr>
      <w:tr>
        <w:tblPrEx>
          <w:tblCellMar>
            <w:top w:w="0" w:type="dxa"/>
            <w:left w:w="108" w:type="dxa"/>
            <w:bottom w:w="0" w:type="dxa"/>
            <w:right w:w="108" w:type="dxa"/>
          </w:tblCellMar>
        </w:tblPrEx>
        <w:trPr>
          <w:trHeight w:val="562" w:hRule="atLeast"/>
          <w:tblHeader/>
          <w:jc w:val="center"/>
        </w:trPr>
        <w:tc>
          <w:tcPr>
            <w:tcW w:w="896" w:type="pct"/>
            <w:tcBorders>
              <w:top w:val="single" w:color="000000"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rPr>
                <w:rFonts w:hint="eastAsia" w:ascii="方正黑体_GBK" w:hAnsi="方正黑体_GBK" w:eastAsia="方正黑体_GBK" w:cs="方正黑体_GBK"/>
                <w:bCs/>
                <w:color w:val="000000" w:themeColor="text1"/>
                <w:kern w:val="0"/>
                <w:sz w:val="28"/>
                <w:szCs w:val="28"/>
                <w14:textFill>
                  <w14:solidFill>
                    <w14:schemeClr w14:val="tx1"/>
                  </w14:solidFill>
                </w14:textFill>
              </w:rPr>
            </w:pPr>
            <w:r>
              <w:rPr>
                <w:rFonts w:hint="eastAsia" w:ascii="方正黑体_GBK" w:hAnsi="方正黑体_GBK" w:eastAsia="方正黑体_GBK" w:cs="方正黑体_GBK"/>
                <w:bCs/>
                <w:color w:val="000000" w:themeColor="text1"/>
                <w:kern w:val="0"/>
                <w:sz w:val="28"/>
                <w:szCs w:val="28"/>
                <w14:textFill>
                  <w14:solidFill>
                    <w14:schemeClr w14:val="tx1"/>
                  </w14:solidFill>
                </w14:textFill>
              </w:rPr>
              <w:t>指标类别</w:t>
            </w: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rPr>
                <w:rFonts w:hint="eastAsia" w:ascii="方正黑体_GBK" w:hAnsi="方正黑体_GBK" w:eastAsia="方正黑体_GBK" w:cs="方正黑体_GBK"/>
                <w:bCs/>
                <w:color w:val="000000" w:themeColor="text1"/>
                <w:kern w:val="0"/>
                <w:sz w:val="28"/>
                <w:szCs w:val="28"/>
                <w14:textFill>
                  <w14:solidFill>
                    <w14:schemeClr w14:val="tx1"/>
                  </w14:solidFill>
                </w14:textFill>
              </w:rPr>
            </w:pPr>
            <w:r>
              <w:rPr>
                <w:rFonts w:hint="eastAsia" w:ascii="方正黑体_GBK" w:hAnsi="方正黑体_GBK" w:eastAsia="方正黑体_GBK" w:cs="方正黑体_GBK"/>
                <w:bCs/>
                <w:color w:val="000000" w:themeColor="text1"/>
                <w:kern w:val="0"/>
                <w:sz w:val="28"/>
                <w:szCs w:val="28"/>
                <w14:textFill>
                  <w14:solidFill>
                    <w14:schemeClr w14:val="tx1"/>
                  </w14:solidFill>
                </w14:textFill>
              </w:rPr>
              <w:t>序号</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rPr>
                <w:rFonts w:hint="eastAsia" w:ascii="方正黑体_GBK" w:hAnsi="方正黑体_GBK" w:eastAsia="方正黑体_GBK" w:cs="方正黑体_GBK"/>
                <w:bCs/>
                <w:color w:val="000000" w:themeColor="text1"/>
                <w:kern w:val="0"/>
                <w:sz w:val="28"/>
                <w:szCs w:val="28"/>
                <w14:textFill>
                  <w14:solidFill>
                    <w14:schemeClr w14:val="tx1"/>
                  </w14:solidFill>
                </w14:textFill>
              </w:rPr>
            </w:pPr>
            <w:r>
              <w:rPr>
                <w:rFonts w:hint="eastAsia" w:ascii="方正黑体_GBK" w:hAnsi="方正黑体_GBK" w:eastAsia="方正黑体_GBK" w:cs="方正黑体_GBK"/>
                <w:bCs/>
                <w:color w:val="000000" w:themeColor="text1"/>
                <w:kern w:val="0"/>
                <w:sz w:val="28"/>
                <w:szCs w:val="28"/>
                <w14:textFill>
                  <w14:solidFill>
                    <w14:schemeClr w14:val="tx1"/>
                  </w14:solidFill>
                </w14:textFill>
              </w:rPr>
              <w:t>指标内容</w:t>
            </w:r>
          </w:p>
        </w:tc>
        <w:tc>
          <w:tcPr>
            <w:tcW w:w="207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rPr>
                <w:rFonts w:hint="eastAsia" w:ascii="方正黑体_GBK" w:hAnsi="方正黑体_GBK" w:eastAsia="方正黑体_GBK" w:cs="方正黑体_GBK"/>
                <w:bCs/>
                <w:color w:val="000000" w:themeColor="text1"/>
                <w:kern w:val="0"/>
                <w:sz w:val="28"/>
                <w:szCs w:val="28"/>
                <w14:textFill>
                  <w14:solidFill>
                    <w14:schemeClr w14:val="tx1"/>
                  </w14:solidFill>
                </w14:textFill>
              </w:rPr>
            </w:pPr>
            <w:r>
              <w:rPr>
                <w:rFonts w:hint="eastAsia" w:ascii="方正黑体_GBK" w:hAnsi="方正黑体_GBK" w:eastAsia="方正黑体_GBK" w:cs="方正黑体_GBK"/>
                <w:bCs/>
                <w:color w:val="000000" w:themeColor="text1"/>
                <w:kern w:val="0"/>
                <w:sz w:val="28"/>
                <w:szCs w:val="28"/>
                <w14:textFill>
                  <w14:solidFill>
                    <w14:schemeClr w14:val="tx1"/>
                  </w14:solidFill>
                </w14:textFill>
              </w:rPr>
              <w:t>预期值</w:t>
            </w:r>
          </w:p>
        </w:tc>
      </w:tr>
      <w:tr>
        <w:tblPrEx>
          <w:tblCellMar>
            <w:top w:w="0" w:type="dxa"/>
            <w:left w:w="108" w:type="dxa"/>
            <w:bottom w:w="0" w:type="dxa"/>
            <w:right w:w="108" w:type="dxa"/>
          </w:tblCellMar>
        </w:tblPrEx>
        <w:trPr>
          <w:trHeight w:val="720" w:hRule="atLeast"/>
          <w:jc w:val="center"/>
        </w:trPr>
        <w:tc>
          <w:tcPr>
            <w:tcW w:w="896" w:type="pct"/>
            <w:vMerge w:val="restart"/>
            <w:tcBorders>
              <w:top w:val="single" w:color="auto" w:sz="4" w:space="0"/>
              <w:left w:val="single" w:color="auto" w:sz="4" w:space="0"/>
              <w:bottom w:val="nil"/>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地震监测预报预警能力</w:t>
            </w: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1</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地震预警行业应用数</w:t>
            </w:r>
          </w:p>
        </w:tc>
        <w:tc>
          <w:tcPr>
            <w:tcW w:w="207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≥4</w:t>
            </w:r>
            <w:r>
              <w:rPr>
                <w:rFonts w:ascii="Times New Roman" w:hAnsi="Times New Roman" w:cs="Times New Roman"/>
                <w:color w:val="000000" w:themeColor="text1"/>
                <w:kern w:val="0"/>
                <w:sz w:val="28"/>
                <w:szCs w:val="28"/>
                <w14:textFill>
                  <w14:solidFill>
                    <w14:schemeClr w14:val="tx1"/>
                  </w14:solidFill>
                </w14:textFill>
              </w:rPr>
              <w:t>个</w:t>
            </w:r>
          </w:p>
        </w:tc>
      </w:tr>
      <w:tr>
        <w:tblPrEx>
          <w:tblCellMar>
            <w:top w:w="0" w:type="dxa"/>
            <w:left w:w="108" w:type="dxa"/>
            <w:bottom w:w="0" w:type="dxa"/>
            <w:right w:w="108" w:type="dxa"/>
          </w:tblCellMar>
        </w:tblPrEx>
        <w:trPr>
          <w:trHeight w:val="720" w:hRule="atLeast"/>
          <w:jc w:val="center"/>
        </w:trPr>
        <w:tc>
          <w:tcPr>
            <w:tcW w:w="896" w:type="pct"/>
            <w:vMerge w:val="continue"/>
            <w:tcBorders>
              <w:top w:val="nil"/>
              <w:left w:val="single" w:color="auto" w:sz="4" w:space="0"/>
              <w:bottom w:val="nil"/>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2</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地震预警首报平均时间</w:t>
            </w:r>
          </w:p>
        </w:tc>
        <w:tc>
          <w:tcPr>
            <w:tcW w:w="207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w:t>
            </w:r>
            <w:r>
              <w:rPr>
                <w:rFonts w:ascii="Times New Roman" w:hAnsi="Times New Roman" w:cs="Times New Roman"/>
                <w:color w:val="000000" w:themeColor="text1"/>
                <w:kern w:val="0"/>
                <w:sz w:val="28"/>
                <w:szCs w:val="28"/>
                <w14:textFill>
                  <w14:solidFill>
                    <w14:schemeClr w14:val="tx1"/>
                  </w14:solidFill>
                </w14:textFill>
              </w:rPr>
              <w:t>8秒</w:t>
            </w:r>
          </w:p>
        </w:tc>
      </w:tr>
      <w:tr>
        <w:tblPrEx>
          <w:tblCellMar>
            <w:top w:w="0" w:type="dxa"/>
            <w:left w:w="108" w:type="dxa"/>
            <w:bottom w:w="0" w:type="dxa"/>
            <w:right w:w="108" w:type="dxa"/>
          </w:tblCellMar>
        </w:tblPrEx>
        <w:trPr>
          <w:trHeight w:val="720" w:hRule="atLeast"/>
          <w:jc w:val="center"/>
        </w:trPr>
        <w:tc>
          <w:tcPr>
            <w:tcW w:w="896" w:type="pct"/>
            <w:vMerge w:val="continue"/>
            <w:tcBorders>
              <w:top w:val="nil"/>
              <w:left w:val="single" w:color="auto" w:sz="4" w:space="0"/>
              <w:bottom w:val="nil"/>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3</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震情速报正式报送</w:t>
            </w:r>
          </w:p>
        </w:tc>
        <w:tc>
          <w:tcPr>
            <w:tcW w:w="207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≤15分钟</w:t>
            </w:r>
          </w:p>
        </w:tc>
      </w:tr>
      <w:tr>
        <w:tblPrEx>
          <w:tblCellMar>
            <w:top w:w="0" w:type="dxa"/>
            <w:left w:w="108" w:type="dxa"/>
            <w:bottom w:w="0" w:type="dxa"/>
            <w:right w:w="108" w:type="dxa"/>
          </w:tblCellMar>
        </w:tblPrEx>
        <w:trPr>
          <w:trHeight w:val="720" w:hRule="atLeast"/>
          <w:jc w:val="center"/>
        </w:trPr>
        <w:tc>
          <w:tcPr>
            <w:tcW w:w="896" w:type="pct"/>
            <w:vMerge w:val="continue"/>
            <w:tcBorders>
              <w:top w:val="nil"/>
              <w:left w:val="single" w:color="auto" w:sz="4" w:space="0"/>
              <w:bottom w:val="nil"/>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4</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站点建设数量</w:t>
            </w:r>
          </w:p>
        </w:tc>
        <w:tc>
          <w:tcPr>
            <w:tcW w:w="207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智能高精度宏微观观测点位覆盖重点地区，站点数量不少于40个</w:t>
            </w:r>
          </w:p>
        </w:tc>
      </w:tr>
      <w:tr>
        <w:tblPrEx>
          <w:tblCellMar>
            <w:top w:w="0" w:type="dxa"/>
            <w:left w:w="108" w:type="dxa"/>
            <w:bottom w:w="0" w:type="dxa"/>
            <w:right w:w="108" w:type="dxa"/>
          </w:tblCellMar>
        </w:tblPrEx>
        <w:trPr>
          <w:trHeight w:val="90" w:hRule="atLeast"/>
          <w:jc w:val="center"/>
        </w:trPr>
        <w:tc>
          <w:tcPr>
            <w:tcW w:w="896" w:type="pct"/>
            <w:vMerge w:val="continue"/>
            <w:tcBorders>
              <w:top w:val="nil"/>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5</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震情趋势研判能力</w:t>
            </w:r>
          </w:p>
        </w:tc>
        <w:tc>
          <w:tcPr>
            <w:tcW w:w="207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1</w:t>
            </w:r>
            <w:r>
              <w:rPr>
                <w:rFonts w:hint="default" w:ascii="Times New Roman" w:hAnsi="Times New Roman" w:cs="Times New Roman"/>
                <w:color w:val="000000" w:themeColor="text1"/>
                <w:kern w:val="0"/>
                <w:sz w:val="28"/>
                <w:szCs w:val="28"/>
                <w14:textFill>
                  <w14:solidFill>
                    <w14:schemeClr w14:val="tx1"/>
                  </w14:solidFill>
                </w14:textFill>
              </w:rPr>
              <w:t>—</w:t>
            </w:r>
            <w:r>
              <w:rPr>
                <w:rFonts w:ascii="Times New Roman" w:hAnsi="Times New Roman" w:cs="Times New Roman"/>
                <w:color w:val="000000" w:themeColor="text1"/>
                <w:kern w:val="0"/>
                <w:sz w:val="28"/>
                <w:szCs w:val="28"/>
                <w14:textFill>
                  <w14:solidFill>
                    <w14:schemeClr w14:val="tx1"/>
                  </w14:solidFill>
                </w14:textFill>
              </w:rPr>
              <w:t>3年尺度地震大形势研判基本准确；月尺度地震短临预报力争取得</w:t>
            </w:r>
            <w:r>
              <w:rPr>
                <w:rFonts w:hint="default" w:ascii="Times New Roman" w:hAnsi="Times New Roman" w:cs="Times New Roman"/>
                <w:color w:val="000000" w:themeColor="text1"/>
                <w:kern w:val="0"/>
                <w:sz w:val="28"/>
                <w:szCs w:val="28"/>
                <w14:textFill>
                  <w14:solidFill>
                    <w14:schemeClr w14:val="tx1"/>
                  </w14:solidFill>
                </w14:textFill>
              </w:rPr>
              <w:t>新进展</w:t>
            </w:r>
          </w:p>
        </w:tc>
      </w:tr>
      <w:tr>
        <w:tblPrEx>
          <w:tblCellMar>
            <w:top w:w="0" w:type="dxa"/>
            <w:left w:w="108" w:type="dxa"/>
            <w:bottom w:w="0" w:type="dxa"/>
            <w:right w:w="108" w:type="dxa"/>
          </w:tblCellMar>
        </w:tblPrEx>
        <w:trPr>
          <w:trHeight w:val="720" w:hRule="atLeast"/>
          <w:jc w:val="center"/>
        </w:trPr>
        <w:tc>
          <w:tcPr>
            <w:tcW w:w="896" w:type="pct"/>
            <w:vMerge w:val="restart"/>
            <w:tcBorders>
              <w:top w:val="single" w:color="auto" w:sz="4" w:space="0"/>
              <w:left w:val="single" w:color="auto" w:sz="4" w:space="0"/>
              <w:bottom w:val="nil"/>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地震灾害风险防治能力</w:t>
            </w: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6</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地震构造环境探查量</w:t>
            </w:r>
          </w:p>
        </w:tc>
        <w:tc>
          <w:tcPr>
            <w:tcW w:w="207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活动断层探测量≥1个城区</w:t>
            </w:r>
          </w:p>
        </w:tc>
      </w:tr>
      <w:tr>
        <w:tblPrEx>
          <w:tblCellMar>
            <w:top w:w="0" w:type="dxa"/>
            <w:left w:w="108" w:type="dxa"/>
            <w:bottom w:w="0" w:type="dxa"/>
            <w:right w:w="108" w:type="dxa"/>
          </w:tblCellMar>
        </w:tblPrEx>
        <w:trPr>
          <w:trHeight w:val="1178" w:hRule="atLeast"/>
          <w:jc w:val="center"/>
        </w:trPr>
        <w:tc>
          <w:tcPr>
            <w:tcW w:w="896" w:type="pct"/>
            <w:vMerge w:val="continue"/>
            <w:tcBorders>
              <w:top w:val="nil"/>
              <w:left w:val="single" w:color="auto" w:sz="4" w:space="0"/>
              <w:bottom w:val="nil"/>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7</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第六代全国地震动参数区划图培训应用</w:t>
            </w:r>
          </w:p>
        </w:tc>
        <w:tc>
          <w:tcPr>
            <w:tcW w:w="207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推进第六代全国地震动参数区划图培训应用，覆盖全市所有县（区）</w:t>
            </w:r>
          </w:p>
        </w:tc>
      </w:tr>
      <w:tr>
        <w:tblPrEx>
          <w:tblCellMar>
            <w:top w:w="0" w:type="dxa"/>
            <w:left w:w="108" w:type="dxa"/>
            <w:bottom w:w="0" w:type="dxa"/>
            <w:right w:w="108" w:type="dxa"/>
          </w:tblCellMar>
        </w:tblPrEx>
        <w:trPr>
          <w:trHeight w:val="1178" w:hRule="atLeast"/>
          <w:jc w:val="center"/>
        </w:trPr>
        <w:tc>
          <w:tcPr>
            <w:tcW w:w="896" w:type="pct"/>
            <w:vMerge w:val="continue"/>
            <w:tcBorders>
              <w:top w:val="nil"/>
              <w:left w:val="single" w:color="auto" w:sz="4" w:space="0"/>
              <w:bottom w:val="nil"/>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8</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主要地震灾害风险源抗震设防水平</w:t>
            </w:r>
          </w:p>
        </w:tc>
        <w:tc>
          <w:tcPr>
            <w:tcW w:w="207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重大基础设施抗震设防</w:t>
            </w:r>
            <w:r>
              <w:rPr>
                <w:rFonts w:hint="default" w:ascii="Times New Roman" w:hAnsi="Times New Roman" w:cs="Times New Roman"/>
                <w:color w:val="000000" w:themeColor="text1"/>
                <w:kern w:val="0"/>
                <w:sz w:val="28"/>
                <w:szCs w:val="28"/>
                <w14:textFill>
                  <w14:solidFill>
                    <w14:schemeClr w14:val="tx1"/>
                  </w14:solidFill>
                </w14:textFill>
              </w:rPr>
              <w:t>监管行业覆盖率≥</w:t>
            </w:r>
            <w:r>
              <w:rPr>
                <w:rFonts w:ascii="Times New Roman" w:hAnsi="Times New Roman" w:cs="Times New Roman"/>
                <w:color w:val="000000" w:themeColor="text1"/>
                <w:kern w:val="0"/>
                <w:sz w:val="28"/>
                <w:szCs w:val="28"/>
                <w14:textFill>
                  <w14:solidFill>
                    <w14:schemeClr w14:val="tx1"/>
                  </w14:solidFill>
                </w14:textFill>
              </w:rPr>
              <w:t>90%</w:t>
            </w:r>
          </w:p>
        </w:tc>
      </w:tr>
      <w:tr>
        <w:tblPrEx>
          <w:tblCellMar>
            <w:top w:w="0" w:type="dxa"/>
            <w:left w:w="108" w:type="dxa"/>
            <w:bottom w:w="0" w:type="dxa"/>
            <w:right w:w="108" w:type="dxa"/>
          </w:tblCellMar>
        </w:tblPrEx>
        <w:trPr>
          <w:trHeight w:val="830" w:hRule="atLeast"/>
          <w:jc w:val="center"/>
        </w:trPr>
        <w:tc>
          <w:tcPr>
            <w:tcW w:w="896" w:type="pct"/>
            <w:vMerge w:val="continue"/>
            <w:tcBorders>
              <w:top w:val="nil"/>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9</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县域精细化预评估数量</w:t>
            </w:r>
          </w:p>
        </w:tc>
        <w:tc>
          <w:tcPr>
            <w:tcW w:w="207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≥1</w:t>
            </w:r>
            <w:r>
              <w:rPr>
                <w:rFonts w:ascii="Times New Roman" w:hAnsi="Times New Roman" w:cs="Times New Roman"/>
                <w:color w:val="000000" w:themeColor="text1"/>
                <w:kern w:val="0"/>
                <w:sz w:val="28"/>
                <w:szCs w:val="28"/>
                <w14:textFill>
                  <w14:solidFill>
                    <w14:schemeClr w14:val="tx1"/>
                  </w14:solidFill>
                </w14:textFill>
              </w:rPr>
              <w:t>个县</w:t>
            </w:r>
            <w:r>
              <w:rPr>
                <w:rFonts w:hint="default" w:ascii="Times New Roman" w:hAnsi="Times New Roman" w:cs="Times New Roman"/>
                <w:color w:val="000000" w:themeColor="text1"/>
                <w:kern w:val="0"/>
                <w:sz w:val="28"/>
                <w:szCs w:val="28"/>
                <w14:textFill>
                  <w14:solidFill>
                    <w14:schemeClr w14:val="tx1"/>
                  </w14:solidFill>
                </w14:textFill>
              </w:rPr>
              <w:t>区</w:t>
            </w:r>
          </w:p>
        </w:tc>
      </w:tr>
      <w:tr>
        <w:tblPrEx>
          <w:tblCellMar>
            <w:top w:w="0" w:type="dxa"/>
            <w:left w:w="108" w:type="dxa"/>
            <w:bottom w:w="0" w:type="dxa"/>
            <w:right w:w="108" w:type="dxa"/>
          </w:tblCellMar>
        </w:tblPrEx>
        <w:trPr>
          <w:trHeight w:val="1068" w:hRule="atLeast"/>
          <w:jc w:val="center"/>
        </w:trPr>
        <w:tc>
          <w:tcPr>
            <w:tcW w:w="896" w:type="pct"/>
            <w:vMerge w:val="restart"/>
            <w:tcBorders>
              <w:top w:val="single" w:color="auto" w:sz="4" w:space="0"/>
              <w:left w:val="single" w:color="auto" w:sz="4" w:space="0"/>
              <w:bottom w:val="nil"/>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地震应急响应</w:t>
            </w:r>
            <w:r>
              <w:rPr>
                <w:rFonts w:hint="default" w:ascii="Times New Roman" w:hAnsi="Times New Roman" w:cs="Times New Roman"/>
                <w:color w:val="000000" w:themeColor="text1"/>
                <w:kern w:val="0"/>
                <w:sz w:val="28"/>
                <w:szCs w:val="28"/>
                <w14:textFill>
                  <w14:solidFill>
                    <w14:schemeClr w14:val="tx1"/>
                  </w14:solidFill>
                </w14:textFill>
              </w:rPr>
              <w:t>处置</w:t>
            </w:r>
            <w:r>
              <w:rPr>
                <w:rFonts w:ascii="Times New Roman" w:hAnsi="Times New Roman" w:cs="Times New Roman"/>
                <w:color w:val="000000" w:themeColor="text1"/>
                <w:kern w:val="0"/>
                <w:sz w:val="28"/>
                <w:szCs w:val="28"/>
                <w14:textFill>
                  <w14:solidFill>
                    <w14:schemeClr w14:val="tx1"/>
                  </w14:solidFill>
                </w14:textFill>
              </w:rPr>
              <w:t>能力</w:t>
            </w: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10</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基层应急力量建设</w:t>
            </w:r>
          </w:p>
        </w:tc>
        <w:tc>
          <w:tcPr>
            <w:tcW w:w="207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完成基层</w:t>
            </w:r>
            <w:r>
              <w:rPr>
                <w:rFonts w:ascii="Times New Roman" w:hAnsi="Times New Roman" w:cs="Times New Roman"/>
                <w:color w:val="000000" w:themeColor="text1"/>
                <w:kern w:val="0"/>
                <w:sz w:val="28"/>
                <w:szCs w:val="28"/>
                <w14:textFill>
                  <w14:solidFill>
                    <w14:schemeClr w14:val="tx1"/>
                  </w14:solidFill>
                </w14:textFill>
              </w:rPr>
              <w:t>地震应急</w:t>
            </w:r>
            <w:r>
              <w:rPr>
                <w:rFonts w:hint="default" w:ascii="Times New Roman" w:hAnsi="Times New Roman" w:cs="Times New Roman"/>
                <w:color w:val="000000" w:themeColor="text1"/>
                <w:kern w:val="0"/>
                <w:sz w:val="28"/>
                <w:szCs w:val="28"/>
                <w14:textFill>
                  <w14:solidFill>
                    <w14:schemeClr w14:val="tx1"/>
                  </w14:solidFill>
                </w14:textFill>
              </w:rPr>
              <w:t>“</w:t>
            </w:r>
            <w:r>
              <w:rPr>
                <w:rFonts w:ascii="Times New Roman" w:hAnsi="Times New Roman" w:cs="Times New Roman"/>
                <w:color w:val="000000" w:themeColor="text1"/>
                <w:kern w:val="0"/>
                <w:sz w:val="28"/>
                <w:szCs w:val="28"/>
                <w14:textFill>
                  <w14:solidFill>
                    <w14:schemeClr w14:val="tx1"/>
                  </w14:solidFill>
                </w14:textFill>
              </w:rPr>
              <w:t>第一响应人</w:t>
            </w:r>
            <w:r>
              <w:rPr>
                <w:rFonts w:hint="default" w:ascii="Times New Roman" w:hAnsi="Times New Roman" w:cs="Times New Roman"/>
                <w:color w:val="000000" w:themeColor="text1"/>
                <w:kern w:val="0"/>
                <w:sz w:val="28"/>
                <w:szCs w:val="28"/>
                <w14:textFill>
                  <w14:solidFill>
                    <w14:schemeClr w14:val="tx1"/>
                  </w14:solidFill>
                </w14:textFill>
              </w:rPr>
              <w:t>”培训30000人次，培养教官、骨干讲师500人次</w:t>
            </w:r>
          </w:p>
        </w:tc>
      </w:tr>
      <w:tr>
        <w:tblPrEx>
          <w:tblCellMar>
            <w:top w:w="0" w:type="dxa"/>
            <w:left w:w="108" w:type="dxa"/>
            <w:bottom w:w="0" w:type="dxa"/>
            <w:right w:w="108" w:type="dxa"/>
          </w:tblCellMar>
        </w:tblPrEx>
        <w:trPr>
          <w:trHeight w:val="542" w:hRule="atLeast"/>
          <w:jc w:val="center"/>
        </w:trPr>
        <w:tc>
          <w:tcPr>
            <w:tcW w:w="896" w:type="pct"/>
            <w:vMerge w:val="continue"/>
            <w:tcBorders>
              <w:top w:val="nil"/>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p>
        </w:tc>
        <w:tc>
          <w:tcPr>
            <w:tcW w:w="53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11</w:t>
            </w:r>
          </w:p>
        </w:tc>
        <w:tc>
          <w:tcPr>
            <w:tcW w:w="149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破坏性地震烈度图发布时限</w:t>
            </w:r>
          </w:p>
        </w:tc>
        <w:tc>
          <w:tcPr>
            <w:tcW w:w="207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破坏性地震发生后，协助</w:t>
            </w:r>
            <w:r>
              <w:rPr>
                <w:rFonts w:hint="default" w:ascii="Times New Roman" w:hAnsi="Times New Roman" w:cs="Times New Roman"/>
                <w:color w:val="000000" w:themeColor="text1"/>
                <w:kern w:val="0"/>
                <w:sz w:val="28"/>
                <w:szCs w:val="28"/>
                <w14:textFill>
                  <w14:solidFill>
                    <w14:schemeClr w14:val="tx1"/>
                  </w14:solidFill>
                </w14:textFill>
              </w:rPr>
              <w:t>责任单位</w:t>
            </w:r>
            <w:r>
              <w:rPr>
                <w:rFonts w:ascii="Times New Roman" w:hAnsi="Times New Roman" w:cs="Times New Roman"/>
                <w:color w:val="000000" w:themeColor="text1"/>
                <w:kern w:val="0"/>
                <w:sz w:val="28"/>
                <w:szCs w:val="28"/>
                <w14:textFill>
                  <w14:solidFill>
                    <w14:schemeClr w14:val="tx1"/>
                  </w14:solidFill>
                </w14:textFill>
              </w:rPr>
              <w:t>完成烈度评定</w:t>
            </w:r>
            <w:r>
              <w:rPr>
                <w:rFonts w:hint="default" w:ascii="Times New Roman" w:hAnsi="Times New Roman" w:cs="Times New Roman"/>
                <w:color w:val="000000" w:themeColor="text1"/>
                <w:kern w:val="0"/>
                <w:sz w:val="28"/>
                <w:szCs w:val="28"/>
                <w14:textFill>
                  <w14:solidFill>
                    <w14:schemeClr w14:val="tx1"/>
                  </w14:solidFill>
                </w14:textFill>
              </w:rPr>
              <w:t>:</w:t>
            </w:r>
          </w:p>
          <w:p>
            <w:pPr>
              <w:keepNext/>
              <w:adjustRightInd w:val="0"/>
              <w:snapToGrid w:val="0"/>
              <w:spacing w:line="320" w:lineRule="exact"/>
              <w:ind w:firstLine="0" w:firstLineChars="0"/>
              <w:textAlignment w:val="center"/>
              <w:rPr>
                <w:rFonts w:hint="default"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5</w:t>
            </w:r>
            <w:r>
              <w:rPr>
                <w:rFonts w:hint="default" w:ascii="Times New Roman" w:hAnsi="Times New Roman" w:cs="Times New Roman"/>
                <w:color w:val="000000" w:themeColor="text1"/>
                <w:kern w:val="0"/>
                <w:sz w:val="28"/>
                <w:szCs w:val="28"/>
                <w14:textFill>
                  <w14:solidFill>
                    <w14:schemeClr w14:val="tx1"/>
                  </w14:solidFill>
                </w14:textFill>
              </w:rPr>
              <w:t>--</w:t>
            </w:r>
            <w:r>
              <w:rPr>
                <w:rFonts w:ascii="Times New Roman" w:hAnsi="Times New Roman" w:cs="Times New Roman"/>
                <w:color w:val="000000" w:themeColor="text1"/>
                <w:kern w:val="0"/>
                <w:sz w:val="28"/>
                <w:szCs w:val="28"/>
                <w14:textFill>
                  <w14:solidFill>
                    <w14:schemeClr w14:val="tx1"/>
                  </w14:solidFill>
                </w14:textFill>
              </w:rPr>
              <w:t>5.9级地震</w:t>
            </w:r>
            <w:r>
              <w:rPr>
                <w:rFonts w:hint="default" w:ascii="Times New Roman" w:hAnsi="Times New Roman" w:cs="Times New Roman"/>
                <w:color w:val="000000" w:themeColor="text1"/>
                <w:kern w:val="0"/>
                <w:sz w:val="28"/>
                <w:szCs w:val="28"/>
                <w14:textFill>
                  <w14:solidFill>
                    <w14:schemeClr w14:val="tx1"/>
                  </w14:solidFill>
                </w14:textFill>
              </w:rPr>
              <w:t>≤</w:t>
            </w:r>
            <w:r>
              <w:rPr>
                <w:rFonts w:ascii="Times New Roman" w:hAnsi="Times New Roman" w:cs="Times New Roman"/>
                <w:color w:val="000000" w:themeColor="text1"/>
                <w:kern w:val="0"/>
                <w:sz w:val="28"/>
                <w:szCs w:val="28"/>
                <w14:textFill>
                  <w14:solidFill>
                    <w14:schemeClr w14:val="tx1"/>
                  </w14:solidFill>
                </w14:textFill>
              </w:rPr>
              <w:t>3天</w:t>
            </w:r>
          </w:p>
          <w:p>
            <w:pPr>
              <w:keepNext/>
              <w:adjustRightInd w:val="0"/>
              <w:snapToGrid w:val="0"/>
              <w:spacing w:line="320" w:lineRule="exact"/>
              <w:ind w:firstLine="0" w:firstLineChars="0"/>
              <w:textAlignment w:val="center"/>
              <w:rPr>
                <w:rFonts w:hint="default"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6</w:t>
            </w:r>
            <w:r>
              <w:rPr>
                <w:rFonts w:hint="default" w:ascii="Times New Roman" w:hAnsi="Times New Roman" w:cs="Times New Roman"/>
                <w:color w:val="000000" w:themeColor="text1"/>
                <w:kern w:val="0"/>
                <w:sz w:val="28"/>
                <w:szCs w:val="28"/>
                <w14:textFill>
                  <w14:solidFill>
                    <w14:schemeClr w14:val="tx1"/>
                  </w14:solidFill>
                </w14:textFill>
              </w:rPr>
              <w:t>--</w:t>
            </w:r>
            <w:r>
              <w:rPr>
                <w:rFonts w:ascii="Times New Roman" w:hAnsi="Times New Roman" w:cs="Times New Roman"/>
                <w:color w:val="000000" w:themeColor="text1"/>
                <w:kern w:val="0"/>
                <w:sz w:val="28"/>
                <w:szCs w:val="28"/>
                <w14:textFill>
                  <w14:solidFill>
                    <w14:schemeClr w14:val="tx1"/>
                  </w14:solidFill>
                </w14:textFill>
              </w:rPr>
              <w:t>6.9级地震</w:t>
            </w:r>
            <w:r>
              <w:rPr>
                <w:rFonts w:hint="default" w:ascii="Times New Roman" w:hAnsi="Times New Roman" w:cs="Times New Roman"/>
                <w:color w:val="000000" w:themeColor="text1"/>
                <w:kern w:val="0"/>
                <w:sz w:val="28"/>
                <w:szCs w:val="28"/>
                <w14:textFill>
                  <w14:solidFill>
                    <w14:schemeClr w14:val="tx1"/>
                  </w14:solidFill>
                </w14:textFill>
              </w:rPr>
              <w:t>≤</w:t>
            </w:r>
            <w:r>
              <w:rPr>
                <w:rFonts w:ascii="Times New Roman" w:hAnsi="Times New Roman" w:cs="Times New Roman"/>
                <w:color w:val="000000" w:themeColor="text1"/>
                <w:kern w:val="0"/>
                <w:sz w:val="28"/>
                <w:szCs w:val="28"/>
                <w14:textFill>
                  <w14:solidFill>
                    <w14:schemeClr w14:val="tx1"/>
                  </w14:solidFill>
                </w14:textFill>
              </w:rPr>
              <w:t>5天</w:t>
            </w:r>
          </w:p>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7级以上地震</w:t>
            </w:r>
            <w:r>
              <w:rPr>
                <w:rFonts w:hint="default" w:ascii="Times New Roman" w:hAnsi="Times New Roman" w:cs="Times New Roman"/>
                <w:color w:val="000000" w:themeColor="text1"/>
                <w:kern w:val="0"/>
                <w:sz w:val="28"/>
                <w:szCs w:val="28"/>
                <w14:textFill>
                  <w14:solidFill>
                    <w14:schemeClr w14:val="tx1"/>
                  </w14:solidFill>
                </w14:textFill>
              </w:rPr>
              <w:t>≤</w:t>
            </w:r>
            <w:r>
              <w:rPr>
                <w:rFonts w:ascii="Times New Roman" w:hAnsi="Times New Roman" w:cs="Times New Roman"/>
                <w:color w:val="000000" w:themeColor="text1"/>
                <w:kern w:val="0"/>
                <w:sz w:val="28"/>
                <w:szCs w:val="28"/>
                <w14:textFill>
                  <w14:solidFill>
                    <w14:schemeClr w14:val="tx1"/>
                  </w14:solidFill>
                </w14:textFill>
              </w:rPr>
              <w:t>7天</w:t>
            </w:r>
          </w:p>
        </w:tc>
      </w:tr>
      <w:tr>
        <w:tblPrEx>
          <w:tblCellMar>
            <w:top w:w="0" w:type="dxa"/>
            <w:left w:w="108" w:type="dxa"/>
            <w:bottom w:w="0" w:type="dxa"/>
            <w:right w:w="108" w:type="dxa"/>
          </w:tblCellMar>
        </w:tblPrEx>
        <w:trPr>
          <w:trHeight w:val="974" w:hRule="atLeast"/>
          <w:jc w:val="center"/>
        </w:trPr>
        <w:tc>
          <w:tcPr>
            <w:tcW w:w="896" w:type="pct"/>
            <w:vMerge w:val="restart"/>
            <w:tcBorders>
              <w:top w:val="single" w:color="auto" w:sz="4" w:space="0"/>
              <w:left w:val="single" w:color="auto" w:sz="4" w:space="0"/>
              <w:bottom w:val="nil"/>
              <w:right w:val="single" w:color="auto" w:sz="4" w:space="0"/>
            </w:tcBorders>
            <w:shd w:val="clear" w:color="auto" w:fill="FFFFFF"/>
            <w:vAlign w:val="center"/>
          </w:tcPr>
          <w:p>
            <w:pPr>
              <w:keepNext/>
              <w:adjustRightInd w:val="0"/>
              <w:snapToGrid w:val="0"/>
              <w:spacing w:line="400" w:lineRule="exact"/>
              <w:ind w:firstLine="0" w:firstLineChars="0"/>
              <w:jc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公众防震避险能力</w:t>
            </w:r>
          </w:p>
        </w:tc>
        <w:tc>
          <w:tcPr>
            <w:tcW w:w="536"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12</w:t>
            </w:r>
          </w:p>
        </w:tc>
        <w:tc>
          <w:tcPr>
            <w:tcW w:w="1491"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提升中小学师生应急避险能力</w:t>
            </w:r>
          </w:p>
        </w:tc>
        <w:tc>
          <w:tcPr>
            <w:tcW w:w="207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义务教育学校防震避险应急演练覆盖率≥90%</w:t>
            </w:r>
          </w:p>
        </w:tc>
      </w:tr>
      <w:tr>
        <w:tblPrEx>
          <w:tblCellMar>
            <w:top w:w="0" w:type="dxa"/>
            <w:left w:w="108" w:type="dxa"/>
            <w:bottom w:w="0" w:type="dxa"/>
            <w:right w:w="108" w:type="dxa"/>
          </w:tblCellMar>
        </w:tblPrEx>
        <w:trPr>
          <w:trHeight w:val="720" w:hRule="atLeast"/>
          <w:jc w:val="center"/>
        </w:trPr>
        <w:tc>
          <w:tcPr>
            <w:tcW w:w="896" w:type="pct"/>
            <w:vMerge w:val="continue"/>
            <w:tcBorders>
              <w:top w:val="nil"/>
              <w:left w:val="single" w:color="auto" w:sz="4" w:space="0"/>
              <w:bottom w:val="single" w:color="auto" w:sz="4" w:space="0"/>
              <w:right w:val="single" w:color="auto" w:sz="4" w:space="0"/>
            </w:tcBorders>
            <w:shd w:val="clear" w:color="auto" w:fill="FFFFFF"/>
            <w:vAlign w:val="center"/>
          </w:tcPr>
          <w:p>
            <w:pPr>
              <w:adjustRightInd w:val="0"/>
              <w:snapToGrid w:val="0"/>
              <w:spacing w:line="360" w:lineRule="exact"/>
              <w:ind w:firstLine="0" w:firstLineChars="0"/>
              <w:jc w:val="center"/>
              <w:textAlignment w:val="center"/>
              <w:rPr>
                <w:rFonts w:eastAsia="仿宋"/>
                <w:color w:val="000000" w:themeColor="text1"/>
                <w:kern w:val="0"/>
                <w:sz w:val="24"/>
                <w14:textFill>
                  <w14:solidFill>
                    <w14:schemeClr w14:val="tx1"/>
                  </w14:solidFill>
                </w14:textFill>
              </w:rPr>
            </w:pPr>
          </w:p>
        </w:tc>
        <w:tc>
          <w:tcPr>
            <w:tcW w:w="536"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adjustRightInd w:val="0"/>
              <w:snapToGrid w:val="0"/>
              <w:spacing w:line="400" w:lineRule="exact"/>
              <w:ind w:firstLine="0" w:firstLineChars="0"/>
              <w:jc w:val="center"/>
              <w:textAlignment w:val="center"/>
              <w:rPr>
                <w:rFonts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13</w:t>
            </w:r>
          </w:p>
        </w:tc>
        <w:tc>
          <w:tcPr>
            <w:tcW w:w="1491"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adjustRightInd w:val="0"/>
              <w:snapToGrid w:val="0"/>
              <w:spacing w:line="320" w:lineRule="exact"/>
              <w:ind w:firstLine="0" w:firstLineChars="0"/>
              <w:jc w:val="left"/>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增强公众防震减灾意识</w:t>
            </w:r>
          </w:p>
        </w:tc>
        <w:tc>
          <w:tcPr>
            <w:tcW w:w="207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adjustRightInd w:val="0"/>
              <w:snapToGrid w:val="0"/>
              <w:spacing w:line="320" w:lineRule="exact"/>
              <w:ind w:firstLine="0" w:firstLineChars="0"/>
              <w:textAlignment w:val="center"/>
              <w:rPr>
                <w:rFonts w:ascii="Times New Roman" w:hAnsi="Times New Roman" w:cs="Times New Roman"/>
                <w:color w:val="000000" w:themeColor="text1"/>
                <w:kern w:val="0"/>
                <w:sz w:val="28"/>
                <w:szCs w:val="28"/>
                <w14:textFill>
                  <w14:solidFill>
                    <w14:schemeClr w14:val="tx1"/>
                  </w14:solidFill>
                </w14:textFill>
              </w:rPr>
            </w:pPr>
            <w:r>
              <w:rPr>
                <w:rFonts w:ascii="Times New Roman" w:hAnsi="Times New Roman" w:cs="Times New Roman"/>
                <w:color w:val="000000" w:themeColor="text1"/>
                <w:kern w:val="0"/>
                <w:sz w:val="28"/>
                <w:szCs w:val="28"/>
                <w14:textFill>
                  <w14:solidFill>
                    <w14:schemeClr w14:val="tx1"/>
                  </w14:solidFill>
                </w14:textFill>
              </w:rPr>
              <w:t>科普场</w:t>
            </w:r>
            <w:r>
              <w:rPr>
                <w:rFonts w:hint="default" w:ascii="Times New Roman" w:hAnsi="Times New Roman" w:cs="Times New Roman"/>
                <w:color w:val="000000" w:themeColor="text1"/>
                <w:kern w:val="0"/>
                <w:sz w:val="28"/>
                <w:szCs w:val="28"/>
                <w14:textFill>
                  <w14:solidFill>
                    <w14:schemeClr w14:val="tx1"/>
                  </w14:solidFill>
                </w14:textFill>
              </w:rPr>
              <w:t>所</w:t>
            </w:r>
            <w:r>
              <w:rPr>
                <w:rFonts w:ascii="Times New Roman" w:hAnsi="Times New Roman" w:cs="Times New Roman"/>
                <w:color w:val="000000" w:themeColor="text1"/>
                <w:kern w:val="0"/>
                <w:sz w:val="28"/>
                <w:szCs w:val="28"/>
                <w14:textFill>
                  <w14:solidFill>
                    <w14:schemeClr w14:val="tx1"/>
                  </w14:solidFill>
                </w14:textFill>
              </w:rPr>
              <w:t>各县区平均</w:t>
            </w:r>
            <w:r>
              <w:rPr>
                <w:rFonts w:hint="default" w:ascii="Times New Roman" w:hAnsi="Times New Roman" w:cs="Times New Roman"/>
                <w:color w:val="000000" w:themeColor="text1"/>
                <w:kern w:val="0"/>
                <w:sz w:val="28"/>
                <w:szCs w:val="28"/>
                <w14:textFill>
                  <w14:solidFill>
                    <w14:schemeClr w14:val="tx1"/>
                  </w14:solidFill>
                </w14:textFill>
              </w:rPr>
              <w:t>≥</w:t>
            </w:r>
            <w:r>
              <w:rPr>
                <w:rFonts w:ascii="Times New Roman" w:hAnsi="Times New Roman" w:cs="Times New Roman"/>
                <w:color w:val="000000" w:themeColor="text1"/>
                <w:kern w:val="0"/>
                <w:sz w:val="28"/>
                <w:szCs w:val="28"/>
                <w14:textFill>
                  <w14:solidFill>
                    <w14:schemeClr w14:val="tx1"/>
                  </w14:solidFill>
                </w14:textFill>
              </w:rPr>
              <w:t>1个</w:t>
            </w:r>
          </w:p>
        </w:tc>
      </w:tr>
      <w:bookmarkEnd w:id="24"/>
      <w:bookmarkEnd w:id="25"/>
    </w:tbl>
    <w:p>
      <w:pPr>
        <w:keepNext w:val="0"/>
        <w:keepLines w:val="0"/>
        <w:pageBreakBefore w:val="0"/>
        <w:widowControl w:val="0"/>
        <w:kinsoku/>
        <w:wordWrap/>
        <w:overflowPunct/>
        <w:topLinePunct w:val="0"/>
        <w:autoSpaceDE/>
        <w:autoSpaceDN/>
        <w:bidi w:val="0"/>
        <w:snapToGrid/>
        <w:spacing w:line="240" w:lineRule="auto"/>
        <w:ind w:firstLine="712"/>
        <w:textAlignment w:val="auto"/>
        <w:outlineLvl w:val="0"/>
        <w:rPr>
          <w:rFonts w:ascii="Times New Roman" w:hAnsi="Times New Roman" w:eastAsia="方正黑体_GBK" w:cs="Times New Roman"/>
          <w:color w:val="000000" w:themeColor="text1"/>
          <w:kern w:val="44"/>
          <w:sz w:val="32"/>
          <w14:textFill>
            <w14:solidFill>
              <w14:schemeClr w14:val="tx1"/>
            </w14:solidFill>
          </w14:textFill>
        </w:rPr>
      </w:pPr>
      <w:bookmarkStart w:id="26" w:name="_Toc64618134"/>
      <w:bookmarkStart w:id="27" w:name="_Toc25457"/>
      <w:bookmarkStart w:id="28" w:name="_Toc26576"/>
      <w:bookmarkStart w:id="29" w:name="_Toc28760"/>
      <w:bookmarkStart w:id="30" w:name="_Toc22420"/>
      <w:bookmarkStart w:id="31" w:name="_Toc2774"/>
      <w:bookmarkStart w:id="32" w:name="_Toc30859"/>
      <w:bookmarkStart w:id="33" w:name="_Toc30328"/>
      <w:bookmarkStart w:id="34" w:name="_Toc20338"/>
      <w:bookmarkStart w:id="35" w:name="_Toc18166"/>
      <w:r>
        <w:rPr>
          <w:rFonts w:hint="default" w:ascii="Times New Roman" w:hAnsi="Times New Roman" w:eastAsia="方正黑体_GBK" w:cs="Times New Roman"/>
          <w:color w:val="000000" w:themeColor="text1"/>
          <w:kern w:val="44"/>
          <w:sz w:val="32"/>
          <w14:textFill>
            <w14:solidFill>
              <w14:schemeClr w14:val="tx1"/>
            </w14:solidFill>
          </w14:textFill>
        </w:rPr>
        <w:t>三、</w:t>
      </w:r>
      <w:bookmarkEnd w:id="26"/>
      <w:r>
        <w:rPr>
          <w:rFonts w:hint="default" w:ascii="Times New Roman" w:hAnsi="Times New Roman" w:eastAsia="方正黑体_GBK" w:cs="Times New Roman"/>
          <w:color w:val="000000" w:themeColor="text1"/>
          <w:kern w:val="44"/>
          <w:sz w:val="32"/>
          <w14:textFill>
            <w14:solidFill>
              <w14:schemeClr w14:val="tx1"/>
            </w14:solidFill>
          </w14:textFill>
        </w:rPr>
        <w:t>总体布局和主要任务</w:t>
      </w:r>
      <w:bookmarkEnd w:id="27"/>
      <w:bookmarkEnd w:id="28"/>
      <w:bookmarkEnd w:id="29"/>
      <w:bookmarkEnd w:id="30"/>
      <w:bookmarkEnd w:id="31"/>
      <w:bookmarkEnd w:id="32"/>
      <w:bookmarkEnd w:id="33"/>
      <w:bookmarkEnd w:id="34"/>
      <w:bookmarkEnd w:id="35"/>
    </w:p>
    <w:p>
      <w:pPr>
        <w:keepNext w:val="0"/>
        <w:keepLines w:val="0"/>
        <w:pageBreakBefore w:val="0"/>
        <w:widowControl w:val="0"/>
        <w:kinsoku/>
        <w:wordWrap/>
        <w:overflowPunct/>
        <w:topLinePunct w:val="0"/>
        <w:autoSpaceDE/>
        <w:autoSpaceDN/>
        <w:bidi w:val="0"/>
        <w:snapToGrid/>
        <w:spacing w:line="240" w:lineRule="auto"/>
        <w:ind w:firstLine="712"/>
        <w:textAlignment w:val="auto"/>
        <w:outlineLvl w:val="1"/>
        <w:rPr>
          <w:rFonts w:ascii="Times New Roman" w:hAnsi="Times New Roman" w:eastAsia="方正楷体_GBK" w:cs="Times New Roman"/>
          <w:color w:val="000000" w:themeColor="text1"/>
          <w:kern w:val="0"/>
          <w:sz w:val="32"/>
          <w14:textFill>
            <w14:solidFill>
              <w14:schemeClr w14:val="tx1"/>
            </w14:solidFill>
          </w14:textFill>
        </w:rPr>
      </w:pPr>
      <w:bookmarkStart w:id="36" w:name="_Toc26058"/>
      <w:bookmarkStart w:id="37" w:name="_Toc16546"/>
      <w:bookmarkStart w:id="38" w:name="_Toc16612"/>
      <w:bookmarkStart w:id="39" w:name="_Toc10443"/>
      <w:bookmarkStart w:id="40" w:name="_Toc21261"/>
      <w:bookmarkStart w:id="41" w:name="_Toc1434"/>
      <w:bookmarkStart w:id="42" w:name="_Toc11997"/>
      <w:bookmarkStart w:id="43" w:name="_Toc13486"/>
      <w:bookmarkStart w:id="44" w:name="_Toc24208"/>
      <w:bookmarkStart w:id="45" w:name="_Toc64618146"/>
      <w:r>
        <w:rPr>
          <w:rFonts w:ascii="Times New Roman" w:hAnsi="Times New Roman" w:eastAsia="方正楷体_GBK" w:cs="Times New Roman"/>
          <w:color w:val="000000" w:themeColor="text1"/>
          <w:kern w:val="0"/>
          <w:sz w:val="32"/>
          <w14:textFill>
            <w14:solidFill>
              <w14:schemeClr w14:val="tx1"/>
            </w14:solidFill>
          </w14:textFill>
        </w:rPr>
        <w:t>（一）总体布局</w:t>
      </w:r>
      <w:bookmarkEnd w:id="36"/>
      <w:bookmarkEnd w:id="37"/>
      <w:bookmarkEnd w:id="38"/>
      <w:bookmarkEnd w:id="39"/>
      <w:bookmarkEnd w:id="40"/>
      <w:bookmarkEnd w:id="41"/>
      <w:bookmarkEnd w:id="42"/>
      <w:bookmarkEnd w:id="43"/>
      <w:bookmarkEnd w:id="44"/>
    </w:p>
    <w:p>
      <w:pPr>
        <w:keepNext w:val="0"/>
        <w:keepLines w:val="0"/>
        <w:pageBreakBefore w:val="0"/>
        <w:widowControl w:val="0"/>
        <w:kinsoku/>
        <w:wordWrap/>
        <w:overflowPunct/>
        <w:topLinePunct w:val="0"/>
        <w:autoSpaceDE/>
        <w:autoSpaceDN/>
        <w:bidi w:val="0"/>
        <w:adjustRightInd w:val="0"/>
        <w:snapToGrid/>
        <w:spacing w:line="240" w:lineRule="auto"/>
        <w:ind w:firstLine="712"/>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color w:val="000000" w:themeColor="text1"/>
          <w:kern w:val="0"/>
          <w:sz w:val="32"/>
          <w14:textFill>
            <w14:solidFill>
              <w14:schemeClr w14:val="tx1"/>
            </w14:solidFill>
          </w14:textFill>
        </w:rPr>
        <w:t>结合玉溪市经济社会发展形势，持续推进有重点的综合防御，依据</w:t>
      </w:r>
      <w:r>
        <w:rPr>
          <w:rFonts w:ascii="Times New Roman" w:hAnsi="Times New Roman" w:cs="Times New Roman"/>
          <w:color w:val="000000" w:themeColor="text1"/>
          <w:kern w:val="0"/>
          <w:sz w:val="32"/>
          <w14:textFill>
            <w14:solidFill>
              <w14:schemeClr w14:val="tx1"/>
            </w14:solidFill>
          </w14:textFill>
        </w:rPr>
        <w:t>玉溪地震</w:t>
      </w:r>
      <w:r>
        <w:rPr>
          <w:rFonts w:hint="default" w:ascii="Times New Roman" w:hAnsi="Times New Roman" w:cs="Times New Roman"/>
          <w:color w:val="000000" w:themeColor="text1"/>
          <w:kern w:val="0"/>
          <w:sz w:val="32"/>
          <w14:textFill>
            <w14:solidFill>
              <w14:schemeClr w14:val="tx1"/>
            </w14:solidFill>
          </w14:textFill>
        </w:rPr>
        <w:t>活动特征</w:t>
      </w:r>
      <w:r>
        <w:rPr>
          <w:rFonts w:ascii="Times New Roman" w:hAnsi="Times New Roman" w:cs="Times New Roman"/>
          <w:color w:val="000000" w:themeColor="text1"/>
          <w:kern w:val="0"/>
          <w:sz w:val="32"/>
          <w14:textFill>
            <w14:solidFill>
              <w14:schemeClr w14:val="tx1"/>
            </w14:solidFill>
          </w14:textFill>
        </w:rPr>
        <w:t>和地震灾害预测</w:t>
      </w:r>
      <w:r>
        <w:rPr>
          <w:rFonts w:hint="default" w:ascii="Times New Roman" w:hAnsi="Times New Roman" w:cs="Times New Roman"/>
          <w:color w:val="000000" w:themeColor="text1"/>
          <w:kern w:val="0"/>
          <w:sz w:val="32"/>
          <w14:textFill>
            <w14:solidFill>
              <w14:schemeClr w14:val="tx1"/>
            </w14:solidFill>
          </w14:textFill>
        </w:rPr>
        <w:t>情况</w:t>
      </w:r>
      <w:r>
        <w:rPr>
          <w:rFonts w:ascii="Times New Roman" w:hAnsi="Times New Roman" w:cs="Times New Roman"/>
          <w:color w:val="000000" w:themeColor="text1"/>
          <w:kern w:val="0"/>
          <w:sz w:val="32"/>
          <w14:textFill>
            <w14:solidFill>
              <w14:schemeClr w14:val="tx1"/>
            </w14:solidFill>
          </w14:textFill>
        </w:rPr>
        <w:t>，</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十五五</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时期</w:t>
      </w:r>
      <w:r>
        <w:rPr>
          <w:rFonts w:hint="default" w:ascii="Times New Roman" w:hAnsi="Times New Roman" w:cs="Times New Roman"/>
          <w:color w:val="000000" w:themeColor="text1"/>
          <w:kern w:val="0"/>
          <w:sz w:val="32"/>
          <w14:textFill>
            <w14:solidFill>
              <w14:schemeClr w14:val="tx1"/>
            </w14:solidFill>
          </w14:textFill>
        </w:rPr>
        <w:t>玉溪市</w:t>
      </w:r>
      <w:r>
        <w:rPr>
          <w:rFonts w:ascii="Times New Roman" w:hAnsi="Times New Roman" w:cs="Times New Roman"/>
          <w:color w:val="000000" w:themeColor="text1"/>
          <w:kern w:val="0"/>
          <w:sz w:val="32"/>
          <w14:textFill>
            <w14:solidFill>
              <w14:schemeClr w14:val="tx1"/>
            </w14:solidFill>
          </w14:textFill>
        </w:rPr>
        <w:t>防震减灾工作总体布局如下：</w:t>
      </w:r>
    </w:p>
    <w:p>
      <w:pPr>
        <w:adjustRightInd w:val="0"/>
        <w:spacing w:line="240" w:lineRule="auto"/>
        <w:ind w:firstLine="0" w:firstLineChars="0"/>
        <w:jc w:val="center"/>
        <w:rPr>
          <w:rFonts w:eastAsia="方正黑体_GBK"/>
          <w:color w:val="000000" w:themeColor="text1"/>
          <w14:textFill>
            <w14:solidFill>
              <w14:schemeClr w14:val="tx1"/>
            </w14:solidFill>
          </w14:textFill>
        </w:rPr>
      </w:pPr>
      <w:r>
        <w:rPr>
          <w:rFonts w:eastAsia="方正黑体_GBK"/>
          <w:color w:val="000000" w:themeColor="text1"/>
          <w14:textFill>
            <w14:solidFill>
              <w14:schemeClr w14:val="tx1"/>
            </w14:solidFill>
          </w14:textFill>
        </w:rPr>
        <w:drawing>
          <wp:inline distT="0" distB="0" distL="114300" distR="114300">
            <wp:extent cx="4878705" cy="4878705"/>
            <wp:effectExtent l="0" t="0" r="13335" b="13335"/>
            <wp:docPr id="1" name="图片 1" descr="F:/01规划/图/玉溪市十五五规划布局图.jpg玉溪市十五五规划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01规划/图/玉溪市十五五规划布局图.jpg玉溪市十五五规划布局图"/>
                    <pic:cNvPicPr>
                      <a:picLocks noChangeAspect="1"/>
                    </pic:cNvPicPr>
                  </pic:nvPicPr>
                  <pic:blipFill>
                    <a:blip r:embed="rId16"/>
                    <a:stretch>
                      <a:fillRect/>
                    </a:stretch>
                  </pic:blipFill>
                  <pic:spPr>
                    <a:xfrm>
                      <a:off x="0" y="0"/>
                      <a:ext cx="4878705" cy="4878705"/>
                    </a:xfrm>
                    <a:prstGeom prst="rect">
                      <a:avLst/>
                    </a:prstGeom>
                    <a:noFill/>
                    <a:ln>
                      <a:noFill/>
                    </a:ln>
                  </pic:spPr>
                </pic:pic>
              </a:graphicData>
            </a:graphic>
          </wp:inline>
        </w:drawing>
      </w:r>
    </w:p>
    <w:p>
      <w:pPr>
        <w:adjustRightInd w:val="0"/>
        <w:spacing w:line="240" w:lineRule="auto"/>
        <w:ind w:firstLine="0" w:firstLineChars="0"/>
        <w:jc w:val="center"/>
        <w:rPr>
          <w:rFonts w:eastAsia="方正黑体_GBK"/>
          <w:b/>
          <w:bCs/>
          <w:color w:val="000000" w:themeColor="text1"/>
          <w14:textFill>
            <w14:solidFill>
              <w14:schemeClr w14:val="tx1"/>
            </w14:solidFill>
          </w14:textFill>
        </w:rPr>
      </w:pPr>
      <w:r>
        <w:rPr>
          <w:rFonts w:hint="eastAsia"/>
          <w:color w:val="000000" w:themeColor="text1"/>
          <w:kern w:val="0"/>
          <w14:textFill>
            <w14:solidFill>
              <w14:schemeClr w14:val="tx1"/>
            </w14:solidFill>
          </w14:textFill>
        </w:rPr>
        <w:t>图2 玉溪市</w:t>
      </w:r>
      <w:r>
        <w:rPr>
          <w:color w:val="000000" w:themeColor="text1"/>
          <w:kern w:val="0"/>
          <w14:textFill>
            <w14:solidFill>
              <w14:schemeClr w14:val="tx1"/>
            </w14:solidFill>
          </w14:textFill>
        </w:rPr>
        <w:t>防震减灾总体布局示意图</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重点防范区</w:t>
      </w:r>
      <w:r>
        <w:rPr>
          <w:rFonts w:ascii="Times New Roman" w:hAnsi="Times New Roman" w:cs="Times New Roman"/>
          <w:b/>
          <w:bCs/>
          <w:color w:val="000000" w:themeColor="text1"/>
          <w:kern w:val="0"/>
          <w:sz w:val="32"/>
          <w14:textFill>
            <w14:solidFill>
              <w14:schemeClr w14:val="tx1"/>
            </w14:solidFill>
          </w14:textFill>
        </w:rPr>
        <w:t>。</w:t>
      </w:r>
      <w:r>
        <w:rPr>
          <w:rFonts w:hint="default" w:ascii="Times New Roman" w:hAnsi="Times New Roman" w:cs="Times New Roman"/>
          <w:color w:val="000000" w:themeColor="text1"/>
          <w:kern w:val="0"/>
          <w:sz w:val="32"/>
          <w14:textFill>
            <w14:solidFill>
              <w14:schemeClr w14:val="tx1"/>
            </w14:solidFill>
          </w14:textFill>
        </w:rPr>
        <w:t>包括</w:t>
      </w:r>
      <w:r>
        <w:rPr>
          <w:rFonts w:ascii="Times New Roman" w:hAnsi="Times New Roman" w:cs="Times New Roman"/>
          <w:color w:val="000000" w:themeColor="text1"/>
          <w:kern w:val="0"/>
          <w:sz w:val="32"/>
          <w14:textFill>
            <w14:solidFill>
              <w14:schemeClr w14:val="tx1"/>
            </w14:solidFill>
          </w14:textFill>
        </w:rPr>
        <w:t>通海县</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华宁县</w:t>
      </w:r>
      <w:r>
        <w:rPr>
          <w:rFonts w:hint="default" w:ascii="Times New Roman" w:hAnsi="Times New Roman" w:cs="Times New Roman"/>
          <w:color w:val="000000" w:themeColor="text1"/>
          <w:kern w:val="0"/>
          <w:sz w:val="32"/>
          <w14:textFill>
            <w14:solidFill>
              <w14:schemeClr w14:val="tx1"/>
            </w14:solidFill>
          </w14:textFill>
        </w:rPr>
        <w:t>和</w:t>
      </w:r>
      <w:r>
        <w:rPr>
          <w:rFonts w:ascii="Times New Roman" w:hAnsi="Times New Roman" w:cs="Times New Roman"/>
          <w:color w:val="000000" w:themeColor="text1"/>
          <w:kern w:val="0"/>
          <w:sz w:val="32"/>
          <w14:textFill>
            <w14:solidFill>
              <w14:schemeClr w14:val="tx1"/>
            </w14:solidFill>
          </w14:textFill>
        </w:rPr>
        <w:t>峨山彝族自治县</w:t>
      </w:r>
      <w:r>
        <w:rPr>
          <w:rFonts w:hint="default" w:ascii="Times New Roman" w:hAnsi="Times New Roman" w:cs="Times New Roman"/>
          <w:color w:val="000000" w:themeColor="text1"/>
          <w:kern w:val="0"/>
          <w:sz w:val="32"/>
          <w14:textFill>
            <w14:solidFill>
              <w14:schemeClr w14:val="tx1"/>
            </w14:solidFill>
          </w14:textFill>
        </w:rPr>
        <w:t>。该区分布有多条全新世活动断裂，属于玉溪市地震构造活动最强烈的</w:t>
      </w:r>
      <w:r>
        <w:rPr>
          <w:rFonts w:ascii="Times New Roman" w:hAnsi="Times New Roman" w:cs="Times New Roman"/>
          <w:color w:val="000000" w:themeColor="text1"/>
          <w:kern w:val="0"/>
          <w:sz w:val="32"/>
          <w14:textFill>
            <w14:solidFill>
              <w14:schemeClr w14:val="tx1"/>
            </w14:solidFill>
          </w14:textFill>
        </w:rPr>
        <w:t>高</w:t>
      </w:r>
      <w:r>
        <w:rPr>
          <w:rFonts w:hint="default" w:ascii="Times New Roman" w:hAnsi="Times New Roman" w:cs="Times New Roman"/>
          <w:color w:val="000000" w:themeColor="text1"/>
          <w:kern w:val="0"/>
          <w:sz w:val="32"/>
          <w14:textFill>
            <w14:solidFill>
              <w14:schemeClr w14:val="tx1"/>
            </w14:solidFill>
          </w14:textFill>
        </w:rPr>
        <w:t>危</w:t>
      </w:r>
      <w:r>
        <w:rPr>
          <w:rFonts w:ascii="Times New Roman" w:hAnsi="Times New Roman" w:cs="Times New Roman"/>
          <w:color w:val="000000" w:themeColor="text1"/>
          <w:kern w:val="0"/>
          <w:sz w:val="32"/>
          <w14:textFill>
            <w14:solidFill>
              <w14:schemeClr w14:val="tx1"/>
            </w14:solidFill>
          </w14:textFill>
        </w:rPr>
        <w:t>险</w:t>
      </w:r>
      <w:r>
        <w:rPr>
          <w:rFonts w:hint="default" w:ascii="Times New Roman" w:hAnsi="Times New Roman" w:cs="Times New Roman"/>
          <w:color w:val="000000" w:themeColor="text1"/>
          <w:kern w:val="0"/>
          <w:sz w:val="32"/>
          <w14:textFill>
            <w14:solidFill>
              <w14:schemeClr w14:val="tx1"/>
            </w14:solidFill>
          </w14:textFill>
        </w:rPr>
        <w:t>性区域</w:t>
      </w:r>
      <w:r>
        <w:rPr>
          <w:rFonts w:ascii="Times New Roman" w:hAnsi="Times New Roman" w:cs="Times New Roman"/>
          <w:color w:val="000000" w:themeColor="text1"/>
          <w:kern w:val="0"/>
          <w:sz w:val="32"/>
          <w14:textFill>
            <w14:solidFill>
              <w14:schemeClr w14:val="tx1"/>
            </w14:solidFill>
          </w14:textFill>
        </w:rPr>
        <w:t>。</w:t>
      </w:r>
      <w:r>
        <w:rPr>
          <w:rFonts w:hint="default" w:ascii="Times New Roman" w:hAnsi="Times New Roman" w:cs="Times New Roman"/>
          <w:color w:val="000000" w:themeColor="text1"/>
          <w:kern w:val="0"/>
          <w:sz w:val="32"/>
          <w14:textFill>
            <w14:solidFill>
              <w14:schemeClr w14:val="tx1"/>
            </w14:solidFill>
          </w14:textFill>
        </w:rPr>
        <w:t>要着力推进活动断裂密集台阵和宏观智能观测点建设，构建多学科综合立体观测网络；紧盯震情形势变化，持续加强分析研判，提升“震前打招呼”能力；提高城乡民居抗震韧性，筑牢城乡抗震设防基础屏障；保障地震预警终端服务持续有效；实施城市活动断层探查，查明城镇建成区隐伏断层分布；推进基层应急处置队伍建设，完善应急联动；持续推进基层地震应急“第一响应人”队伍建设，加大防震减灾科普宣传，抓实公众应急演练，在维护人民生命财产安全的同时保障地区平稳快速发展。</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强化提升区</w:t>
      </w:r>
      <w:r>
        <w:rPr>
          <w:rFonts w:ascii="Times New Roman" w:hAnsi="Times New Roman" w:cs="Times New Roman"/>
          <w:b/>
          <w:bCs/>
          <w:color w:val="000000" w:themeColor="text1"/>
          <w:kern w:val="0"/>
          <w:sz w:val="32"/>
          <w14:textFill>
            <w14:solidFill>
              <w14:schemeClr w14:val="tx1"/>
            </w14:solidFill>
          </w14:textFill>
        </w:rPr>
        <w:t>。</w:t>
      </w:r>
      <w:r>
        <w:rPr>
          <w:rFonts w:hint="default" w:ascii="Times New Roman" w:hAnsi="Times New Roman" w:cs="Times New Roman"/>
          <w:color w:val="000000" w:themeColor="text1"/>
          <w:kern w:val="0"/>
          <w:sz w:val="32"/>
          <w14:textFill>
            <w14:solidFill>
              <w14:schemeClr w14:val="tx1"/>
            </w14:solidFill>
          </w14:textFill>
        </w:rPr>
        <w:t>包括红塔区、江川区和澄江市。该区既是玉溪市的工业核心，又是文旅和绿色产业重点发展区；区域内</w:t>
      </w:r>
      <w:r>
        <w:rPr>
          <w:rFonts w:ascii="Times New Roman" w:hAnsi="Times New Roman" w:cs="Times New Roman"/>
          <w:color w:val="000000" w:themeColor="text1"/>
          <w:kern w:val="0"/>
          <w:sz w:val="32"/>
          <w14:textFill>
            <w14:solidFill>
              <w14:schemeClr w14:val="tx1"/>
            </w14:solidFill>
          </w14:textFill>
        </w:rPr>
        <w:t>人口</w:t>
      </w:r>
      <w:r>
        <w:rPr>
          <w:rFonts w:hint="default" w:ascii="Times New Roman" w:hAnsi="Times New Roman" w:cs="Times New Roman"/>
          <w:color w:val="000000" w:themeColor="text1"/>
          <w:kern w:val="0"/>
          <w:sz w:val="32"/>
          <w14:textFill>
            <w14:solidFill>
              <w14:schemeClr w14:val="tx1"/>
            </w14:solidFill>
          </w14:textFill>
        </w:rPr>
        <w:t>集中且流动性高，经济高度富集，各类承灾体暴露度高，地震灾害防范难度大</w:t>
      </w:r>
      <w:r>
        <w:rPr>
          <w:rFonts w:ascii="Times New Roman" w:hAnsi="Times New Roman" w:cs="Times New Roman"/>
          <w:color w:val="000000" w:themeColor="text1"/>
          <w:kern w:val="0"/>
          <w:sz w:val="32"/>
          <w14:textFill>
            <w14:solidFill>
              <w14:schemeClr w14:val="tx1"/>
            </w14:solidFill>
          </w14:textFill>
        </w:rPr>
        <w:t>。要着力提升对承灾体重大风险点的分析研判，增强高层超高层建筑、大型综合体、工业园区、能源设施、公路铁路、物流设施、文旅建筑等建构筑物的地震安全韧性；推进地震监测台站提质升级改造，拓展预警终端在工业园区、旅游景区等场景的应用，实现地震预警小程序</w:t>
      </w:r>
      <w:r>
        <w:rPr>
          <w:rFonts w:hint="default" w:ascii="Times New Roman" w:hAnsi="Times New Roman" w:cs="Times New Roman"/>
          <w:color w:val="000000" w:themeColor="text1"/>
          <w:kern w:val="0"/>
          <w:sz w:val="32"/>
          <w14:textFill>
            <w14:solidFill>
              <w14:schemeClr w14:val="tx1"/>
            </w14:solidFill>
          </w14:textFill>
        </w:rPr>
        <w:t>广泛</w:t>
      </w:r>
      <w:r>
        <w:rPr>
          <w:rFonts w:ascii="Times New Roman" w:hAnsi="Times New Roman" w:cs="Times New Roman"/>
          <w:color w:val="000000" w:themeColor="text1"/>
          <w:kern w:val="0"/>
          <w:sz w:val="32"/>
          <w14:textFill>
            <w14:solidFill>
              <w14:schemeClr w14:val="tx1"/>
            </w14:solidFill>
          </w14:textFill>
        </w:rPr>
        <w:t>覆盖；协调推进城</w:t>
      </w:r>
      <w:r>
        <w:rPr>
          <w:rFonts w:hint="default" w:ascii="Times New Roman" w:hAnsi="Times New Roman" w:cs="Times New Roman"/>
          <w:color w:val="000000" w:themeColor="text1"/>
          <w:kern w:val="0"/>
          <w:sz w:val="32"/>
          <w14:textFill>
            <w14:solidFill>
              <w14:schemeClr w14:val="tx1"/>
            </w14:solidFill>
          </w14:textFill>
        </w:rPr>
        <w:t>乡房屋韧性改造</w:t>
      </w:r>
      <w:r>
        <w:rPr>
          <w:rFonts w:ascii="Times New Roman" w:hAnsi="Times New Roman" w:cs="Times New Roman"/>
          <w:color w:val="000000" w:themeColor="text1"/>
          <w:kern w:val="0"/>
          <w:sz w:val="32"/>
          <w14:textFill>
            <w14:solidFill>
              <w14:schemeClr w14:val="tx1"/>
            </w14:solidFill>
          </w14:textFill>
        </w:rPr>
        <w:t>，提升抗震防御基础；丰富科普形式和内容，加强科普宣传与融媒体合作；增强地震应急处置能力，服务该地区产业发展、经贸往来和科技创新，推动地区高品质</w:t>
      </w:r>
      <w:r>
        <w:rPr>
          <w:rFonts w:hint="default" w:ascii="Times New Roman" w:hAnsi="Times New Roman" w:cs="Times New Roman"/>
          <w:color w:val="000000" w:themeColor="text1"/>
          <w:kern w:val="0"/>
          <w:sz w:val="32"/>
          <w14:textFill>
            <w14:solidFill>
              <w14:schemeClr w14:val="tx1"/>
            </w14:solidFill>
          </w14:textFill>
        </w:rPr>
        <w:t>城镇化建设</w:t>
      </w:r>
      <w:r>
        <w:rPr>
          <w:rFonts w:ascii="Times New Roman" w:hAnsi="Times New Roman" w:cs="Times New Roman"/>
          <w:color w:val="000000" w:themeColor="text1"/>
          <w:kern w:val="0"/>
          <w:sz w:val="32"/>
          <w14:textFill>
            <w14:solidFill>
              <w14:schemeClr w14:val="tx1"/>
            </w14:solidFill>
          </w14:textFill>
        </w:rPr>
        <w:t>。</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持续巩固</w:t>
      </w:r>
      <w:r>
        <w:rPr>
          <w:rFonts w:ascii="Times New Roman" w:hAnsi="Times New Roman" w:cs="Times New Roman"/>
          <w:b/>
          <w:bCs/>
          <w:color w:val="000000" w:themeColor="text1"/>
          <w:kern w:val="0"/>
          <w:sz w:val="32"/>
          <w14:textFill>
            <w14:solidFill>
              <w14:schemeClr w14:val="tx1"/>
            </w14:solidFill>
          </w14:textFill>
        </w:rPr>
        <w:t>区。</w:t>
      </w:r>
      <w:r>
        <w:rPr>
          <w:rFonts w:hint="default" w:ascii="Times New Roman" w:hAnsi="Times New Roman" w:cs="Times New Roman"/>
          <w:color w:val="000000" w:themeColor="text1"/>
          <w:kern w:val="0"/>
          <w:sz w:val="32"/>
          <w14:textFill>
            <w14:solidFill>
              <w14:schemeClr w14:val="tx1"/>
            </w14:solidFill>
          </w14:textFill>
        </w:rPr>
        <w:t>包括易门县、</w:t>
      </w:r>
      <w:r>
        <w:rPr>
          <w:rFonts w:ascii="Times New Roman" w:hAnsi="Times New Roman" w:cs="Times New Roman"/>
          <w:color w:val="000000" w:themeColor="text1"/>
          <w:kern w:val="0"/>
          <w:sz w:val="32"/>
          <w14:textFill>
            <w14:solidFill>
              <w14:schemeClr w14:val="tx1"/>
            </w14:solidFill>
          </w14:textFill>
        </w:rPr>
        <w:t>新平彝族傣族自治县</w:t>
      </w:r>
      <w:r>
        <w:rPr>
          <w:rFonts w:hint="default" w:ascii="Times New Roman" w:hAnsi="Times New Roman" w:cs="Times New Roman"/>
          <w:color w:val="000000" w:themeColor="text1"/>
          <w:kern w:val="0"/>
          <w:sz w:val="32"/>
          <w14:textFill>
            <w14:solidFill>
              <w14:schemeClr w14:val="tx1"/>
            </w14:solidFill>
          </w14:textFill>
        </w:rPr>
        <w:t>和</w:t>
      </w:r>
      <w:r>
        <w:rPr>
          <w:rFonts w:ascii="Times New Roman" w:hAnsi="Times New Roman" w:cs="Times New Roman"/>
          <w:color w:val="000000" w:themeColor="text1"/>
          <w:kern w:val="0"/>
          <w:sz w:val="32"/>
          <w14:textFill>
            <w14:solidFill>
              <w14:schemeClr w14:val="tx1"/>
            </w14:solidFill>
          </w14:textFill>
        </w:rPr>
        <w:t>元江哈尼族彝族傣族自治县</w:t>
      </w:r>
      <w:r>
        <w:rPr>
          <w:rFonts w:hint="default" w:ascii="Times New Roman" w:hAnsi="Times New Roman" w:cs="Times New Roman"/>
          <w:color w:val="000000" w:themeColor="text1"/>
          <w:kern w:val="0"/>
          <w:sz w:val="32"/>
          <w14:textFill>
            <w14:solidFill>
              <w14:schemeClr w14:val="tx1"/>
            </w14:solidFill>
          </w14:textFill>
        </w:rPr>
        <w:t>。该区地形落差大</w:t>
      </w:r>
      <w:r>
        <w:rPr>
          <w:rFonts w:ascii="Times New Roman" w:hAnsi="Times New Roman" w:cs="Times New Roman"/>
          <w:color w:val="000000" w:themeColor="text1"/>
          <w:kern w:val="0"/>
          <w:sz w:val="32"/>
          <w14:textFill>
            <w14:solidFill>
              <w14:schemeClr w14:val="tx1"/>
            </w14:solidFill>
          </w14:textFill>
        </w:rPr>
        <w:t>，地震次生灾害</w:t>
      </w:r>
      <w:r>
        <w:rPr>
          <w:rFonts w:hint="default" w:ascii="Times New Roman" w:hAnsi="Times New Roman" w:cs="Times New Roman"/>
          <w:color w:val="000000" w:themeColor="text1"/>
          <w:kern w:val="0"/>
          <w:sz w:val="32"/>
          <w14:textFill>
            <w14:solidFill>
              <w14:schemeClr w14:val="tx1"/>
            </w14:solidFill>
          </w14:textFill>
        </w:rPr>
        <w:t>风险高，震后救援难度大。</w:t>
      </w:r>
      <w:r>
        <w:rPr>
          <w:rFonts w:ascii="Times New Roman" w:hAnsi="Times New Roman" w:cs="Times New Roman"/>
          <w:color w:val="000000" w:themeColor="text1"/>
          <w:kern w:val="0"/>
          <w:sz w:val="32"/>
          <w14:textFill>
            <w14:solidFill>
              <w14:schemeClr w14:val="tx1"/>
            </w14:solidFill>
          </w14:textFill>
        </w:rPr>
        <w:t>要着力防范山区和矿区地震次生灾害；加密地震监测台站布设，确保地震预警可靠有效；综合提升城乡地震韧性，建强</w:t>
      </w:r>
      <w:r>
        <w:rPr>
          <w:rFonts w:hint="default" w:ascii="Times New Roman" w:hAnsi="Times New Roman" w:cs="Times New Roman"/>
          <w:color w:val="000000" w:themeColor="text1"/>
          <w:kern w:val="0"/>
          <w:sz w:val="32"/>
          <w14:textFill>
            <w14:solidFill>
              <w14:schemeClr w14:val="tx1"/>
            </w14:solidFill>
          </w14:textFill>
        </w:rPr>
        <w:t>城乡</w:t>
      </w:r>
      <w:r>
        <w:rPr>
          <w:rFonts w:ascii="Times New Roman" w:hAnsi="Times New Roman" w:cs="Times New Roman"/>
          <w:color w:val="000000" w:themeColor="text1"/>
          <w:kern w:val="0"/>
          <w:sz w:val="32"/>
          <w14:textFill>
            <w14:solidFill>
              <w14:schemeClr w14:val="tx1"/>
            </w14:solidFill>
          </w14:textFill>
        </w:rPr>
        <w:t>房屋抗震性能，加强铁路、隧道、桥梁、中老铁路跨境物流产业园等重要基础设施的地震韧性；强化基层地震应急</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第一响应人</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培训，提升基层应急</w:t>
      </w:r>
      <w:r>
        <w:rPr>
          <w:rFonts w:hint="default" w:ascii="Times New Roman" w:hAnsi="Times New Roman" w:cs="Times New Roman"/>
          <w:color w:val="000000" w:themeColor="text1"/>
          <w:kern w:val="0"/>
          <w:sz w:val="32"/>
          <w14:textFill>
            <w14:solidFill>
              <w14:schemeClr w14:val="tx1"/>
            </w14:solidFill>
          </w14:textFill>
        </w:rPr>
        <w:t>处置</w:t>
      </w:r>
      <w:r>
        <w:rPr>
          <w:rFonts w:ascii="Times New Roman" w:hAnsi="Times New Roman" w:cs="Times New Roman"/>
          <w:color w:val="000000" w:themeColor="text1"/>
          <w:kern w:val="0"/>
          <w:sz w:val="32"/>
          <w14:textFill>
            <w14:solidFill>
              <w14:schemeClr w14:val="tx1"/>
            </w14:solidFill>
          </w14:textFill>
        </w:rPr>
        <w:t>能力；深化少数民族科普宣传，壮大科普人才队伍，推动科普阵地建设，强化公众自救互救技能实训；服务资源开发、产品运输和能源生产，促进地区加快崛起。</w:t>
      </w:r>
    </w:p>
    <w:p>
      <w:pPr>
        <w:keepLines w:val="0"/>
        <w:pageBreakBefore w:val="0"/>
        <w:widowControl w:val="0"/>
        <w:kinsoku/>
        <w:wordWrap/>
        <w:topLinePunct w:val="0"/>
        <w:autoSpaceDE/>
        <w:autoSpaceDN/>
        <w:bidi w:val="0"/>
        <w:spacing w:line="240" w:lineRule="auto"/>
        <w:ind w:firstLine="712"/>
        <w:jc w:val="both"/>
        <w:textAlignment w:val="auto"/>
        <w:outlineLvl w:val="1"/>
        <w:rPr>
          <w:rFonts w:ascii="Times New Roman" w:hAnsi="Times New Roman" w:eastAsia="方正楷体_GBK" w:cs="Times New Roman"/>
          <w:b/>
          <w:color w:val="000000" w:themeColor="text1"/>
          <w:kern w:val="0"/>
          <w:sz w:val="32"/>
          <w14:textFill>
            <w14:solidFill>
              <w14:schemeClr w14:val="tx1"/>
            </w14:solidFill>
          </w14:textFill>
        </w:rPr>
      </w:pPr>
      <w:bookmarkStart w:id="46" w:name="_Toc20603"/>
      <w:bookmarkStart w:id="47" w:name="_Toc22067"/>
      <w:bookmarkStart w:id="48" w:name="_Toc22888"/>
      <w:bookmarkStart w:id="49" w:name="_Toc5925"/>
      <w:bookmarkStart w:id="50" w:name="_Toc663"/>
      <w:bookmarkStart w:id="51" w:name="_Toc22777"/>
      <w:bookmarkStart w:id="52" w:name="_Toc10097"/>
      <w:bookmarkStart w:id="53" w:name="_Toc13669"/>
      <w:bookmarkStart w:id="54" w:name="_Toc12543"/>
      <w:r>
        <w:rPr>
          <w:rFonts w:ascii="Times New Roman" w:hAnsi="Times New Roman" w:eastAsia="方正楷体_GBK" w:cs="Times New Roman"/>
          <w:color w:val="000000" w:themeColor="text1"/>
          <w:kern w:val="0"/>
          <w:sz w:val="32"/>
          <w14:textFill>
            <w14:solidFill>
              <w14:schemeClr w14:val="tx1"/>
            </w14:solidFill>
          </w14:textFill>
        </w:rPr>
        <w:t>（二）主要任务</w:t>
      </w:r>
      <w:bookmarkEnd w:id="46"/>
    </w:p>
    <w:p>
      <w:pPr>
        <w:pStyle w:val="4"/>
        <w:keepNext/>
        <w:keepLines w:val="0"/>
        <w:pageBreakBefore w:val="0"/>
        <w:widowControl w:val="0"/>
        <w:tabs>
          <w:tab w:val="clear" w:pos="8844"/>
        </w:tabs>
        <w:kinsoku/>
        <w:wordWrap/>
        <w:overflowPunct w:val="0"/>
        <w:topLinePunct w:val="0"/>
        <w:autoSpaceDE/>
        <w:autoSpaceDN/>
        <w:bidi w:val="0"/>
        <w:adjustRightInd w:val="0"/>
        <w:snapToGrid w:val="0"/>
        <w:spacing w:before="0" w:after="0" w:line="240" w:lineRule="auto"/>
        <w:ind w:firstLine="714"/>
        <w:jc w:val="both"/>
        <w:textAlignment w:val="auto"/>
        <w:rPr>
          <w:rFonts w:hint="eastAsia" w:ascii="方正仿宋_GBK" w:hAnsi="方正仿宋_GBK" w:eastAsia="方正仿宋_GBK" w:cs="方正仿宋_GBK"/>
          <w:bCs/>
          <w:color w:val="000000" w:themeColor="text1"/>
          <w:sz w:val="32"/>
          <w14:textFill>
            <w14:solidFill>
              <w14:schemeClr w14:val="tx1"/>
            </w14:solidFill>
          </w14:textFill>
        </w:rPr>
      </w:pPr>
      <w:bookmarkStart w:id="55" w:name="_Toc28095"/>
      <w:r>
        <w:rPr>
          <w:rFonts w:hint="default" w:ascii="Times New Roman" w:hAnsi="Times New Roman" w:eastAsia="方正仿宋_GBK" w:cs="Times New Roman"/>
          <w:bCs/>
          <w:color w:val="000000" w:themeColor="text1"/>
          <w:sz w:val="32"/>
          <w14:textFill>
            <w14:solidFill>
              <w14:schemeClr w14:val="tx1"/>
            </w14:solidFill>
          </w14:textFill>
        </w:rPr>
        <w:t>1</w:t>
      </w:r>
      <w:r>
        <w:rPr>
          <w:rFonts w:hint="eastAsia" w:ascii="方正仿宋_GBK" w:hAnsi="方正仿宋_GBK" w:eastAsia="方正仿宋_GBK" w:cs="方正仿宋_GBK"/>
          <w:bCs/>
          <w:color w:val="000000" w:themeColor="text1"/>
          <w:sz w:val="32"/>
          <w14:textFill>
            <w14:solidFill>
              <w14:schemeClr w14:val="tx1"/>
            </w14:solidFill>
          </w14:textFill>
        </w:rPr>
        <w:t>.提升地震监测预报预警能力</w:t>
      </w:r>
      <w:bookmarkEnd w:id="55"/>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推进科学实验场玉溪分项建设</w:t>
      </w:r>
      <w:r>
        <w:rPr>
          <w:rFonts w:hint="default" w:ascii="Times New Roman" w:hAnsi="Times New Roman" w:cs="Times New Roman"/>
          <w:color w:val="000000" w:themeColor="text1"/>
          <w:kern w:val="0"/>
          <w:sz w:val="32"/>
          <w14:textFill>
            <w14:solidFill>
              <w14:schemeClr w14:val="tx1"/>
            </w14:solidFill>
          </w14:textFill>
        </w:rPr>
        <w:t>。依托国家重大科技基础设施，推进中国地震科学实验场建设工程云南项目玉溪分项建设，建成多学科多手段的科学观测网。</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优化地震监测站网布局</w:t>
      </w:r>
      <w:r>
        <w:rPr>
          <w:rFonts w:hint="default" w:ascii="Times New Roman" w:hAnsi="Times New Roman" w:cs="Times New Roman"/>
          <w:color w:val="000000" w:themeColor="text1"/>
          <w:kern w:val="0"/>
          <w:sz w:val="32"/>
          <w14:textFill>
            <w14:solidFill>
              <w14:schemeClr w14:val="tx1"/>
            </w14:solidFill>
          </w14:textFill>
        </w:rPr>
        <w:t>。衔接《云南省测震站网规划（2023～2030）》、《云南省</w:t>
      </w:r>
      <w:bookmarkStart w:id="56" w:name="OLE_LINK5"/>
      <w:bookmarkStart w:id="57" w:name="OLE_LINK4"/>
      <w:r>
        <w:rPr>
          <w:rFonts w:hint="default" w:ascii="Times New Roman" w:hAnsi="Times New Roman" w:cs="Times New Roman"/>
          <w:color w:val="000000" w:themeColor="text1"/>
          <w:kern w:val="0"/>
          <w:sz w:val="32"/>
          <w14:textFill>
            <w14:solidFill>
              <w14:schemeClr w14:val="tx1"/>
            </w14:solidFill>
          </w14:textFill>
        </w:rPr>
        <w:t>地球物理站网</w:t>
      </w:r>
      <w:bookmarkEnd w:id="56"/>
      <w:bookmarkEnd w:id="57"/>
      <w:r>
        <w:rPr>
          <w:rFonts w:hint="default" w:ascii="Times New Roman" w:hAnsi="Times New Roman" w:cs="Times New Roman"/>
          <w:color w:val="000000" w:themeColor="text1"/>
          <w:kern w:val="0"/>
          <w:sz w:val="32"/>
          <w14:textFill>
            <w14:solidFill>
              <w14:schemeClr w14:val="tx1"/>
            </w14:solidFill>
          </w14:textFill>
        </w:rPr>
        <w:t>规划（2023～2030）》等上位规划文件，在监测薄弱区补充建设地震监测站点，织密全市</w:t>
      </w:r>
      <w:r>
        <w:rPr>
          <w:rFonts w:ascii="Times New Roman" w:hAnsi="Times New Roman" w:cs="Times New Roman"/>
          <w:color w:val="000000" w:themeColor="text1"/>
          <w:kern w:val="0"/>
          <w:sz w:val="32"/>
          <w14:textFill>
            <w14:solidFill>
              <w14:schemeClr w14:val="tx1"/>
            </w14:solidFill>
          </w14:textFill>
        </w:rPr>
        <w:t>多学科高时空分辨率地震观测网</w:t>
      </w:r>
      <w:r>
        <w:rPr>
          <w:rFonts w:hint="default" w:ascii="Times New Roman" w:hAnsi="Times New Roman" w:cs="Times New Roman"/>
          <w:color w:val="000000" w:themeColor="text1"/>
          <w:kern w:val="0"/>
          <w:sz w:val="32"/>
          <w14:textFill>
            <w14:solidFill>
              <w14:schemeClr w14:val="tx1"/>
            </w14:solidFill>
          </w14:textFill>
        </w:rPr>
        <w:t>。推动观测条件好、数据质量优的监测站点向多测项、高质量的综合地震监测站点转变。</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提升运维保障能力</w:t>
      </w:r>
      <w:r>
        <w:rPr>
          <w:rFonts w:hint="default" w:ascii="Times New Roman" w:hAnsi="Times New Roman" w:cs="Times New Roman"/>
          <w:color w:val="000000" w:themeColor="text1"/>
          <w:kern w:val="0"/>
          <w:sz w:val="32"/>
          <w14:textFill>
            <w14:solidFill>
              <w14:schemeClr w14:val="tx1"/>
            </w14:solidFill>
          </w14:textFill>
        </w:rPr>
        <w:t>。开展地震监测站观测技术和运维保障系统智能化升级。</w:t>
      </w:r>
      <w:r>
        <w:rPr>
          <w:rFonts w:ascii="Times New Roman" w:hAnsi="Times New Roman" w:cs="Times New Roman"/>
          <w:color w:val="000000" w:themeColor="text1"/>
          <w:kern w:val="0"/>
          <w:sz w:val="32"/>
          <w14:textFill>
            <w14:solidFill>
              <w14:schemeClr w14:val="tx1"/>
            </w14:solidFill>
          </w14:textFill>
        </w:rPr>
        <w:t>推进数据库与</w:t>
      </w:r>
      <w:r>
        <w:rPr>
          <w:rFonts w:hint="default" w:ascii="Times New Roman" w:hAnsi="Times New Roman" w:cs="Times New Roman"/>
          <w:color w:val="000000" w:themeColor="text1"/>
          <w:kern w:val="0"/>
          <w:sz w:val="32"/>
          <w14:textFill>
            <w14:solidFill>
              <w14:schemeClr w14:val="tx1"/>
            </w14:solidFill>
          </w14:textFill>
        </w:rPr>
        <w:t>数字台网中心</w:t>
      </w:r>
      <w:r>
        <w:rPr>
          <w:rFonts w:ascii="Times New Roman" w:hAnsi="Times New Roman" w:cs="Times New Roman"/>
          <w:color w:val="000000" w:themeColor="text1"/>
          <w:kern w:val="0"/>
          <w:sz w:val="32"/>
          <w14:textFill>
            <w14:solidFill>
              <w14:schemeClr w14:val="tx1"/>
            </w14:solidFill>
          </w14:textFill>
        </w:rPr>
        <w:t>建设，</w:t>
      </w:r>
      <w:r>
        <w:rPr>
          <w:rFonts w:hint="default" w:ascii="Times New Roman" w:hAnsi="Times New Roman" w:cs="Times New Roman"/>
          <w:color w:val="000000" w:themeColor="text1"/>
          <w:kern w:val="0"/>
          <w:sz w:val="32"/>
          <w14:textFill>
            <w14:solidFill>
              <w14:schemeClr w14:val="tx1"/>
            </w14:solidFill>
          </w14:textFill>
        </w:rPr>
        <w:t>提升观测数据收集、管理、应用的</w:t>
      </w:r>
      <w:r>
        <w:rPr>
          <w:rFonts w:ascii="Times New Roman" w:hAnsi="Times New Roman" w:cs="Times New Roman"/>
          <w:color w:val="000000" w:themeColor="text1"/>
          <w:kern w:val="0"/>
          <w:sz w:val="32"/>
          <w14:textFill>
            <w14:solidFill>
              <w14:schemeClr w14:val="tx1"/>
            </w14:solidFill>
          </w14:textFill>
        </w:rPr>
        <w:t>智能化水平</w:t>
      </w:r>
      <w:r>
        <w:rPr>
          <w:rFonts w:hint="default" w:ascii="Times New Roman" w:hAnsi="Times New Roman" w:cs="Times New Roman"/>
          <w:color w:val="000000" w:themeColor="text1"/>
          <w:kern w:val="0"/>
          <w:sz w:val="32"/>
          <w14:textFill>
            <w14:solidFill>
              <w14:schemeClr w14:val="tx1"/>
            </w14:solidFill>
          </w14:textFill>
        </w:rPr>
        <w:t>。加强与云南省地震局通海地震监测中心站协同联动，推进区域共建共享</w:t>
      </w:r>
      <w:r>
        <w:rPr>
          <w:rFonts w:ascii="Times New Roman" w:hAnsi="Times New Roman" w:cs="Times New Roman"/>
          <w:color w:val="000000" w:themeColor="text1"/>
          <w:kern w:val="0"/>
          <w:sz w:val="32"/>
          <w14:textFill>
            <w14:solidFill>
              <w14:schemeClr w14:val="tx1"/>
            </w14:solidFill>
          </w14:textFill>
        </w:rPr>
        <w:t>。</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推动地震预测工作提质增效</w:t>
      </w:r>
      <w:r>
        <w:rPr>
          <w:rFonts w:hint="default" w:ascii="Times New Roman" w:hAnsi="Times New Roman" w:cs="Times New Roman"/>
          <w:color w:val="000000" w:themeColor="text1"/>
          <w:kern w:val="0"/>
          <w:sz w:val="32"/>
          <w14:textFill>
            <w14:solidFill>
              <w14:schemeClr w14:val="tx1"/>
            </w14:solidFill>
          </w14:textFill>
        </w:rPr>
        <w:t>。强化重点危险区震情跟踪研判，提升宏微观异常核实分析能力，提高震前“打招呼”能力和地震预测信息服务水平</w:t>
      </w:r>
      <w:r>
        <w:rPr>
          <w:rFonts w:ascii="Times New Roman" w:hAnsi="Times New Roman" w:cs="Times New Roman"/>
          <w:color w:val="000000" w:themeColor="text1"/>
          <w:kern w:val="0"/>
          <w:sz w:val="32"/>
          <w14:textFill>
            <w14:solidFill>
              <w14:schemeClr w14:val="tx1"/>
            </w14:solidFill>
          </w14:textFill>
        </w:rPr>
        <w:t>。</w:t>
      </w:r>
      <w:r>
        <w:rPr>
          <w:rFonts w:hint="default" w:ascii="Times New Roman" w:hAnsi="Times New Roman" w:cs="Times New Roman"/>
          <w:color w:val="000000" w:themeColor="text1"/>
          <w:kern w:val="0"/>
          <w:sz w:val="32"/>
          <w14:textFill>
            <w14:solidFill>
              <w14:schemeClr w14:val="tx1"/>
            </w14:solidFill>
          </w14:textFill>
        </w:rPr>
        <w:t>打造高效、安全、可靠的智能化震情会商服务系统平台。</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拓展地震预警信息服务</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提高烈度速报精准性和时效性，</w:t>
      </w:r>
      <w:r>
        <w:rPr>
          <w:rFonts w:hint="default" w:ascii="Times New Roman" w:hAnsi="Times New Roman" w:cs="Times New Roman"/>
          <w:color w:val="000000" w:themeColor="text1"/>
          <w:kern w:val="0"/>
          <w:sz w:val="32"/>
          <w14:textFill>
            <w14:solidFill>
              <w14:schemeClr w14:val="tx1"/>
            </w14:solidFill>
          </w14:textFill>
        </w:rPr>
        <w:t>深化</w:t>
      </w:r>
      <w:r>
        <w:rPr>
          <w:rFonts w:ascii="Times New Roman" w:hAnsi="Times New Roman" w:cs="Times New Roman"/>
          <w:color w:val="000000" w:themeColor="text1"/>
          <w:kern w:val="0"/>
          <w:sz w:val="32"/>
          <w14:textFill>
            <w14:solidFill>
              <w14:schemeClr w14:val="tx1"/>
            </w14:solidFill>
          </w14:textFill>
        </w:rPr>
        <w:t>行业</w:t>
      </w:r>
      <w:r>
        <w:rPr>
          <w:rFonts w:hint="default" w:ascii="Times New Roman" w:hAnsi="Times New Roman" w:cs="Times New Roman"/>
          <w:color w:val="000000" w:themeColor="text1"/>
          <w:kern w:val="0"/>
          <w:sz w:val="32"/>
          <w14:textFill>
            <w14:solidFill>
              <w14:schemeClr w14:val="tx1"/>
            </w14:solidFill>
          </w14:textFill>
        </w:rPr>
        <w:t>合作，拓展</w:t>
      </w:r>
      <w:r>
        <w:rPr>
          <w:rFonts w:ascii="Times New Roman" w:hAnsi="Times New Roman" w:cs="Times New Roman"/>
          <w:color w:val="000000" w:themeColor="text1"/>
          <w:kern w:val="0"/>
          <w:sz w:val="32"/>
          <w14:textFill>
            <w14:solidFill>
              <w14:schemeClr w14:val="tx1"/>
            </w14:solidFill>
          </w14:textFill>
        </w:rPr>
        <w:t>为</w:t>
      </w:r>
      <w:r>
        <w:rPr>
          <w:rFonts w:hint="default" w:ascii="Times New Roman" w:hAnsi="Times New Roman" w:cs="Times New Roman"/>
          <w:color w:val="000000" w:themeColor="text1"/>
          <w:kern w:val="0"/>
          <w:sz w:val="32"/>
          <w14:textFill>
            <w14:solidFill>
              <w14:schemeClr w14:val="tx1"/>
            </w14:solidFill>
          </w14:textFill>
        </w:rPr>
        <w:t>产业园区、能源、医疗、电力等行业</w:t>
      </w:r>
      <w:r>
        <w:rPr>
          <w:rFonts w:ascii="Times New Roman" w:hAnsi="Times New Roman" w:cs="Times New Roman"/>
          <w:color w:val="000000" w:themeColor="text1"/>
          <w:kern w:val="0"/>
          <w:sz w:val="32"/>
          <w14:textFill>
            <w14:solidFill>
              <w14:schemeClr w14:val="tx1"/>
            </w14:solidFill>
          </w14:textFill>
        </w:rPr>
        <w:t>提供专项地震预警和烈度速报服务</w:t>
      </w:r>
      <w:r>
        <w:rPr>
          <w:rFonts w:hint="default" w:ascii="Times New Roman" w:hAnsi="Times New Roman" w:cs="Times New Roman"/>
          <w:color w:val="000000" w:themeColor="text1"/>
          <w:kern w:val="0"/>
          <w:sz w:val="32"/>
          <w14:textFill>
            <w14:solidFill>
              <w14:schemeClr w14:val="tx1"/>
            </w14:solidFill>
          </w14:textFill>
        </w:rPr>
        <w:t>，推广地震预警小程序应用</w:t>
      </w:r>
      <w:r>
        <w:rPr>
          <w:rFonts w:ascii="Times New Roman" w:hAnsi="Times New Roman" w:cs="Times New Roman"/>
          <w:color w:val="000000" w:themeColor="text1"/>
          <w:kern w:val="0"/>
          <w:sz w:val="32"/>
          <w14:textFill>
            <w14:solidFill>
              <w14:schemeClr w14:val="tx1"/>
            </w14:solidFill>
          </w14:textFill>
        </w:rPr>
        <w:t>，</w:t>
      </w:r>
      <w:r>
        <w:rPr>
          <w:rFonts w:hint="default" w:ascii="Times New Roman" w:hAnsi="Times New Roman" w:cs="Times New Roman"/>
          <w:color w:val="000000" w:themeColor="text1"/>
          <w:kern w:val="0"/>
          <w:sz w:val="32"/>
          <w14:textFill>
            <w14:solidFill>
              <w14:schemeClr w14:val="tx1"/>
            </w14:solidFill>
          </w14:textFill>
        </w:rPr>
        <w:t>服务玉溪市重大项目实施与产业发展</w:t>
      </w:r>
      <w:r>
        <w:rPr>
          <w:rFonts w:ascii="Times New Roman" w:hAnsi="Times New Roman" w:cs="Times New Roman"/>
          <w:color w:val="000000" w:themeColor="text1"/>
          <w:kern w:val="0"/>
          <w:sz w:val="32"/>
          <w14:textFill>
            <w14:solidFill>
              <w14:schemeClr w14:val="tx1"/>
            </w14:solidFill>
          </w14:textFill>
        </w:rPr>
        <w:t>，增强地震预警和烈度速报的减灾实效。</w:t>
      </w:r>
    </w:p>
    <w:p>
      <w:pPr>
        <w:pStyle w:val="4"/>
        <w:keepNext/>
        <w:keepLines w:val="0"/>
        <w:pageBreakBefore w:val="0"/>
        <w:widowControl w:val="0"/>
        <w:tabs>
          <w:tab w:val="clear" w:pos="8844"/>
        </w:tabs>
        <w:kinsoku/>
        <w:wordWrap/>
        <w:overflowPunct w:val="0"/>
        <w:topLinePunct w:val="0"/>
        <w:autoSpaceDE/>
        <w:autoSpaceDN/>
        <w:bidi w:val="0"/>
        <w:adjustRightInd w:val="0"/>
        <w:snapToGrid w:val="0"/>
        <w:spacing w:before="0" w:after="0" w:line="240" w:lineRule="auto"/>
        <w:ind w:firstLine="714"/>
        <w:jc w:val="both"/>
        <w:textAlignment w:val="auto"/>
        <w:rPr>
          <w:rFonts w:hint="eastAsia" w:ascii="方正仿宋_GBK" w:hAnsi="方正仿宋_GBK" w:eastAsia="方正仿宋_GBK" w:cs="方正仿宋_GBK"/>
          <w:bCs/>
          <w:color w:val="000000" w:themeColor="text1"/>
          <w:sz w:val="32"/>
          <w14:textFill>
            <w14:solidFill>
              <w14:schemeClr w14:val="tx1"/>
            </w14:solidFill>
          </w14:textFill>
        </w:rPr>
      </w:pPr>
      <w:bookmarkStart w:id="58" w:name="_Toc7248"/>
      <w:r>
        <w:rPr>
          <w:rFonts w:hint="default" w:ascii="Times New Roman" w:hAnsi="Times New Roman" w:eastAsia="方正仿宋_GBK" w:cs="Times New Roman"/>
          <w:bCs/>
          <w:color w:val="000000" w:themeColor="text1"/>
          <w:sz w:val="32"/>
          <w14:textFill>
            <w14:solidFill>
              <w14:schemeClr w14:val="tx1"/>
            </w14:solidFill>
          </w14:textFill>
        </w:rPr>
        <w:t>2.</w:t>
      </w:r>
      <w:r>
        <w:rPr>
          <w:rFonts w:hint="eastAsia" w:ascii="方正仿宋_GBK" w:hAnsi="方正仿宋_GBK" w:eastAsia="方正仿宋_GBK" w:cs="方正仿宋_GBK"/>
          <w:bCs/>
          <w:color w:val="000000" w:themeColor="text1"/>
          <w:sz w:val="32"/>
          <w14:textFill>
            <w14:solidFill>
              <w14:schemeClr w14:val="tx1"/>
            </w14:solidFill>
          </w14:textFill>
        </w:rPr>
        <w:t>增强地震灾害防御能力</w:t>
      </w:r>
      <w:bookmarkEnd w:id="58"/>
    </w:p>
    <w:p>
      <w:pPr>
        <w:keepLines w:val="0"/>
        <w:pageBreakBefore w:val="0"/>
        <w:widowControl w:val="0"/>
        <w:kinsoku/>
        <w:wordWrap/>
        <w:topLinePunct w:val="0"/>
        <w:autoSpaceDE/>
        <w:autoSpaceDN/>
        <w:bidi w:val="0"/>
        <w:spacing w:line="240" w:lineRule="auto"/>
        <w:ind w:firstLine="714"/>
        <w:jc w:val="both"/>
        <w:textAlignment w:val="auto"/>
        <w:rPr>
          <w:color w:val="000000" w:themeColor="text1"/>
          <w:sz w:val="32"/>
          <w:szCs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夯实探查基础</w:t>
      </w:r>
      <w:r>
        <w:rPr>
          <w:rFonts w:hint="eastAsia"/>
          <w:color w:val="000000" w:themeColor="text1"/>
          <w:sz w:val="32"/>
          <w:szCs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推进重点地区活动断裂精细探测，建设玉溪市活动断裂信息管理系统。开展重要建筑物、重要基础设施等承灾体调查，建立重要承灾体地震灾害风险隐患数据库。</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强化地震风险区划和评估</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推进第六代全国地震动参数区划图的宣传培训应用工作。开展年度重点危险区地震灾害损失预评估、县域地震灾害风险精细化预评估，逐步推进开展城市地震灾害情景构建。</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提高抗震设防管理水平</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聚焦工业</w:t>
      </w:r>
      <w:r>
        <w:rPr>
          <w:rFonts w:hint="default" w:ascii="Times New Roman" w:hAnsi="Times New Roman" w:cs="Times New Roman"/>
          <w:color w:val="000000" w:themeColor="text1"/>
          <w:kern w:val="0"/>
          <w:sz w:val="32"/>
          <w14:textFill>
            <w14:solidFill>
              <w14:schemeClr w14:val="tx1"/>
            </w14:solidFill>
          </w14:textFill>
        </w:rPr>
        <w:t>园区、</w:t>
      </w:r>
      <w:r>
        <w:rPr>
          <w:rFonts w:ascii="Times New Roman" w:hAnsi="Times New Roman" w:cs="Times New Roman"/>
          <w:color w:val="000000" w:themeColor="text1"/>
          <w:kern w:val="0"/>
          <w:sz w:val="32"/>
          <w14:textFill>
            <w14:solidFill>
              <w14:schemeClr w14:val="tx1"/>
            </w14:solidFill>
          </w14:textFill>
        </w:rPr>
        <w:t>交通、能源等高质量发展支撑行业，落实选址、设计、建设运行</w:t>
      </w:r>
      <w:r>
        <w:rPr>
          <w:rFonts w:hint="default" w:ascii="Times New Roman" w:hAnsi="Times New Roman" w:cs="Times New Roman"/>
          <w:color w:val="000000" w:themeColor="text1"/>
          <w:kern w:val="0"/>
          <w:sz w:val="32"/>
          <w14:textFill>
            <w14:solidFill>
              <w14:schemeClr w14:val="tx1"/>
            </w14:solidFill>
          </w14:textFill>
        </w:rPr>
        <w:t>各</w:t>
      </w:r>
      <w:r>
        <w:rPr>
          <w:rFonts w:ascii="Times New Roman" w:hAnsi="Times New Roman" w:cs="Times New Roman"/>
          <w:color w:val="000000" w:themeColor="text1"/>
          <w:kern w:val="0"/>
          <w:sz w:val="32"/>
          <w14:textFill>
            <w14:solidFill>
              <w14:schemeClr w14:val="tx1"/>
            </w14:solidFill>
          </w14:textFill>
        </w:rPr>
        <w:t>阶段</w:t>
      </w:r>
      <w:r>
        <w:rPr>
          <w:rFonts w:hint="default" w:ascii="Times New Roman" w:hAnsi="Times New Roman" w:cs="Times New Roman"/>
          <w:color w:val="000000" w:themeColor="text1"/>
          <w:kern w:val="0"/>
          <w:sz w:val="32"/>
          <w14:textFill>
            <w14:solidFill>
              <w14:schemeClr w14:val="tx1"/>
            </w14:solidFill>
          </w14:textFill>
        </w:rPr>
        <w:t>的</w:t>
      </w:r>
      <w:r>
        <w:rPr>
          <w:rFonts w:ascii="Times New Roman" w:hAnsi="Times New Roman" w:cs="Times New Roman"/>
          <w:color w:val="000000" w:themeColor="text1"/>
          <w:kern w:val="0"/>
          <w:sz w:val="32"/>
          <w14:textFill>
            <w14:solidFill>
              <w14:schemeClr w14:val="tx1"/>
            </w14:solidFill>
          </w14:textFill>
        </w:rPr>
        <w:t>地震安全</w:t>
      </w:r>
      <w:r>
        <w:rPr>
          <w:rFonts w:hint="default" w:ascii="Times New Roman" w:hAnsi="Times New Roman" w:cs="Times New Roman"/>
          <w:color w:val="000000" w:themeColor="text1"/>
          <w:kern w:val="0"/>
          <w:sz w:val="32"/>
          <w14:textFill>
            <w14:solidFill>
              <w14:schemeClr w14:val="tx1"/>
            </w14:solidFill>
          </w14:textFill>
        </w:rPr>
        <w:t>监管，开展重大基础设施抗震性能动态监测评估</w:t>
      </w:r>
      <w:r>
        <w:rPr>
          <w:rFonts w:ascii="Times New Roman" w:hAnsi="Times New Roman" w:cs="Times New Roman"/>
          <w:color w:val="000000" w:themeColor="text1"/>
          <w:kern w:val="0"/>
          <w:sz w:val="32"/>
          <w14:textFill>
            <w14:solidFill>
              <w14:schemeClr w14:val="tx1"/>
            </w14:solidFill>
          </w14:textFill>
        </w:rPr>
        <w:t>。扩大减隔震、结构健康诊断等先进技术应用覆盖，强化高层建筑、</w:t>
      </w:r>
      <w:r>
        <w:rPr>
          <w:rFonts w:hint="default" w:ascii="Times New Roman" w:hAnsi="Times New Roman" w:cs="Times New Roman"/>
          <w:color w:val="000000" w:themeColor="text1"/>
          <w:kern w:val="0"/>
          <w:sz w:val="32"/>
          <w14:textFill>
            <w14:solidFill>
              <w14:schemeClr w14:val="tx1"/>
            </w14:solidFill>
          </w14:textFill>
        </w:rPr>
        <w:t>公共设施、文物建筑、</w:t>
      </w:r>
      <w:r>
        <w:rPr>
          <w:rFonts w:ascii="Times New Roman" w:hAnsi="Times New Roman" w:cs="Times New Roman"/>
          <w:color w:val="000000" w:themeColor="text1"/>
          <w:kern w:val="0"/>
          <w:sz w:val="32"/>
          <w14:textFill>
            <w14:solidFill>
              <w14:schemeClr w14:val="tx1"/>
            </w14:solidFill>
          </w14:textFill>
        </w:rPr>
        <w:t>大型综合体安全防控技术赋能。健全地震灾害风险管控机制，加强地震致灾因素规避，合理划定防灾避难空间。强化事中事后监管，构建</w:t>
      </w:r>
      <w:r>
        <w:rPr>
          <w:rFonts w:hint="default" w:ascii="Times New Roman" w:hAnsi="Times New Roman" w:cs="Times New Roman"/>
          <w:color w:val="000000" w:themeColor="text1"/>
          <w:kern w:val="0"/>
          <w:sz w:val="32"/>
          <w14:textFill>
            <w14:solidFill>
              <w14:schemeClr w14:val="tx1"/>
            </w14:solidFill>
          </w14:textFill>
        </w:rPr>
        <w:t>多</w:t>
      </w:r>
      <w:r>
        <w:rPr>
          <w:rFonts w:ascii="Times New Roman" w:hAnsi="Times New Roman" w:cs="Times New Roman"/>
          <w:color w:val="000000" w:themeColor="text1"/>
          <w:kern w:val="0"/>
          <w:sz w:val="32"/>
          <w14:textFill>
            <w14:solidFill>
              <w14:schemeClr w14:val="tx1"/>
            </w14:solidFill>
          </w14:textFill>
        </w:rPr>
        <w:t>部门</w:t>
      </w:r>
      <w:r>
        <w:rPr>
          <w:rFonts w:hint="default" w:ascii="Times New Roman" w:hAnsi="Times New Roman" w:cs="Times New Roman"/>
          <w:color w:val="000000" w:themeColor="text1"/>
          <w:kern w:val="0"/>
          <w:sz w:val="32"/>
          <w14:textFill>
            <w14:solidFill>
              <w14:schemeClr w14:val="tx1"/>
            </w14:solidFill>
          </w14:textFill>
        </w:rPr>
        <w:t>的联合</w:t>
      </w:r>
      <w:r>
        <w:rPr>
          <w:rFonts w:ascii="Times New Roman" w:hAnsi="Times New Roman" w:cs="Times New Roman"/>
          <w:color w:val="000000" w:themeColor="text1"/>
          <w:kern w:val="0"/>
          <w:sz w:val="32"/>
          <w14:textFill>
            <w14:solidFill>
              <w14:schemeClr w14:val="tx1"/>
            </w14:solidFill>
          </w14:textFill>
        </w:rPr>
        <w:t>监管体系。</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增强城乡地震安全韧性</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推进城镇房屋抗震加固，全面强化城镇基础设施抗震性能、功能快速恢复能力以及关键部位防护水平</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加强农村房屋抗震设防管理，</w:t>
      </w:r>
      <w:r>
        <w:rPr>
          <w:rFonts w:hint="default" w:ascii="Times New Roman" w:hAnsi="Times New Roman" w:cs="Times New Roman"/>
          <w:color w:val="000000" w:themeColor="text1"/>
          <w:kern w:val="0"/>
          <w:sz w:val="32"/>
          <w14:textFill>
            <w14:solidFill>
              <w14:schemeClr w14:val="tx1"/>
            </w14:solidFill>
          </w14:textFill>
        </w:rPr>
        <w:t>探索适合玉溪市的自建房抗震设计、建设、加固实用技术方法</w:t>
      </w:r>
      <w:r>
        <w:rPr>
          <w:rFonts w:ascii="Times New Roman" w:hAnsi="Times New Roman" w:cs="Times New Roman"/>
          <w:color w:val="000000" w:themeColor="text1"/>
          <w:kern w:val="0"/>
          <w:sz w:val="32"/>
          <w14:textFill>
            <w14:solidFill>
              <w14:schemeClr w14:val="tx1"/>
            </w14:solidFill>
          </w14:textFill>
        </w:rPr>
        <w:t>，常态化开展既有农村房屋地震安全隐患排查整治。</w:t>
      </w:r>
    </w:p>
    <w:p>
      <w:pPr>
        <w:pStyle w:val="4"/>
        <w:keepNext/>
        <w:keepLines w:val="0"/>
        <w:pageBreakBefore w:val="0"/>
        <w:widowControl w:val="0"/>
        <w:tabs>
          <w:tab w:val="clear" w:pos="8844"/>
        </w:tabs>
        <w:kinsoku/>
        <w:wordWrap/>
        <w:overflowPunct w:val="0"/>
        <w:topLinePunct w:val="0"/>
        <w:autoSpaceDE/>
        <w:autoSpaceDN/>
        <w:bidi w:val="0"/>
        <w:adjustRightInd w:val="0"/>
        <w:snapToGrid w:val="0"/>
        <w:spacing w:before="0" w:after="0" w:line="240" w:lineRule="auto"/>
        <w:ind w:firstLine="714"/>
        <w:jc w:val="both"/>
        <w:textAlignment w:val="auto"/>
        <w:rPr>
          <w:rFonts w:hint="eastAsia" w:ascii="方正仿宋_GBK" w:hAnsi="方正仿宋_GBK" w:eastAsia="方正仿宋_GBK" w:cs="方正仿宋_GBK"/>
          <w:bCs/>
          <w:color w:val="000000" w:themeColor="text1"/>
          <w:sz w:val="32"/>
          <w14:textFill>
            <w14:solidFill>
              <w14:schemeClr w14:val="tx1"/>
            </w14:solidFill>
          </w14:textFill>
        </w:rPr>
      </w:pPr>
      <w:bookmarkStart w:id="59" w:name="_Toc6003"/>
      <w:r>
        <w:rPr>
          <w:rFonts w:hint="default" w:ascii="Times New Roman" w:hAnsi="Times New Roman" w:eastAsia="宋体" w:cs="Times New Roman"/>
          <w:bCs/>
          <w:color w:val="000000" w:themeColor="text1"/>
          <w:sz w:val="32"/>
          <w14:textFill>
            <w14:solidFill>
              <w14:schemeClr w14:val="tx1"/>
            </w14:solidFill>
          </w14:textFill>
        </w:rPr>
        <w:t>3.</w:t>
      </w:r>
      <w:r>
        <w:rPr>
          <w:rFonts w:hint="eastAsia" w:ascii="方正仿宋_GBK" w:hAnsi="方正仿宋_GBK" w:eastAsia="方正仿宋_GBK" w:cs="方正仿宋_GBK"/>
          <w:bCs/>
          <w:color w:val="000000" w:themeColor="text1"/>
          <w:sz w:val="32"/>
          <w14:textFill>
            <w14:solidFill>
              <w14:schemeClr w14:val="tx1"/>
            </w14:solidFill>
          </w14:textFill>
        </w:rPr>
        <w:t>加强地震灾害处置能力</w:t>
      </w:r>
      <w:bookmarkEnd w:id="59"/>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完善应急体制机制建设。</w:t>
      </w:r>
      <w:r>
        <w:rPr>
          <w:rFonts w:ascii="Times New Roman" w:hAnsi="Times New Roman" w:cs="Times New Roman"/>
          <w:color w:val="000000" w:themeColor="text1"/>
          <w:kern w:val="0"/>
          <w:sz w:val="32"/>
          <w14:textFill>
            <w14:solidFill>
              <w14:schemeClr w14:val="tx1"/>
            </w14:solidFill>
          </w14:textFill>
        </w:rPr>
        <w:t>落实地震灾害</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123</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快速响应机制、地震预警</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5618</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紧急叫应叫醒机制，规范各责任主体间协同联动</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结合</w:t>
      </w:r>
      <w:r>
        <w:rPr>
          <w:rFonts w:hint="default" w:ascii="Times New Roman" w:hAnsi="Times New Roman" w:cs="Times New Roman"/>
          <w:color w:val="000000" w:themeColor="text1"/>
          <w:kern w:val="0"/>
          <w:sz w:val="32"/>
          <w14:textFill>
            <w14:solidFill>
              <w14:schemeClr w14:val="tx1"/>
            </w14:solidFill>
          </w14:textFill>
        </w:rPr>
        <w:t>实际需求和行业标准</w:t>
      </w:r>
      <w:r>
        <w:rPr>
          <w:rFonts w:ascii="Times New Roman" w:hAnsi="Times New Roman" w:cs="Times New Roman"/>
          <w:color w:val="000000" w:themeColor="text1"/>
          <w:kern w:val="0"/>
          <w:sz w:val="32"/>
          <w14:textFill>
            <w14:solidFill>
              <w14:schemeClr w14:val="tx1"/>
            </w14:solidFill>
          </w14:textFill>
        </w:rPr>
        <w:t>，动态修订完善地震应急预案及配套处置方案</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重点优化大震巨灾场景下的响应流程、资源调配机制，</w:t>
      </w:r>
      <w:r>
        <w:rPr>
          <w:rFonts w:hint="default" w:ascii="Times New Roman" w:hAnsi="Times New Roman" w:cs="Times New Roman"/>
          <w:color w:val="000000" w:themeColor="text1"/>
          <w:kern w:val="0"/>
          <w:sz w:val="32"/>
          <w14:textFill>
            <w14:solidFill>
              <w14:schemeClr w14:val="tx1"/>
            </w14:solidFill>
          </w14:textFill>
        </w:rPr>
        <w:t>保证预案“有衔接</w:t>
      </w:r>
      <w:r>
        <w:rPr>
          <w:rFonts w:ascii="Times New Roman" w:hAnsi="Times New Roman" w:cs="Times New Roman"/>
          <w:color w:val="000000" w:themeColor="text1"/>
          <w:kern w:val="0"/>
          <w:sz w:val="32"/>
          <w14:textFill>
            <w14:solidFill>
              <w14:schemeClr w14:val="tx1"/>
            </w14:solidFill>
          </w14:textFill>
        </w:rPr>
        <w:t>、可操作、能落地、真管用</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。开展常态化实战化应急演练，提升事件处置</w:t>
      </w:r>
      <w:r>
        <w:rPr>
          <w:rFonts w:hint="default" w:ascii="Times New Roman" w:hAnsi="Times New Roman" w:cs="Times New Roman"/>
          <w:color w:val="000000" w:themeColor="text1"/>
          <w:kern w:val="0"/>
          <w:sz w:val="32"/>
          <w14:textFill>
            <w14:solidFill>
              <w14:schemeClr w14:val="tx1"/>
            </w14:solidFill>
          </w14:textFill>
        </w:rPr>
        <w:t>实效</w:t>
      </w:r>
      <w:r>
        <w:rPr>
          <w:rFonts w:ascii="Times New Roman" w:hAnsi="Times New Roman" w:cs="Times New Roman"/>
          <w:color w:val="000000" w:themeColor="text1"/>
          <w:kern w:val="0"/>
          <w:sz w:val="32"/>
          <w14:textFill>
            <w14:solidFill>
              <w14:schemeClr w14:val="tx1"/>
            </w14:solidFill>
          </w14:textFill>
        </w:rPr>
        <w:t>。</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加强应急处置力量建设。</w:t>
      </w:r>
      <w:r>
        <w:rPr>
          <w:rFonts w:ascii="Times New Roman" w:hAnsi="Times New Roman" w:cs="Times New Roman"/>
          <w:color w:val="000000" w:themeColor="text1"/>
          <w:kern w:val="0"/>
          <w:sz w:val="32"/>
          <w14:textFill>
            <w14:solidFill>
              <w14:schemeClr w14:val="tx1"/>
            </w14:solidFill>
          </w14:textFill>
        </w:rPr>
        <w:t>持续推进基层</w:t>
      </w:r>
      <w:r>
        <w:rPr>
          <w:rFonts w:hint="default" w:ascii="Times New Roman" w:hAnsi="Times New Roman" w:cs="Times New Roman"/>
          <w:color w:val="000000" w:themeColor="text1"/>
          <w:kern w:val="0"/>
          <w:sz w:val="32"/>
          <w14:textFill>
            <w14:solidFill>
              <w14:schemeClr w14:val="tx1"/>
            </w14:solidFill>
          </w14:textFill>
        </w:rPr>
        <w:t>地震应急</w:t>
      </w:r>
      <w:r>
        <w:rPr>
          <w:rFonts w:ascii="Times New Roman" w:hAnsi="Times New Roman" w:cs="Times New Roman"/>
          <w:color w:val="000000" w:themeColor="text1"/>
          <w:kern w:val="0"/>
          <w:sz w:val="32"/>
          <w14:textFill>
            <w14:solidFill>
              <w14:schemeClr w14:val="tx1"/>
            </w14:solidFill>
          </w14:textFill>
        </w:rPr>
        <w:t>“第一响应人”队伍建设，实现县（市、区）、乡（镇、街道）、村（社区）全覆盖，构建常态化培养机制</w:t>
      </w:r>
      <w:r>
        <w:rPr>
          <w:rFonts w:hint="default" w:cs="Times New Roman"/>
          <w:color w:val="000000" w:themeColor="text1"/>
          <w:kern w:val="0"/>
          <w:sz w:val="32"/>
          <w:lang w:eastAsia="zh-CN"/>
          <w14:textFill>
            <w14:solidFill>
              <w14:schemeClr w14:val="tx1"/>
            </w14:solidFill>
          </w14:textFill>
        </w:rPr>
        <w:t>，</w:t>
      </w:r>
      <w:r>
        <w:rPr>
          <w:rFonts w:hint="default" w:ascii="Times New Roman" w:hAnsi="Times New Roman" w:cs="Times New Roman"/>
          <w:color w:val="000000"/>
          <w:kern w:val="0"/>
          <w:szCs w:val="32"/>
          <w:lang w:bidi="ar"/>
        </w:rPr>
        <w:t>全面建好、管好、用好</w:t>
      </w:r>
      <w:r>
        <w:rPr>
          <w:rFonts w:hint="default" w:cs="Times New Roman"/>
          <w:color w:val="000000"/>
          <w:kern w:val="0"/>
          <w:szCs w:val="32"/>
          <w:lang w:eastAsia="zh-CN" w:bidi="ar"/>
        </w:rPr>
        <w:t>“</w:t>
      </w:r>
      <w:r>
        <w:rPr>
          <w:rFonts w:hint="default" w:ascii="Times New Roman" w:hAnsi="Times New Roman" w:cs="Times New Roman"/>
          <w:color w:val="000000"/>
          <w:kern w:val="0"/>
          <w:szCs w:val="32"/>
          <w:lang w:bidi="ar"/>
        </w:rPr>
        <w:t>第一响应人</w:t>
      </w:r>
      <w:r>
        <w:rPr>
          <w:rFonts w:hint="default" w:cs="Times New Roman"/>
          <w:color w:val="000000"/>
          <w:kern w:val="0"/>
          <w:szCs w:val="32"/>
          <w:lang w:eastAsia="zh-CN" w:bidi="ar"/>
        </w:rPr>
        <w:t>”</w:t>
      </w:r>
      <w:r>
        <w:rPr>
          <w:rFonts w:hint="default" w:ascii="Times New Roman" w:hAnsi="Times New Roman" w:cs="Times New Roman"/>
          <w:color w:val="000000"/>
          <w:kern w:val="0"/>
          <w:szCs w:val="32"/>
          <w:lang w:bidi="ar"/>
        </w:rPr>
        <w:t>队伍</w:t>
      </w:r>
      <w:r>
        <w:rPr>
          <w:rFonts w:hint="default" w:cs="Times New Roman"/>
          <w:color w:val="000000" w:themeColor="text1"/>
          <w:kern w:val="0"/>
          <w:sz w:val="32"/>
          <w:lang w:val="en-US" w:eastAsia="zh-CN"/>
          <w14:textFill>
            <w14:solidFill>
              <w14:schemeClr w14:val="tx1"/>
            </w14:solidFill>
          </w14:textFill>
        </w:rPr>
        <w:t>。</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提升应急响应保障能力。</w:t>
      </w:r>
      <w:r>
        <w:rPr>
          <w:rFonts w:ascii="Times New Roman" w:hAnsi="Times New Roman" w:cs="Times New Roman"/>
          <w:color w:val="000000" w:themeColor="text1"/>
          <w:kern w:val="0"/>
          <w:sz w:val="32"/>
          <w14:textFill>
            <w14:solidFill>
              <w14:schemeClr w14:val="tx1"/>
            </w14:solidFill>
          </w14:textFill>
        </w:rPr>
        <w:t>建立应急基础数据库</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动态更新+定期核验</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机制，为灾情评估、指挥决策提供精准数据</w:t>
      </w:r>
      <w:r>
        <w:rPr>
          <w:rFonts w:hint="default" w:ascii="Times New Roman" w:hAnsi="Times New Roman" w:cs="Times New Roman"/>
          <w:color w:val="000000" w:themeColor="text1"/>
          <w:kern w:val="0"/>
          <w:sz w:val="32"/>
          <w14:textFill>
            <w14:solidFill>
              <w14:schemeClr w14:val="tx1"/>
            </w14:solidFill>
          </w14:textFill>
        </w:rPr>
        <w:t>保障</w:t>
      </w:r>
      <w:r>
        <w:rPr>
          <w:rFonts w:ascii="Times New Roman" w:hAnsi="Times New Roman" w:cs="Times New Roman"/>
          <w:color w:val="000000" w:themeColor="text1"/>
          <w:kern w:val="0"/>
          <w:sz w:val="32"/>
          <w14:textFill>
            <w14:solidFill>
              <w14:schemeClr w14:val="tx1"/>
            </w14:solidFill>
          </w14:textFill>
        </w:rPr>
        <w:t>。</w:t>
      </w:r>
      <w:r>
        <w:rPr>
          <w:rFonts w:hint="default" w:ascii="Times New Roman" w:hAnsi="Times New Roman" w:cs="Times New Roman"/>
          <w:color w:val="000000" w:themeColor="text1"/>
          <w:kern w:val="0"/>
          <w:sz w:val="32"/>
          <w14:textFill>
            <w14:solidFill>
              <w14:schemeClr w14:val="tx1"/>
            </w14:solidFill>
          </w14:textFill>
        </w:rPr>
        <w:t>提升玉溪市应急指挥平台信息化智能化水平。</w:t>
      </w:r>
      <w:r>
        <w:rPr>
          <w:rFonts w:ascii="Times New Roman" w:hAnsi="Times New Roman" w:cs="Times New Roman"/>
          <w:color w:val="000000" w:themeColor="text1"/>
          <w:kern w:val="0"/>
          <w:sz w:val="32"/>
          <w14:textFill>
            <w14:solidFill>
              <w14:schemeClr w14:val="tx1"/>
            </w14:solidFill>
          </w14:textFill>
        </w:rPr>
        <w:t>推进地震现场工作信息化、标准化建设</w:t>
      </w:r>
      <w:r>
        <w:rPr>
          <w:rFonts w:hint="eastAsia" w:ascii="Times New Roman" w:hAnsi="Times New Roman" w:cs="Times New Roman"/>
          <w:color w:val="000000" w:themeColor="text1"/>
          <w:kern w:val="0"/>
          <w:sz w:val="32"/>
          <w:lang w:eastAsia="zh-CN"/>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提升极端场景下的</w:t>
      </w:r>
      <w:r>
        <w:rPr>
          <w:rFonts w:hint="default" w:ascii="Times New Roman" w:hAnsi="Times New Roman" w:cs="Times New Roman"/>
          <w:color w:val="000000" w:themeColor="text1"/>
          <w:kern w:val="0"/>
          <w:sz w:val="32"/>
          <w14:textFill>
            <w14:solidFill>
              <w14:schemeClr w14:val="tx1"/>
            </w14:solidFill>
          </w14:textFill>
        </w:rPr>
        <w:t>防震减灾现场工作队伍独立作战与</w:t>
      </w:r>
      <w:r>
        <w:rPr>
          <w:rFonts w:ascii="Times New Roman" w:hAnsi="Times New Roman" w:cs="Times New Roman"/>
          <w:color w:val="000000" w:themeColor="text1"/>
          <w:kern w:val="0"/>
          <w:sz w:val="32"/>
          <w14:textFill>
            <w14:solidFill>
              <w14:schemeClr w14:val="tx1"/>
            </w14:solidFill>
          </w14:textFill>
        </w:rPr>
        <w:t>持续</w:t>
      </w:r>
      <w:r>
        <w:rPr>
          <w:rFonts w:hint="default" w:ascii="Times New Roman" w:hAnsi="Times New Roman" w:cs="Times New Roman"/>
          <w:color w:val="000000" w:themeColor="text1"/>
          <w:kern w:val="0"/>
          <w:sz w:val="32"/>
          <w14:textFill>
            <w14:solidFill>
              <w14:schemeClr w14:val="tx1"/>
            </w14:solidFill>
          </w14:textFill>
        </w:rPr>
        <w:t>保障</w:t>
      </w:r>
      <w:r>
        <w:rPr>
          <w:rFonts w:ascii="Times New Roman" w:hAnsi="Times New Roman" w:cs="Times New Roman"/>
          <w:color w:val="000000" w:themeColor="text1"/>
          <w:kern w:val="0"/>
          <w:sz w:val="32"/>
          <w14:textFill>
            <w14:solidFill>
              <w14:schemeClr w14:val="tx1"/>
            </w14:solidFill>
          </w14:textFill>
        </w:rPr>
        <w:t>能力。</w:t>
      </w:r>
    </w:p>
    <w:p>
      <w:pPr>
        <w:pStyle w:val="4"/>
        <w:keepNext/>
        <w:keepLines w:val="0"/>
        <w:pageBreakBefore w:val="0"/>
        <w:widowControl w:val="0"/>
        <w:tabs>
          <w:tab w:val="clear" w:pos="8844"/>
        </w:tabs>
        <w:kinsoku/>
        <w:wordWrap/>
        <w:overflowPunct w:val="0"/>
        <w:topLinePunct w:val="0"/>
        <w:autoSpaceDE/>
        <w:autoSpaceDN/>
        <w:bidi w:val="0"/>
        <w:adjustRightInd w:val="0"/>
        <w:snapToGrid w:val="0"/>
        <w:spacing w:before="0" w:after="0" w:line="240" w:lineRule="auto"/>
        <w:ind w:firstLine="714"/>
        <w:jc w:val="both"/>
        <w:textAlignment w:val="auto"/>
        <w:rPr>
          <w:rFonts w:ascii="Times New Roman" w:hAnsi="Times New Roman" w:eastAsia="宋体" w:cs="Times New Roman"/>
          <w:bCs/>
          <w:color w:val="000000" w:themeColor="text1"/>
          <w:sz w:val="32"/>
          <w14:textFill>
            <w14:solidFill>
              <w14:schemeClr w14:val="tx1"/>
            </w14:solidFill>
          </w14:textFill>
        </w:rPr>
      </w:pPr>
      <w:bookmarkStart w:id="60" w:name="_Toc950"/>
      <w:r>
        <w:rPr>
          <w:rFonts w:hint="default" w:ascii="Times New Roman" w:hAnsi="Times New Roman" w:eastAsia="宋体" w:cs="Times New Roman"/>
          <w:bCs/>
          <w:color w:val="000000" w:themeColor="text1"/>
          <w:sz w:val="32"/>
          <w14:textFill>
            <w14:solidFill>
              <w14:schemeClr w14:val="tx1"/>
            </w14:solidFill>
          </w14:textFill>
        </w:rPr>
        <w:t>4.</w:t>
      </w:r>
      <w:r>
        <w:rPr>
          <w:rFonts w:hint="eastAsia" w:ascii="方正仿宋_GBK" w:hAnsi="方正仿宋_GBK" w:eastAsia="方正仿宋_GBK" w:cs="方正仿宋_GBK"/>
          <w:bCs/>
          <w:color w:val="000000" w:themeColor="text1"/>
          <w:sz w:val="32"/>
          <w14:textFill>
            <w14:solidFill>
              <w14:schemeClr w14:val="tx1"/>
            </w14:solidFill>
          </w14:textFill>
        </w:rPr>
        <w:t>强化</w:t>
      </w:r>
      <w:r>
        <w:rPr>
          <w:rFonts w:hint="eastAsia" w:ascii="方正仿宋_GBK" w:hAnsi="方正仿宋_GBK" w:cs="方正仿宋_GBK"/>
          <w:bCs/>
          <w:color w:val="000000" w:themeColor="text1"/>
          <w:sz w:val="32"/>
          <w:lang w:eastAsia="zh-CN"/>
          <w14:textFill>
            <w14:solidFill>
              <w14:schemeClr w14:val="tx1"/>
            </w14:solidFill>
          </w14:textFill>
        </w:rPr>
        <w:t>科普</w:t>
      </w:r>
      <w:r>
        <w:rPr>
          <w:rFonts w:hint="eastAsia" w:ascii="方正仿宋_GBK" w:hAnsi="方正仿宋_GBK" w:eastAsia="方正仿宋_GBK" w:cs="方正仿宋_GBK"/>
          <w:bCs/>
          <w:color w:val="000000" w:themeColor="text1"/>
          <w:sz w:val="32"/>
          <w14:textFill>
            <w14:solidFill>
              <w14:schemeClr w14:val="tx1"/>
            </w14:solidFill>
          </w14:textFill>
        </w:rPr>
        <w:t>服务能力</w:t>
      </w:r>
      <w:bookmarkEnd w:id="60"/>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筑牢科普阵地。</w:t>
      </w:r>
      <w:r>
        <w:rPr>
          <w:rFonts w:ascii="Times New Roman" w:hAnsi="Times New Roman" w:cs="Times New Roman"/>
          <w:color w:val="000000" w:themeColor="text1"/>
          <w:kern w:val="0"/>
          <w:sz w:val="32"/>
          <w14:textFill>
            <w14:solidFill>
              <w14:schemeClr w14:val="tx1"/>
            </w14:solidFill>
          </w14:textFill>
        </w:rPr>
        <w:t>持续推进防震减灾科普馆升级改造，整合开发各地科普场所资源，打造涵盖市县两级的高质量防震减灾科普教育阵地，构建全域覆盖、全民参与的科普宣教体系。因地制宜开展跨界科普合作，建立科普共建共治共享机制。</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推进科普活动。</w:t>
      </w:r>
      <w:r>
        <w:rPr>
          <w:rFonts w:ascii="Times New Roman" w:hAnsi="Times New Roman" w:cs="Times New Roman"/>
          <w:color w:val="000000" w:themeColor="text1"/>
          <w:kern w:val="0"/>
          <w:sz w:val="32"/>
          <w14:textFill>
            <w14:solidFill>
              <w14:schemeClr w14:val="tx1"/>
            </w14:solidFill>
          </w14:textFill>
        </w:rPr>
        <w:t>深入推进防震减灾科普</w:t>
      </w:r>
      <w:r>
        <w:rPr>
          <w:rFonts w:hint="eastAsia" w:cs="Times New Roman"/>
          <w:color w:val="000000" w:themeColor="text1"/>
          <w:kern w:val="0"/>
          <w:sz w:val="32"/>
          <w:lang w:eastAsia="zh-CN"/>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六进</w:t>
      </w:r>
      <w:r>
        <w:rPr>
          <w:rFonts w:hint="eastAsia" w:cs="Times New Roman"/>
          <w:color w:val="000000" w:themeColor="text1"/>
          <w:kern w:val="0"/>
          <w:sz w:val="32"/>
          <w:lang w:eastAsia="zh-CN"/>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活动，</w:t>
      </w:r>
      <w:r>
        <w:rPr>
          <w:rFonts w:hint="default" w:ascii="Times New Roman" w:hAnsi="Times New Roman" w:cs="Times New Roman"/>
          <w:color w:val="000000" w:themeColor="text1"/>
          <w:kern w:val="0"/>
          <w:sz w:val="32"/>
          <w14:textFill>
            <w14:solidFill>
              <w14:schemeClr w14:val="tx1"/>
            </w14:solidFill>
          </w14:textFill>
        </w:rPr>
        <w:t>保证科普宣传</w:t>
      </w:r>
      <w:r>
        <w:rPr>
          <w:rFonts w:ascii="Times New Roman" w:hAnsi="Times New Roman" w:cs="Times New Roman"/>
          <w:color w:val="000000" w:themeColor="text1"/>
          <w:kern w:val="0"/>
          <w:sz w:val="32"/>
          <w14:textFill>
            <w14:solidFill>
              <w14:schemeClr w14:val="tx1"/>
            </w14:solidFill>
          </w14:textFill>
        </w:rPr>
        <w:t>常态化、制度化，围绕全国防灾减灾日、地震纪念日等重点时段组织开展专题科普宣传</w:t>
      </w:r>
      <w:r>
        <w:rPr>
          <w:rFonts w:hint="default" w:ascii="Times New Roman" w:hAnsi="Times New Roman" w:cs="Times New Roman"/>
          <w:color w:val="000000" w:themeColor="text1"/>
          <w:kern w:val="0"/>
          <w:sz w:val="32"/>
          <w14:textFill>
            <w14:solidFill>
              <w14:schemeClr w14:val="tx1"/>
            </w14:solidFill>
          </w14:textFill>
        </w:rPr>
        <w:t>、研学实践、主题讲演、技能竞赛等活动，</w:t>
      </w:r>
      <w:r>
        <w:rPr>
          <w:rFonts w:ascii="Times New Roman" w:hAnsi="Times New Roman" w:cs="Times New Roman"/>
          <w:color w:val="000000" w:themeColor="text1"/>
          <w:kern w:val="0"/>
          <w:sz w:val="32"/>
          <w14:textFill>
            <w14:solidFill>
              <w14:schemeClr w14:val="tx1"/>
            </w14:solidFill>
          </w14:textFill>
        </w:rPr>
        <w:t>切实提升公众应急避险和自救互救能力</w:t>
      </w:r>
      <w:r>
        <w:rPr>
          <w:rFonts w:hint="default" w:ascii="Times New Roman" w:hAnsi="Times New Roman" w:cs="Times New Roman"/>
          <w:color w:val="000000" w:themeColor="text1"/>
          <w:kern w:val="0"/>
          <w:sz w:val="32"/>
          <w14:textFill>
            <w14:solidFill>
              <w14:schemeClr w14:val="tx1"/>
            </w14:solidFill>
          </w14:textFill>
        </w:rPr>
        <w:t>。</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丰富科普产品。</w:t>
      </w:r>
      <w:r>
        <w:rPr>
          <w:rFonts w:ascii="Times New Roman" w:hAnsi="Times New Roman" w:cs="Times New Roman"/>
          <w:color w:val="000000" w:themeColor="text1"/>
          <w:kern w:val="0"/>
          <w14:textFill>
            <w14:solidFill>
              <w14:schemeClr w14:val="tx1"/>
            </w14:solidFill>
          </w14:textFill>
        </w:rPr>
        <w:t>推动防震减灾科普产品开发与应用，创新科普宣传载体和形式，充分利用新媒体、短视频、科普短剧、知识竞赛等方式扩大科普宣传覆盖面和影响力，强化防震减灾与融媒体交流合作，加强舆论引导，筑牢涉震舆论安全防线。</w:t>
      </w:r>
    </w:p>
    <w:p>
      <w:pPr>
        <w:pStyle w:val="4"/>
        <w:keepNext/>
        <w:keepLines w:val="0"/>
        <w:pageBreakBefore w:val="0"/>
        <w:widowControl w:val="0"/>
        <w:tabs>
          <w:tab w:val="clear" w:pos="8844"/>
        </w:tabs>
        <w:kinsoku/>
        <w:wordWrap/>
        <w:overflowPunct w:val="0"/>
        <w:topLinePunct w:val="0"/>
        <w:autoSpaceDE/>
        <w:autoSpaceDN/>
        <w:bidi w:val="0"/>
        <w:adjustRightInd w:val="0"/>
        <w:snapToGrid w:val="0"/>
        <w:spacing w:before="0" w:after="0" w:line="240" w:lineRule="auto"/>
        <w:ind w:firstLine="714"/>
        <w:jc w:val="both"/>
        <w:textAlignment w:val="auto"/>
        <w:rPr>
          <w:rFonts w:hint="eastAsia" w:ascii="方正仿宋_GBK" w:hAnsi="方正仿宋_GBK" w:eastAsia="方正仿宋_GBK" w:cs="方正仿宋_GBK"/>
          <w:bCs/>
          <w:color w:val="000000" w:themeColor="text1"/>
          <w:sz w:val="32"/>
          <w14:textFill>
            <w14:solidFill>
              <w14:schemeClr w14:val="tx1"/>
            </w14:solidFill>
          </w14:textFill>
        </w:rPr>
      </w:pPr>
      <w:bookmarkStart w:id="61" w:name="_Toc3930"/>
      <w:r>
        <w:rPr>
          <w:rFonts w:hint="default" w:ascii="Times New Roman" w:hAnsi="Times New Roman" w:eastAsia="宋体" w:cs="Times New Roman"/>
          <w:bCs/>
          <w:color w:val="000000" w:themeColor="text1"/>
          <w:sz w:val="32"/>
          <w14:textFill>
            <w14:solidFill>
              <w14:schemeClr w14:val="tx1"/>
            </w14:solidFill>
          </w14:textFill>
        </w:rPr>
        <w:t>5.</w:t>
      </w:r>
      <w:r>
        <w:rPr>
          <w:rFonts w:hint="eastAsia" w:ascii="方正仿宋_GBK" w:hAnsi="方正仿宋_GBK" w:eastAsia="方正仿宋_GBK" w:cs="方正仿宋_GBK"/>
          <w:bCs/>
          <w:color w:val="000000" w:themeColor="text1"/>
          <w:sz w:val="32"/>
          <w14:textFill>
            <w14:solidFill>
              <w14:schemeClr w14:val="tx1"/>
            </w14:solidFill>
          </w14:textFill>
        </w:rPr>
        <w:t>强化科技应用和人才支撑</w:t>
      </w:r>
      <w:bookmarkEnd w:id="61"/>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加强科技成果应用。</w:t>
      </w:r>
      <w:r>
        <w:rPr>
          <w:rFonts w:ascii="Times New Roman" w:hAnsi="Times New Roman" w:cs="Times New Roman"/>
          <w:color w:val="000000" w:themeColor="text1"/>
          <w:kern w:val="0"/>
          <w:sz w:val="32"/>
          <w14:textFill>
            <w14:solidFill>
              <w14:schemeClr w14:val="tx1"/>
            </w14:solidFill>
          </w14:textFill>
        </w:rPr>
        <w:t>面向政府，提供震前防御、震时响应及震后救灾与恢复重建的决策服务。面向社会公众，拓展地震速报、预警信息及防震减灾科普宣传等公众服务。</w:t>
      </w:r>
      <w:r>
        <w:rPr>
          <w:rFonts w:hint="default" w:ascii="Times New Roman" w:hAnsi="Times New Roman" w:cs="Times New Roman"/>
          <w:color w:val="000000" w:themeColor="text1"/>
          <w:kern w:val="0"/>
          <w:sz w:val="32"/>
          <w14:textFill>
            <w14:solidFill>
              <w14:schemeClr w14:val="tx1"/>
            </w14:solidFill>
          </w14:textFill>
        </w:rPr>
        <w:t>面向行业领域，</w:t>
      </w:r>
      <w:r>
        <w:rPr>
          <w:rFonts w:ascii="Times New Roman" w:hAnsi="Times New Roman" w:cs="Times New Roman"/>
          <w:color w:val="000000" w:themeColor="text1"/>
          <w:kern w:val="0"/>
          <w:sz w:val="32"/>
          <w14:textFill>
            <w14:solidFill>
              <w14:schemeClr w14:val="tx1"/>
            </w14:solidFill>
          </w14:textFill>
        </w:rPr>
        <w:t>拓展能源、交通</w:t>
      </w:r>
      <w:r>
        <w:rPr>
          <w:rFonts w:hint="default" w:ascii="Times New Roman" w:hAnsi="Times New Roman" w:cs="Times New Roman"/>
          <w:color w:val="000000" w:themeColor="text1"/>
          <w:kern w:val="0"/>
          <w:sz w:val="32"/>
          <w14:textFill>
            <w14:solidFill>
              <w14:schemeClr w14:val="tx1"/>
            </w14:solidFill>
          </w14:textFill>
        </w:rPr>
        <w:t>运输</w:t>
      </w:r>
      <w:r>
        <w:rPr>
          <w:rFonts w:ascii="Times New Roman" w:hAnsi="Times New Roman" w:cs="Times New Roman"/>
          <w:color w:val="000000" w:themeColor="text1"/>
          <w:kern w:val="0"/>
          <w:sz w:val="32"/>
          <w14:textFill>
            <w14:solidFill>
              <w14:schemeClr w14:val="tx1"/>
            </w14:solidFill>
          </w14:textFill>
        </w:rPr>
        <w:t>、文</w:t>
      </w:r>
      <w:r>
        <w:rPr>
          <w:rFonts w:hint="default" w:ascii="Times New Roman" w:hAnsi="Times New Roman" w:cs="Times New Roman"/>
          <w:color w:val="000000" w:themeColor="text1"/>
          <w:kern w:val="0"/>
          <w:sz w:val="32"/>
          <w14:textFill>
            <w14:solidFill>
              <w14:schemeClr w14:val="tx1"/>
            </w14:solidFill>
          </w14:textFill>
        </w:rPr>
        <w:t>化和旅游</w:t>
      </w:r>
      <w:r>
        <w:rPr>
          <w:rFonts w:ascii="Times New Roman" w:hAnsi="Times New Roman" w:cs="Times New Roman"/>
          <w:color w:val="000000" w:themeColor="text1"/>
          <w:kern w:val="0"/>
          <w:sz w:val="32"/>
          <w14:textFill>
            <w14:solidFill>
              <w14:schemeClr w14:val="tx1"/>
            </w14:solidFill>
          </w14:textFill>
        </w:rPr>
        <w:t>等行业的地震专项服务，加大文物</w:t>
      </w:r>
      <w:r>
        <w:rPr>
          <w:rFonts w:hint="default" w:ascii="Times New Roman" w:hAnsi="Times New Roman" w:cs="Times New Roman"/>
          <w:color w:val="000000" w:themeColor="text1"/>
          <w:kern w:val="0"/>
          <w:sz w:val="32"/>
          <w14:textFill>
            <w14:solidFill>
              <w14:schemeClr w14:val="tx1"/>
            </w14:solidFill>
          </w14:textFill>
        </w:rPr>
        <w:t>和传统古村落</w:t>
      </w:r>
      <w:r>
        <w:rPr>
          <w:rFonts w:ascii="Times New Roman" w:hAnsi="Times New Roman" w:cs="Times New Roman"/>
          <w:color w:val="000000" w:themeColor="text1"/>
          <w:kern w:val="0"/>
          <w:sz w:val="32"/>
          <w14:textFill>
            <w14:solidFill>
              <w14:schemeClr w14:val="tx1"/>
            </w14:solidFill>
          </w14:textFill>
        </w:rPr>
        <w:t>防震保护力度</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面向桥梁、隧道等重大基础设施，强化结构健康诊断与地震安全性评价等专业服务。面向国家重大战略和重要活动，强化地震安全保障等专项服务。</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深化数智赋能。</w:t>
      </w:r>
      <w:r>
        <w:rPr>
          <w:rFonts w:ascii="Times New Roman" w:hAnsi="Times New Roman" w:cs="Times New Roman"/>
          <w:color w:val="000000" w:themeColor="text1"/>
          <w:kern w:val="0"/>
          <w:sz w:val="32"/>
          <w14:textFill>
            <w14:solidFill>
              <w14:schemeClr w14:val="tx1"/>
            </w14:solidFill>
          </w14:textFill>
        </w:rPr>
        <w:t>加强人工智能同防震减灾的融合赋能</w:t>
      </w:r>
      <w:r>
        <w:rPr>
          <w:rFonts w:hint="default" w:ascii="Times New Roman" w:hAnsi="Times New Roman" w:cs="Times New Roman"/>
          <w:color w:val="000000" w:themeColor="text1"/>
          <w:kern w:val="0"/>
          <w:sz w:val="32"/>
          <w14:textFill>
            <w14:solidFill>
              <w14:schemeClr w14:val="tx1"/>
            </w14:solidFill>
          </w14:textFill>
        </w:rPr>
        <w:t>，拓展人工智能应用场景，</w:t>
      </w:r>
      <w:r>
        <w:rPr>
          <w:rFonts w:ascii="Times New Roman" w:hAnsi="Times New Roman" w:cs="Times New Roman"/>
          <w:color w:val="000000" w:themeColor="text1"/>
          <w:kern w:val="0"/>
          <w:sz w:val="32"/>
          <w14:textFill>
            <w14:solidFill>
              <w14:schemeClr w14:val="tx1"/>
            </w14:solidFill>
          </w14:textFill>
        </w:rPr>
        <w:t>着力打造</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监测</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预报</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预警</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应急</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决策</w:t>
      </w:r>
      <w:r>
        <w:rPr>
          <w:rFonts w:hint="default" w:ascii="Times New Roman" w:hAnsi="Times New Roman" w:cs="Times New Roman"/>
          <w:color w:val="000000" w:themeColor="text1"/>
          <w:kern w:val="0"/>
          <w:sz w:val="32"/>
          <w14:textFill>
            <w14:solidFill>
              <w14:schemeClr w14:val="tx1"/>
            </w14:solidFill>
          </w14:textFill>
        </w:rPr>
        <w:t>”</w:t>
      </w:r>
      <w:r>
        <w:rPr>
          <w:rFonts w:ascii="Times New Roman" w:hAnsi="Times New Roman" w:cs="Times New Roman"/>
          <w:color w:val="000000" w:themeColor="text1"/>
          <w:kern w:val="0"/>
          <w:sz w:val="32"/>
          <w14:textFill>
            <w14:solidFill>
              <w14:schemeClr w14:val="tx1"/>
            </w14:solidFill>
          </w14:textFill>
        </w:rPr>
        <w:t>全链条智能化体系</w:t>
      </w:r>
      <w:r>
        <w:rPr>
          <w:rFonts w:hint="default" w:ascii="Times New Roman" w:hAnsi="Times New Roman" w:cs="Times New Roman"/>
          <w:color w:val="000000" w:themeColor="text1"/>
          <w:kern w:val="0"/>
          <w:sz w:val="32"/>
          <w14:textFill>
            <w14:solidFill>
              <w14:schemeClr w14:val="tx1"/>
            </w14:solidFill>
          </w14:textFill>
        </w:rPr>
        <w:t>。优化升级地震信息传输网络，提升核心业务数据传输效率与稳定性，</w:t>
      </w:r>
      <w:r>
        <w:rPr>
          <w:rFonts w:ascii="Times New Roman" w:hAnsi="Times New Roman" w:cs="Times New Roman"/>
          <w:color w:val="000000" w:themeColor="text1"/>
          <w:kern w:val="0"/>
          <w:sz w:val="32"/>
          <w14:textFill>
            <w14:solidFill>
              <w14:schemeClr w14:val="tx1"/>
            </w14:solidFill>
          </w14:textFill>
        </w:rPr>
        <w:t>提</w:t>
      </w:r>
      <w:r>
        <w:rPr>
          <w:rFonts w:hint="default" w:ascii="Times New Roman" w:hAnsi="Times New Roman" w:cs="Times New Roman"/>
          <w:color w:val="000000" w:themeColor="text1"/>
          <w:kern w:val="0"/>
          <w:sz w:val="32"/>
          <w14:textFill>
            <w14:solidFill>
              <w14:schemeClr w14:val="tx1"/>
            </w14:solidFill>
          </w14:textFill>
        </w:rPr>
        <w:t>高</w:t>
      </w:r>
      <w:r>
        <w:rPr>
          <w:rFonts w:ascii="Times New Roman" w:hAnsi="Times New Roman" w:cs="Times New Roman"/>
          <w:color w:val="000000" w:themeColor="text1"/>
          <w:kern w:val="0"/>
          <w:sz w:val="32"/>
          <w14:textFill>
            <w14:solidFill>
              <w14:schemeClr w14:val="tx1"/>
            </w14:solidFill>
          </w14:textFill>
        </w:rPr>
        <w:t>防震减灾信息化服务水平</w:t>
      </w:r>
      <w:r>
        <w:rPr>
          <w:rFonts w:hint="default" w:ascii="Times New Roman" w:hAnsi="Times New Roman" w:cs="Times New Roman"/>
          <w:color w:val="000000" w:themeColor="text1"/>
          <w:kern w:val="0"/>
          <w:sz w:val="32"/>
          <w14:textFill>
            <w14:solidFill>
              <w14:schemeClr w14:val="tx1"/>
            </w14:solidFill>
          </w14:textFill>
        </w:rPr>
        <w:t>。强化</w:t>
      </w:r>
      <w:r>
        <w:rPr>
          <w:rFonts w:ascii="Times New Roman" w:hAnsi="Times New Roman" w:cs="Times New Roman"/>
          <w:color w:val="000000" w:themeColor="text1"/>
          <w:kern w:val="0"/>
          <w:sz w:val="32"/>
          <w14:textFill>
            <w14:solidFill>
              <w14:schemeClr w14:val="tx1"/>
            </w14:solidFill>
          </w14:textFill>
        </w:rPr>
        <w:t>地震</w:t>
      </w:r>
      <w:r>
        <w:rPr>
          <w:rFonts w:hint="default" w:ascii="Times New Roman" w:hAnsi="Times New Roman" w:cs="Times New Roman"/>
          <w:color w:val="000000" w:themeColor="text1"/>
          <w:kern w:val="0"/>
          <w:sz w:val="32"/>
          <w14:textFill>
            <w14:solidFill>
              <w14:schemeClr w14:val="tx1"/>
            </w14:solidFill>
          </w14:textFill>
        </w:rPr>
        <w:t>网络安全防护管控，筑牢数据安全屏障。</w:t>
      </w:r>
    </w:p>
    <w:p>
      <w:pPr>
        <w:keepLines w:val="0"/>
        <w:pageBreakBefore w:val="0"/>
        <w:widowControl w:val="0"/>
        <w:kinsoku/>
        <w:wordWrap/>
        <w:topLinePunct w:val="0"/>
        <w:autoSpaceDE/>
        <w:autoSpaceDN/>
        <w:bidi w:val="0"/>
        <w:adjustRightInd w:val="0"/>
        <w:spacing w:line="240" w:lineRule="auto"/>
        <w:ind w:firstLine="714"/>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b/>
          <w:bCs/>
          <w:color w:val="000000" w:themeColor="text1"/>
          <w:kern w:val="0"/>
          <w:sz w:val="32"/>
          <w14:textFill>
            <w14:solidFill>
              <w14:schemeClr w14:val="tx1"/>
            </w14:solidFill>
          </w14:textFill>
        </w:rPr>
        <w:t>强化人才支撑。</w:t>
      </w:r>
      <w:r>
        <w:rPr>
          <w:rFonts w:ascii="Times New Roman" w:hAnsi="Times New Roman" w:cs="Times New Roman"/>
          <w:color w:val="000000" w:themeColor="text1"/>
          <w:kern w:val="0"/>
          <w:sz w:val="32"/>
          <w14:textFill>
            <w14:solidFill>
              <w14:schemeClr w14:val="tx1"/>
            </w14:solidFill>
          </w14:textFill>
        </w:rPr>
        <w:t>加大防震减灾人才培养力度，建强</w:t>
      </w:r>
      <w:r>
        <w:rPr>
          <w:rFonts w:hint="default" w:ascii="Times New Roman" w:hAnsi="Times New Roman" w:cs="Times New Roman"/>
          <w:color w:val="000000" w:themeColor="text1"/>
          <w:kern w:val="0"/>
          <w:sz w:val="32"/>
          <w14:textFill>
            <w14:solidFill>
              <w14:schemeClr w14:val="tx1"/>
            </w14:solidFill>
          </w14:textFill>
        </w:rPr>
        <w:t>管理人才、科技人才、科普人才</w:t>
      </w:r>
      <w:r>
        <w:rPr>
          <w:rFonts w:ascii="Times New Roman" w:hAnsi="Times New Roman" w:cs="Times New Roman"/>
          <w:color w:val="000000" w:themeColor="text1"/>
          <w:kern w:val="0"/>
          <w:sz w:val="32"/>
          <w14:textFill>
            <w14:solidFill>
              <w14:schemeClr w14:val="tx1"/>
            </w14:solidFill>
          </w14:textFill>
        </w:rPr>
        <w:t>队伍</w:t>
      </w:r>
      <w:r>
        <w:rPr>
          <w:rFonts w:hint="default" w:ascii="Times New Roman" w:hAnsi="Times New Roman" w:cs="Times New Roman"/>
          <w:color w:val="000000" w:themeColor="text1"/>
          <w:kern w:val="0"/>
          <w:sz w:val="32"/>
          <w14:textFill>
            <w14:solidFill>
              <w14:schemeClr w14:val="tx1"/>
            </w14:solidFill>
          </w14:textFill>
        </w:rPr>
        <w:t>，壮大基层灾害信息员、社工、志愿者等群防群治力量，</w:t>
      </w:r>
      <w:r>
        <w:rPr>
          <w:rFonts w:ascii="Times New Roman" w:hAnsi="Times New Roman" w:cs="Times New Roman"/>
          <w:color w:val="000000" w:themeColor="text1"/>
          <w:kern w:val="0"/>
          <w:sz w:val="32"/>
          <w14:textFill>
            <w14:solidFill>
              <w14:schemeClr w14:val="tx1"/>
            </w14:solidFill>
          </w14:textFill>
        </w:rPr>
        <w:t>完善人才激励机制，</w:t>
      </w:r>
      <w:r>
        <w:rPr>
          <w:rFonts w:hint="default" w:ascii="Times New Roman" w:hAnsi="Times New Roman" w:cs="Times New Roman"/>
          <w:color w:val="000000" w:themeColor="text1"/>
          <w:kern w:val="0"/>
          <w:sz w:val="32"/>
          <w14:textFill>
            <w14:solidFill>
              <w14:schemeClr w14:val="tx1"/>
            </w14:solidFill>
          </w14:textFill>
        </w:rPr>
        <w:t>不断优化队伍结构。</w:t>
      </w:r>
    </w:p>
    <w:p>
      <w:pPr>
        <w:pStyle w:val="4"/>
        <w:keepNext/>
        <w:keepLines w:val="0"/>
        <w:pageBreakBefore w:val="0"/>
        <w:widowControl w:val="0"/>
        <w:tabs>
          <w:tab w:val="clear" w:pos="8844"/>
        </w:tabs>
        <w:kinsoku/>
        <w:wordWrap/>
        <w:overflowPunct w:val="0"/>
        <w:topLinePunct w:val="0"/>
        <w:autoSpaceDE/>
        <w:autoSpaceDN/>
        <w:bidi w:val="0"/>
        <w:adjustRightInd w:val="0"/>
        <w:snapToGrid w:val="0"/>
        <w:spacing w:before="0" w:after="0" w:line="240" w:lineRule="auto"/>
        <w:ind w:firstLine="714"/>
        <w:jc w:val="both"/>
        <w:textAlignment w:val="auto"/>
        <w:rPr>
          <w:rFonts w:hint="eastAsia" w:ascii="方正仿宋_GBK" w:hAnsi="方正仿宋_GBK" w:eastAsia="方正仿宋_GBK" w:cs="方正仿宋_GBK"/>
          <w:bCs/>
          <w:color w:val="000000" w:themeColor="text1"/>
          <w:sz w:val="32"/>
          <w14:textFill>
            <w14:solidFill>
              <w14:schemeClr w14:val="tx1"/>
            </w14:solidFill>
          </w14:textFill>
        </w:rPr>
      </w:pPr>
      <w:bookmarkStart w:id="62" w:name="_Toc32470"/>
      <w:r>
        <w:rPr>
          <w:rFonts w:hint="default" w:ascii="Times New Roman" w:hAnsi="Times New Roman" w:eastAsia="宋体" w:cs="Times New Roman"/>
          <w:bCs/>
          <w:color w:val="000000" w:themeColor="text1"/>
          <w:sz w:val="32"/>
          <w14:textFill>
            <w14:solidFill>
              <w14:schemeClr w14:val="tx1"/>
            </w14:solidFill>
          </w14:textFill>
        </w:rPr>
        <w:t>6.</w:t>
      </w:r>
      <w:r>
        <w:rPr>
          <w:rFonts w:hint="eastAsia" w:ascii="方正仿宋_GBK" w:hAnsi="方正仿宋_GBK" w:eastAsia="方正仿宋_GBK" w:cs="方正仿宋_GBK"/>
          <w:bCs/>
          <w:color w:val="000000" w:themeColor="text1"/>
          <w:sz w:val="32"/>
          <w14:textFill>
            <w14:solidFill>
              <w14:schemeClr w14:val="tx1"/>
            </w14:solidFill>
          </w14:textFill>
        </w:rPr>
        <w:t>筑牢防震减灾法治保障</w:t>
      </w:r>
      <w:bookmarkEnd w:id="62"/>
    </w:p>
    <w:p>
      <w:pPr>
        <w:keepLines w:val="0"/>
        <w:pageBreakBefore w:val="0"/>
        <w:widowControl w:val="0"/>
        <w:kinsoku/>
        <w:wordWrap/>
        <w:topLinePunct w:val="0"/>
        <w:autoSpaceDE/>
        <w:autoSpaceDN/>
        <w:bidi w:val="0"/>
        <w:adjustRightInd w:val="0"/>
        <w:spacing w:line="240" w:lineRule="auto"/>
        <w:ind w:firstLine="712"/>
        <w:jc w:val="both"/>
        <w:textAlignment w:val="auto"/>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color w:val="000000" w:themeColor="text1"/>
          <w:kern w:val="0"/>
          <w:sz w:val="32"/>
          <w14:textFill>
            <w14:solidFill>
              <w14:schemeClr w14:val="tx1"/>
            </w14:solidFill>
          </w14:textFill>
        </w:rPr>
        <w:t>推动《云南省防震减灾条例》、《云南省建设工程抗震设防管理条例》、《云南省建设工程场地地震安全性评价管理规定》等法律法规的实施。依法加强地震监测设施、地震观测环境保护和建设工程抗震设防监管等重点领域行政执法。全面落实行政执法“三项制度”，实施防震减灾“互联网</w:t>
      </w:r>
      <w:r>
        <w:rPr>
          <w:rFonts w:ascii="Times New Roman" w:hAnsi="Times New Roman" w:cs="Times New Roman"/>
          <w:color w:val="000000" w:themeColor="text1"/>
          <w:kern w:val="0"/>
          <w:sz w:val="32"/>
          <w14:textFill>
            <w14:solidFill>
              <w14:schemeClr w14:val="tx1"/>
            </w14:solidFill>
          </w14:textFill>
        </w:rPr>
        <w:t>+监管”“互联网+执法”，实现事中事后常态化监管。组织开展防震减灾普法活动，增强社会各界防震减灾法治意识。</w:t>
      </w:r>
    </w:p>
    <w:bookmarkEnd w:id="47"/>
    <w:bookmarkEnd w:id="48"/>
    <w:bookmarkEnd w:id="49"/>
    <w:bookmarkEnd w:id="50"/>
    <w:bookmarkEnd w:id="51"/>
    <w:bookmarkEnd w:id="52"/>
    <w:bookmarkEnd w:id="53"/>
    <w:bookmarkEnd w:id="54"/>
    <w:p>
      <w:pPr>
        <w:keepLines w:val="0"/>
        <w:pageBreakBefore w:val="0"/>
        <w:widowControl w:val="0"/>
        <w:kinsoku/>
        <w:wordWrap/>
        <w:topLinePunct w:val="0"/>
        <w:autoSpaceDE/>
        <w:autoSpaceDN/>
        <w:bidi w:val="0"/>
        <w:spacing w:line="240" w:lineRule="auto"/>
        <w:ind w:firstLine="712"/>
        <w:jc w:val="both"/>
        <w:textAlignment w:val="auto"/>
        <w:outlineLvl w:val="0"/>
        <w:rPr>
          <w:rFonts w:ascii="Times New Roman" w:hAnsi="Times New Roman" w:eastAsia="方正黑体_GBK" w:cs="Times New Roman"/>
          <w:color w:val="000000" w:themeColor="text1"/>
          <w:kern w:val="44"/>
          <w:sz w:val="32"/>
          <w14:textFill>
            <w14:solidFill>
              <w14:schemeClr w14:val="tx1"/>
            </w14:solidFill>
          </w14:textFill>
        </w:rPr>
      </w:pPr>
      <w:bookmarkStart w:id="63" w:name="_Toc23208"/>
      <w:bookmarkStart w:id="64" w:name="_Toc20011"/>
      <w:bookmarkStart w:id="65" w:name="_Toc16134"/>
      <w:bookmarkStart w:id="66" w:name="_Toc18260"/>
      <w:bookmarkStart w:id="67" w:name="_Toc18583"/>
      <w:bookmarkStart w:id="68" w:name="_Toc11801"/>
      <w:bookmarkStart w:id="69" w:name="_Toc16553"/>
      <w:bookmarkStart w:id="70" w:name="_Toc25112"/>
      <w:bookmarkStart w:id="71" w:name="_Toc32432"/>
      <w:r>
        <w:rPr>
          <w:rFonts w:hint="default" w:ascii="Times New Roman" w:hAnsi="Times New Roman" w:eastAsia="方正黑体_GBK" w:cs="Times New Roman"/>
          <w:color w:val="000000" w:themeColor="text1"/>
          <w:kern w:val="44"/>
          <w:sz w:val="32"/>
          <w14:textFill>
            <w14:solidFill>
              <w14:schemeClr w14:val="tx1"/>
            </w14:solidFill>
          </w14:textFill>
        </w:rPr>
        <w:t>四、重点工程项目</w:t>
      </w:r>
      <w:bookmarkEnd w:id="45"/>
      <w:bookmarkEnd w:id="63"/>
      <w:bookmarkEnd w:id="64"/>
      <w:bookmarkEnd w:id="65"/>
      <w:bookmarkEnd w:id="66"/>
      <w:bookmarkEnd w:id="67"/>
      <w:bookmarkEnd w:id="68"/>
      <w:bookmarkEnd w:id="69"/>
      <w:bookmarkEnd w:id="70"/>
      <w:bookmarkEnd w:id="71"/>
    </w:p>
    <w:p>
      <w:pPr>
        <w:keepLines w:val="0"/>
        <w:pageBreakBefore w:val="0"/>
        <w:widowControl w:val="0"/>
        <w:kinsoku/>
        <w:wordWrap/>
        <w:topLinePunct w:val="0"/>
        <w:autoSpaceDE/>
        <w:autoSpaceDN/>
        <w:bidi w:val="0"/>
        <w:spacing w:line="240" w:lineRule="auto"/>
        <w:ind w:firstLine="712"/>
        <w:jc w:val="both"/>
        <w:textAlignment w:val="auto"/>
        <w:outlineLvl w:val="1"/>
        <w:rPr>
          <w:rFonts w:ascii="Times New Roman" w:hAnsi="Times New Roman" w:eastAsia="方正楷体_GBK" w:cs="Times New Roman"/>
          <w:color w:val="000000" w:themeColor="text1"/>
          <w:kern w:val="0"/>
          <w:sz w:val="32"/>
          <w14:textFill>
            <w14:solidFill>
              <w14:schemeClr w14:val="tx1"/>
            </w14:solidFill>
          </w14:textFill>
        </w:rPr>
      </w:pPr>
      <w:bookmarkStart w:id="72" w:name="_Toc13234"/>
      <w:bookmarkStart w:id="73" w:name="_Toc3402"/>
      <w:bookmarkStart w:id="74" w:name="_Toc8959"/>
      <w:bookmarkStart w:id="75" w:name="_Toc18710"/>
      <w:bookmarkStart w:id="76" w:name="_Toc18525"/>
      <w:bookmarkStart w:id="77" w:name="_Toc10464"/>
      <w:bookmarkStart w:id="78" w:name="_Toc17744"/>
      <w:bookmarkStart w:id="79" w:name="_Toc13808"/>
      <w:bookmarkStart w:id="80" w:name="_Toc16394"/>
      <w:bookmarkStart w:id="81" w:name="_Toc64618147"/>
      <w:r>
        <w:rPr>
          <w:rFonts w:ascii="Times New Roman" w:hAnsi="Times New Roman" w:eastAsia="方正楷体_GBK" w:cs="Times New Roman"/>
          <w:color w:val="000000" w:themeColor="text1"/>
          <w:kern w:val="0"/>
          <w:sz w:val="32"/>
          <w14:textFill>
            <w14:solidFill>
              <w14:schemeClr w14:val="tx1"/>
            </w14:solidFill>
          </w14:textFill>
        </w:rPr>
        <w:t>（一）多学科地震监测预报预警能力提升工程</w:t>
      </w:r>
      <w:bookmarkEnd w:id="72"/>
      <w:bookmarkEnd w:id="73"/>
      <w:bookmarkEnd w:id="74"/>
      <w:bookmarkEnd w:id="75"/>
      <w:bookmarkEnd w:id="76"/>
      <w:bookmarkEnd w:id="77"/>
      <w:bookmarkEnd w:id="78"/>
      <w:bookmarkEnd w:id="79"/>
      <w:bookmarkEnd w:id="80"/>
    </w:p>
    <w:p>
      <w:pPr>
        <w:keepLines w:val="0"/>
        <w:pageBreakBefore w:val="0"/>
        <w:widowControl w:val="0"/>
        <w:kinsoku/>
        <w:wordWrap/>
        <w:topLinePunct w:val="0"/>
        <w:autoSpaceDE/>
        <w:autoSpaceDN/>
        <w:bidi w:val="0"/>
        <w:adjustRightInd w:val="0"/>
        <w:spacing w:line="240" w:lineRule="auto"/>
        <w:ind w:firstLine="712"/>
        <w:jc w:val="both"/>
        <w:textAlignment w:val="auto"/>
        <w:rPr>
          <w:rFonts w:ascii="Times New Roman" w:hAnsi="Times New Roman" w:cs="Times New Roman"/>
          <w:color w:val="000000" w:themeColor="text1"/>
          <w:kern w:val="0"/>
          <w:sz w:val="32"/>
          <w14:textFill>
            <w14:solidFill>
              <w14:schemeClr w14:val="tx1"/>
            </w14:solidFill>
          </w14:textFill>
        </w:rPr>
      </w:pPr>
      <w:r>
        <w:rPr>
          <w:rFonts w:ascii="Times New Roman" w:hAnsi="Times New Roman" w:cs="Times New Roman"/>
          <w:color w:val="000000" w:themeColor="text1"/>
          <w:kern w:val="0"/>
          <w:sz w:val="32"/>
          <w14:textFill>
            <w14:solidFill>
              <w14:schemeClr w14:val="tx1"/>
            </w14:solidFill>
          </w14:textFill>
        </w:rPr>
        <w:t>织密地震观测布局网络，提升观测手段智能化水平，综合提高观测数据质量。强化重点区域前兆异常分析研判支撑。</w:t>
      </w:r>
      <w:r>
        <w:rPr>
          <w:rFonts w:hint="default" w:ascii="Times New Roman" w:hAnsi="Times New Roman" w:cs="Times New Roman"/>
          <w:color w:val="000000" w:themeColor="text1"/>
          <w:kern w:val="0"/>
          <w:sz w:val="32"/>
          <w14:textFill>
            <w14:solidFill>
              <w14:schemeClr w14:val="tx1"/>
            </w14:solidFill>
          </w14:textFill>
        </w:rPr>
        <w:t>推进</w:t>
      </w:r>
      <w:r>
        <w:rPr>
          <w:rFonts w:ascii="Times New Roman" w:hAnsi="Times New Roman" w:cs="Times New Roman"/>
          <w:color w:val="000000" w:themeColor="text1"/>
          <w:kern w:val="0"/>
          <w:sz w:val="32"/>
          <w14:textFill>
            <w14:solidFill>
              <w14:schemeClr w14:val="tx1"/>
            </w14:solidFill>
          </w14:textFill>
        </w:rPr>
        <w:t>新技术、新方法</w:t>
      </w:r>
      <w:r>
        <w:rPr>
          <w:rFonts w:hint="default" w:ascii="Times New Roman" w:hAnsi="Times New Roman" w:cs="Times New Roman"/>
          <w:color w:val="000000" w:themeColor="text1"/>
          <w:kern w:val="0"/>
          <w:sz w:val="32"/>
          <w14:textFill>
            <w14:solidFill>
              <w14:schemeClr w14:val="tx1"/>
            </w14:solidFill>
          </w14:textFill>
        </w:rPr>
        <w:t>在数字台网、监测数据管理系统、震情会商服务中</w:t>
      </w:r>
      <w:r>
        <w:rPr>
          <w:rFonts w:ascii="Times New Roman" w:hAnsi="Times New Roman" w:cs="Times New Roman"/>
          <w:color w:val="000000" w:themeColor="text1"/>
          <w:kern w:val="0"/>
          <w:sz w:val="32"/>
          <w14:textFill>
            <w14:solidFill>
              <w14:schemeClr w14:val="tx1"/>
            </w14:solidFill>
          </w14:textFill>
        </w:rPr>
        <w:t>的应用</w:t>
      </w:r>
      <w:r>
        <w:rPr>
          <w:rFonts w:hint="default" w:ascii="Times New Roman" w:hAnsi="Times New Roman" w:cs="Times New Roman"/>
          <w:color w:val="000000" w:themeColor="text1"/>
          <w:kern w:val="0"/>
          <w:sz w:val="32"/>
          <w14:textFill>
            <w14:solidFill>
              <w14:schemeClr w14:val="tx1"/>
            </w14:solidFill>
          </w14:textFill>
        </w:rPr>
        <w:t>，筑牢</w:t>
      </w:r>
      <w:r>
        <w:rPr>
          <w:rFonts w:ascii="Times New Roman" w:hAnsi="Times New Roman" w:cs="Times New Roman"/>
          <w:color w:val="000000" w:themeColor="text1"/>
          <w:kern w:val="0"/>
          <w:sz w:val="32"/>
          <w14:textFill>
            <w14:solidFill>
              <w14:schemeClr w14:val="tx1"/>
            </w14:solidFill>
          </w14:textFill>
        </w:rPr>
        <w:t>基层</w:t>
      </w:r>
      <w:r>
        <w:rPr>
          <w:rFonts w:hint="default" w:ascii="Times New Roman" w:hAnsi="Times New Roman" w:cs="Times New Roman"/>
          <w:color w:val="000000" w:themeColor="text1"/>
          <w:kern w:val="0"/>
          <w:sz w:val="32"/>
          <w14:textFill>
            <w14:solidFill>
              <w14:schemeClr w14:val="tx1"/>
            </w14:solidFill>
          </w14:textFill>
        </w:rPr>
        <w:t>业务在网络系统和服务平台等方面的保障</w:t>
      </w:r>
      <w:r>
        <w:rPr>
          <w:rFonts w:ascii="Times New Roman" w:hAnsi="Times New Roman" w:cs="Times New Roman"/>
          <w:color w:val="000000" w:themeColor="text1"/>
          <w:kern w:val="0"/>
          <w:sz w:val="32"/>
          <w14:textFill>
            <w14:solidFill>
              <w14:schemeClr w14:val="tx1"/>
            </w14:solidFill>
          </w14:textFill>
        </w:rPr>
        <w:t>。</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0" w:type="dxa"/>
          </w:tcPr>
          <w:p>
            <w:pPr>
              <w:spacing w:line="360" w:lineRule="auto"/>
              <w:ind w:firstLine="0" w:firstLineChars="0"/>
              <w:jc w:val="center"/>
              <w:rPr>
                <w:rFonts w:ascii="Times New Roman" w:hAnsi="Times New Roman" w:eastAsia="微软雅黑"/>
                <w:color w:val="000000" w:themeColor="text1"/>
                <w14:textFill>
                  <w14:solidFill>
                    <w14:schemeClr w14:val="tx1"/>
                  </w14:solidFill>
                </w14:textFill>
              </w:rPr>
            </w:pPr>
            <w:bookmarkStart w:id="82" w:name="_Toc31519"/>
            <w:bookmarkStart w:id="83" w:name="_Toc12656"/>
            <w:bookmarkStart w:id="84" w:name="_Toc5815"/>
            <w:r>
              <w:rPr>
                <w:rFonts w:hint="eastAsia" w:ascii="方正小标宋_GBK" w:hAnsi="方正小标宋_GBK" w:eastAsia="方正小标宋_GBK" w:cs="方正小标宋_GBK"/>
                <w:b w:val="0"/>
                <w:bCs w:val="0"/>
                <w:color w:val="000000" w:themeColor="text1"/>
                <w:sz w:val="32"/>
                <w:szCs w:val="32"/>
                <w14:textFill>
                  <w14:solidFill>
                    <w14:schemeClr w14:val="tx1"/>
                  </w14:solidFill>
                </w14:textFill>
              </w:rPr>
              <w:t>专栏1 多学科地震监测预报预警能力提升工程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0" w:type="dxa"/>
          </w:tcPr>
          <w:p>
            <w:pPr>
              <w:autoSpaceDE w:val="0"/>
              <w:autoSpaceDN w:val="0"/>
              <w:adjustRightInd w:val="0"/>
              <w:ind w:firstLine="594"/>
              <w:rPr>
                <w:rFonts w:hint="default" w:ascii="Times New Roman" w:hAnsi="Times New Roman" w:eastAsia="方正楷体_GBK" w:cs="Times New Roman"/>
                <w:color w:val="000000" w:themeColor="text1"/>
                <w:sz w:val="28"/>
                <w:szCs w:val="28"/>
                <w14:textFill>
                  <w14:solidFill>
                    <w14:schemeClr w14:val="tx1"/>
                  </w14:solidFill>
                </w14:textFill>
              </w:rPr>
            </w:pPr>
            <w:r>
              <w:rPr>
                <w:rFonts w:hint="eastAsia" w:ascii="方正楷体_GBK" w:hAnsi="方正楷体_GBK" w:eastAsia="方正楷体_GBK" w:cs="方正楷体_GBK"/>
                <w:b/>
                <w:bCs/>
                <w:color w:val="000000" w:themeColor="text1"/>
                <w:sz w:val="28"/>
                <w:szCs w:val="28"/>
                <w14:textFill>
                  <w14:solidFill>
                    <w14:schemeClr w14:val="tx1"/>
                  </w14:solidFill>
                </w14:textFill>
              </w:rPr>
              <w:t>综合立体观测网络建设项目</w:t>
            </w:r>
            <w:r>
              <w:rPr>
                <w:rFonts w:hint="eastAsia" w:ascii="方正楷体_GBK" w:hAnsi="方正楷体_GBK" w:eastAsia="方正楷体_GBK" w:cs="方正楷体_GBK"/>
                <w:color w:val="000000" w:themeColor="text1"/>
                <w:sz w:val="28"/>
                <w:szCs w:val="28"/>
                <w14:textFill>
                  <w14:solidFill>
                    <w14:schemeClr w14:val="tx1"/>
                  </w14:solidFill>
                </w14:textFill>
              </w:rPr>
              <w:t>：</w:t>
            </w:r>
            <w:r>
              <w:rPr>
                <w:rFonts w:hint="default" w:ascii="Times New Roman" w:hAnsi="Times New Roman" w:eastAsia="方正楷体_GBK" w:cs="Times New Roman"/>
                <w:color w:val="000000" w:themeColor="text1"/>
                <w:sz w:val="28"/>
                <w:szCs w:val="28"/>
                <w14:textFill>
                  <w14:solidFill>
                    <w14:schemeClr w14:val="tx1"/>
                  </w14:solidFill>
                </w14:textFill>
              </w:rPr>
              <w:t>持续推进落实中国地震科学实验场建设云南项目在玉溪市的工作部署。打造涵盖地球物理、地震地质、地球化学等多学科的综合立体观测网络。对辖区内重点地球物理场观测站、测震站，22 个强震动台站，以及 20 处龙潭、温泉等水化学观测点实施管理优化；依托云南地震台宏观观测点改造项目，完成玉溪市40个宏观观测点智能化升级；构建覆盖重点区域的“专群结合”体系。布设多学科观测设备，初步实现多学科联合和多测项融合发展。</w:t>
            </w:r>
          </w:p>
          <w:p>
            <w:pPr>
              <w:autoSpaceDE w:val="0"/>
              <w:autoSpaceDN w:val="0"/>
              <w:adjustRightInd w:val="0"/>
              <w:ind w:firstLine="594"/>
              <w:rPr>
                <w:rFonts w:hint="default" w:ascii="Times New Roman" w:hAnsi="Times New Roman" w:eastAsia="方正楷体_GBK" w:cs="Times New Roman"/>
                <w:color w:val="000000" w:themeColor="text1"/>
                <w:sz w:val="28"/>
                <w:szCs w:val="28"/>
                <w14:textFill>
                  <w14:solidFill>
                    <w14:schemeClr w14:val="tx1"/>
                  </w14:solidFill>
                </w14:textFill>
              </w:rPr>
            </w:pPr>
            <w:r>
              <w:rPr>
                <w:rFonts w:hint="eastAsia" w:ascii="方正楷体_GBK" w:hAnsi="方正楷体_GBK" w:eastAsia="方正楷体_GBK" w:cs="方正楷体_GBK"/>
                <w:b/>
                <w:bCs/>
                <w:color w:val="000000" w:themeColor="text1"/>
                <w:sz w:val="28"/>
                <w:szCs w:val="28"/>
                <w14:textFill>
                  <w14:solidFill>
                    <w14:schemeClr w14:val="tx1"/>
                  </w14:solidFill>
                </w14:textFill>
              </w:rPr>
              <w:t>重点区域监测系统能力强化项目：</w:t>
            </w:r>
            <w:r>
              <w:rPr>
                <w:rFonts w:hint="default" w:ascii="Times New Roman" w:hAnsi="Times New Roman" w:eastAsia="方正楷体_GBK" w:cs="Times New Roman"/>
                <w:color w:val="000000" w:themeColor="text1"/>
                <w:sz w:val="28"/>
                <w:szCs w:val="28"/>
                <w14:textFill>
                  <w14:solidFill>
                    <w14:schemeClr w14:val="tx1"/>
                  </w14:solidFill>
                </w14:textFill>
              </w:rPr>
              <w:t>对曲江断裂等发震风险高的活动断裂及其周缘地区开展重点监测，布设包含形变、流体等多种观测仪器的密集台阵，用于监测地壳形变、地下流体变化等地震前兆信息。</w:t>
            </w:r>
          </w:p>
          <w:p>
            <w:pPr>
              <w:autoSpaceDE w:val="0"/>
              <w:autoSpaceDN w:val="0"/>
              <w:adjustRightInd w:val="0"/>
              <w:ind w:firstLine="594"/>
              <w:rPr>
                <w:rFonts w:ascii="Times New Roman" w:hAnsi="Times New Roman" w:eastAsia="楷体"/>
                <w:color w:val="000000" w:themeColor="text1"/>
                <w:sz w:val="24"/>
                <w14:textFill>
                  <w14:solidFill>
                    <w14:schemeClr w14:val="tx1"/>
                  </w14:solidFill>
                </w14:textFill>
              </w:rPr>
            </w:pPr>
            <w:r>
              <w:rPr>
                <w:rFonts w:hint="eastAsia" w:ascii="方正楷体_GBK" w:hAnsi="方正楷体_GBK" w:eastAsia="方正楷体_GBK" w:cs="方正楷体_GBK"/>
                <w:b/>
                <w:bCs/>
                <w:color w:val="000000" w:themeColor="text1"/>
                <w:sz w:val="28"/>
                <w:szCs w:val="28"/>
                <w14:textFill>
                  <w14:solidFill>
                    <w14:schemeClr w14:val="tx1"/>
                  </w14:solidFill>
                </w14:textFill>
              </w:rPr>
              <w:t>防震减灾智能化业务能力建设项目：</w:t>
            </w:r>
            <w:r>
              <w:rPr>
                <w:rFonts w:hint="default" w:ascii="Times New Roman" w:hAnsi="Times New Roman" w:eastAsia="方正楷体_GBK" w:cs="Times New Roman"/>
                <w:color w:val="000000" w:themeColor="text1"/>
                <w:sz w:val="28"/>
                <w:szCs w:val="28"/>
                <w14:textFill>
                  <w14:solidFill>
                    <w14:schemeClr w14:val="tx1"/>
                  </w14:solidFill>
                </w14:textFill>
              </w:rPr>
              <w:t>对现有数字台网中心升级改造，改扩建机房并增补软硬件设备，建设监测数据管理系统与震情会商服务平台，强化网络安全保障，全面提升全市地震监测预报信息化支撑能力。</w:t>
            </w:r>
          </w:p>
        </w:tc>
      </w:tr>
      <w:bookmarkEnd w:id="82"/>
      <w:bookmarkEnd w:id="83"/>
      <w:bookmarkEnd w:id="84"/>
    </w:tbl>
    <w:p>
      <w:pPr>
        <w:ind w:firstLine="712"/>
        <w:outlineLvl w:val="1"/>
        <w:rPr>
          <w:rFonts w:ascii="Times New Roman" w:hAnsi="Times New Roman" w:eastAsia="方正楷体_GBK" w:cs="Times New Roman"/>
          <w:color w:val="000000" w:themeColor="text1"/>
          <w:kern w:val="0"/>
          <w:sz w:val="32"/>
          <w14:textFill>
            <w14:solidFill>
              <w14:schemeClr w14:val="tx1"/>
            </w14:solidFill>
          </w14:textFill>
        </w:rPr>
      </w:pPr>
      <w:bookmarkStart w:id="85" w:name="_Toc6907"/>
      <w:bookmarkStart w:id="86" w:name="_Toc27852"/>
      <w:bookmarkStart w:id="87" w:name="_Toc18020"/>
      <w:bookmarkStart w:id="88" w:name="_Toc20643"/>
      <w:bookmarkStart w:id="89" w:name="_Toc31510"/>
      <w:bookmarkStart w:id="90" w:name="_Toc24026"/>
      <w:bookmarkStart w:id="91" w:name="_Toc3065"/>
      <w:bookmarkStart w:id="92" w:name="_Toc25027"/>
      <w:bookmarkStart w:id="93" w:name="_Toc16942"/>
      <w:bookmarkStart w:id="94" w:name="_Toc64618153"/>
      <w:r>
        <w:rPr>
          <w:rFonts w:ascii="Times New Roman" w:hAnsi="Times New Roman" w:eastAsia="方正楷体_GBK" w:cs="Times New Roman"/>
          <w:color w:val="000000" w:themeColor="text1"/>
          <w:kern w:val="0"/>
          <w:sz w:val="32"/>
          <w14:textFill>
            <w14:solidFill>
              <w14:schemeClr w14:val="tx1"/>
            </w14:solidFill>
          </w14:textFill>
        </w:rPr>
        <w:t>（二）地震灾害风险应对与韧性城乡建设工程</w:t>
      </w:r>
      <w:bookmarkEnd w:id="85"/>
      <w:bookmarkEnd w:id="86"/>
      <w:bookmarkEnd w:id="87"/>
      <w:bookmarkEnd w:id="88"/>
      <w:bookmarkEnd w:id="89"/>
      <w:bookmarkEnd w:id="90"/>
      <w:bookmarkEnd w:id="91"/>
      <w:bookmarkEnd w:id="92"/>
      <w:bookmarkEnd w:id="93"/>
    </w:p>
    <w:p>
      <w:pPr>
        <w:adjustRightInd w:val="0"/>
        <w:spacing w:line="530" w:lineRule="exact"/>
        <w:ind w:firstLine="712"/>
        <w:rPr>
          <w:rFonts w:ascii="Times New Roman" w:hAnsi="Times New Roman" w:cs="Times New Roman"/>
          <w:color w:val="000000" w:themeColor="text1"/>
          <w:kern w:val="0"/>
          <w:sz w:val="32"/>
          <w14:textFill>
            <w14:solidFill>
              <w14:schemeClr w14:val="tx1"/>
            </w14:solidFill>
          </w14:textFill>
        </w:rPr>
      </w:pPr>
      <w:r>
        <w:rPr>
          <w:rFonts w:ascii="Times New Roman" w:hAnsi="Times New Roman" w:cs="Times New Roman"/>
          <w:color w:val="000000" w:themeColor="text1"/>
          <w:kern w:val="0"/>
          <w:sz w:val="32"/>
          <w14:textFill>
            <w14:solidFill>
              <w14:schemeClr w14:val="tx1"/>
            </w14:solidFill>
          </w14:textFill>
        </w:rPr>
        <w:t>查明城乡隐伏断层分布情况，服务玉溪市城乡发展规划。综合提升玉溪应对大震灾害的韧性防御能力。保障地震应急决策处置效能，强化基层响应处置能力。</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0" w:type="dxa"/>
          </w:tcPr>
          <w:p>
            <w:pPr>
              <w:spacing w:line="360" w:lineRule="auto"/>
              <w:ind w:firstLine="0" w:firstLineChars="0"/>
              <w:jc w:val="center"/>
              <w:rPr>
                <w:rFonts w:ascii="Times New Roman" w:hAnsi="Times New Roman" w:eastAsia="微软雅黑"/>
                <w:color w:val="000000" w:themeColor="text1"/>
                <w14:textFill>
                  <w14:solidFill>
                    <w14:schemeClr w14:val="tx1"/>
                  </w14:solidFill>
                </w14:textFill>
              </w:rPr>
            </w:pPr>
            <w:bookmarkStart w:id="95" w:name="_Toc26175"/>
            <w:bookmarkStart w:id="96" w:name="_Toc24787"/>
            <w:bookmarkStart w:id="97" w:name="_Toc9398"/>
            <w:r>
              <w:rPr>
                <w:rFonts w:hint="eastAsia" w:ascii="方正小标宋_GBK" w:hAnsi="方正小标宋_GBK" w:eastAsia="方正小标宋_GBK" w:cs="方正小标宋_GBK"/>
                <w:b w:val="0"/>
                <w:bCs w:val="0"/>
                <w:color w:val="000000" w:themeColor="text1"/>
                <w:sz w:val="32"/>
                <w:szCs w:val="32"/>
                <w14:textFill>
                  <w14:solidFill>
                    <w14:schemeClr w14:val="tx1"/>
                  </w14:solidFill>
                </w14:textFill>
              </w:rPr>
              <w:t>专栏2 地震灾害风险应对与韧性城乡建设工程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0" w:type="dxa"/>
          </w:tcPr>
          <w:p>
            <w:pPr>
              <w:autoSpaceDE w:val="0"/>
              <w:autoSpaceDN w:val="0"/>
              <w:adjustRightInd w:val="0"/>
              <w:ind w:firstLine="594"/>
              <w:rPr>
                <w:rFonts w:hint="default" w:ascii="Times New Roman" w:hAnsi="Times New Roman" w:eastAsia="方正楷体_GBK" w:cs="Times New Roman"/>
                <w:color w:val="000000" w:themeColor="text1"/>
                <w:sz w:val="28"/>
                <w:szCs w:val="28"/>
                <w14:textFill>
                  <w14:solidFill>
                    <w14:schemeClr w14:val="tx1"/>
                  </w14:solidFill>
                </w14:textFill>
              </w:rPr>
            </w:pPr>
            <w:r>
              <w:rPr>
                <w:rFonts w:hint="eastAsia" w:ascii="方正楷体_GBK" w:hAnsi="方正楷体_GBK" w:eastAsia="方正楷体_GBK" w:cs="方正楷体_GBK"/>
                <w:b/>
                <w:bCs/>
                <w:color w:val="000000" w:themeColor="text1"/>
                <w:sz w:val="28"/>
                <w:szCs w:val="28"/>
                <w14:textFill>
                  <w14:solidFill>
                    <w14:schemeClr w14:val="tx1"/>
                  </w14:solidFill>
                </w14:textFill>
              </w:rPr>
              <w:t>城区活动断层精确定位与影响评价工程：</w:t>
            </w:r>
            <w:r>
              <w:rPr>
                <w:rFonts w:hint="default" w:ascii="Times New Roman" w:hAnsi="Times New Roman" w:eastAsia="方正楷体_GBK" w:cs="Times New Roman"/>
                <w:color w:val="000000" w:themeColor="text1"/>
                <w:sz w:val="28"/>
                <w:szCs w:val="28"/>
                <w14:textFill>
                  <w14:solidFill>
                    <w14:schemeClr w14:val="tx1"/>
                  </w14:solidFill>
                </w14:textFill>
              </w:rPr>
              <w:t>通过高分辨率遥感解译、地质地貌调查、浅层地震勘探、钻孔联合剖面探测、槽探、地层和地貌年代测定、跨断层形变观测等手段，推进县（市、区）建成区实施城市活动断层精确定位与影响评价工程，查明隐伏断层分布情况，为城乡规划建设提供翔实的地震活动断层分布情况及避让工作建议。搭建活动断层信息管理平台，为玉溪市地震危险性分析、抗震设防、应急救灾以及危害性对策咨询提供数据管理和维护保障。</w:t>
            </w:r>
          </w:p>
          <w:p>
            <w:pPr>
              <w:autoSpaceDE w:val="0"/>
              <w:autoSpaceDN w:val="0"/>
              <w:adjustRightInd w:val="0"/>
              <w:ind w:firstLine="594"/>
              <w:rPr>
                <w:rFonts w:hint="default" w:ascii="Times New Roman" w:hAnsi="Times New Roman" w:eastAsia="方正楷体_GBK" w:cs="Times New Roman"/>
                <w:color w:val="000000" w:themeColor="text1"/>
                <w:sz w:val="28"/>
                <w:szCs w:val="28"/>
                <w14:textFill>
                  <w14:solidFill>
                    <w14:schemeClr w14:val="tx1"/>
                  </w14:solidFill>
                </w14:textFill>
              </w:rPr>
            </w:pPr>
            <w:r>
              <w:rPr>
                <w:rFonts w:hint="eastAsia" w:ascii="方正楷体_GBK" w:hAnsi="方正楷体_GBK" w:eastAsia="方正楷体_GBK" w:cs="方正楷体_GBK"/>
                <w:b/>
                <w:bCs/>
                <w:color w:val="000000" w:themeColor="text1"/>
                <w:sz w:val="28"/>
                <w:szCs w:val="28"/>
                <w14:textFill>
                  <w14:solidFill>
                    <w14:schemeClr w14:val="tx1"/>
                  </w14:solidFill>
                </w14:textFill>
              </w:rPr>
              <w:t>韧性城乡建设项目：</w:t>
            </w:r>
            <w:r>
              <w:rPr>
                <w:rFonts w:hint="default" w:ascii="Times New Roman" w:hAnsi="Times New Roman" w:eastAsia="方正楷体_GBK" w:cs="Times New Roman"/>
                <w:color w:val="000000" w:themeColor="text1"/>
                <w:sz w:val="28"/>
                <w:szCs w:val="28"/>
                <w14:textFill>
                  <w14:solidFill>
                    <w14:schemeClr w14:val="tx1"/>
                  </w14:solidFill>
                </w14:textFill>
              </w:rPr>
              <w:t>开展重大基础设施监测评估，选取桥梁或隧道项目开展抗震性能全方位、动态化监测评估。实施典型建筑轻量化结构台阵建设，选取部分城乡代表性建筑布设微型加速度计、应变传感器等设备，构建地震作用下建筑结构的实时响应监测网络。逐步开展</w:t>
            </w:r>
            <w:r>
              <w:rPr>
                <w:rFonts w:hint="eastAsia" w:ascii="Times New Roman" w:hAnsi="Times New Roman" w:eastAsia="方正楷体_GBK" w:cs="Times New Roman"/>
                <w:color w:val="000000" w:themeColor="text1"/>
                <w:sz w:val="28"/>
                <w:szCs w:val="28"/>
                <w:lang w:val="en-US" w:eastAsia="zh-CN"/>
                <w14:textFill>
                  <w14:solidFill>
                    <w14:schemeClr w14:val="tx1"/>
                  </w14:solidFill>
                </w14:textFill>
              </w:rPr>
              <w:t>县域</w:t>
            </w:r>
            <w:r>
              <w:rPr>
                <w:rFonts w:hint="default" w:ascii="Times New Roman" w:hAnsi="Times New Roman" w:eastAsia="方正楷体_GBK" w:cs="Times New Roman"/>
                <w:color w:val="000000" w:themeColor="text1"/>
                <w:sz w:val="28"/>
                <w:szCs w:val="28"/>
                <w14:textFill>
                  <w14:solidFill>
                    <w14:schemeClr w14:val="tx1"/>
                  </w14:solidFill>
                </w14:textFill>
              </w:rPr>
              <w:t>地震灾害精细化预评估工作，建立区域地震灾害风险量化分析数据库。</w:t>
            </w:r>
          </w:p>
          <w:p>
            <w:pPr>
              <w:autoSpaceDE w:val="0"/>
              <w:autoSpaceDN w:val="0"/>
              <w:adjustRightInd w:val="0"/>
              <w:ind w:firstLine="594"/>
              <w:rPr>
                <w:rFonts w:ascii="Times New Roman" w:hAnsi="Times New Roman" w:eastAsia="楷体"/>
                <w:color w:val="000000" w:themeColor="text1"/>
                <w:sz w:val="24"/>
                <w14:textFill>
                  <w14:solidFill>
                    <w14:schemeClr w14:val="tx1"/>
                  </w14:solidFill>
                </w14:textFill>
              </w:rPr>
            </w:pPr>
            <w:r>
              <w:rPr>
                <w:rFonts w:hint="eastAsia" w:ascii="方正楷体_GBK" w:hAnsi="方正楷体_GBK" w:eastAsia="方正楷体_GBK" w:cs="方正楷体_GBK"/>
                <w:b/>
                <w:bCs/>
                <w:color w:val="000000" w:themeColor="text1"/>
                <w:sz w:val="28"/>
                <w:szCs w:val="28"/>
                <w14:textFill>
                  <w14:solidFill>
                    <w14:schemeClr w14:val="tx1"/>
                  </w14:solidFill>
                </w14:textFill>
              </w:rPr>
              <w:t>应急处置体系化建设项目：</w:t>
            </w:r>
            <w:r>
              <w:rPr>
                <w:rFonts w:hint="default" w:ascii="Times New Roman" w:hAnsi="Times New Roman" w:eastAsia="方正楷体_GBK" w:cs="Times New Roman"/>
                <w:color w:val="000000" w:themeColor="text1"/>
                <w:sz w:val="28"/>
                <w:szCs w:val="28"/>
                <w14:textFill>
                  <w14:solidFill>
                    <w14:schemeClr w14:val="tx1"/>
                  </w14:solidFill>
                </w14:textFill>
              </w:rPr>
              <w:t>优化全市防震减灾部门应急指挥平台，搭建全市各级统一网络“云”会议一体化系统。持续开展基层地震应急“第一响应人”建设。强化基层防震减灾部门地震现场应急物资装备，构建满足现场应急核心职能所需的现代化、模块化、可靠携行装备体系。</w:t>
            </w:r>
          </w:p>
        </w:tc>
      </w:tr>
      <w:bookmarkEnd w:id="94"/>
      <w:bookmarkEnd w:id="95"/>
      <w:bookmarkEnd w:id="96"/>
      <w:bookmarkEnd w:id="97"/>
    </w:tbl>
    <w:p>
      <w:pPr>
        <w:spacing w:line="240" w:lineRule="auto"/>
        <w:ind w:firstLine="712"/>
        <w:outlineLvl w:val="1"/>
        <w:rPr>
          <w:rFonts w:ascii="Times New Roman" w:hAnsi="Times New Roman" w:eastAsia="方正楷体_GBK" w:cs="Times New Roman"/>
          <w:color w:val="000000" w:themeColor="text1"/>
          <w:kern w:val="0"/>
          <w:sz w:val="32"/>
          <w14:textFill>
            <w14:solidFill>
              <w14:schemeClr w14:val="tx1"/>
            </w14:solidFill>
          </w14:textFill>
        </w:rPr>
      </w:pPr>
      <w:bookmarkStart w:id="98" w:name="_Toc6543"/>
      <w:bookmarkStart w:id="99" w:name="_Toc21521"/>
      <w:bookmarkStart w:id="100" w:name="_Toc13374"/>
      <w:bookmarkStart w:id="101" w:name="_Toc6947"/>
      <w:bookmarkStart w:id="102" w:name="_Toc8272"/>
      <w:bookmarkStart w:id="103" w:name="_Toc30006"/>
      <w:bookmarkStart w:id="104" w:name="_Toc12542"/>
      <w:bookmarkStart w:id="105" w:name="_Toc17723"/>
      <w:bookmarkStart w:id="106" w:name="_Toc6964"/>
      <w:r>
        <w:rPr>
          <w:rFonts w:ascii="Times New Roman" w:hAnsi="Times New Roman" w:eastAsia="方正楷体_GBK" w:cs="Times New Roman"/>
          <w:color w:val="000000" w:themeColor="text1"/>
          <w:kern w:val="0"/>
          <w:sz w:val="32"/>
          <w14:textFill>
            <w14:solidFill>
              <w14:schemeClr w14:val="tx1"/>
            </w14:solidFill>
          </w14:textFill>
        </w:rPr>
        <w:t>（三）</w:t>
      </w:r>
      <w:bookmarkEnd w:id="98"/>
      <w:bookmarkEnd w:id="99"/>
      <w:bookmarkEnd w:id="100"/>
      <w:bookmarkEnd w:id="101"/>
      <w:bookmarkEnd w:id="102"/>
      <w:bookmarkEnd w:id="103"/>
      <w:bookmarkEnd w:id="104"/>
      <w:bookmarkEnd w:id="105"/>
      <w:bookmarkEnd w:id="106"/>
      <w:bookmarkStart w:id="107" w:name="OLE_LINK1"/>
      <w:r>
        <w:rPr>
          <w:rFonts w:hint="default" w:ascii="Times New Roman" w:hAnsi="Times New Roman" w:eastAsia="方正楷体_GBK" w:cs="Times New Roman"/>
          <w:color w:val="000000" w:themeColor="text1"/>
          <w:kern w:val="0"/>
          <w:sz w:val="32"/>
          <w14:textFill>
            <w14:solidFill>
              <w14:schemeClr w14:val="tx1"/>
            </w14:solidFill>
          </w14:textFill>
        </w:rPr>
        <w:t>公共服务能力强化工程</w:t>
      </w:r>
      <w:bookmarkEnd w:id="107"/>
    </w:p>
    <w:p>
      <w:pPr>
        <w:adjustRightInd w:val="0"/>
        <w:spacing w:line="240" w:lineRule="auto"/>
        <w:ind w:firstLine="712"/>
        <w:rPr>
          <w:rFonts w:ascii="Times New Roman" w:hAnsi="Times New Roman" w:cs="Times New Roman"/>
          <w:color w:val="000000" w:themeColor="text1"/>
          <w:kern w:val="0"/>
          <w:sz w:val="32"/>
          <w14:textFill>
            <w14:solidFill>
              <w14:schemeClr w14:val="tx1"/>
            </w14:solidFill>
          </w14:textFill>
        </w:rPr>
      </w:pPr>
      <w:r>
        <w:rPr>
          <w:rFonts w:hint="default" w:ascii="Times New Roman" w:hAnsi="Times New Roman" w:cs="Times New Roman"/>
          <w:color w:val="000000" w:themeColor="text1"/>
          <w:kern w:val="0"/>
          <w:sz w:val="32"/>
          <w14:textFill>
            <w14:solidFill>
              <w14:schemeClr w14:val="tx1"/>
            </w14:solidFill>
          </w14:textFill>
        </w:rPr>
        <w:t>完善防震减灾科普实践布局，尝试构建全方位、多层次的防震减灾科普宣传体系。推动科普工作常态化、长效化开展，建强科普人才队伍，丰富优质科普产品，加快构建科普工作新格局，全面提升公众防震减灾素质能力。</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0" w:type="dxa"/>
          </w:tcPr>
          <w:p>
            <w:pPr>
              <w:spacing w:line="360" w:lineRule="auto"/>
              <w:ind w:firstLine="0" w:firstLineChars="0"/>
              <w:jc w:val="center"/>
              <w:rPr>
                <w:rFonts w:ascii="Times New Roman" w:hAnsi="Times New Roman" w:eastAsia="微软雅黑"/>
                <w:color w:val="000000" w:themeColor="text1"/>
                <w14:textFill>
                  <w14:solidFill>
                    <w14:schemeClr w14:val="tx1"/>
                  </w14:solidFill>
                </w14:textFill>
              </w:rPr>
            </w:pPr>
            <w:bookmarkStart w:id="108" w:name="_Toc410"/>
            <w:bookmarkStart w:id="109" w:name="_Toc30787"/>
            <w:bookmarkStart w:id="110" w:name="_Toc30985"/>
            <w:r>
              <w:rPr>
                <w:rFonts w:hint="eastAsia" w:ascii="方正小标宋_GBK" w:hAnsi="方正小标宋_GBK" w:eastAsia="方正小标宋_GBK" w:cs="方正小标宋_GBK"/>
                <w:b w:val="0"/>
                <w:bCs w:val="0"/>
                <w:color w:val="000000" w:themeColor="text1"/>
                <w:sz w:val="32"/>
                <w:szCs w:val="32"/>
                <w14:textFill>
                  <w14:solidFill>
                    <w14:schemeClr w14:val="tx1"/>
                  </w14:solidFill>
                </w14:textFill>
              </w:rPr>
              <w:t>专栏3公共服务能力强化工程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0" w:type="dxa"/>
          </w:tcPr>
          <w:p>
            <w:pPr>
              <w:ind w:firstLine="594"/>
              <w:rPr>
                <w:rFonts w:hint="default" w:ascii="Times New Roman" w:hAnsi="Times New Roman" w:eastAsia="方正楷体_GBK" w:cs="Times New Roman"/>
                <w:color w:val="000000" w:themeColor="text1"/>
                <w:sz w:val="28"/>
                <w:szCs w:val="28"/>
                <w14:textFill>
                  <w14:solidFill>
                    <w14:schemeClr w14:val="tx1"/>
                  </w14:solidFill>
                </w14:textFill>
              </w:rPr>
            </w:pPr>
            <w:r>
              <w:rPr>
                <w:rFonts w:hint="eastAsia" w:ascii="方正楷体_GBK" w:hAnsi="方正楷体_GBK" w:eastAsia="方正楷体_GBK" w:cs="方正楷体_GBK"/>
                <w:b/>
                <w:bCs/>
                <w:color w:val="000000" w:themeColor="text1"/>
                <w:sz w:val="28"/>
                <w:szCs w:val="28"/>
                <w14:textFill>
                  <w14:solidFill>
                    <w14:schemeClr w14:val="tx1"/>
                  </w14:solidFill>
                </w14:textFill>
              </w:rPr>
              <w:t>区域联动科普阵地建设项目：</w:t>
            </w:r>
            <w:r>
              <w:rPr>
                <w:rFonts w:hint="default" w:ascii="Times New Roman" w:hAnsi="Times New Roman" w:eastAsia="方正楷体_GBK" w:cs="Times New Roman"/>
                <w:color w:val="000000" w:themeColor="text1"/>
                <w:sz w:val="28"/>
                <w:szCs w:val="28"/>
                <w14:textFill>
                  <w14:solidFill>
                    <w14:schemeClr w14:val="tx1"/>
                  </w14:solidFill>
                </w14:textFill>
              </w:rPr>
              <w:t>实施科普馆线上平台升级。构建“馆校协同”研学体系，打造防震减灾科普“研学实践圈”。挖掘各县（市、区）科普阵地资源，建设2</w:t>
            </w:r>
            <w:r>
              <w:rPr>
                <w:rFonts w:hint="eastAsia" w:ascii="Times New Roman" w:hAnsi="Times New Roman" w:eastAsia="方正楷体_GBK" w:cs="Times New Roman"/>
                <w:color w:val="000000" w:themeColor="text1"/>
                <w:sz w:val="28"/>
                <w:szCs w:val="28"/>
                <w:lang w:val="en-US" w:eastAsia="zh-CN"/>
                <w14:textFill>
                  <w14:solidFill>
                    <w14:schemeClr w14:val="tx1"/>
                  </w14:solidFill>
                </w14:textFill>
              </w:rPr>
              <w:t>~</w:t>
            </w:r>
            <w:r>
              <w:rPr>
                <w:rFonts w:hint="default" w:ascii="Times New Roman" w:hAnsi="Times New Roman" w:eastAsia="方正楷体_GBK" w:cs="Times New Roman"/>
                <w:color w:val="000000" w:themeColor="text1"/>
                <w:sz w:val="28"/>
                <w:szCs w:val="28"/>
                <w14:textFill>
                  <w14:solidFill>
                    <w14:schemeClr w14:val="tx1"/>
                  </w14:solidFill>
                </w14:textFill>
              </w:rPr>
              <w:t>3个县级防震减灾科普场所。统筹整合各类资源要素，打造以市防震减灾科普馆为主、联动各县（市、区）科普阵地资源，形成由点成线、以线及面的防震减灾科普宣传总体布局。</w:t>
            </w:r>
          </w:p>
          <w:p>
            <w:pPr>
              <w:autoSpaceDE w:val="0"/>
              <w:autoSpaceDN w:val="0"/>
              <w:adjustRightInd w:val="0"/>
              <w:ind w:firstLine="594"/>
              <w:rPr>
                <w:rFonts w:ascii="Times New Roman" w:hAnsi="Times New Roman" w:eastAsia="方正仿宋_GB2312"/>
                <w:color w:val="000000" w:themeColor="text1"/>
                <w:sz w:val="24"/>
                <w14:textFill>
                  <w14:solidFill>
                    <w14:schemeClr w14:val="tx1"/>
                  </w14:solidFill>
                </w14:textFill>
              </w:rPr>
            </w:pPr>
            <w:r>
              <w:rPr>
                <w:rFonts w:hint="default" w:ascii="方正楷体_GBK" w:hAnsi="方正楷体_GBK" w:eastAsia="方正楷体_GBK" w:cs="方正楷体_GBK"/>
                <w:b/>
                <w:bCs/>
                <w:color w:val="000000" w:themeColor="text1"/>
                <w:sz w:val="28"/>
                <w:szCs w:val="28"/>
                <w14:textFill>
                  <w14:solidFill>
                    <w14:schemeClr w14:val="tx1"/>
                  </w14:solidFill>
                </w14:textFill>
              </w:rPr>
              <w:t>科普宣传质效协同提升项目：</w:t>
            </w:r>
            <w:r>
              <w:rPr>
                <w:rFonts w:hint="default" w:ascii="Times New Roman" w:hAnsi="Times New Roman" w:eastAsia="方正楷体_GBK" w:cs="Times New Roman"/>
                <w:color w:val="000000" w:themeColor="text1"/>
                <w:sz w:val="28"/>
                <w:szCs w:val="28"/>
                <w14:textFill>
                  <w14:solidFill>
                    <w14:schemeClr w14:val="tx1"/>
                  </w14:solidFill>
                </w14:textFill>
              </w:rPr>
              <w:t>组织开展科普宣传、研学实践、主题讲演、技能竞赛等活动。将市级防震减灾主题竞赛或优秀作品征集活动纳入年度工作清单，确保每年开展不少于1次主题活动。建设以现有学校科学传播师、基层地震应急“第一响应人”教官等队伍为基础的防震减灾系统讲师库。建立宣传资料（教材）更新机制，针对“六进”不同科普对象和场景需求，创作产出5条以上精品科普视频。与市县融媒建立长效合作，开设专栏，定期推送优秀科普作品，开拓需求调研与市场反馈渠道。与文化单位和团体合作，产出地方特色的科普作品。</w:t>
            </w:r>
          </w:p>
        </w:tc>
      </w:tr>
      <w:bookmarkEnd w:id="81"/>
      <w:bookmarkEnd w:id="108"/>
      <w:bookmarkEnd w:id="109"/>
      <w:bookmarkEnd w:id="110"/>
    </w:tbl>
    <w:p>
      <w:pPr>
        <w:spacing w:line="240" w:lineRule="auto"/>
        <w:ind w:firstLine="712"/>
        <w:outlineLvl w:val="0"/>
        <w:rPr>
          <w:rFonts w:ascii="Times New Roman" w:hAnsi="Times New Roman" w:eastAsia="方正黑体_GBK" w:cs="Times New Roman"/>
          <w:color w:val="000000" w:themeColor="text1"/>
          <w:kern w:val="44"/>
          <w:sz w:val="32"/>
          <w14:textFill>
            <w14:solidFill>
              <w14:schemeClr w14:val="tx1"/>
            </w14:solidFill>
          </w14:textFill>
        </w:rPr>
      </w:pPr>
      <w:bookmarkStart w:id="111" w:name="_Toc32121"/>
      <w:bookmarkStart w:id="112" w:name="_Toc26441"/>
      <w:bookmarkStart w:id="113" w:name="_Toc19318"/>
      <w:bookmarkStart w:id="114" w:name="_Toc24380"/>
      <w:bookmarkStart w:id="115" w:name="_Toc21250"/>
      <w:bookmarkStart w:id="116" w:name="_Toc10664"/>
      <w:bookmarkStart w:id="117" w:name="_Toc4131"/>
      <w:bookmarkStart w:id="118" w:name="_Toc9375"/>
      <w:bookmarkStart w:id="119" w:name="_Toc64618155"/>
      <w:bookmarkStart w:id="120" w:name="_Toc28689"/>
      <w:r>
        <w:rPr>
          <w:rFonts w:hint="default" w:ascii="Times New Roman" w:hAnsi="Times New Roman" w:eastAsia="方正黑体_GBK" w:cs="Times New Roman"/>
          <w:color w:val="000000" w:themeColor="text1"/>
          <w:kern w:val="44"/>
          <w:sz w:val="32"/>
          <w14:textFill>
            <w14:solidFill>
              <w14:schemeClr w14:val="tx1"/>
            </w14:solidFill>
          </w14:textFill>
        </w:rPr>
        <w:t>五、保障措施</w:t>
      </w:r>
      <w:bookmarkEnd w:id="111"/>
      <w:bookmarkEnd w:id="112"/>
      <w:bookmarkEnd w:id="113"/>
      <w:bookmarkEnd w:id="114"/>
      <w:bookmarkEnd w:id="115"/>
      <w:bookmarkEnd w:id="116"/>
      <w:bookmarkEnd w:id="117"/>
      <w:bookmarkEnd w:id="118"/>
      <w:bookmarkEnd w:id="119"/>
      <w:bookmarkEnd w:id="120"/>
    </w:p>
    <w:p>
      <w:pPr>
        <w:spacing w:line="240" w:lineRule="auto"/>
        <w:ind w:firstLine="712"/>
        <w:outlineLvl w:val="1"/>
        <w:rPr>
          <w:rFonts w:ascii="Times New Roman" w:hAnsi="Times New Roman" w:eastAsia="方正楷体_GBK" w:cs="Times New Roman"/>
          <w:color w:val="000000" w:themeColor="text1"/>
          <w:kern w:val="0"/>
          <w:sz w:val="32"/>
          <w14:textFill>
            <w14:solidFill>
              <w14:schemeClr w14:val="tx1"/>
            </w14:solidFill>
          </w14:textFill>
        </w:rPr>
      </w:pPr>
      <w:bookmarkStart w:id="121" w:name="_Toc64618156"/>
      <w:bookmarkStart w:id="122" w:name="_Toc28467"/>
      <w:bookmarkStart w:id="123" w:name="_Toc27813"/>
      <w:bookmarkStart w:id="124" w:name="_Toc20389"/>
      <w:bookmarkStart w:id="125" w:name="_Toc24756"/>
      <w:bookmarkStart w:id="126" w:name="_Toc22869"/>
      <w:bookmarkStart w:id="127" w:name="_Toc30279"/>
      <w:bookmarkStart w:id="128" w:name="_Toc14098"/>
      <w:bookmarkStart w:id="129" w:name="_Toc10998"/>
      <w:bookmarkStart w:id="130" w:name="_Toc17124"/>
      <w:r>
        <w:rPr>
          <w:rFonts w:ascii="Times New Roman" w:hAnsi="Times New Roman" w:eastAsia="方正楷体_GBK" w:cs="Times New Roman"/>
          <w:color w:val="000000" w:themeColor="text1"/>
          <w:kern w:val="0"/>
          <w:sz w:val="32"/>
          <w14:textFill>
            <w14:solidFill>
              <w14:schemeClr w14:val="tx1"/>
            </w14:solidFill>
          </w14:textFill>
        </w:rPr>
        <w:t>（一）加强组织领导</w:t>
      </w:r>
      <w:bookmarkEnd w:id="121"/>
      <w:bookmarkEnd w:id="122"/>
      <w:bookmarkEnd w:id="123"/>
      <w:bookmarkEnd w:id="124"/>
      <w:bookmarkEnd w:id="125"/>
      <w:bookmarkEnd w:id="126"/>
      <w:bookmarkEnd w:id="127"/>
      <w:bookmarkEnd w:id="128"/>
      <w:r>
        <w:rPr>
          <w:rFonts w:ascii="Times New Roman" w:hAnsi="Times New Roman" w:eastAsia="方正楷体_GBK" w:cs="Times New Roman"/>
          <w:color w:val="000000" w:themeColor="text1"/>
          <w:kern w:val="0"/>
          <w:sz w:val="32"/>
          <w14:textFill>
            <w14:solidFill>
              <w14:schemeClr w14:val="tx1"/>
            </w14:solidFill>
          </w14:textFill>
        </w:rPr>
        <w:t>，扛实主体责任</w:t>
      </w:r>
      <w:bookmarkEnd w:id="129"/>
      <w:bookmarkEnd w:id="130"/>
    </w:p>
    <w:p>
      <w:pPr>
        <w:widowControl/>
        <w:adjustRightInd w:val="0"/>
        <w:spacing w:line="240" w:lineRule="auto"/>
        <w:ind w:firstLine="712"/>
        <w:rPr>
          <w:color w:val="000000" w:themeColor="text1"/>
          <w:kern w:val="0"/>
          <w14:textFill>
            <w14:solidFill>
              <w14:schemeClr w14:val="tx1"/>
            </w14:solidFill>
          </w14:textFill>
        </w:rPr>
      </w:pPr>
      <w:r>
        <w:rPr>
          <w:color w:val="000000" w:themeColor="text1"/>
          <w:kern w:val="0"/>
          <w14:textFill>
            <w14:solidFill>
              <w14:schemeClr w14:val="tx1"/>
            </w14:solidFill>
          </w14:textFill>
        </w:rPr>
        <w:t>坚持党对防震减灾工作的全面领导，落实</w:t>
      </w:r>
      <w:r>
        <w:rPr>
          <w:rFonts w:hint="default"/>
          <w:color w:val="000000" w:themeColor="text1"/>
          <w:kern w:val="0"/>
          <w14:textFill>
            <w14:solidFill>
              <w14:schemeClr w14:val="tx1"/>
            </w14:solidFill>
          </w14:textFill>
        </w:rPr>
        <w:t>党委、政府</w:t>
      </w:r>
      <w:r>
        <w:rPr>
          <w:color w:val="000000" w:themeColor="text1"/>
          <w:kern w:val="0"/>
          <w14:textFill>
            <w14:solidFill>
              <w14:schemeClr w14:val="tx1"/>
            </w14:solidFill>
          </w14:textFill>
        </w:rPr>
        <w:t>防震减灾工作责任，健全目标管理机制。紧扣规划指标要求，统筹布局重点项目，细化目标任务、压实工作责任、强化部门协作联动，推动组织实施到位、责任落实到位、工作执行到位。</w:t>
      </w:r>
    </w:p>
    <w:p>
      <w:pPr>
        <w:spacing w:line="240" w:lineRule="auto"/>
        <w:ind w:firstLine="712"/>
        <w:outlineLvl w:val="1"/>
        <w:rPr>
          <w:rFonts w:ascii="Times New Roman" w:hAnsi="Times New Roman" w:eastAsia="方正楷体_GBK" w:cs="Times New Roman"/>
          <w:color w:val="000000" w:themeColor="text1"/>
          <w:kern w:val="0"/>
          <w:sz w:val="32"/>
          <w14:textFill>
            <w14:solidFill>
              <w14:schemeClr w14:val="tx1"/>
            </w14:solidFill>
          </w14:textFill>
        </w:rPr>
      </w:pPr>
      <w:bookmarkStart w:id="131" w:name="_Toc7977"/>
      <w:bookmarkStart w:id="132" w:name="_Toc26169"/>
      <w:bookmarkStart w:id="133" w:name="_Toc1820"/>
      <w:bookmarkStart w:id="134" w:name="_Toc64618157"/>
      <w:bookmarkStart w:id="135" w:name="_Toc13313"/>
      <w:bookmarkStart w:id="136" w:name="_Toc10684"/>
      <w:bookmarkStart w:id="137" w:name="_Toc4890"/>
      <w:bookmarkStart w:id="138" w:name="_Toc17865"/>
      <w:bookmarkStart w:id="139" w:name="_Toc22019"/>
      <w:bookmarkStart w:id="140" w:name="_Toc24703"/>
      <w:r>
        <w:rPr>
          <w:rFonts w:ascii="Times New Roman" w:hAnsi="Times New Roman" w:eastAsia="方正楷体_GBK" w:cs="Times New Roman"/>
          <w:color w:val="000000" w:themeColor="text1"/>
          <w:kern w:val="0"/>
          <w:sz w:val="32"/>
          <w14:textFill>
            <w14:solidFill>
              <w14:schemeClr w14:val="tx1"/>
            </w14:solidFill>
          </w14:textFill>
        </w:rPr>
        <w:t>（二）健全投入机制</w:t>
      </w:r>
      <w:bookmarkEnd w:id="131"/>
      <w:bookmarkEnd w:id="132"/>
      <w:bookmarkEnd w:id="133"/>
      <w:bookmarkEnd w:id="134"/>
      <w:bookmarkEnd w:id="135"/>
      <w:bookmarkEnd w:id="136"/>
      <w:bookmarkEnd w:id="137"/>
      <w:bookmarkEnd w:id="138"/>
      <w:r>
        <w:rPr>
          <w:rFonts w:ascii="Times New Roman" w:hAnsi="Times New Roman" w:eastAsia="方正楷体_GBK" w:cs="Times New Roman"/>
          <w:color w:val="000000" w:themeColor="text1"/>
          <w:kern w:val="0"/>
          <w:sz w:val="32"/>
          <w14:textFill>
            <w14:solidFill>
              <w14:schemeClr w14:val="tx1"/>
            </w14:solidFill>
          </w14:textFill>
        </w:rPr>
        <w:t>，强化资金保障</w:t>
      </w:r>
      <w:bookmarkEnd w:id="139"/>
      <w:bookmarkEnd w:id="140"/>
      <w:bookmarkStart w:id="161" w:name="_GoBack"/>
      <w:bookmarkEnd w:id="161"/>
    </w:p>
    <w:p>
      <w:pPr>
        <w:autoSpaceDE w:val="0"/>
        <w:autoSpaceDN w:val="0"/>
        <w:adjustRightInd w:val="0"/>
        <w:spacing w:line="240" w:lineRule="auto"/>
        <w:ind w:firstLine="672"/>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健全财政投入保障机制，构建与市情适配的财政资金保障体系。积极向国家和省争取项目支持，建立政府主导、社会参与”的多元化投入机制。加强资金使用全过程监管，</w:t>
      </w:r>
      <w:r>
        <w:rPr>
          <w:color w:val="000000" w:themeColor="text1"/>
          <w14:textFill>
            <w14:solidFill>
              <w14:schemeClr w14:val="tx1"/>
            </w14:solidFill>
          </w14:textFill>
        </w:rPr>
        <w:t>严格执行财经法律法规和制度规定，</w:t>
      </w:r>
      <w:r>
        <w:rPr>
          <w:rFonts w:hint="eastAsia"/>
          <w:color w:val="000000" w:themeColor="text1"/>
          <w:kern w:val="0"/>
          <w14:textFill>
            <w14:solidFill>
              <w14:schemeClr w14:val="tx1"/>
            </w14:solidFill>
          </w14:textFill>
        </w:rPr>
        <w:t>确保资金规范高效运转。</w:t>
      </w:r>
    </w:p>
    <w:p>
      <w:pPr>
        <w:spacing w:line="240" w:lineRule="auto"/>
        <w:ind w:firstLine="712"/>
        <w:outlineLvl w:val="1"/>
        <w:rPr>
          <w:rFonts w:ascii="Times New Roman" w:hAnsi="Times New Roman" w:eastAsia="方正楷体_GBK" w:cs="Times New Roman"/>
          <w:color w:val="000000" w:themeColor="text1"/>
          <w:kern w:val="0"/>
          <w:sz w:val="32"/>
          <w14:textFill>
            <w14:solidFill>
              <w14:schemeClr w14:val="tx1"/>
            </w14:solidFill>
          </w14:textFill>
        </w:rPr>
      </w:pPr>
      <w:bookmarkStart w:id="141" w:name="_Toc22658"/>
      <w:bookmarkStart w:id="142" w:name="_Toc6086"/>
      <w:bookmarkStart w:id="143" w:name="_Toc11645"/>
      <w:bookmarkStart w:id="144" w:name="_Toc24649"/>
      <w:bookmarkStart w:id="145" w:name="_Toc9907"/>
      <w:bookmarkStart w:id="146" w:name="_Toc28416"/>
      <w:bookmarkStart w:id="147" w:name="_Toc3548"/>
      <w:bookmarkStart w:id="148" w:name="_Toc64618158"/>
      <w:bookmarkStart w:id="149" w:name="_Toc24182"/>
      <w:bookmarkStart w:id="150" w:name="_Toc5430"/>
      <w:r>
        <w:rPr>
          <w:rFonts w:ascii="Times New Roman" w:hAnsi="Times New Roman" w:eastAsia="方正楷体_GBK" w:cs="Times New Roman"/>
          <w:color w:val="000000" w:themeColor="text1"/>
          <w:kern w:val="0"/>
          <w:sz w:val="32"/>
          <w14:textFill>
            <w14:solidFill>
              <w14:schemeClr w14:val="tx1"/>
            </w14:solidFill>
          </w14:textFill>
        </w:rPr>
        <w:t>（三）强化人才培养</w:t>
      </w:r>
      <w:bookmarkEnd w:id="141"/>
      <w:bookmarkEnd w:id="142"/>
      <w:bookmarkEnd w:id="143"/>
      <w:bookmarkEnd w:id="144"/>
      <w:bookmarkEnd w:id="145"/>
      <w:bookmarkEnd w:id="146"/>
      <w:bookmarkEnd w:id="147"/>
      <w:bookmarkEnd w:id="148"/>
      <w:r>
        <w:rPr>
          <w:rFonts w:ascii="Times New Roman" w:hAnsi="Times New Roman" w:eastAsia="方正楷体_GBK" w:cs="Times New Roman"/>
          <w:color w:val="000000" w:themeColor="text1"/>
          <w:kern w:val="0"/>
          <w:sz w:val="32"/>
          <w14:textFill>
            <w14:solidFill>
              <w14:schemeClr w14:val="tx1"/>
            </w14:solidFill>
          </w14:textFill>
        </w:rPr>
        <w:t>，筑牢发展根基</w:t>
      </w:r>
      <w:bookmarkEnd w:id="149"/>
      <w:bookmarkEnd w:id="150"/>
    </w:p>
    <w:p>
      <w:pPr>
        <w:widowControl/>
        <w:spacing w:line="240" w:lineRule="auto"/>
        <w:ind w:firstLine="672"/>
        <w:rPr>
          <w:color w:val="000000" w:themeColor="text1"/>
          <w14:textFill>
            <w14:solidFill>
              <w14:schemeClr w14:val="tx1"/>
            </w14:solidFill>
          </w14:textFill>
        </w:rPr>
      </w:pPr>
      <w:r>
        <w:rPr>
          <w:color w:val="000000" w:themeColor="text1"/>
          <w14:textFill>
            <w14:solidFill>
              <w14:schemeClr w14:val="tx1"/>
            </w14:solidFill>
          </w14:textFill>
        </w:rPr>
        <w:t>深入学习贯彻习近平总书记关于加强人才工作重要讲话精神，认真落实</w:t>
      </w:r>
      <w:r>
        <w:rPr>
          <w:rFonts w:hint="eastAsia"/>
          <w:color w:val="000000" w:themeColor="text1"/>
          <w14:textFill>
            <w14:solidFill>
              <w14:schemeClr w14:val="tx1"/>
            </w14:solidFill>
          </w14:textFill>
        </w:rPr>
        <w:t>省委、省政府</w:t>
      </w:r>
      <w:r>
        <w:rPr>
          <w:color w:val="000000" w:themeColor="text1"/>
          <w14:textFill>
            <w14:solidFill>
              <w14:schemeClr w14:val="tx1"/>
            </w14:solidFill>
          </w14:textFill>
        </w:rPr>
        <w:t>、中国地震局关于人才工作的要求，牢固树立人才是第一资源的理念，加强人才队伍建设。</w:t>
      </w:r>
    </w:p>
    <w:p>
      <w:pPr>
        <w:spacing w:line="240" w:lineRule="auto"/>
        <w:ind w:firstLine="712"/>
        <w:outlineLvl w:val="1"/>
        <w:rPr>
          <w:rFonts w:ascii="Times New Roman" w:hAnsi="Times New Roman" w:eastAsia="方正楷体_GBK" w:cs="Times New Roman"/>
          <w:color w:val="000000" w:themeColor="text1"/>
          <w:kern w:val="0"/>
          <w:sz w:val="32"/>
          <w14:textFill>
            <w14:solidFill>
              <w14:schemeClr w14:val="tx1"/>
            </w14:solidFill>
          </w14:textFill>
        </w:rPr>
      </w:pPr>
      <w:bookmarkStart w:id="151" w:name="_Toc7816"/>
      <w:bookmarkStart w:id="152" w:name="_Toc21339"/>
      <w:bookmarkStart w:id="153" w:name="_Toc7064"/>
      <w:bookmarkStart w:id="154" w:name="_Toc19075"/>
      <w:bookmarkStart w:id="155" w:name="_Toc64618159"/>
      <w:bookmarkStart w:id="156" w:name="_Toc3232"/>
      <w:bookmarkStart w:id="157" w:name="_Toc26988"/>
      <w:bookmarkStart w:id="158" w:name="_Toc15794"/>
      <w:bookmarkStart w:id="159" w:name="_Toc29662"/>
      <w:bookmarkStart w:id="160" w:name="_Toc12810"/>
      <w:r>
        <w:rPr>
          <w:rFonts w:ascii="Times New Roman" w:hAnsi="Times New Roman" w:eastAsia="方正楷体_GBK" w:cs="Times New Roman"/>
          <w:color w:val="000000" w:themeColor="text1"/>
          <w:kern w:val="0"/>
          <w:sz w:val="32"/>
          <w14:textFill>
            <w14:solidFill>
              <w14:schemeClr w14:val="tx1"/>
            </w14:solidFill>
          </w14:textFill>
        </w:rPr>
        <w:t>（四）</w:t>
      </w:r>
      <w:bookmarkEnd w:id="151"/>
      <w:bookmarkEnd w:id="152"/>
      <w:bookmarkEnd w:id="153"/>
      <w:bookmarkEnd w:id="154"/>
      <w:bookmarkEnd w:id="155"/>
      <w:bookmarkEnd w:id="156"/>
      <w:bookmarkEnd w:id="157"/>
      <w:r>
        <w:rPr>
          <w:rFonts w:ascii="Times New Roman" w:hAnsi="Times New Roman" w:eastAsia="方正楷体_GBK" w:cs="Times New Roman"/>
          <w:color w:val="000000" w:themeColor="text1"/>
          <w:kern w:val="0"/>
          <w:sz w:val="32"/>
          <w14:textFill>
            <w14:solidFill>
              <w14:schemeClr w14:val="tx1"/>
            </w14:solidFill>
          </w14:textFill>
        </w:rPr>
        <w:t>完善监督评估</w:t>
      </w:r>
      <w:bookmarkEnd w:id="158"/>
      <w:r>
        <w:rPr>
          <w:rFonts w:ascii="Times New Roman" w:hAnsi="Times New Roman" w:eastAsia="方正楷体_GBK" w:cs="Times New Roman"/>
          <w:color w:val="000000" w:themeColor="text1"/>
          <w:kern w:val="0"/>
          <w:sz w:val="32"/>
          <w14:textFill>
            <w14:solidFill>
              <w14:schemeClr w14:val="tx1"/>
            </w14:solidFill>
          </w14:textFill>
        </w:rPr>
        <w:t>，确保实施成效</w:t>
      </w:r>
      <w:bookmarkEnd w:id="159"/>
      <w:bookmarkEnd w:id="160"/>
    </w:p>
    <w:p>
      <w:pPr>
        <w:widowControl/>
        <w:spacing w:line="240" w:lineRule="auto"/>
        <w:ind w:firstLine="672"/>
        <w:rPr>
          <w:color w:val="000000" w:themeColor="text1"/>
          <w14:textFill>
            <w14:solidFill>
              <w14:schemeClr w14:val="tx1"/>
            </w14:solidFill>
          </w14:textFill>
        </w:rPr>
        <w:sectPr>
          <w:footerReference r:id="rId12" w:type="default"/>
          <w:pgSz w:w="11906" w:h="16838"/>
          <w:pgMar w:top="1440" w:right="1800" w:bottom="1440" w:left="1800" w:header="850" w:footer="1191" w:gutter="0"/>
          <w:pgNumType w:fmt="decimal" w:start="1"/>
          <w:cols w:space="720" w:num="1"/>
          <w:docGrid w:type="linesAndChars" w:linePitch="600" w:charSpace="3229"/>
        </w:sectPr>
      </w:pPr>
      <w:r>
        <w:rPr>
          <w:color w:val="000000" w:themeColor="text1"/>
          <w14:textFill>
            <w14:solidFill>
              <w14:schemeClr w14:val="tx1"/>
            </w14:solidFill>
          </w14:textFill>
        </w:rPr>
        <w:t>建立健全科学合理的评估体系与标准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组织开展规划实施中期评估工作</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加强执行情况的监督检查，强化评估结果运用，及时解决规划实施过程中存在的问题，促进规划目标任务全面落地见效。</w:t>
      </w:r>
    </w:p>
    <w:p>
      <w:pPr>
        <w:spacing w:line="240" w:lineRule="auto"/>
        <w:ind w:firstLine="0" w:firstLineChars="0"/>
        <w:jc w:val="left"/>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附件1. 玉溪市地震动峰值加速度区划图</w:t>
      </w:r>
    </w:p>
    <w:p>
      <w:pPr>
        <w:spacing w:line="240" w:lineRule="auto"/>
        <w:ind w:firstLine="0" w:firstLineChars="0"/>
        <w:jc w:val="left"/>
        <w:rPr>
          <w:rFonts w:hint="eastAsia"/>
          <w:color w:val="000000" w:themeColor="text1"/>
          <w:kern w:val="0"/>
          <w14:textFill>
            <w14:solidFill>
              <w14:schemeClr w14:val="tx1"/>
            </w14:solidFill>
          </w14:textFill>
        </w:rPr>
      </w:pPr>
    </w:p>
    <w:p>
      <w:pPr>
        <w:spacing w:line="240" w:lineRule="auto"/>
        <w:ind w:firstLine="0" w:firstLineChars="0"/>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drawing>
          <wp:inline distT="0" distB="0" distL="114300" distR="114300">
            <wp:extent cx="5268595" cy="5268595"/>
            <wp:effectExtent l="0" t="0" r="4445" b="4445"/>
            <wp:docPr id="3" name="图片 3" descr="玉溪市十五五规划地震动参数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玉溪市十五五规划地震动参数图2"/>
                    <pic:cNvPicPr>
                      <a:picLocks noChangeAspect="1"/>
                    </pic:cNvPicPr>
                  </pic:nvPicPr>
                  <pic:blipFill>
                    <a:blip r:embed="rId17"/>
                    <a:stretch>
                      <a:fillRect/>
                    </a:stretch>
                  </pic:blipFill>
                  <pic:spPr>
                    <a:xfrm>
                      <a:off x="0" y="0"/>
                      <a:ext cx="5268595" cy="5268595"/>
                    </a:xfrm>
                    <a:prstGeom prst="rect">
                      <a:avLst/>
                    </a:prstGeom>
                  </pic:spPr>
                </pic:pic>
              </a:graphicData>
            </a:graphic>
          </wp:inline>
        </w:drawing>
      </w:r>
    </w:p>
    <w:p>
      <w:pPr>
        <w:spacing w:line="240" w:lineRule="auto"/>
        <w:ind w:firstLine="0" w:firstLineChars="0"/>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br w:type="page"/>
      </w:r>
    </w:p>
    <w:p>
      <w:pPr>
        <w:spacing w:line="240" w:lineRule="auto"/>
        <w:ind w:firstLine="0" w:firstLineChars="0"/>
        <w:jc w:val="left"/>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附件2.玉溪市监测站网布局图</w:t>
      </w:r>
    </w:p>
    <w:p>
      <w:pPr>
        <w:spacing w:line="240" w:lineRule="auto"/>
        <w:ind w:firstLine="0" w:firstLineChars="0"/>
        <w:jc w:val="left"/>
        <w:rPr>
          <w:rFonts w:hint="eastAsia"/>
          <w:color w:val="000000" w:themeColor="text1"/>
          <w:kern w:val="0"/>
          <w14:textFill>
            <w14:solidFill>
              <w14:schemeClr w14:val="tx1"/>
            </w14:solidFill>
          </w14:textFill>
        </w:rPr>
      </w:pPr>
    </w:p>
    <w:p>
      <w:pPr>
        <w:spacing w:line="240" w:lineRule="auto"/>
        <w:ind w:firstLine="0" w:firstLineChars="0"/>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drawing>
          <wp:inline distT="0" distB="0" distL="114300" distR="114300">
            <wp:extent cx="5268595" cy="5269230"/>
            <wp:effectExtent l="0" t="0" r="4445" b="3810"/>
            <wp:docPr id="4" name="图片 4" descr="玉溪市站点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玉溪市站点分布图"/>
                    <pic:cNvPicPr>
                      <a:picLocks noChangeAspect="1"/>
                    </pic:cNvPicPr>
                  </pic:nvPicPr>
                  <pic:blipFill>
                    <a:blip r:embed="rId18"/>
                    <a:stretch>
                      <a:fillRect/>
                    </a:stretch>
                  </pic:blipFill>
                  <pic:spPr>
                    <a:xfrm>
                      <a:off x="0" y="0"/>
                      <a:ext cx="5268595" cy="5269230"/>
                    </a:xfrm>
                    <a:prstGeom prst="rect">
                      <a:avLst/>
                    </a:prstGeom>
                  </pic:spPr>
                </pic:pic>
              </a:graphicData>
            </a:graphic>
          </wp:inline>
        </w:drawing>
      </w:r>
    </w:p>
    <w:p>
      <w:pPr>
        <w:spacing w:line="240" w:lineRule="auto"/>
        <w:ind w:firstLine="0" w:firstLineChars="0"/>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br w:type="page"/>
      </w:r>
    </w:p>
    <w:p>
      <w:pPr>
        <w:spacing w:line="240" w:lineRule="auto"/>
        <w:ind w:firstLine="0" w:firstLineChars="0"/>
        <w:jc w:val="left"/>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附件3.专业术语</w:t>
      </w:r>
    </w:p>
    <w:p>
      <w:pPr>
        <w:spacing w:line="240" w:lineRule="auto"/>
        <w:ind w:firstLine="0" w:firstLineChars="0"/>
        <w:jc w:val="left"/>
        <w:rPr>
          <w:rFonts w:hint="eastAsia"/>
          <w:color w:val="000000" w:themeColor="text1"/>
          <w:kern w:val="0"/>
          <w14:textFill>
            <w14:solidFill>
              <w14:schemeClr w14:val="tx1"/>
            </w14:solidFill>
          </w14:textFill>
        </w:rPr>
      </w:pPr>
    </w:p>
    <w:tbl>
      <w:tblPr>
        <w:tblStyle w:val="15"/>
        <w:tblW w:w="8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600"/>
        <w:gridCol w:w="5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00" w:type="dxa"/>
            <w:tcBorders>
              <w:tl2br w:val="nil"/>
              <w:tr2bl w:val="nil"/>
            </w:tcBorders>
            <w:shd w:val="clear" w:color="000000" w:fill="F2F2F2"/>
            <w:vAlign w:val="center"/>
          </w:tcPr>
          <w:p>
            <w:pPr>
              <w:widowControl/>
              <w:spacing w:line="440" w:lineRule="exact"/>
              <w:ind w:firstLine="0" w:firstLineChars="0"/>
              <w:jc w:val="center"/>
              <w:rPr>
                <w:rFonts w:eastAsia="仿宋"/>
                <w:b/>
                <w:bCs/>
                <w:color w:val="000000" w:themeColor="text1"/>
                <w:kern w:val="0"/>
                <w:sz w:val="22"/>
                <w:szCs w:val="22"/>
                <w14:textFill>
                  <w14:solidFill>
                    <w14:schemeClr w14:val="tx1"/>
                  </w14:solidFill>
                </w14:textFill>
              </w:rPr>
            </w:pPr>
            <w:r>
              <w:rPr>
                <w:rFonts w:eastAsia="仿宋"/>
                <w:b/>
                <w:bCs/>
                <w:color w:val="000000" w:themeColor="text1"/>
                <w:kern w:val="0"/>
                <w:sz w:val="22"/>
                <w:szCs w:val="22"/>
                <w14:textFill>
                  <w14:solidFill>
                    <w14:schemeClr w14:val="tx1"/>
                  </w14:solidFill>
                </w14:textFill>
              </w:rPr>
              <w:t>序号</w:t>
            </w:r>
          </w:p>
        </w:tc>
        <w:tc>
          <w:tcPr>
            <w:tcW w:w="1600" w:type="dxa"/>
            <w:tcBorders>
              <w:tl2br w:val="nil"/>
              <w:tr2bl w:val="nil"/>
            </w:tcBorders>
            <w:shd w:val="clear" w:color="000000" w:fill="F2F2F2"/>
            <w:vAlign w:val="center"/>
          </w:tcPr>
          <w:p>
            <w:pPr>
              <w:widowControl/>
              <w:spacing w:line="440" w:lineRule="exact"/>
              <w:ind w:firstLine="0" w:firstLineChars="0"/>
              <w:jc w:val="center"/>
              <w:rPr>
                <w:rFonts w:eastAsia="仿宋"/>
                <w:b/>
                <w:bCs/>
                <w:color w:val="000000" w:themeColor="text1"/>
                <w:kern w:val="0"/>
                <w:sz w:val="22"/>
                <w:szCs w:val="22"/>
                <w14:textFill>
                  <w14:solidFill>
                    <w14:schemeClr w14:val="tx1"/>
                  </w14:solidFill>
                </w14:textFill>
              </w:rPr>
            </w:pPr>
            <w:r>
              <w:rPr>
                <w:rFonts w:eastAsia="仿宋"/>
                <w:b/>
                <w:bCs/>
                <w:color w:val="000000" w:themeColor="text1"/>
                <w:kern w:val="0"/>
                <w:sz w:val="22"/>
                <w:szCs w:val="22"/>
                <w14:textFill>
                  <w14:solidFill>
                    <w14:schemeClr w14:val="tx1"/>
                  </w14:solidFill>
                </w14:textFill>
              </w:rPr>
              <w:t>术语名称</w:t>
            </w:r>
          </w:p>
        </w:tc>
        <w:tc>
          <w:tcPr>
            <w:tcW w:w="5987" w:type="dxa"/>
            <w:tcBorders>
              <w:tl2br w:val="nil"/>
              <w:tr2bl w:val="nil"/>
            </w:tcBorders>
            <w:shd w:val="clear" w:color="000000" w:fill="F2F2F2"/>
            <w:vAlign w:val="center"/>
          </w:tcPr>
          <w:p>
            <w:pPr>
              <w:widowControl/>
              <w:spacing w:line="440" w:lineRule="exact"/>
              <w:ind w:firstLine="0" w:firstLineChars="0"/>
              <w:jc w:val="center"/>
              <w:rPr>
                <w:rFonts w:eastAsia="仿宋"/>
                <w:b/>
                <w:bCs/>
                <w:color w:val="000000" w:themeColor="text1"/>
                <w:kern w:val="0"/>
                <w:sz w:val="22"/>
                <w:szCs w:val="22"/>
                <w14:textFill>
                  <w14:solidFill>
                    <w14:schemeClr w14:val="tx1"/>
                  </w14:solidFill>
                </w14:textFill>
              </w:rPr>
            </w:pPr>
            <w:r>
              <w:rPr>
                <w:rFonts w:eastAsia="仿宋"/>
                <w:b/>
                <w:bCs/>
                <w:color w:val="000000" w:themeColor="text1"/>
                <w:kern w:val="0"/>
                <w:sz w:val="22"/>
                <w:szCs w:val="22"/>
                <w14:textFill>
                  <w14:solidFill>
                    <w14:schemeClr w14:val="tx1"/>
                  </w14:solidFill>
                </w14:textFill>
              </w:rPr>
              <w:t>术语定义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1</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地震预警</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在地震发生后,对即将到来的有可能造成影响或破坏的地震动进行的警报。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2</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地震灾害风险</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‌未来发生不同程度地震灾害及其可能性。‌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3</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地震</w:t>
            </w:r>
            <w:r>
              <w:rPr>
                <w:rFonts w:eastAsia="仿宋"/>
                <w:color w:val="000000" w:themeColor="text1"/>
                <w:kern w:val="0"/>
                <w:sz w:val="22"/>
                <w:szCs w:val="22"/>
                <w14:textFill>
                  <w14:solidFill>
                    <w14:schemeClr w14:val="tx1"/>
                  </w14:solidFill>
                </w14:textFill>
              </w:rPr>
              <w:t>重点监视防御区</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未来10年或稍长一段时间内,存在发生破坏性地震危险或者受破坏性地震影响可能造成严重灾害损失,需要加强防震减灾工作措施,并经国务院批准的城市和地区。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4</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地震</w:t>
            </w:r>
            <w:r>
              <w:rPr>
                <w:rFonts w:eastAsia="仿宋"/>
                <w:color w:val="000000" w:themeColor="text1"/>
                <w:kern w:val="0"/>
                <w:sz w:val="22"/>
                <w:szCs w:val="22"/>
                <w14:textFill>
                  <w14:solidFill>
                    <w14:schemeClr w14:val="tx1"/>
                  </w14:solidFill>
                </w14:textFill>
              </w:rPr>
              <w:t>重点危险区</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地震重点危险区指未来一年或者稍长时间内，可能发生ML5.0级以上地震的区域。即年度地震重点危险区，指未来1年内,发生破坏性地震危险性较高的区域。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5</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w:t>
            </w:r>
            <w:r>
              <w:rPr>
                <w:rFonts w:eastAsia="仿宋"/>
                <w:color w:val="000000" w:themeColor="text1"/>
                <w:kern w:val="0"/>
                <w:sz w:val="22"/>
                <w:szCs w:val="22"/>
                <w14:textFill>
                  <w14:solidFill>
                    <w14:schemeClr w14:val="tx1"/>
                  </w14:solidFill>
                </w14:textFill>
              </w:rPr>
              <w:t>五不</w:t>
            </w:r>
            <w:r>
              <w:rPr>
                <w:rFonts w:hint="eastAsia" w:eastAsia="仿宋"/>
                <w:color w:val="000000" w:themeColor="text1"/>
                <w:kern w:val="0"/>
                <w:sz w:val="22"/>
                <w:szCs w:val="22"/>
                <w14:textFill>
                  <w14:solidFill>
                    <w14:schemeClr w14:val="tx1"/>
                  </w14:solidFill>
                </w14:textFill>
              </w:rPr>
              <w:t>”</w:t>
            </w:r>
            <w:r>
              <w:rPr>
                <w:rFonts w:eastAsia="仿宋"/>
                <w:color w:val="000000" w:themeColor="text1"/>
                <w:kern w:val="0"/>
                <w:sz w:val="22"/>
                <w:szCs w:val="22"/>
                <w14:textFill>
                  <w14:solidFill>
                    <w14:schemeClr w14:val="tx1"/>
                  </w14:solidFill>
                </w14:textFill>
              </w:rPr>
              <w:t>演练机制</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即不定时间、不明确地点、不设脚本、不提前预演、不搞装备展示。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6</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科普“六进”</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即防灾减灾救灾科普宣传进机关、进学校、进社区、进企业、进农村、进家庭。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eastAsia="仿宋"/>
                <w:color w:val="000000" w:themeColor="text1"/>
                <w:kern w:val="0"/>
                <w:sz w:val="22"/>
                <w:szCs w:val="22"/>
                <w14:textFill>
                  <w14:solidFill>
                    <w14:schemeClr w14:val="tx1"/>
                  </w14:solidFill>
                </w14:textFill>
              </w:rPr>
              <w:t>7</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“两区两城”</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即“‌云南高质量发展示范区”、“民族团结进步示范区”、“中国现代宜居生态城市”、“面向南亚东南亚辐射中心重要支撑城市”。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8</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“123快速响应机制”</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即“1小时启动、2小时出动、3小时展开”的地震灾害应急响应处置机制‌，旨在实现“指挥系统全面运行、救援队伍全部派出、救援工作全面展开”的目标。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9</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“5618”叫应叫醒机制</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省内发生预警震级为5.5级及以上地震时，省地震局在18秒内向地震烈度6度及以上区域地震应急响应"关键人"发送地震提醒信息。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10</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“两违四乱”专项整治</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即针对行政执法领域中‌违规异地执法、趋利性执法‌（两违）以及‌乱收费、乱罚款、乱检查、乱查封‌（四乱）问题开展的集中纠治行动。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00" w:type="dxa"/>
            <w:tcBorders>
              <w:tl2br w:val="nil"/>
              <w:tr2bl w:val="nil"/>
            </w:tcBorders>
            <w:shd w:val="clear" w:color="000000" w:fill="FFFFFF"/>
            <w:vAlign w:val="center"/>
          </w:tcPr>
          <w:p>
            <w:pPr>
              <w:widowControl/>
              <w:spacing w:line="360" w:lineRule="exact"/>
              <w:ind w:firstLine="0" w:firstLineChars="0"/>
              <w:jc w:val="center"/>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11</w:t>
            </w:r>
          </w:p>
        </w:tc>
        <w:tc>
          <w:tcPr>
            <w:tcW w:w="1600"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行政执法“三项制度”</w:t>
            </w:r>
          </w:p>
        </w:tc>
        <w:tc>
          <w:tcPr>
            <w:tcW w:w="5987" w:type="dxa"/>
            <w:tcBorders>
              <w:tl2br w:val="nil"/>
              <w:tr2bl w:val="nil"/>
            </w:tcBorders>
            <w:shd w:val="clear" w:color="000000" w:fill="FFFFFF"/>
            <w:vAlign w:val="center"/>
          </w:tcPr>
          <w:p>
            <w:pPr>
              <w:widowControl/>
              <w:spacing w:line="360" w:lineRule="exact"/>
              <w:ind w:firstLine="0" w:firstLineChars="0"/>
              <w:jc w:val="left"/>
              <w:rPr>
                <w:rFonts w:eastAsia="仿宋"/>
                <w:color w:val="000000" w:themeColor="text1"/>
                <w:kern w:val="0"/>
                <w:sz w:val="22"/>
                <w:szCs w:val="22"/>
                <w14:textFill>
                  <w14:solidFill>
                    <w14:schemeClr w14:val="tx1"/>
                  </w14:solidFill>
                </w14:textFill>
              </w:rPr>
            </w:pPr>
            <w:r>
              <w:rPr>
                <w:rFonts w:hint="eastAsia" w:eastAsia="仿宋"/>
                <w:color w:val="000000" w:themeColor="text1"/>
                <w:kern w:val="0"/>
                <w:sz w:val="22"/>
                <w:szCs w:val="22"/>
                <w14:textFill>
                  <w14:solidFill>
                    <w14:schemeClr w14:val="tx1"/>
                  </w14:solidFill>
                </w14:textFill>
              </w:rPr>
              <w:t>即行政执法公示制度、行政执法全过程记录制度和重大执法决定法制审核制度。</w:t>
            </w:r>
          </w:p>
        </w:tc>
      </w:tr>
    </w:tbl>
    <w:p>
      <w:pPr>
        <w:tabs>
          <w:tab w:val="left" w:pos="8844"/>
        </w:tabs>
        <w:spacing w:line="590" w:lineRule="exact"/>
        <w:ind w:firstLine="672"/>
        <w:rPr>
          <w:rFonts w:eastAsia="方正黑体_GBK"/>
          <w:color w:val="000000" w:themeColor="text1"/>
          <w14:textFill>
            <w14:solidFill>
              <w14:schemeClr w14:val="tx1"/>
            </w14:solidFill>
          </w14:textFill>
        </w:rPr>
        <w:sectPr>
          <w:pgSz w:w="11906" w:h="16838"/>
          <w:pgMar w:top="1440" w:right="1800" w:bottom="1440" w:left="1800" w:header="850" w:footer="1191" w:gutter="0"/>
          <w:pgNumType w:fmt="decimal"/>
          <w:cols w:space="720" w:num="1"/>
          <w:docGrid w:type="linesAndChars" w:linePitch="600" w:charSpace="3229"/>
        </w:sectPr>
      </w:pPr>
    </w:p>
    <w:p>
      <w:pPr>
        <w:spacing w:line="240" w:lineRule="auto"/>
        <w:ind w:firstLine="0" w:firstLineChars="0"/>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附件4. 玉溪市防震减灾“十五五”规划重点项目清单</w:t>
      </w:r>
    </w:p>
    <w:tbl>
      <w:tblPr>
        <w:tblStyle w:val="15"/>
        <w:tblW w:w="124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878"/>
        <w:gridCol w:w="1308"/>
        <w:gridCol w:w="5688"/>
        <w:gridCol w:w="968"/>
        <w:gridCol w:w="948"/>
        <w:gridCol w:w="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b/>
                <w:bCs/>
                <w:color w:val="000000" w:themeColor="text1"/>
                <w:sz w:val="22"/>
                <w:szCs w:val="22"/>
                <w14:textFill>
                  <w14:solidFill>
                    <w14:schemeClr w14:val="tx1"/>
                  </w14:solidFill>
                </w14:textFill>
              </w:rPr>
            </w:pPr>
            <w:r>
              <w:rPr>
                <w:b/>
                <w:bCs/>
                <w:color w:val="000000" w:themeColor="text1"/>
                <w:sz w:val="22"/>
                <w:szCs w:val="22"/>
                <w14:textFill>
                  <w14:solidFill>
                    <w14:schemeClr w14:val="tx1"/>
                  </w14:solidFill>
                </w14:textFill>
              </w:rPr>
              <w:t>序号</w:t>
            </w:r>
          </w:p>
        </w:tc>
        <w:tc>
          <w:tcPr>
            <w:tcW w:w="1878" w:type="dxa"/>
            <w:vAlign w:val="center"/>
          </w:tcPr>
          <w:p>
            <w:pPr>
              <w:spacing w:line="280" w:lineRule="exact"/>
              <w:ind w:firstLine="0" w:firstLineChars="0"/>
              <w:jc w:val="center"/>
              <w:rPr>
                <w:b/>
                <w:bCs/>
                <w:color w:val="000000" w:themeColor="text1"/>
                <w:sz w:val="22"/>
                <w:szCs w:val="22"/>
                <w14:textFill>
                  <w14:solidFill>
                    <w14:schemeClr w14:val="tx1"/>
                  </w14:solidFill>
                </w14:textFill>
              </w:rPr>
            </w:pPr>
            <w:r>
              <w:rPr>
                <w:b/>
                <w:bCs/>
                <w:color w:val="000000" w:themeColor="text1"/>
                <w:sz w:val="22"/>
                <w:szCs w:val="22"/>
                <w14:textFill>
                  <w14:solidFill>
                    <w14:schemeClr w14:val="tx1"/>
                  </w14:solidFill>
                </w14:textFill>
              </w:rPr>
              <w:t>所属领域</w:t>
            </w:r>
          </w:p>
        </w:tc>
        <w:tc>
          <w:tcPr>
            <w:tcW w:w="1308" w:type="dxa"/>
            <w:vAlign w:val="center"/>
          </w:tcPr>
          <w:p>
            <w:pPr>
              <w:spacing w:line="280" w:lineRule="exact"/>
              <w:ind w:firstLine="0" w:firstLineChars="0"/>
              <w:jc w:val="center"/>
              <w:rPr>
                <w:b/>
                <w:bCs/>
                <w:color w:val="000000" w:themeColor="text1"/>
                <w:sz w:val="22"/>
                <w:szCs w:val="22"/>
                <w14:textFill>
                  <w14:solidFill>
                    <w14:schemeClr w14:val="tx1"/>
                  </w14:solidFill>
                </w14:textFill>
              </w:rPr>
            </w:pPr>
            <w:r>
              <w:rPr>
                <w:b/>
                <w:bCs/>
                <w:color w:val="000000" w:themeColor="text1"/>
                <w:sz w:val="22"/>
                <w:szCs w:val="22"/>
                <w14:textFill>
                  <w14:solidFill>
                    <w14:schemeClr w14:val="tx1"/>
                  </w14:solidFill>
                </w14:textFill>
              </w:rPr>
              <w:t>项目名称</w:t>
            </w:r>
          </w:p>
        </w:tc>
        <w:tc>
          <w:tcPr>
            <w:tcW w:w="5688" w:type="dxa"/>
            <w:vAlign w:val="center"/>
          </w:tcPr>
          <w:p>
            <w:pPr>
              <w:spacing w:line="280" w:lineRule="exact"/>
              <w:ind w:firstLine="0" w:firstLineChars="0"/>
              <w:jc w:val="center"/>
              <w:rPr>
                <w:b/>
                <w:bCs/>
                <w:color w:val="000000" w:themeColor="text1"/>
                <w:sz w:val="22"/>
                <w:szCs w:val="22"/>
                <w14:textFill>
                  <w14:solidFill>
                    <w14:schemeClr w14:val="tx1"/>
                  </w14:solidFill>
                </w14:textFill>
              </w:rPr>
            </w:pPr>
            <w:r>
              <w:rPr>
                <w:b/>
                <w:bCs/>
                <w:color w:val="000000" w:themeColor="text1"/>
                <w:sz w:val="22"/>
                <w:szCs w:val="22"/>
                <w14:textFill>
                  <w14:solidFill>
                    <w14:schemeClr w14:val="tx1"/>
                  </w14:solidFill>
                </w14:textFill>
              </w:rPr>
              <w:t>主要建设内容及规模</w:t>
            </w:r>
          </w:p>
        </w:tc>
        <w:tc>
          <w:tcPr>
            <w:tcW w:w="968" w:type="dxa"/>
            <w:vAlign w:val="center"/>
          </w:tcPr>
          <w:p>
            <w:pPr>
              <w:spacing w:line="280" w:lineRule="exact"/>
              <w:ind w:firstLine="0" w:firstLineChars="0"/>
              <w:jc w:val="center"/>
              <w:rPr>
                <w:b/>
                <w:bCs/>
                <w:color w:val="000000" w:themeColor="text1"/>
                <w:sz w:val="22"/>
                <w:szCs w:val="22"/>
                <w14:textFill>
                  <w14:solidFill>
                    <w14:schemeClr w14:val="tx1"/>
                  </w14:solidFill>
                </w14:textFill>
              </w:rPr>
            </w:pPr>
            <w:r>
              <w:rPr>
                <w:b/>
                <w:bCs/>
                <w:color w:val="000000" w:themeColor="text1"/>
                <w:sz w:val="22"/>
                <w:szCs w:val="22"/>
                <w14:textFill>
                  <w14:solidFill>
                    <w14:schemeClr w14:val="tx1"/>
                  </w14:solidFill>
                </w14:textFill>
              </w:rPr>
              <w:t>估算经费(万元)</w:t>
            </w:r>
          </w:p>
        </w:tc>
        <w:tc>
          <w:tcPr>
            <w:tcW w:w="948" w:type="dxa"/>
            <w:vAlign w:val="center"/>
          </w:tcPr>
          <w:p>
            <w:pPr>
              <w:spacing w:line="280" w:lineRule="exact"/>
              <w:ind w:firstLine="0" w:firstLineChars="0"/>
              <w:jc w:val="center"/>
              <w:rPr>
                <w:b/>
                <w:bCs/>
                <w:color w:val="000000" w:themeColor="text1"/>
                <w:sz w:val="22"/>
                <w:szCs w:val="22"/>
                <w14:textFill>
                  <w14:solidFill>
                    <w14:schemeClr w14:val="tx1"/>
                  </w14:solidFill>
                </w14:textFill>
              </w:rPr>
            </w:pPr>
            <w:r>
              <w:rPr>
                <w:b/>
                <w:bCs/>
                <w:color w:val="000000" w:themeColor="text1"/>
                <w:sz w:val="22"/>
                <w:szCs w:val="22"/>
                <w14:textFill>
                  <w14:solidFill>
                    <w14:schemeClr w14:val="tx1"/>
                  </w14:solidFill>
                </w14:textFill>
              </w:rPr>
              <w:t>项目所在地</w:t>
            </w:r>
          </w:p>
        </w:tc>
        <w:tc>
          <w:tcPr>
            <w:tcW w:w="976" w:type="dxa"/>
            <w:vAlign w:val="center"/>
          </w:tcPr>
          <w:p>
            <w:pPr>
              <w:spacing w:line="280" w:lineRule="exact"/>
              <w:ind w:firstLine="0" w:firstLineChars="0"/>
              <w:jc w:val="center"/>
              <w:rPr>
                <w:b/>
                <w:bCs/>
                <w:color w:val="000000" w:themeColor="text1"/>
                <w:sz w:val="22"/>
                <w:szCs w:val="22"/>
                <w14:textFill>
                  <w14:solidFill>
                    <w14:schemeClr w14:val="tx1"/>
                  </w14:solidFill>
                </w14:textFill>
              </w:rPr>
            </w:pPr>
            <w:r>
              <w:rPr>
                <w:b/>
                <w:bCs/>
                <w:color w:val="000000" w:themeColor="text1"/>
                <w:sz w:val="22"/>
                <w:szCs w:val="22"/>
                <w14:textFill>
                  <w14:solidFill>
                    <w14:schemeClr w14:val="tx1"/>
                  </w14:solidFill>
                </w14:textFill>
              </w:rPr>
              <w:t>计划完成时间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多学科地震监测预报预警能力提升建设工程——</w:t>
            </w:r>
            <w:r>
              <w:rPr>
                <w:b/>
                <w:bCs/>
                <w:color w:val="000000" w:themeColor="text1"/>
                <w:sz w:val="22"/>
                <w:szCs w:val="22"/>
                <w14:textFill>
                  <w14:solidFill>
                    <w14:schemeClr w14:val="tx1"/>
                  </w14:solidFill>
                </w14:textFill>
              </w:rPr>
              <w:t>综合立体观测网络建设项目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中国地震科学实验场云南项目</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中国地震科学实验场项目是国家发展改革委批复立项的</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十四五</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国家重大科技基础设施建设项目。按照中国地震局和省地震局安排部署，预计项目于2027年结束，玉溪涉及建设66个观测站点，其中，宽频带测震站点36个、GNSS22个、地球化学和断层气8个。包括：红塔区4个、江川区3个、澄江市1个、通海县1个、华宁县11个、易门县4个、峨山县10个、新平县17个、元江县15个。</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2300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9县（市、区）</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预计2027年完成建设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多学科地震监测预报预警能力提升建设工程——</w:t>
            </w:r>
            <w:r>
              <w:rPr>
                <w:b/>
                <w:bCs/>
                <w:color w:val="000000" w:themeColor="text1"/>
                <w:sz w:val="22"/>
                <w:szCs w:val="22"/>
                <w14:textFill>
                  <w14:solidFill>
                    <w14:schemeClr w14:val="tx1"/>
                  </w14:solidFill>
                </w14:textFill>
              </w:rPr>
              <w:t>综合立体观测网络建设项目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易门绿汁地震监测站提质升级</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开</w:t>
            </w:r>
            <w:r>
              <w:rPr>
                <w:color w:val="000000" w:themeColor="text1"/>
                <w:sz w:val="22"/>
                <w:szCs w:val="22"/>
                <w14:textFill>
                  <w14:solidFill>
                    <w14:schemeClr w14:val="tx1"/>
                  </w14:solidFill>
                </w14:textFill>
              </w:rPr>
              <w:t>展集综合地球物理观测、科学研究、科普宣传为一体的易门绿汁地震监测站建设，在高质量完成原有地震监测任务的同时，引进国内实验研究机构和项目，实现地震监测业务与设备校标比测业务协同开展，进一步提升服务能力。开展高洞体洞室改造、业务用房扩建、防潮改造、综合布线改造、新增观测设备等建设工程。并更换1套钻孔应变设备，新增</w:t>
            </w:r>
            <w:r>
              <w:rPr>
                <w:rFonts w:hint="eastAsia"/>
                <w:color w:val="000000" w:themeColor="text1"/>
                <w:sz w:val="22"/>
                <w:szCs w:val="22"/>
                <w14:textFill>
                  <w14:solidFill>
                    <w14:schemeClr w14:val="tx1"/>
                  </w14:solidFill>
                </w14:textFill>
              </w:rPr>
              <w:t>1</w:t>
            </w:r>
            <w:r>
              <w:rPr>
                <w:color w:val="000000" w:themeColor="text1"/>
                <w:sz w:val="22"/>
                <w:szCs w:val="22"/>
                <w14:textFill>
                  <w14:solidFill>
                    <w14:schemeClr w14:val="tx1"/>
                  </w14:solidFill>
                </w14:textFill>
              </w:rPr>
              <w:t>套井下倾斜观测设备，新增1套绝对重力仪设备，增加1套光伏供电系统及视频监控系统，保障台网正常运行。</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700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易门县</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预计2029年完成建设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3</w:t>
            </w:r>
          </w:p>
        </w:tc>
        <w:tc>
          <w:tcPr>
            <w:tcW w:w="1878" w:type="dxa"/>
            <w:vAlign w:val="center"/>
          </w:tcPr>
          <w:p>
            <w:pPr>
              <w:spacing w:line="280" w:lineRule="exact"/>
              <w:ind w:firstLine="0" w:firstLineChars="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多学科地震监测预报预警能力提升建设工程——</w:t>
            </w:r>
            <w:r>
              <w:rPr>
                <w:b/>
                <w:bCs/>
                <w:color w:val="000000" w:themeColor="text1"/>
                <w:sz w:val="22"/>
                <w:szCs w:val="22"/>
                <w14:textFill>
                  <w14:solidFill>
                    <w14:schemeClr w14:val="tx1"/>
                  </w14:solidFill>
                </w14:textFill>
              </w:rPr>
              <w:t>综合立体观测网络建设项目</w:t>
            </w:r>
          </w:p>
        </w:tc>
        <w:tc>
          <w:tcPr>
            <w:tcW w:w="1308" w:type="dxa"/>
            <w:vAlign w:val="center"/>
          </w:tcPr>
          <w:p>
            <w:pPr>
              <w:spacing w:line="280" w:lineRule="exact"/>
              <w:ind w:firstLine="0" w:firstLineChars="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玉溪市地震监测台站升级改造及多学科融合观测建设</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对目前玉溪辖区内26个强震动台站进行升级改造，其中，通海四街强震台阵4个观测点，进行基础设施改造，其余22个强震台站扩展观测空间，更换玻璃钢罩等，优化观测环境。投资估算1个站点10万元，合计260万元。</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按照中国式现代化建设要求，评估现有地球物理场观测站、测震站等站点基础信息，重点考虑红塔龙马山、峨山水晶山、元江划船寨监测站，通过基础设施升级改造，地震监测专业设备采购安装的方式，利用不同设备，产出高质量观测数据，捕捉同步出现的异常信号，开展多学科联合和多测项融合发展。投资估算1个站点100万元，合计300万元。</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560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9县（市、区）</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预计2030年完成建设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4</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多学科地震监测预报预警能力提升建设工程——</w:t>
            </w:r>
            <w:r>
              <w:rPr>
                <w:b/>
                <w:bCs/>
                <w:color w:val="000000" w:themeColor="text1"/>
                <w:sz w:val="22"/>
                <w:szCs w:val="22"/>
                <w14:textFill>
                  <w14:solidFill>
                    <w14:schemeClr w14:val="tx1"/>
                  </w14:solidFill>
                </w14:textFill>
              </w:rPr>
              <w:t>综合立体观测网络建设项目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玉溪市地震监测专群结合体系建设</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在玉溪市域内选取符合条件的20个龙潭、温泉等水化学观测点</w:t>
            </w:r>
            <w:r>
              <w:rPr>
                <w:rFonts w:hint="eastAsia"/>
                <w:color w:val="000000" w:themeColor="text1"/>
                <w:sz w:val="22"/>
                <w:szCs w:val="22"/>
                <w14:textFill>
                  <w14:solidFill>
                    <w14:schemeClr w14:val="tx1"/>
                  </w14:solidFill>
                </w14:textFill>
              </w:rPr>
              <w:t>进行维护优化</w:t>
            </w:r>
            <w:r>
              <w:rPr>
                <w:color w:val="000000" w:themeColor="text1"/>
                <w:sz w:val="22"/>
                <w:szCs w:val="22"/>
                <w14:textFill>
                  <w14:solidFill>
                    <w14:schemeClr w14:val="tx1"/>
                  </w14:solidFill>
                </w14:textFill>
              </w:rPr>
              <w:t>，利用断层气的二氧化碳监测、温泉水的气体组分和氢氧同位素观测、冷泉水的水质监测等技术手段，结合专业监测与群众力量，构建覆盖重点区域的</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专群结合</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体系</w:t>
            </w:r>
            <w:r>
              <w:rPr>
                <w:rFonts w:hint="eastAsia"/>
                <w:color w:val="000000" w:themeColor="text1"/>
                <w:sz w:val="22"/>
                <w:szCs w:val="22"/>
                <w14:textFill>
                  <w14:solidFill>
                    <w14:schemeClr w14:val="tx1"/>
                  </w14:solidFill>
                </w14:textFill>
              </w:rPr>
              <w:t>。依托云南地震台宏观观测点升级改造，开展玉溪市40个宏观观测点的智能化升级，</w:t>
            </w:r>
            <w:r>
              <w:rPr>
                <w:color w:val="000000" w:themeColor="text1"/>
                <w:sz w:val="22"/>
                <w:szCs w:val="22"/>
                <w14:textFill>
                  <w14:solidFill>
                    <w14:schemeClr w14:val="tx1"/>
                  </w14:solidFill>
                </w14:textFill>
              </w:rPr>
              <w:t>提高地震前兆信息的捕捉能力和分析精度，为地震监测预报提供更丰富、准确的数据支撑。合计400万元。</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400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9县（市、区）</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预计2030年完成建设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5</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多学科地震监测预报预警能力提升建设工程——</w:t>
            </w:r>
            <w:r>
              <w:rPr>
                <w:b/>
                <w:bCs/>
                <w:color w:val="000000" w:themeColor="text1"/>
                <w:sz w:val="22"/>
                <w:szCs w:val="22"/>
                <w14:textFill>
                  <w14:solidFill>
                    <w14:schemeClr w14:val="tx1"/>
                  </w14:solidFill>
                </w14:textFill>
              </w:rPr>
              <w:t>重点区域监测服务能力提升项目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玉溪市地震监测密集台阵建设</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沿曲江断裂两侧布设密集台阵，每1</w:t>
            </w:r>
            <w:r>
              <w:rPr>
                <w:rFonts w:hint="eastAsia"/>
                <w:color w:val="000000" w:themeColor="text1"/>
                <w:sz w:val="22"/>
                <w:szCs w:val="22"/>
                <w14:textFill>
                  <w14:solidFill>
                    <w14:schemeClr w14:val="tx1"/>
                  </w14:solidFill>
                </w14:textFill>
              </w:rPr>
              <w:t>0</w:t>
            </w:r>
            <w:r>
              <w:rPr>
                <w:color w:val="000000" w:themeColor="text1"/>
                <w:sz w:val="22"/>
                <w:szCs w:val="22"/>
                <w14:textFill>
                  <w14:solidFill>
                    <w14:schemeClr w14:val="tx1"/>
                  </w14:solidFill>
                </w14:textFill>
              </w:rPr>
              <w:t>公里左右设置一个监测站点，共计建设8个站点，各站点呈线性分布，每个站点根据实际地质条件和监测需求，布设形变或者流体类的观测仪器，用于监测地壳形变、地下流体变化等地震前兆信息，确保对曲江断裂沿线地震活动的全面有效监测。投资估算1个站点50万元，合计400万元。</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400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峨山县、通海县</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预计2027年完成建设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6</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多学科地震监测预报预警能力提升建设工程——</w:t>
            </w:r>
            <w:r>
              <w:rPr>
                <w:rFonts w:hint="eastAsia"/>
                <w:b/>
                <w:bCs/>
                <w:color w:val="000000" w:themeColor="text1"/>
                <w:sz w:val="22"/>
                <w:szCs w:val="22"/>
                <w14:textFill>
                  <w14:solidFill>
                    <w14:schemeClr w14:val="tx1"/>
                  </w14:solidFill>
                </w14:textFill>
              </w:rPr>
              <w:t>防震减灾</w:t>
            </w:r>
            <w:r>
              <w:rPr>
                <w:b/>
                <w:bCs/>
                <w:color w:val="000000" w:themeColor="text1"/>
                <w:sz w:val="22"/>
                <w:szCs w:val="22"/>
                <w14:textFill>
                  <w14:solidFill>
                    <w14:schemeClr w14:val="tx1"/>
                  </w14:solidFill>
                </w14:textFill>
              </w:rPr>
              <w:t>智能化业务能力建设项目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玉溪市地震信息基础设施智能化建设</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项目计划将玉溪市防震减灾局数字台网中心进行提质升级改造，对现有机房进行改扩建，满足地震行业网、地震预警数据专网、电子政务网的业务需求，增加机柜、服务器、网络安全设施设备等硬件，投资预算300万元</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打造区域信息节点标准化，建立一套监测数据管理系统，</w:t>
            </w:r>
            <w:r>
              <w:rPr>
                <w:rFonts w:hint="eastAsia"/>
                <w:color w:val="000000" w:themeColor="text1"/>
                <w:sz w:val="22"/>
                <w:szCs w:val="22"/>
                <w14:textFill>
                  <w14:solidFill>
                    <w14:schemeClr w14:val="tx1"/>
                  </w14:solidFill>
                </w14:textFill>
              </w:rPr>
              <w:t>形成</w:t>
            </w:r>
            <w:r>
              <w:rPr>
                <w:color w:val="000000" w:themeColor="text1"/>
                <w:sz w:val="22"/>
                <w:szCs w:val="22"/>
                <w14:textFill>
                  <w14:solidFill>
                    <w14:schemeClr w14:val="tx1"/>
                  </w14:solidFill>
                </w14:textFill>
              </w:rPr>
              <w:t>智能高效、安全可靠的震情会商服务平台</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满足</w:t>
            </w:r>
            <w:r>
              <w:rPr>
                <w:rFonts w:hint="eastAsia"/>
                <w:color w:val="000000" w:themeColor="text1"/>
                <w:sz w:val="22"/>
                <w:szCs w:val="22"/>
                <w14:textFill>
                  <w14:solidFill>
                    <w14:schemeClr w14:val="tx1"/>
                  </w14:solidFill>
                </w14:textFill>
              </w:rPr>
              <w:t>监测数据存储、管理、</w:t>
            </w:r>
            <w:r>
              <w:rPr>
                <w:color w:val="000000" w:themeColor="text1"/>
                <w:sz w:val="22"/>
                <w:szCs w:val="22"/>
                <w14:textFill>
                  <w14:solidFill>
                    <w14:schemeClr w14:val="tx1"/>
                  </w14:solidFill>
                </w14:textFill>
              </w:rPr>
              <w:t>调用</w:t>
            </w:r>
            <w:r>
              <w:rPr>
                <w:rFonts w:hint="eastAsia"/>
                <w:color w:val="000000" w:themeColor="text1"/>
                <w:sz w:val="22"/>
                <w:szCs w:val="22"/>
                <w14:textFill>
                  <w14:solidFill>
                    <w14:schemeClr w14:val="tx1"/>
                  </w14:solidFill>
                </w14:textFill>
              </w:rPr>
              <w:t>，以及视频会商需求</w:t>
            </w:r>
            <w:r>
              <w:rPr>
                <w:color w:val="000000" w:themeColor="text1"/>
                <w:sz w:val="22"/>
                <w:szCs w:val="22"/>
                <w14:textFill>
                  <w14:solidFill>
                    <w14:schemeClr w14:val="tx1"/>
                  </w14:solidFill>
                </w14:textFill>
              </w:rPr>
              <w:t>，投资预算200万元。通过软硬件措施加强网络安全，全面提高全市地震监测预报信息化支撑能力，合计500万元。</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500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预计2027年完成建设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7</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多学科地震监测预报预警能力提升建设工程——</w:t>
            </w:r>
            <w:r>
              <w:rPr>
                <w:b/>
                <w:bCs/>
                <w:color w:val="000000" w:themeColor="text1"/>
                <w:sz w:val="22"/>
                <w:szCs w:val="22"/>
                <w14:textFill>
                  <w14:solidFill>
                    <w14:schemeClr w14:val="tx1"/>
                  </w14:solidFill>
                </w14:textFill>
              </w:rPr>
              <w:t>防震减灾智能化业务能力建设项目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玉溪市地震预测预报能力提升项目</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依托玉溪市6.0级以上强震短临跟踪工作组，围绕震源区地下介质特性、区域应力场、地壳形变、区域构造特征、历史震例总结等方向开展探索研究，形成系列研究成果，持续健全完善地震预测指标体系。采取“请进来、走出去”相结合方式，组织跟踪工作组成员开展业务培训、学术交流与研讨，着力建强地震监测预报人才队伍 。一是逐步建设完善玉溪市震情智能会商服务系统，快速生成高质量震情分析报告，提升震情信息服务时效；二是抓实业务培训与学术交流研讨，邀请省内外行业</w:t>
            </w:r>
            <w:r>
              <w:rPr>
                <w:rFonts w:hint="eastAsia"/>
                <w:color w:val="000000" w:themeColor="text1"/>
                <w:sz w:val="22"/>
                <w:szCs w:val="22"/>
                <w:lang w:eastAsia="zh-CN"/>
                <w14:textFill>
                  <w14:solidFill>
                    <w14:schemeClr w14:val="tx1"/>
                  </w14:solidFill>
                </w14:textFill>
              </w:rPr>
              <w:t>专</w:t>
            </w:r>
            <w:r>
              <w:rPr>
                <w:color w:val="000000" w:themeColor="text1"/>
                <w:sz w:val="22"/>
                <w:szCs w:val="22"/>
                <w14:textFill>
                  <w14:solidFill>
                    <w14:schemeClr w14:val="tx1"/>
                  </w14:solidFill>
                </w14:textFill>
              </w:rPr>
              <w:t>家赴玉授课，强化强震短临跟踪业务能力；</w:t>
            </w:r>
            <w:r>
              <w:rPr>
                <w:rFonts w:hint="eastAsia"/>
                <w:color w:val="000000" w:themeColor="text1"/>
                <w:sz w:val="22"/>
                <w:szCs w:val="22"/>
                <w14:textFill>
                  <w14:solidFill>
                    <w14:schemeClr w14:val="tx1"/>
                  </w14:solidFill>
                </w14:textFill>
              </w:rPr>
              <w:t>三</w:t>
            </w:r>
            <w:r>
              <w:rPr>
                <w:color w:val="000000" w:themeColor="text1"/>
                <w:sz w:val="22"/>
                <w:szCs w:val="22"/>
                <w14:textFill>
                  <w14:solidFill>
                    <w14:schemeClr w14:val="tx1"/>
                  </w14:solidFill>
                </w14:textFill>
              </w:rPr>
              <w:t>是对地震监测预报业务人员申报科研课题给予经费支持。通过多项举措协同发力，强化地震预测预报人才队伍培育，全面提升全市地震预测预报业务能力与工作水平。投资估算每年6万元，合计30万元</w:t>
            </w:r>
            <w:r>
              <w:rPr>
                <w:rFonts w:hint="eastAsia"/>
                <w:color w:val="000000" w:themeColor="text1"/>
                <w:sz w:val="22"/>
                <w:szCs w:val="22"/>
                <w14:textFill>
                  <w14:solidFill>
                    <w14:schemeClr w14:val="tx1"/>
                  </w14:solidFill>
                </w14:textFill>
              </w:rPr>
              <w:t>。</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30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2030年完成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8</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地震灾害风险应对与韧性城乡建设工程——</w:t>
            </w:r>
            <w:r>
              <w:rPr>
                <w:b/>
                <w:bCs/>
                <w:color w:val="000000" w:themeColor="text1"/>
                <w:sz w:val="22"/>
                <w:szCs w:val="22"/>
                <w14:textFill>
                  <w14:solidFill>
                    <w14:schemeClr w14:val="tx1"/>
                  </w14:solidFill>
                </w14:textFill>
              </w:rPr>
              <w:t>城市风险与精细探查项目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城市活动断层精确定位与影响评价工程</w:t>
            </w:r>
          </w:p>
        </w:tc>
        <w:tc>
          <w:tcPr>
            <w:tcW w:w="5688" w:type="dxa"/>
            <w:vAlign w:val="center"/>
          </w:tcPr>
          <w:p>
            <w:pPr>
              <w:spacing w:line="280" w:lineRule="exact"/>
              <w:ind w:firstLine="472"/>
              <w:jc w:val="left"/>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根据</w:t>
            </w:r>
            <w:r>
              <w:rPr>
                <w:rFonts w:hint="eastAsia"/>
                <w:color w:val="000000" w:themeColor="text1"/>
                <w:sz w:val="22"/>
                <w:szCs w:val="22"/>
                <w14:textFill>
                  <w14:solidFill>
                    <w14:schemeClr w14:val="tx1"/>
                  </w14:solidFill>
                </w14:textFill>
              </w:rPr>
              <w:t>玉溪市</w:t>
            </w:r>
            <w:r>
              <w:rPr>
                <w:color w:val="000000" w:themeColor="text1"/>
                <w:sz w:val="22"/>
                <w:szCs w:val="22"/>
                <w14:textFill>
                  <w14:solidFill>
                    <w14:schemeClr w14:val="tx1"/>
                  </w14:solidFill>
                </w14:textFill>
              </w:rPr>
              <w:t>活动断层研究现状、城市发展和防震减灾的需要，通过高分辨率遥感解译、地质地貌调查、地质--地貌填图、浅层地震勘探（初勘和详勘）、钻孔联合剖面探测、槽探、断错地貌测量、地层和地貌面年代测定、跨断层形变观测等探测及观测手段实现以下工作目标：（1）根据风险普查1:50000活动断层分布图，对目标县城主要的活动断裂进行精确定位，编制城区附近1：10000断层分布图，综合评价其地震危险性。（2）对目标县城进行隐伏断层探测，探明目标县城地下是否存在隐伏地震活动断层，编制1:10000隐伏断层分布图，确定断裂性质，为避让距离提供科学支撑。（3）建设目标城区活动断层信息管理系统，用于活动断层地震危险性分析、抗震设防、应急救灾以及危害性对策咨询的地震信息公共平台，为目标城区城市建设规划和防震减灾工作服务。</w:t>
            </w:r>
          </w:p>
          <w:p>
            <w:pPr>
              <w:spacing w:line="280" w:lineRule="exact"/>
              <w:ind w:firstLine="472"/>
              <w:jc w:val="left"/>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根据地震趋势及地震断裂、地质构造分析研判意见，推进已启动实施的峨山县项目加快完成，积极推动1个具备条件的县区启动实施该项目，概算1800万元。</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1800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2030年完成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9</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地震灾害风险应对与韧性城乡建设工程——</w:t>
            </w:r>
            <w:r>
              <w:rPr>
                <w:b/>
                <w:bCs/>
                <w:color w:val="000000" w:themeColor="text1"/>
                <w:sz w:val="22"/>
                <w:szCs w:val="22"/>
                <w14:textFill>
                  <w14:solidFill>
                    <w14:schemeClr w14:val="tx1"/>
                  </w14:solidFill>
                </w14:textFill>
              </w:rPr>
              <w:t>韧性城乡建设项目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韧性城乡建设项目</w:t>
            </w:r>
          </w:p>
        </w:tc>
        <w:tc>
          <w:tcPr>
            <w:tcW w:w="5688" w:type="dxa"/>
            <w:vAlign w:val="center"/>
          </w:tcPr>
          <w:p>
            <w:pPr>
              <w:widowControl/>
              <w:spacing w:line="280" w:lineRule="exact"/>
              <w:ind w:firstLine="470" w:firstLineChars="0"/>
              <w:jc w:val="left"/>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重大基础设施监测评估及典型建筑轻量化结构台阵建设。聚焦区域交通命脉安全，选取重大桥梁或重大隧道（群）作为重点监测评估对象，对其抗震性能进行全方位、动态化评估监测，精准识别潜在地震灾害风险。开展监测设施对象安全动态监测与健康诊断等应用，为大桥（隧道）管理方提供地震灾害易损点分析，为桥梁（隧道）地震安全监测研究提供可靠的数据支持，为预防地震风险和抗震加固提供科学依据。针对高层建筑、重点公共设施和重要文物建筑等地震敏感目标，开展轻量化结构台阵建设。通过布设微型加速度计、应变传感器等设备，构建实时监测网络，动态捕捉建筑结构在地震作用下的响应。项目概算</w:t>
            </w:r>
            <w:r>
              <w:rPr>
                <w:rFonts w:hint="eastAsia"/>
                <w:color w:val="000000" w:themeColor="text1"/>
                <w:sz w:val="22"/>
                <w:szCs w:val="22"/>
                <w:lang w:val="en-US" w:eastAsia="zh-CN"/>
                <w14:textFill>
                  <w14:solidFill>
                    <w14:schemeClr w14:val="tx1"/>
                  </w14:solidFill>
                </w14:textFill>
              </w:rPr>
              <w:t>2</w:t>
            </w:r>
            <w:r>
              <w:rPr>
                <w:color w:val="000000" w:themeColor="text1"/>
                <w:sz w:val="22"/>
                <w:szCs w:val="22"/>
                <w14:textFill>
                  <w14:solidFill>
                    <w14:schemeClr w14:val="tx1"/>
                  </w14:solidFill>
                </w14:textFill>
              </w:rPr>
              <w:t>00万元。</w:t>
            </w:r>
          </w:p>
          <w:p>
            <w:pPr>
              <w:widowControl/>
              <w:spacing w:line="280" w:lineRule="exact"/>
              <w:ind w:firstLine="470" w:firstLineChars="0"/>
              <w:jc w:val="left"/>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地震灾害精细化预评估。综合运用地质勘察、地震危险性分析、建筑物易损性评估等技术手段，逐步开展县域地震灾害精细化预评估。通过建立区域地震灾害风险数据库，量化分析不同区域、不同类型建筑的地震损失预期，为科学制定抗震减灾策略提供数据支撑。项目概算30万元。</w:t>
            </w:r>
          </w:p>
        </w:tc>
        <w:tc>
          <w:tcPr>
            <w:tcW w:w="968" w:type="dxa"/>
            <w:vAlign w:val="center"/>
          </w:tcPr>
          <w:p>
            <w:pPr>
              <w:spacing w:line="280" w:lineRule="exact"/>
              <w:ind w:firstLine="0" w:firstLineChars="0"/>
              <w:jc w:val="center"/>
              <w:rPr>
                <w:rFonts w:hint="default" w:eastAsia="方正仿宋_GBK"/>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230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2030年完成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10</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地震灾害风险应对与韧性城乡建设工程——</w:t>
            </w:r>
            <w:r>
              <w:rPr>
                <w:b/>
                <w:bCs/>
                <w:color w:val="000000" w:themeColor="text1"/>
                <w:sz w:val="22"/>
                <w:szCs w:val="22"/>
                <w14:textFill>
                  <w14:solidFill>
                    <w14:schemeClr w14:val="tx1"/>
                  </w14:solidFill>
                </w14:textFill>
              </w:rPr>
              <w:t>应急</w:t>
            </w:r>
            <w:r>
              <w:rPr>
                <w:rFonts w:hint="eastAsia"/>
                <w:b/>
                <w:bCs/>
                <w:color w:val="000000" w:themeColor="text1"/>
                <w:sz w:val="22"/>
                <w:szCs w:val="22"/>
                <w14:textFill>
                  <w14:solidFill>
                    <w14:schemeClr w14:val="tx1"/>
                  </w14:solidFill>
                </w14:textFill>
              </w:rPr>
              <w:t>处置</w:t>
            </w:r>
            <w:r>
              <w:rPr>
                <w:b/>
                <w:bCs/>
                <w:color w:val="000000" w:themeColor="text1"/>
                <w:sz w:val="22"/>
                <w:szCs w:val="22"/>
                <w14:textFill>
                  <w14:solidFill>
                    <w14:schemeClr w14:val="tx1"/>
                  </w14:solidFill>
                </w14:textFill>
              </w:rPr>
              <w:t>体系化建设项目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玉溪市应急指挥平台信息化智能化能力提升项目</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按照云南省防震减灾信息化智能化建设总体要求和全市</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一个平台、一套系统</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建设目标，以国产化硬件升级为基础满足信创要求，对全市防震减灾部门应急指挥平台显示、音频、中控、会议终端等硬件单元进行高性能升级改造，搭建全市统一网络</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云</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会议系统。</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建设规模：市防震减灾局建设市级中心平台、9县（市、区）防震减灾局分别建设县级平台。</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投资预算：项目预算</w:t>
            </w:r>
            <w:r>
              <w:rPr>
                <w:rFonts w:hint="eastAsia"/>
                <w:color w:val="000000" w:themeColor="text1"/>
                <w:sz w:val="22"/>
                <w:szCs w:val="22"/>
                <w:lang w:val="en-US" w:eastAsia="zh-CN"/>
                <w14:textFill>
                  <w14:solidFill>
                    <w14:schemeClr w14:val="tx1"/>
                  </w14:solidFill>
                </w14:textFill>
              </w:rPr>
              <w:t>650</w:t>
            </w:r>
            <w:r>
              <w:rPr>
                <w:color w:val="000000" w:themeColor="text1"/>
                <w:sz w:val="22"/>
                <w:szCs w:val="22"/>
                <w14:textFill>
                  <w14:solidFill>
                    <w14:schemeClr w14:val="tx1"/>
                  </w14:solidFill>
                </w14:textFill>
              </w:rPr>
              <w:t>万元。其中：市级</w:t>
            </w:r>
            <w:r>
              <w:rPr>
                <w:rFonts w:hint="eastAsia"/>
                <w:color w:val="000000" w:themeColor="text1"/>
                <w:sz w:val="22"/>
                <w:szCs w:val="22"/>
                <w:lang w:val="en-US" w:eastAsia="zh-CN"/>
                <w14:textFill>
                  <w14:solidFill>
                    <w14:schemeClr w14:val="tx1"/>
                  </w14:solidFill>
                </w14:textFill>
              </w:rPr>
              <w:t>200</w:t>
            </w:r>
            <w:r>
              <w:rPr>
                <w:color w:val="000000" w:themeColor="text1"/>
                <w:sz w:val="22"/>
                <w:szCs w:val="22"/>
                <w14:textFill>
                  <w14:solidFill>
                    <w14:schemeClr w14:val="tx1"/>
                  </w14:solidFill>
                </w14:textFill>
              </w:rPr>
              <w:t>万元；县级</w:t>
            </w:r>
            <w:r>
              <w:rPr>
                <w:rFonts w:hint="eastAsia"/>
                <w:color w:val="000000" w:themeColor="text1"/>
                <w:sz w:val="22"/>
                <w:szCs w:val="22"/>
                <w:lang w:val="en-US" w:eastAsia="zh-CN"/>
                <w14:textFill>
                  <w14:solidFill>
                    <w14:schemeClr w14:val="tx1"/>
                  </w14:solidFill>
                </w14:textFill>
              </w:rPr>
              <w:t>450</w:t>
            </w:r>
            <w:r>
              <w:rPr>
                <w:color w:val="000000" w:themeColor="text1"/>
                <w:sz w:val="22"/>
                <w:szCs w:val="22"/>
                <w14:textFill>
                  <w14:solidFill>
                    <w14:schemeClr w14:val="tx1"/>
                  </w14:solidFill>
                </w14:textFill>
              </w:rPr>
              <w:t>万元，</w:t>
            </w:r>
            <w:r>
              <w:rPr>
                <w:rFonts w:hint="eastAsia"/>
                <w:color w:val="000000" w:themeColor="text1"/>
                <w:sz w:val="22"/>
                <w:szCs w:val="22"/>
                <w:lang w:val="en-US" w:eastAsia="zh-CN"/>
                <w14:textFill>
                  <w14:solidFill>
                    <w14:schemeClr w14:val="tx1"/>
                  </w14:solidFill>
                </w14:textFill>
              </w:rPr>
              <w:t>50</w:t>
            </w:r>
            <w:r>
              <w:rPr>
                <w:color w:val="000000" w:themeColor="text1"/>
                <w:sz w:val="22"/>
                <w:szCs w:val="22"/>
                <w14:textFill>
                  <w14:solidFill>
                    <w14:schemeClr w14:val="tx1"/>
                  </w14:solidFill>
                </w14:textFill>
              </w:rPr>
              <w:t>万元/县区</w:t>
            </w:r>
          </w:p>
        </w:tc>
        <w:tc>
          <w:tcPr>
            <w:tcW w:w="968" w:type="dxa"/>
            <w:vAlign w:val="center"/>
          </w:tcPr>
          <w:p>
            <w:pPr>
              <w:spacing w:line="280" w:lineRule="exact"/>
              <w:ind w:firstLine="0" w:firstLineChars="0"/>
              <w:jc w:val="center"/>
              <w:rPr>
                <w:rFonts w:hint="default" w:eastAsia="方正仿宋_GBK"/>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650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2030年完成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11</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地震灾害风险应对与韧性城乡建设工程——</w:t>
            </w:r>
            <w:r>
              <w:rPr>
                <w:b/>
                <w:bCs/>
                <w:color w:val="000000" w:themeColor="text1"/>
                <w:sz w:val="22"/>
                <w:szCs w:val="22"/>
                <w14:textFill>
                  <w14:solidFill>
                    <w14:schemeClr w14:val="tx1"/>
                  </w14:solidFill>
                </w14:textFill>
              </w:rPr>
              <w:t>应急</w:t>
            </w:r>
            <w:r>
              <w:rPr>
                <w:rFonts w:hint="eastAsia"/>
                <w:b/>
                <w:bCs/>
                <w:color w:val="000000" w:themeColor="text1"/>
                <w:sz w:val="22"/>
                <w:szCs w:val="22"/>
                <w14:textFill>
                  <w14:solidFill>
                    <w14:schemeClr w14:val="tx1"/>
                  </w14:solidFill>
                </w14:textFill>
              </w:rPr>
              <w:t>处置</w:t>
            </w:r>
            <w:r>
              <w:rPr>
                <w:b/>
                <w:bCs/>
                <w:color w:val="000000" w:themeColor="text1"/>
                <w:sz w:val="22"/>
                <w:szCs w:val="22"/>
                <w14:textFill>
                  <w14:solidFill>
                    <w14:schemeClr w14:val="tx1"/>
                  </w14:solidFill>
                </w14:textFill>
              </w:rPr>
              <w:t>体系化建设项目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玉溪市基层地震应急</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第一响应人</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建设项目</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针对乡镇（街道）、村（社区）、自然村三级，持续开展基层地震应急“第一响应人”建设，构建覆盖广泛、反应迅速的基层应急队伍。通过系统培训和实战演练，使每个村（居）民小组地震应急“第一响应人”常态化保持在3人左右，有效提升基层应急响应和处置能力，补齐基层应急处置能力短板，夯实地震应急处置基础，为群众自救互救提供有力的技术支撑和人才储备，切实解决地震应急“最后一公里”问题。</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建设规模：完成500人次教官和骨干讲师、30000人次基层地震应急“第一响应人”培训；更新补充培训装备器材和相关耗材。</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投资预算：项目预算250万元。其中：市级、9县（市、区）每年5万元，年均50万元。</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250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2030年完成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12</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地震灾害风险应对与韧性城乡建设工程——</w:t>
            </w:r>
            <w:r>
              <w:rPr>
                <w:b/>
                <w:bCs/>
                <w:color w:val="000000" w:themeColor="text1"/>
                <w:sz w:val="22"/>
                <w:szCs w:val="22"/>
                <w14:textFill>
                  <w14:solidFill>
                    <w14:schemeClr w14:val="tx1"/>
                  </w14:solidFill>
                </w14:textFill>
              </w:rPr>
              <w:t>应急</w:t>
            </w:r>
            <w:r>
              <w:rPr>
                <w:rFonts w:hint="eastAsia"/>
                <w:b/>
                <w:bCs/>
                <w:color w:val="000000" w:themeColor="text1"/>
                <w:sz w:val="22"/>
                <w:szCs w:val="22"/>
                <w14:textFill>
                  <w14:solidFill>
                    <w14:schemeClr w14:val="tx1"/>
                  </w14:solidFill>
                </w14:textFill>
              </w:rPr>
              <w:t>处置</w:t>
            </w:r>
            <w:r>
              <w:rPr>
                <w:b/>
                <w:bCs/>
                <w:color w:val="000000" w:themeColor="text1"/>
                <w:sz w:val="22"/>
                <w:szCs w:val="22"/>
                <w14:textFill>
                  <w14:solidFill>
                    <w14:schemeClr w14:val="tx1"/>
                  </w14:solidFill>
                </w14:textFill>
              </w:rPr>
              <w:t>体系化建设项目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玉溪市地震现场应急装备现代化能力提升项目</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聚焦地震应急响应关键环节，强化基层防震减灾部门地震现场应急物资装备建设，构建满足地震灾害损失评估、流动测震等现场应急核心职能所需的现代化、模块化、可靠携行装备体系，提升在断网、断电、断路等极端条件下的独立作战与持续保障能力。具体如下：</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1.建设多功能便携式应急照明与供电模块。通过配备便携式发电机、高亮度长续航照明设备、大功率多接口便携储能电源等，解决地震现场供电与照明难题。</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2.建设便携式应急通讯模块。构建集成卫星通信、强穿透数字对讲、自组网设备等多手段通信网络，确保前后方实时信息贯通。</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3.建设高精度便携式灾害快速评估模块。配备激光测距、倾斜测量、RTK无人机及快速建模软件等先进勘察设备和灾情评估运行平台，实现灾情快速精准评估。</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4.建设地震现场专业防护携行装备模块。针对震后次生灾害配备单兵防护包（头盔、防护服、防护鞋、手套等）、急救包等个人防护装备与携行物资，保障地震现场工作人员安全与生存需求。</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建设规模：装配10支现场工作队伍，满足55人开展现场处置应急需要。其中：市级1支工作队，共10人；县级9支工作队（5人/支），共45人。</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投资预算：项目预算3</w:t>
            </w:r>
            <w:r>
              <w:rPr>
                <w:rFonts w:hint="eastAsia"/>
                <w:color w:val="000000" w:themeColor="text1"/>
                <w:sz w:val="22"/>
                <w:szCs w:val="22"/>
                <w14:textFill>
                  <w14:solidFill>
                    <w14:schemeClr w14:val="tx1"/>
                  </w14:solidFill>
                </w14:textFill>
              </w:rPr>
              <w:t>4</w:t>
            </w:r>
            <w:r>
              <w:rPr>
                <w:color w:val="000000" w:themeColor="text1"/>
                <w:sz w:val="22"/>
                <w:szCs w:val="22"/>
                <w14:textFill>
                  <w14:solidFill>
                    <w14:schemeClr w14:val="tx1"/>
                  </w14:solidFill>
                </w14:textFill>
              </w:rPr>
              <w:t>5万元。其中：市级75万元；县级270万元，30万元/支。</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345</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2030年完成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13</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公众</w:t>
            </w:r>
            <w:r>
              <w:rPr>
                <w:rFonts w:hint="default"/>
                <w:color w:val="000000" w:themeColor="text1"/>
                <w:sz w:val="22"/>
                <w:szCs w:val="22"/>
                <w:lang w:val="en-US" w:eastAsia="zh-CN"/>
                <w14:textFill>
                  <w14:solidFill>
                    <w14:schemeClr w14:val="tx1"/>
                  </w14:solidFill>
                </w14:textFill>
              </w:rPr>
              <w:t>服务能力强化</w:t>
            </w:r>
            <w:r>
              <w:rPr>
                <w:color w:val="000000" w:themeColor="text1"/>
                <w:sz w:val="22"/>
                <w:szCs w:val="22"/>
                <w14:textFill>
                  <w14:solidFill>
                    <w14:schemeClr w14:val="tx1"/>
                  </w14:solidFill>
                </w14:textFill>
              </w:rPr>
              <w:t>工程——</w:t>
            </w:r>
            <w:r>
              <w:rPr>
                <w:b/>
                <w:bCs/>
                <w:color w:val="000000" w:themeColor="text1"/>
                <w:sz w:val="22"/>
                <w:szCs w:val="22"/>
                <w14:textFill>
                  <w14:solidFill>
                    <w14:schemeClr w14:val="tx1"/>
                  </w14:solidFill>
                </w14:textFill>
              </w:rPr>
              <w:t>区域联动科普阵地建设项目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防震减灾科普+研学项目</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以阵地建设</w:t>
            </w:r>
            <w:r>
              <w:rPr>
                <w:rFonts w:hint="eastAsia"/>
                <w:color w:val="000000" w:themeColor="text1"/>
                <w:sz w:val="22"/>
                <w:szCs w:val="22"/>
                <w14:textFill>
                  <w14:solidFill>
                    <w14:schemeClr w14:val="tx1"/>
                  </w14:solidFill>
                </w14:textFill>
              </w:rPr>
              <w:t>为</w:t>
            </w:r>
            <w:r>
              <w:rPr>
                <w:color w:val="000000" w:themeColor="text1"/>
                <w:sz w:val="22"/>
                <w:szCs w:val="22"/>
                <w14:textFill>
                  <w14:solidFill>
                    <w14:schemeClr w14:val="tx1"/>
                  </w14:solidFill>
                </w14:textFill>
              </w:rPr>
              <w:t>着力点，</w:t>
            </w:r>
            <w:r>
              <w:rPr>
                <w:rFonts w:hint="eastAsia"/>
                <w:color w:val="000000" w:themeColor="text1"/>
                <w:sz w:val="22"/>
                <w:szCs w:val="22"/>
                <w14:textFill>
                  <w14:solidFill>
                    <w14:schemeClr w14:val="tx1"/>
                  </w14:solidFill>
                </w14:textFill>
              </w:rPr>
              <w:t>统筹</w:t>
            </w:r>
            <w:r>
              <w:rPr>
                <w:color w:val="000000" w:themeColor="text1"/>
                <w:sz w:val="22"/>
                <w:szCs w:val="22"/>
                <w14:textFill>
                  <w14:solidFill>
                    <w14:schemeClr w14:val="tx1"/>
                  </w14:solidFill>
                </w14:textFill>
              </w:rPr>
              <w:t>整合各类资源要素，打造以市防震减灾科普馆为主、</w:t>
            </w:r>
            <w:r>
              <w:rPr>
                <w:rFonts w:hint="eastAsia"/>
                <w:color w:val="000000" w:themeColor="text1"/>
                <w:sz w:val="22"/>
                <w:szCs w:val="22"/>
                <w14:textFill>
                  <w14:solidFill>
                    <w14:schemeClr w14:val="tx1"/>
                  </w14:solidFill>
                </w14:textFill>
              </w:rPr>
              <w:t>联动</w:t>
            </w:r>
            <w:r>
              <w:rPr>
                <w:color w:val="000000" w:themeColor="text1"/>
                <w:sz w:val="22"/>
                <w:szCs w:val="22"/>
                <w14:textFill>
                  <w14:solidFill>
                    <w14:schemeClr w14:val="tx1"/>
                  </w14:solidFill>
                </w14:textFill>
              </w:rPr>
              <w:t>各县（市、区）科普</w:t>
            </w:r>
            <w:r>
              <w:rPr>
                <w:rFonts w:hint="eastAsia"/>
                <w:color w:val="000000" w:themeColor="text1"/>
                <w:sz w:val="22"/>
                <w:szCs w:val="22"/>
                <w14:textFill>
                  <w14:solidFill>
                    <w14:schemeClr w14:val="tx1"/>
                  </w14:solidFill>
                </w14:textFill>
              </w:rPr>
              <w:t>阵地资源</w:t>
            </w:r>
            <w:r>
              <w:rPr>
                <w:color w:val="000000" w:themeColor="text1"/>
                <w:sz w:val="22"/>
                <w:szCs w:val="22"/>
                <w14:textFill>
                  <w14:solidFill>
                    <w14:schemeClr w14:val="tx1"/>
                  </w14:solidFill>
                </w14:textFill>
              </w:rPr>
              <w:t>，形成由点成线、以线及面的防震减灾科普宣传</w:t>
            </w:r>
            <w:r>
              <w:rPr>
                <w:rFonts w:hint="eastAsia"/>
                <w:color w:val="000000" w:themeColor="text1"/>
                <w:sz w:val="22"/>
                <w:szCs w:val="22"/>
                <w14:textFill>
                  <w14:solidFill>
                    <w14:schemeClr w14:val="tx1"/>
                  </w14:solidFill>
                </w14:textFill>
              </w:rPr>
              <w:t>阵地</w:t>
            </w:r>
            <w:r>
              <w:rPr>
                <w:color w:val="000000" w:themeColor="text1"/>
                <w:sz w:val="22"/>
                <w:szCs w:val="22"/>
                <w14:textFill>
                  <w14:solidFill>
                    <w14:schemeClr w14:val="tx1"/>
                  </w14:solidFill>
                </w14:textFill>
              </w:rPr>
              <w:t>布局。</w:t>
            </w:r>
          </w:p>
          <w:p>
            <w:pPr>
              <w:widowControl/>
              <w:spacing w:line="280" w:lineRule="exact"/>
              <w:ind w:firstLine="472" w:firstLineChars="0"/>
              <w:jc w:val="left"/>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一、强化市级防震减灾科普宣传阵地建设。</w:t>
            </w:r>
            <w:r>
              <w:rPr>
                <w:rFonts w:hint="eastAsia"/>
                <w:color w:val="000000" w:themeColor="text1"/>
                <w:sz w:val="22"/>
                <w:szCs w:val="22"/>
                <w14:textFill>
                  <w14:solidFill>
                    <w14:schemeClr w14:val="tx1"/>
                  </w14:solidFill>
                </w14:textFill>
              </w:rPr>
              <w:t>一是</w:t>
            </w:r>
            <w:r>
              <w:rPr>
                <w:color w:val="000000" w:themeColor="text1"/>
                <w:sz w:val="22"/>
                <w:szCs w:val="22"/>
                <w14:textFill>
                  <w14:solidFill>
                    <w14:schemeClr w14:val="tx1"/>
                  </w14:solidFill>
                </w14:textFill>
              </w:rPr>
              <w:t>整合规划馆、科技馆、红会</w:t>
            </w:r>
            <w:r>
              <w:rPr>
                <w:rFonts w:hint="eastAsia"/>
                <w:color w:val="000000" w:themeColor="text1"/>
                <w:sz w:val="22"/>
                <w:szCs w:val="22"/>
                <w14:textFill>
                  <w14:solidFill>
                    <w14:schemeClr w14:val="tx1"/>
                  </w14:solidFill>
                </w14:textFill>
              </w:rPr>
              <w:t>生命健康安全体验馆等周边场馆资源</w:t>
            </w:r>
            <w:r>
              <w:rPr>
                <w:color w:val="000000" w:themeColor="text1"/>
                <w:sz w:val="22"/>
                <w:szCs w:val="22"/>
                <w14:textFill>
                  <w14:solidFill>
                    <w14:schemeClr w14:val="tx1"/>
                  </w14:solidFill>
                </w14:textFill>
              </w:rPr>
              <w:t>，</w:t>
            </w:r>
            <w:r>
              <w:rPr>
                <w:rFonts w:hint="eastAsia"/>
                <w:color w:val="000000" w:themeColor="text1"/>
                <w:sz w:val="22"/>
                <w:szCs w:val="22"/>
                <w14:textFill>
                  <w14:solidFill>
                    <w14:schemeClr w14:val="tx1"/>
                  </w14:solidFill>
                </w14:textFill>
              </w:rPr>
              <w:t>与学校、校外活动中心合作构建“馆校协同”研学体系，</w:t>
            </w:r>
            <w:r>
              <w:rPr>
                <w:color w:val="000000" w:themeColor="text1"/>
                <w:sz w:val="22"/>
                <w:szCs w:val="22"/>
                <w14:textFill>
                  <w14:solidFill>
                    <w14:schemeClr w14:val="tx1"/>
                  </w14:solidFill>
                </w14:textFill>
              </w:rPr>
              <w:t>打造</w:t>
            </w:r>
            <w:r>
              <w:rPr>
                <w:rFonts w:hint="eastAsia"/>
                <w:color w:val="000000" w:themeColor="text1"/>
                <w:sz w:val="22"/>
                <w:szCs w:val="22"/>
                <w14:textFill>
                  <w14:solidFill>
                    <w14:schemeClr w14:val="tx1"/>
                  </w14:solidFill>
                </w14:textFill>
              </w:rPr>
              <w:t>具有</w:t>
            </w:r>
            <w:r>
              <w:rPr>
                <w:color w:val="000000" w:themeColor="text1"/>
                <w:sz w:val="22"/>
                <w:szCs w:val="22"/>
                <w14:textFill>
                  <w14:solidFill>
                    <w14:schemeClr w14:val="tx1"/>
                  </w14:solidFill>
                </w14:textFill>
              </w:rPr>
              <w:t>防震减灾科普元素的</w:t>
            </w:r>
            <w:r>
              <w:rPr>
                <w:rFonts w:hint="eastAsia"/>
                <w:color w:val="000000" w:themeColor="text1"/>
                <w:sz w:val="22"/>
                <w:szCs w:val="22"/>
                <w14:textFill>
                  <w14:solidFill>
                    <w14:schemeClr w14:val="tx1"/>
                  </w14:solidFill>
                </w14:textFill>
              </w:rPr>
              <w:t>“研学实践圈”，推进中小学生防震避险主题实践。二是</w:t>
            </w:r>
            <w:r>
              <w:rPr>
                <w:color w:val="000000" w:themeColor="text1"/>
                <w:sz w:val="22"/>
                <w:szCs w:val="22"/>
                <w14:textFill>
                  <w14:solidFill>
                    <w14:schemeClr w14:val="tx1"/>
                  </w14:solidFill>
                </w14:textFill>
              </w:rPr>
              <w:t>全面升级改造科普馆内设施设备，增</w:t>
            </w:r>
            <w:r>
              <w:rPr>
                <w:rFonts w:hint="eastAsia"/>
                <w:color w:val="000000" w:themeColor="text1"/>
                <w:sz w:val="22"/>
                <w:szCs w:val="22"/>
                <w14:textFill>
                  <w14:solidFill>
                    <w14:schemeClr w14:val="tx1"/>
                  </w14:solidFill>
                </w14:textFill>
              </w:rPr>
              <w:t>设体验性、互动性强的现代</w:t>
            </w:r>
            <w:r>
              <w:rPr>
                <w:color w:val="000000" w:themeColor="text1"/>
                <w:sz w:val="22"/>
                <w:szCs w:val="22"/>
                <w14:textFill>
                  <w14:solidFill>
                    <w14:schemeClr w14:val="tx1"/>
                  </w14:solidFill>
                </w14:textFill>
              </w:rPr>
              <w:t>科技展品</w:t>
            </w:r>
            <w:r>
              <w:rPr>
                <w:rFonts w:hint="eastAsia"/>
                <w:color w:val="000000" w:themeColor="text1"/>
                <w:sz w:val="22"/>
                <w:szCs w:val="22"/>
                <w14:textFill>
                  <w14:solidFill>
                    <w14:schemeClr w14:val="tx1"/>
                  </w14:solidFill>
                </w14:textFill>
              </w:rPr>
              <w:t>及避险技能实训设施。三是实施科普馆线上平</w:t>
            </w:r>
            <w:r>
              <w:rPr>
                <w:color w:val="000000" w:themeColor="text1"/>
                <w:sz w:val="22"/>
                <w:szCs w:val="22"/>
                <w14:textFill>
                  <w14:solidFill>
                    <w14:schemeClr w14:val="tx1"/>
                  </w14:solidFill>
                </w14:textFill>
              </w:rPr>
              <w:t>台升级，实现APP预约线下展厅、</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云参观</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线上展厅，打破时空限制，方便公众随时学习，擦亮市防震减灾科普馆作为国家级防震减灾科普教育基地名片。概算300万元</w:t>
            </w:r>
            <w:r>
              <w:rPr>
                <w:rFonts w:hint="eastAsia"/>
                <w:color w:val="000000" w:themeColor="text1"/>
                <w:sz w:val="22"/>
                <w:szCs w:val="22"/>
                <w14:textFill>
                  <w14:solidFill>
                    <w14:schemeClr w14:val="tx1"/>
                  </w14:solidFill>
                </w14:textFill>
              </w:rPr>
              <w:t>。</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二、坚持</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因地制宜、便民实用</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原则</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充分挖掘县（市、区）防震减灾</w:t>
            </w:r>
            <w:r>
              <w:rPr>
                <w:rFonts w:hint="eastAsia"/>
                <w:color w:val="000000" w:themeColor="text1"/>
                <w:sz w:val="22"/>
                <w:szCs w:val="22"/>
                <w14:textFill>
                  <w14:solidFill>
                    <w14:schemeClr w14:val="tx1"/>
                  </w14:solidFill>
                </w14:textFill>
              </w:rPr>
              <w:t>科普阵地</w:t>
            </w:r>
            <w:r>
              <w:rPr>
                <w:color w:val="000000" w:themeColor="text1"/>
                <w:sz w:val="22"/>
                <w:szCs w:val="22"/>
                <w14:textFill>
                  <w14:solidFill>
                    <w14:schemeClr w14:val="tx1"/>
                  </w14:solidFill>
                </w14:textFill>
              </w:rPr>
              <w:t>资源，</w:t>
            </w:r>
            <w:r>
              <w:rPr>
                <w:rFonts w:hint="eastAsia"/>
                <w:color w:val="000000" w:themeColor="text1"/>
                <w:sz w:val="22"/>
                <w:szCs w:val="22"/>
                <w14:textFill>
                  <w14:solidFill>
                    <w14:schemeClr w14:val="tx1"/>
                  </w14:solidFill>
                </w14:textFill>
              </w:rPr>
              <w:t>发挥综合性科普科技场馆、</w:t>
            </w:r>
            <w:r>
              <w:rPr>
                <w:color w:val="000000" w:themeColor="text1"/>
                <w:sz w:val="22"/>
                <w:szCs w:val="22"/>
                <w14:textFill>
                  <w14:solidFill>
                    <w14:schemeClr w14:val="tx1"/>
                  </w14:solidFill>
                </w14:textFill>
              </w:rPr>
              <w:t>地震遗址、地震观测台站</w:t>
            </w:r>
            <w:r>
              <w:rPr>
                <w:rFonts w:hint="eastAsia"/>
                <w:color w:val="000000" w:themeColor="text1"/>
                <w:sz w:val="22"/>
                <w:szCs w:val="22"/>
                <w14:textFill>
                  <w14:solidFill>
                    <w14:schemeClr w14:val="tx1"/>
                  </w14:solidFill>
                </w14:textFill>
              </w:rPr>
              <w:t>、青少年活动中心、应急避难场所的科普宣传作用</w:t>
            </w:r>
            <w:r>
              <w:rPr>
                <w:color w:val="000000" w:themeColor="text1"/>
                <w:sz w:val="22"/>
                <w:szCs w:val="22"/>
                <w14:textFill>
                  <w14:solidFill>
                    <w14:schemeClr w14:val="tx1"/>
                  </w14:solidFill>
                </w14:textFill>
              </w:rPr>
              <w:t>，</w:t>
            </w:r>
            <w:r>
              <w:rPr>
                <w:rFonts w:hint="eastAsia"/>
                <w:color w:val="000000" w:themeColor="text1"/>
                <w:sz w:val="22"/>
                <w:szCs w:val="22"/>
                <w14:textFill>
                  <w14:solidFill>
                    <w14:schemeClr w14:val="tx1"/>
                  </w14:solidFill>
                </w14:textFill>
              </w:rPr>
              <w:t>在县（市、区）建设2～3个</w:t>
            </w:r>
            <w:r>
              <w:rPr>
                <w:color w:val="000000" w:themeColor="text1"/>
                <w:sz w:val="22"/>
                <w:szCs w:val="22"/>
                <w14:textFill>
                  <w14:solidFill>
                    <w14:schemeClr w14:val="tx1"/>
                  </w14:solidFill>
                </w14:textFill>
              </w:rPr>
              <w:t>防震减灾科普场所，鼓励在社区、学校、公园、商场、车站等公共场所设立</w:t>
            </w:r>
            <w:r>
              <w:rPr>
                <w:rFonts w:hint="eastAsia"/>
                <w:color w:val="000000" w:themeColor="text1"/>
                <w:sz w:val="22"/>
                <w:szCs w:val="22"/>
                <w14:textFill>
                  <w14:solidFill>
                    <w14:schemeClr w14:val="tx1"/>
                  </w14:solidFill>
                </w14:textFill>
              </w:rPr>
              <w:t>科普角、</w:t>
            </w:r>
            <w:r>
              <w:rPr>
                <w:color w:val="000000" w:themeColor="text1"/>
                <w:sz w:val="22"/>
                <w:szCs w:val="22"/>
                <w14:textFill>
                  <w14:solidFill>
                    <w14:schemeClr w14:val="tx1"/>
                  </w14:solidFill>
                </w14:textFill>
              </w:rPr>
              <w:t>宣传栏、电子显示屏等固定宣传设施</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概算</w:t>
            </w:r>
            <w:r>
              <w:rPr>
                <w:rFonts w:hint="eastAsia"/>
                <w:color w:val="000000" w:themeColor="text1"/>
                <w:sz w:val="22"/>
                <w:szCs w:val="22"/>
                <w14:textFill>
                  <w14:solidFill>
                    <w14:schemeClr w14:val="tx1"/>
                  </w14:solidFill>
                </w14:textFill>
              </w:rPr>
              <w:t>3</w:t>
            </w:r>
            <w:r>
              <w:rPr>
                <w:color w:val="000000" w:themeColor="text1"/>
                <w:sz w:val="22"/>
                <w:szCs w:val="22"/>
                <w14:textFill>
                  <w14:solidFill>
                    <w14:schemeClr w14:val="tx1"/>
                  </w14:solidFill>
                </w14:textFill>
              </w:rPr>
              <w:t>00万元。</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6</w:t>
            </w:r>
            <w:r>
              <w:rPr>
                <w:color w:val="000000" w:themeColor="text1"/>
                <w:sz w:val="22"/>
                <w:szCs w:val="22"/>
                <w14:textFill>
                  <w14:solidFill>
                    <w14:schemeClr w14:val="tx1"/>
                  </w14:solidFill>
                </w14:textFill>
              </w:rPr>
              <w:t>00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2030年完成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14</w:t>
            </w:r>
          </w:p>
        </w:tc>
        <w:tc>
          <w:tcPr>
            <w:tcW w:w="187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公众</w:t>
            </w:r>
            <w:r>
              <w:rPr>
                <w:rFonts w:hint="default"/>
                <w:color w:val="000000" w:themeColor="text1"/>
                <w:sz w:val="22"/>
                <w:szCs w:val="22"/>
                <w:lang w:val="en-US" w:eastAsia="zh-CN"/>
                <w14:textFill>
                  <w14:solidFill>
                    <w14:schemeClr w14:val="tx1"/>
                  </w14:solidFill>
                </w14:textFill>
              </w:rPr>
              <w:t>服务能力强化</w:t>
            </w:r>
            <w:r>
              <w:rPr>
                <w:color w:val="000000" w:themeColor="text1"/>
                <w:sz w:val="22"/>
                <w:szCs w:val="22"/>
                <w14:textFill>
                  <w14:solidFill>
                    <w14:schemeClr w14:val="tx1"/>
                  </w14:solidFill>
                </w14:textFill>
              </w:rPr>
              <w:t>工程——</w:t>
            </w:r>
            <w:r>
              <w:rPr>
                <w:b/>
                <w:bCs/>
                <w:color w:val="000000" w:themeColor="text1"/>
                <w:sz w:val="22"/>
                <w:szCs w:val="22"/>
                <w14:textFill>
                  <w14:solidFill>
                    <w14:schemeClr w14:val="tx1"/>
                  </w14:solidFill>
                </w14:textFill>
              </w:rPr>
              <w:t>科普宣传质效协同提升项目</w:t>
            </w:r>
          </w:p>
        </w:tc>
        <w:tc>
          <w:tcPr>
            <w:tcW w:w="130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防震减灾科普覆盖能力提升</w:t>
            </w:r>
          </w:p>
        </w:tc>
        <w:tc>
          <w:tcPr>
            <w:tcW w:w="5688" w:type="dxa"/>
            <w:vAlign w:val="center"/>
          </w:tcPr>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全面筑牢社会防震减灾思想防线，构建全域覆盖、全民参与的科普宣教体系</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十五五</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期间将系统实施防震减灾科普</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六进</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活动，通过专业化队伍建设、精品化内容供给、多元化传播矩阵、全民化</w:t>
            </w:r>
            <w:r>
              <w:rPr>
                <w:rFonts w:hint="eastAsia"/>
                <w:color w:val="000000" w:themeColor="text1"/>
                <w:sz w:val="22"/>
                <w:szCs w:val="22"/>
                <w14:textFill>
                  <w14:solidFill>
                    <w14:schemeClr w14:val="tx1"/>
                  </w14:solidFill>
                </w14:textFill>
              </w:rPr>
              <w:t>防震减灾素质能力</w:t>
            </w:r>
            <w:r>
              <w:rPr>
                <w:color w:val="000000" w:themeColor="text1"/>
                <w:sz w:val="22"/>
                <w:szCs w:val="22"/>
                <w14:textFill>
                  <w14:solidFill>
                    <w14:schemeClr w14:val="tx1"/>
                  </w14:solidFill>
                </w14:textFill>
              </w:rPr>
              <w:t>四大维度，形成科学完备、运行高效的科普工作闭环，提升防震减灾科普覆盖能力。具体实施路径如下：</w:t>
            </w:r>
          </w:p>
          <w:p>
            <w:pPr>
              <w:spacing w:line="280" w:lineRule="exact"/>
              <w:ind w:firstLine="472"/>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1.全民</w:t>
            </w:r>
            <w:r>
              <w:rPr>
                <w:rFonts w:hint="eastAsia"/>
                <w:color w:val="000000" w:themeColor="text1"/>
                <w:sz w:val="22"/>
                <w:szCs w:val="22"/>
                <w14:textFill>
                  <w14:solidFill>
                    <w14:schemeClr w14:val="tx1"/>
                  </w14:solidFill>
                </w14:textFill>
              </w:rPr>
              <w:t>化</w:t>
            </w:r>
            <w:r>
              <w:rPr>
                <w:color w:val="000000" w:themeColor="text1"/>
                <w:sz w:val="22"/>
                <w:szCs w:val="22"/>
                <w14:textFill>
                  <w14:solidFill>
                    <w14:schemeClr w14:val="tx1"/>
                  </w14:solidFill>
                </w14:textFill>
              </w:rPr>
              <w:t>防震减灾</w:t>
            </w:r>
            <w:r>
              <w:rPr>
                <w:rFonts w:hint="eastAsia"/>
                <w:color w:val="000000" w:themeColor="text1"/>
                <w:sz w:val="22"/>
                <w:szCs w:val="22"/>
                <w14:textFill>
                  <w14:solidFill>
                    <w14:schemeClr w14:val="tx1"/>
                  </w14:solidFill>
                </w14:textFill>
              </w:rPr>
              <w:t>素质能力</w:t>
            </w:r>
            <w:r>
              <w:rPr>
                <w:color w:val="000000" w:themeColor="text1"/>
                <w:sz w:val="22"/>
                <w:szCs w:val="22"/>
                <w14:textFill>
                  <w14:solidFill>
                    <w14:schemeClr w14:val="tx1"/>
                  </w14:solidFill>
                </w14:textFill>
              </w:rPr>
              <w:t>提升与社会协同工程。创新实施</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活动引领+示范带动</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策略，</w:t>
            </w:r>
            <w:r>
              <w:rPr>
                <w:rFonts w:hint="eastAsia"/>
                <w:color w:val="000000" w:themeColor="text1"/>
                <w:sz w:val="22"/>
                <w:szCs w:val="22"/>
                <w14:textFill>
                  <w14:solidFill>
                    <w14:schemeClr w14:val="tx1"/>
                  </w14:solidFill>
                </w14:textFill>
              </w:rPr>
              <w:t>推进“地震科普携手同行”主题活动，</w:t>
            </w:r>
            <w:r>
              <w:rPr>
                <w:color w:val="000000" w:themeColor="text1"/>
                <w:sz w:val="22"/>
                <w:szCs w:val="22"/>
                <w14:textFill>
                  <w14:solidFill>
                    <w14:schemeClr w14:val="tx1"/>
                  </w14:solidFill>
                </w14:textFill>
              </w:rPr>
              <w:t>组织开展系列化、多层次的防震减灾科普宣传、研学实践、主题讲演、技能竞赛等活动，</w:t>
            </w:r>
            <w:r>
              <w:rPr>
                <w:rFonts w:hint="eastAsia"/>
                <w:color w:val="000000" w:themeColor="text1"/>
                <w:sz w:val="22"/>
                <w:szCs w:val="22"/>
                <w14:textFill>
                  <w14:solidFill>
                    <w14:schemeClr w14:val="tx1"/>
                  </w14:solidFill>
                </w14:textFill>
              </w:rPr>
              <w:t>建立防震减灾科普共建共治共享机制，鼓励企业、高校、研究所将科研、业务成果转化为防震减灾科普产品，</w:t>
            </w:r>
            <w:r>
              <w:rPr>
                <w:color w:val="000000" w:themeColor="text1"/>
                <w:sz w:val="22"/>
                <w:szCs w:val="22"/>
                <w14:textFill>
                  <w14:solidFill>
                    <w14:schemeClr w14:val="tx1"/>
                  </w14:solidFill>
                </w14:textFill>
              </w:rPr>
              <w:t>激发社会各界参与热情，全面提升公众防震避险与自救互救能力。对标上级工作部署，将市级防震减灾主题竞赛或优秀作品征集活动纳入年度工作清单，确保每年</w:t>
            </w:r>
            <w:r>
              <w:rPr>
                <w:rFonts w:hint="eastAsia"/>
                <w:color w:val="000000" w:themeColor="text1"/>
                <w:sz w:val="22"/>
                <w:szCs w:val="22"/>
                <w14:textFill>
                  <w14:solidFill>
                    <w14:schemeClr w14:val="tx1"/>
                  </w14:solidFill>
                </w14:textFill>
              </w:rPr>
              <w:t>开展</w:t>
            </w:r>
            <w:r>
              <w:rPr>
                <w:color w:val="000000" w:themeColor="text1"/>
                <w:sz w:val="22"/>
                <w:szCs w:val="22"/>
                <w14:textFill>
                  <w14:solidFill>
                    <w14:schemeClr w14:val="tx1"/>
                  </w14:solidFill>
                </w14:textFill>
              </w:rPr>
              <w:t>不少于1次</w:t>
            </w:r>
            <w:r>
              <w:rPr>
                <w:rFonts w:hint="eastAsia"/>
                <w:color w:val="000000" w:themeColor="text1"/>
                <w:sz w:val="22"/>
                <w:szCs w:val="22"/>
                <w14:textFill>
                  <w14:solidFill>
                    <w14:schemeClr w14:val="tx1"/>
                  </w14:solidFill>
                </w14:textFill>
              </w:rPr>
              <w:t>主题</w:t>
            </w:r>
            <w:r>
              <w:rPr>
                <w:color w:val="000000" w:themeColor="text1"/>
                <w:sz w:val="22"/>
                <w:szCs w:val="22"/>
                <w14:textFill>
                  <w14:solidFill>
                    <w14:schemeClr w14:val="tx1"/>
                  </w14:solidFill>
                </w14:textFill>
              </w:rPr>
              <w:t>活动，形成</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政府主导、社会协同、公众参与</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的科普工作新格局。概算10万元/年，合计50万元。</w:t>
            </w:r>
          </w:p>
          <w:p>
            <w:pPr>
              <w:spacing w:line="280" w:lineRule="exact"/>
              <w:ind w:firstLine="472"/>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w:t>
            </w:r>
            <w:r>
              <w:rPr>
                <w:color w:val="000000" w:themeColor="text1"/>
                <w:sz w:val="22"/>
                <w:szCs w:val="22"/>
                <w14:textFill>
                  <w14:solidFill>
                    <w14:schemeClr w14:val="tx1"/>
                  </w14:solidFill>
                </w14:textFill>
              </w:rPr>
              <w:t>.专业化</w:t>
            </w:r>
            <w:r>
              <w:rPr>
                <w:rFonts w:hint="eastAsia"/>
                <w:color w:val="000000" w:themeColor="text1"/>
                <w:sz w:val="22"/>
                <w:szCs w:val="22"/>
                <w14:textFill>
                  <w14:solidFill>
                    <w14:schemeClr w14:val="tx1"/>
                  </w14:solidFill>
                </w14:textFill>
              </w:rPr>
              <w:t>科普队伍</w:t>
            </w:r>
            <w:r>
              <w:rPr>
                <w:color w:val="000000" w:themeColor="text1"/>
                <w:sz w:val="22"/>
                <w:szCs w:val="22"/>
                <w14:textFill>
                  <w14:solidFill>
                    <w14:schemeClr w14:val="tx1"/>
                  </w14:solidFill>
                </w14:textFill>
              </w:rPr>
              <w:t>建设与能力提升工程。一是</w:t>
            </w:r>
            <w:r>
              <w:rPr>
                <w:rFonts w:hint="eastAsia"/>
                <w:color w:val="000000" w:themeColor="text1"/>
                <w:sz w:val="22"/>
                <w:szCs w:val="22"/>
                <w14:textFill>
                  <w14:solidFill>
                    <w14:schemeClr w14:val="tx1"/>
                  </w14:solidFill>
                </w14:textFill>
              </w:rPr>
              <w:t>壮大各领域科普人才队伍，</w:t>
            </w:r>
            <w:r>
              <w:rPr>
                <w:color w:val="000000" w:themeColor="text1"/>
                <w:sz w:val="22"/>
                <w:szCs w:val="22"/>
                <w14:textFill>
                  <w14:solidFill>
                    <w14:schemeClr w14:val="tx1"/>
                  </w14:solidFill>
                </w14:textFill>
              </w:rPr>
              <w:t>发挥学校科学传播师、</w:t>
            </w:r>
            <w:r>
              <w:rPr>
                <w:rFonts w:hint="eastAsia"/>
                <w:color w:val="000000" w:themeColor="text1"/>
                <w:sz w:val="22"/>
                <w:szCs w:val="22"/>
                <w14:textFill>
                  <w14:solidFill>
                    <w14:schemeClr w14:val="tx1"/>
                  </w14:solidFill>
                </w14:textFill>
              </w:rPr>
              <w:t>基层</w:t>
            </w:r>
            <w:r>
              <w:rPr>
                <w:color w:val="000000" w:themeColor="text1"/>
                <w:sz w:val="22"/>
                <w:szCs w:val="22"/>
                <w14:textFill>
                  <w14:solidFill>
                    <w14:schemeClr w14:val="tx1"/>
                  </w14:solidFill>
                </w14:textFill>
              </w:rPr>
              <w:t>地震应急</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第一响应人</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教官两支队伍专业示范作用，推进防震减灾内容进党校，鼓励将防震避险内容纳入企业安全专干培训、农村技能培训、社区居民安全培训等，</w:t>
            </w:r>
            <w:r>
              <w:rPr>
                <w:rFonts w:hint="eastAsia"/>
                <w:color w:val="000000" w:themeColor="text1"/>
                <w:sz w:val="22"/>
                <w:szCs w:val="22"/>
                <w14:textFill>
                  <w14:solidFill>
                    <w14:schemeClr w14:val="tx1"/>
                  </w14:solidFill>
                </w14:textFill>
              </w:rPr>
              <w:t>鼓励并支持志愿者等力量参与，</w:t>
            </w:r>
            <w:r>
              <w:rPr>
                <w:color w:val="000000" w:themeColor="text1"/>
                <w:sz w:val="22"/>
                <w:szCs w:val="22"/>
                <w14:textFill>
                  <w14:solidFill>
                    <w14:schemeClr w14:val="tx1"/>
                  </w14:solidFill>
                </w14:textFill>
              </w:rPr>
              <w:t>建立健全政府、企业、社会组织和公众共同参与的科普宣传机制。二是加强全市防震减灾</w:t>
            </w:r>
            <w:r>
              <w:rPr>
                <w:rFonts w:hint="eastAsia"/>
                <w:color w:val="000000" w:themeColor="text1"/>
                <w:sz w:val="22"/>
                <w:szCs w:val="22"/>
                <w14:textFill>
                  <w14:solidFill>
                    <w14:schemeClr w14:val="tx1"/>
                  </w14:solidFill>
                </w14:textFill>
              </w:rPr>
              <w:t>系统</w:t>
            </w:r>
            <w:r>
              <w:rPr>
                <w:color w:val="000000" w:themeColor="text1"/>
                <w:sz w:val="22"/>
                <w:szCs w:val="22"/>
                <w14:textFill>
                  <w14:solidFill>
                    <w14:schemeClr w14:val="tx1"/>
                  </w14:solidFill>
                </w14:textFill>
              </w:rPr>
              <w:t>讲师库建设，每年</w:t>
            </w:r>
            <w:r>
              <w:rPr>
                <w:rFonts w:hint="eastAsia"/>
                <w:color w:val="000000" w:themeColor="text1"/>
                <w:sz w:val="22"/>
                <w:szCs w:val="22"/>
                <w14:textFill>
                  <w14:solidFill>
                    <w14:schemeClr w14:val="tx1"/>
                  </w14:solidFill>
                </w14:textFill>
              </w:rPr>
              <w:t>组织</w:t>
            </w:r>
            <w:r>
              <w:rPr>
                <w:color w:val="000000" w:themeColor="text1"/>
                <w:sz w:val="22"/>
                <w:szCs w:val="22"/>
                <w14:textFill>
                  <w14:solidFill>
                    <w14:schemeClr w14:val="tx1"/>
                  </w14:solidFill>
                </w14:textFill>
              </w:rPr>
              <w:t>开展2次线上或线下</w:t>
            </w:r>
            <w:r>
              <w:rPr>
                <w:rFonts w:hint="eastAsia"/>
                <w:color w:val="000000" w:themeColor="text1"/>
                <w:sz w:val="22"/>
                <w:szCs w:val="22"/>
                <w14:textFill>
                  <w14:solidFill>
                    <w14:schemeClr w14:val="tx1"/>
                  </w14:solidFill>
                </w14:textFill>
              </w:rPr>
              <w:t>科普宣传</w:t>
            </w:r>
            <w:r>
              <w:rPr>
                <w:color w:val="000000" w:themeColor="text1"/>
                <w:sz w:val="22"/>
                <w:szCs w:val="22"/>
                <w14:textFill>
                  <w14:solidFill>
                    <w14:schemeClr w14:val="tx1"/>
                  </w14:solidFill>
                </w14:textFill>
              </w:rPr>
              <w:t>业务培训交流，</w:t>
            </w:r>
            <w:r>
              <w:rPr>
                <w:rFonts w:hint="eastAsia"/>
                <w:color w:val="000000" w:themeColor="text1"/>
                <w:sz w:val="22"/>
                <w:szCs w:val="22"/>
                <w14:textFill>
                  <w14:solidFill>
                    <w14:schemeClr w14:val="tx1"/>
                  </w14:solidFill>
                </w14:textFill>
              </w:rPr>
              <w:t>实现科普宣讲队伍</w:t>
            </w:r>
            <w:r>
              <w:rPr>
                <w:color w:val="000000" w:themeColor="text1"/>
                <w:sz w:val="22"/>
                <w:szCs w:val="22"/>
                <w14:textFill>
                  <w14:solidFill>
                    <w14:schemeClr w14:val="tx1"/>
                  </w14:solidFill>
                </w14:textFill>
              </w:rPr>
              <w:t>专业能力与授课水平持续提升。合计</w:t>
            </w:r>
            <w:r>
              <w:rPr>
                <w:rFonts w:hint="eastAsia"/>
                <w:color w:val="000000" w:themeColor="text1"/>
                <w:sz w:val="22"/>
                <w:szCs w:val="22"/>
                <w14:textFill>
                  <w14:solidFill>
                    <w14:schemeClr w14:val="tx1"/>
                  </w14:solidFill>
                </w14:textFill>
              </w:rPr>
              <w:t>30</w:t>
            </w:r>
            <w:r>
              <w:rPr>
                <w:color w:val="000000" w:themeColor="text1"/>
                <w:sz w:val="22"/>
                <w:szCs w:val="22"/>
                <w14:textFill>
                  <w14:solidFill>
                    <w14:schemeClr w14:val="tx1"/>
                  </w14:solidFill>
                </w14:textFill>
              </w:rPr>
              <w:t>万元。</w:t>
            </w:r>
          </w:p>
          <w:p>
            <w:pPr>
              <w:spacing w:line="280" w:lineRule="exact"/>
              <w:ind w:firstLine="472"/>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3</w:t>
            </w:r>
            <w:r>
              <w:rPr>
                <w:color w:val="000000" w:themeColor="text1"/>
                <w:sz w:val="22"/>
                <w:szCs w:val="22"/>
                <w14:textFill>
                  <w14:solidFill>
                    <w14:schemeClr w14:val="tx1"/>
                  </w14:solidFill>
                </w14:textFill>
              </w:rPr>
              <w:t>.普惠性科普资源研发与供给工程。紧扣防震减灾科普宣传推广运用实际，建立更新编印宣传资料（教材）机制，</w:t>
            </w:r>
            <w:r>
              <w:rPr>
                <w:rFonts w:hint="eastAsia"/>
                <w:color w:val="000000" w:themeColor="text1"/>
                <w:sz w:val="22"/>
                <w:szCs w:val="22"/>
                <w14:textFill>
                  <w14:solidFill>
                    <w14:schemeClr w14:val="tx1"/>
                  </w14:solidFill>
                </w14:textFill>
              </w:rPr>
              <w:t>聚焦“六进”不同场景，</w:t>
            </w:r>
            <w:r>
              <w:rPr>
                <w:color w:val="000000" w:themeColor="text1"/>
                <w:sz w:val="22"/>
                <w:szCs w:val="22"/>
                <w14:textFill>
                  <w14:solidFill>
                    <w14:schemeClr w14:val="tx1"/>
                  </w14:solidFill>
                </w14:textFill>
              </w:rPr>
              <w:t>持续产出通俗易懂、形式新颖的防震减灾科普资料</w:t>
            </w:r>
            <w:r>
              <w:rPr>
                <w:rFonts w:hint="eastAsia"/>
                <w:color w:val="000000" w:themeColor="text1"/>
                <w:sz w:val="22"/>
                <w:szCs w:val="22"/>
                <w14:textFill>
                  <w14:solidFill>
                    <w14:schemeClr w14:val="tx1"/>
                  </w14:solidFill>
                </w14:textFill>
              </w:rPr>
              <w:t>等产品</w:t>
            </w:r>
            <w:r>
              <w:rPr>
                <w:color w:val="000000" w:themeColor="text1"/>
                <w:sz w:val="22"/>
                <w:szCs w:val="22"/>
                <w14:textFill>
                  <w14:solidFill>
                    <w14:schemeClr w14:val="tx1"/>
                  </w14:solidFill>
                </w14:textFill>
              </w:rPr>
              <w:t>，确保科普资源通俗易懂且广受群众欢迎，形成满足讲座、集中宣传、演练等全场景运用需求的科普资源支撑体系。概算10万元/年，合计50万元。</w:t>
            </w:r>
          </w:p>
          <w:p>
            <w:pPr>
              <w:spacing w:line="280" w:lineRule="exact"/>
              <w:ind w:firstLine="472"/>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4</w:t>
            </w:r>
            <w:r>
              <w:rPr>
                <w:color w:val="000000" w:themeColor="text1"/>
                <w:sz w:val="22"/>
                <w:szCs w:val="22"/>
                <w14:textFill>
                  <w14:solidFill>
                    <w14:schemeClr w14:val="tx1"/>
                  </w14:solidFill>
                </w14:textFill>
              </w:rPr>
              <w:t>.多元化科普内容创新与融媒体传播工程。打造</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传统文艺+地方特色</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的</w:t>
            </w:r>
            <w:r>
              <w:rPr>
                <w:rFonts w:hint="eastAsia"/>
                <w:color w:val="000000" w:themeColor="text1"/>
                <w:sz w:val="22"/>
                <w:szCs w:val="22"/>
                <w14:textFill>
                  <w14:solidFill>
                    <w14:schemeClr w14:val="tx1"/>
                  </w14:solidFill>
                </w14:textFill>
              </w:rPr>
              <w:t>多维</w:t>
            </w:r>
            <w:r>
              <w:rPr>
                <w:color w:val="000000" w:themeColor="text1"/>
                <w:sz w:val="22"/>
                <w:szCs w:val="22"/>
                <w14:textFill>
                  <w14:solidFill>
                    <w14:schemeClr w14:val="tx1"/>
                  </w14:solidFill>
                </w14:textFill>
              </w:rPr>
              <w:t>创作矩阵：一是与市县融媒建立长效合作机制，利用政府门户网站、政务新媒体平台开设科普专栏，定期推送优秀科普作品</w:t>
            </w:r>
            <w:r>
              <w:rPr>
                <w:rFonts w:hint="eastAsia"/>
                <w:color w:val="000000" w:themeColor="text1"/>
                <w:sz w:val="22"/>
                <w:szCs w:val="22"/>
                <w14:textFill>
                  <w14:solidFill>
                    <w14:schemeClr w14:val="tx1"/>
                  </w14:solidFill>
                </w14:textFill>
              </w:rPr>
              <w:t>，强化地震预警科普</w:t>
            </w:r>
            <w:r>
              <w:rPr>
                <w:color w:val="000000" w:themeColor="text1"/>
                <w:sz w:val="22"/>
                <w:szCs w:val="22"/>
                <w14:textFill>
                  <w14:solidFill>
                    <w14:schemeClr w14:val="tx1"/>
                  </w14:solidFill>
                </w14:textFill>
              </w:rPr>
              <w:t>。通过问卷调查、数据分析掌握公众需求，实现科普内容精准</w:t>
            </w:r>
            <w:r>
              <w:rPr>
                <w:rFonts w:hint="eastAsia"/>
                <w:color w:val="000000" w:themeColor="text1"/>
                <w:sz w:val="22"/>
                <w:szCs w:val="22"/>
                <w14:textFill>
                  <w14:solidFill>
                    <w14:schemeClr w14:val="tx1"/>
                  </w14:solidFill>
                </w14:textFill>
              </w:rPr>
              <w:t>传播。</w:t>
            </w:r>
            <w:r>
              <w:rPr>
                <w:color w:val="000000" w:themeColor="text1"/>
                <w:sz w:val="22"/>
                <w:szCs w:val="22"/>
                <w14:textFill>
                  <w14:solidFill>
                    <w14:schemeClr w14:val="tx1"/>
                  </w14:solidFill>
                </w14:textFill>
              </w:rPr>
              <w:t>二是联合学校、花灯剧团等单位或团体，创造编排兼具科普性与观赏性的诗歌、合唱、</w:t>
            </w:r>
            <w:r>
              <w:rPr>
                <w:rFonts w:hint="eastAsia"/>
                <w:color w:val="000000" w:themeColor="text1"/>
                <w:sz w:val="22"/>
                <w:szCs w:val="22"/>
                <w14:textFill>
                  <w14:solidFill>
                    <w14:schemeClr w14:val="tx1"/>
                  </w14:solidFill>
                </w14:textFill>
              </w:rPr>
              <w:t>戏剧</w:t>
            </w:r>
            <w:r>
              <w:rPr>
                <w:color w:val="000000" w:themeColor="text1"/>
                <w:sz w:val="22"/>
                <w:szCs w:val="22"/>
                <w14:textFill>
                  <w14:solidFill>
                    <w14:schemeClr w14:val="tx1"/>
                  </w14:solidFill>
                </w14:textFill>
              </w:rPr>
              <w:t>、小品</w:t>
            </w:r>
            <w:r>
              <w:rPr>
                <w:rFonts w:hint="eastAsia"/>
                <w:color w:val="000000" w:themeColor="text1"/>
                <w:sz w:val="22"/>
                <w:szCs w:val="22"/>
                <w14:textFill>
                  <w14:solidFill>
                    <w14:schemeClr w14:val="tx1"/>
                  </w14:solidFill>
                </w14:textFill>
              </w:rPr>
              <w:t>、花灯</w:t>
            </w:r>
            <w:r>
              <w:rPr>
                <w:color w:val="000000" w:themeColor="text1"/>
                <w:sz w:val="22"/>
                <w:szCs w:val="22"/>
                <w14:textFill>
                  <w14:solidFill>
                    <w14:schemeClr w14:val="tx1"/>
                  </w14:solidFill>
                </w14:textFill>
              </w:rPr>
              <w:t>等作品，实现科普与大众文化的深度融合；三是针对不同受众及场景，创作产出5条以上精品科普视频，建立市、县两级防震减灾科普资源库，促进资源共享。概算30万元/年，合计150万元。</w:t>
            </w:r>
          </w:p>
        </w:tc>
        <w:tc>
          <w:tcPr>
            <w:tcW w:w="96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28</w:t>
            </w:r>
            <w:r>
              <w:rPr>
                <w:color w:val="000000" w:themeColor="text1"/>
                <w:sz w:val="22"/>
                <w:szCs w:val="22"/>
                <w14:textFill>
                  <w14:solidFill>
                    <w14:schemeClr w14:val="tx1"/>
                  </w14:solidFill>
                </w14:textFill>
              </w:rPr>
              <w:t>0</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玉溪市</w:t>
            </w: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2030年完成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vAlign w:val="center"/>
          </w:tcPr>
          <w:p>
            <w:pPr>
              <w:spacing w:line="280" w:lineRule="exact"/>
              <w:ind w:firstLine="0" w:firstLineChars="0"/>
              <w:jc w:val="center"/>
              <w:rPr>
                <w:color w:val="000000" w:themeColor="text1"/>
                <w:sz w:val="22"/>
                <w:szCs w:val="22"/>
                <w14:textFill>
                  <w14:solidFill>
                    <w14:schemeClr w14:val="tx1"/>
                  </w14:solidFill>
                </w14:textFill>
              </w:rPr>
            </w:pPr>
          </w:p>
        </w:tc>
        <w:tc>
          <w:tcPr>
            <w:tcW w:w="3186" w:type="dxa"/>
            <w:gridSpan w:val="2"/>
            <w:vAlign w:val="center"/>
          </w:tcPr>
          <w:p>
            <w:pPr>
              <w:spacing w:line="280" w:lineRule="exact"/>
              <w:ind w:firstLine="0" w:firstLineChars="0"/>
              <w:jc w:val="cente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合计</w:t>
            </w:r>
          </w:p>
        </w:tc>
        <w:tc>
          <w:tcPr>
            <w:tcW w:w="5688" w:type="dxa"/>
            <w:vAlign w:val="center"/>
          </w:tcPr>
          <w:p>
            <w:pPr>
              <w:spacing w:line="280" w:lineRule="exact"/>
              <w:ind w:firstLine="472"/>
              <w:rPr>
                <w:color w:val="000000" w:themeColor="text1"/>
                <w:sz w:val="22"/>
                <w:szCs w:val="22"/>
                <w14:textFill>
                  <w14:solidFill>
                    <w14:schemeClr w14:val="tx1"/>
                  </w14:solidFill>
                </w14:textFill>
              </w:rPr>
            </w:pPr>
          </w:p>
        </w:tc>
        <w:tc>
          <w:tcPr>
            <w:tcW w:w="968" w:type="dxa"/>
            <w:vAlign w:val="center"/>
          </w:tcPr>
          <w:p>
            <w:pPr>
              <w:spacing w:line="280" w:lineRule="exact"/>
              <w:ind w:firstLine="0" w:firstLineChars="0"/>
              <w:jc w:val="center"/>
              <w:rPr>
                <w:rFonts w:hint="default" w:eastAsia="方正仿宋_GBK"/>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9045</w:t>
            </w:r>
          </w:p>
        </w:tc>
        <w:tc>
          <w:tcPr>
            <w:tcW w:w="948" w:type="dxa"/>
            <w:vAlign w:val="center"/>
          </w:tcPr>
          <w:p>
            <w:pPr>
              <w:spacing w:line="280" w:lineRule="exact"/>
              <w:ind w:firstLine="0" w:firstLineChars="0"/>
              <w:jc w:val="center"/>
              <w:rPr>
                <w:color w:val="000000" w:themeColor="text1"/>
                <w:sz w:val="22"/>
                <w:szCs w:val="22"/>
                <w14:textFill>
                  <w14:solidFill>
                    <w14:schemeClr w14:val="tx1"/>
                  </w14:solidFill>
                </w14:textFill>
              </w:rPr>
            </w:pPr>
          </w:p>
        </w:tc>
        <w:tc>
          <w:tcPr>
            <w:tcW w:w="976" w:type="dxa"/>
            <w:vAlign w:val="center"/>
          </w:tcPr>
          <w:p>
            <w:pPr>
              <w:spacing w:line="280" w:lineRule="exact"/>
              <w:ind w:firstLine="0" w:firstLineChars="0"/>
              <w:jc w:val="center"/>
              <w:rPr>
                <w:color w:val="000000" w:themeColor="text1"/>
                <w:sz w:val="22"/>
                <w:szCs w:val="22"/>
                <w14:textFill>
                  <w14:solidFill>
                    <w14:schemeClr w14:val="tx1"/>
                  </w14:solidFill>
                </w14:textFill>
              </w:rPr>
            </w:pPr>
          </w:p>
        </w:tc>
      </w:tr>
    </w:tbl>
    <w:p>
      <w:pPr>
        <w:spacing w:line="590" w:lineRule="exact"/>
        <w:ind w:firstLine="0" w:firstLineChars="0"/>
        <w:jc w:val="center"/>
        <w:rPr>
          <w:rFonts w:eastAsia="方正黑体_GBK"/>
          <w:color w:val="000000" w:themeColor="text1"/>
          <w14:textFill>
            <w14:solidFill>
              <w14:schemeClr w14:val="tx1"/>
            </w14:solidFill>
          </w14:textFill>
        </w:rPr>
        <w:sectPr>
          <w:type w:val="continuous"/>
          <w:pgSz w:w="16838" w:h="11906" w:orient="landscape"/>
          <w:pgMar w:top="1800" w:right="1440" w:bottom="1800" w:left="1440" w:header="1361" w:footer="1191" w:gutter="0"/>
          <w:pgNumType w:fmt="decimal"/>
          <w:cols w:space="720" w:num="1"/>
          <w:docGrid w:type="linesAndChars" w:linePitch="600" w:charSpace="3229"/>
        </w:sectPr>
      </w:pPr>
    </w:p>
    <w:p>
      <w:pPr>
        <w:spacing w:line="240" w:lineRule="auto"/>
        <w:ind w:firstLine="0" w:firstLineChars="0"/>
        <w:rPr>
          <w:vanish/>
          <w:color w:val="000000" w:themeColor="text1"/>
          <w14:textFill>
            <w14:solidFill>
              <w14:schemeClr w14:val="tx1"/>
            </w14:solidFill>
          </w14:textFill>
        </w:rPr>
      </w:pPr>
    </w:p>
    <w:sectPr>
      <w:footerReference r:id="rId13"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70"/>
      </w:pPr>
      <w:r>
        <w:separator/>
      </w:r>
    </w:p>
  </w:endnote>
  <w:endnote w:type="continuationSeparator" w:id="1">
    <w:p>
      <w:pPr>
        <w:spacing w:line="240" w:lineRule="auto"/>
        <w:ind w:firstLine="67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华文楷体">
    <w:altName w:val="方正楷体_GBK"/>
    <w:panose1 w:val="02010600040101010101"/>
    <w:charset w:val="86"/>
    <w:family w:val="auto"/>
    <w:pitch w:val="default"/>
    <w:sig w:usb0="00000000" w:usb1="0000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0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ind w:firstLine="360"/>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zql5uc8AAAAFAQAADwAAAAAAAAABACAAAAA4AAAAZHJzL2Rvd25yZXYueG1sUEsBAhQAFAAAAAgA&#10;h07iQCGSqUWmAQAAPwMAAA4AAAAAAAAAAQAgAAAANAEAAGRycy9lMm9Eb2MueG1sUEsFBgAAAAAG&#10;AAYAWQEAAEwFAAAAAA==&#10;">
              <v:fill on="f" focussize="0,0"/>
              <v:stroke on="f"/>
              <v:imagedata o:title=""/>
              <o:lock v:ext="edit" aspectratio="f"/>
              <v:textbox inset="0mm,0mm,0mm,0mm" style="mso-fit-shape-to-text:t;">
                <w:txbxContent>
                  <w:p>
                    <w:pPr>
                      <w:pStyle w:val="11"/>
                      <w:ind w:firstLine="36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outside" w:y="1"/>
      <w:ind w:firstLine="360"/>
      <w:rPr>
        <w:rStyle w:val="17"/>
      </w:rPr>
    </w:pPr>
    <w:r>
      <w:fldChar w:fldCharType="begin"/>
    </w:r>
    <w:r>
      <w:rPr>
        <w:rStyle w:val="17"/>
        <w:sz w:val="32"/>
        <w:szCs w:val="32"/>
      </w:rPr>
      <w:instrText xml:space="preserve">PAGE  </w:instrText>
    </w:r>
    <w:r>
      <w:fldChar w:fldCharType="end"/>
    </w:r>
  </w:p>
  <w:p>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ind w:firstLine="360"/>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M6pebnPAAAABQEAAA8AAAAAAAAAAQAgAAAAOAAAAGRycy9kb3ducmV2LnhtbFBLAQIUABQAAAAI&#10;AIdO4kBZnzMTpwEAAD8DAAAOAAAAAAAAAAEAIAAAADQBAABkcnMvZTJvRG9jLnhtbFBLBQYAAAAA&#10;BgAGAFkBAABNBQAAAAA=&#10;">
              <v:fill on="f" focussize="0,0"/>
              <v:stroke on="f"/>
              <v:imagedata o:title=""/>
              <o:lock v:ext="edit" aspectratio="f"/>
              <v:textbox inset="0mm,0mm,0mm,0mm" style="mso-fit-shape-to-text:t;">
                <w:txbxContent>
                  <w:p>
                    <w:pPr>
                      <w:pStyle w:val="11"/>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-76200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ind w:firstLine="480"/>
                            <w:rPr>
                              <w:sz w:val="24"/>
                              <w:szCs w:val="24"/>
                            </w:rPr>
                          </w:pPr>
                          <w:r>
                            <w:rPr>
                              <w:sz w:val="24"/>
                              <w:szCs w:val="24"/>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19</w:t>
                          </w:r>
                          <w:r>
                            <w:rPr>
                              <w:sz w:val="24"/>
                              <w:szCs w:val="24"/>
                            </w:rPr>
                            <w:fldChar w:fldCharType="end"/>
                          </w:r>
                          <w:r>
                            <w:rPr>
                              <w:sz w:val="24"/>
                              <w:szCs w:val="24"/>
                            </w:rPr>
                            <w:t>—</w:t>
                          </w:r>
                        </w:p>
                      </w:txbxContent>
                    </wps:txbx>
                    <wps:bodyPr wrap="none" lIns="0" tIns="0" rIns="0" bIns="0">
                      <a:spAutoFit/>
                    </wps:bodyPr>
                  </wps:wsp>
                </a:graphicData>
              </a:graphic>
            </wp:anchor>
          </w:drawing>
        </mc:Choice>
        <mc:Fallback>
          <w:pict>
            <v:shape id="_x0000_s1026" o:spid="_x0000_s1026" o:spt="202" type="#_x0000_t202" style="position:absolute;left:0pt;margin-top:-6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H0gY1rTAAAACAEAAA8AAAAAAAAAAQAgAAAAOAAAAGRycy9kb3ducmV2LnhtbFBLAQIUABQA&#10;AAAIAIdO4kBaPN86pgEAAEEDAAAOAAAAAAAAAAEAIAAAADgBAABkcnMvZTJvRG9jLnhtbFBLBQYA&#10;AAAABgAGAFkBAABQBQAAAAA=&#10;">
              <v:fill on="f" focussize="0,0"/>
              <v:stroke on="f"/>
              <v:imagedata o:title=""/>
              <o:lock v:ext="edit" aspectratio="f"/>
              <v:textbox inset="0mm,0mm,0mm,0mm" style="mso-fit-shape-to-text:t;">
                <w:txbxContent>
                  <w:p>
                    <w:pPr>
                      <w:pStyle w:val="11"/>
                      <w:ind w:firstLine="480"/>
                      <w:rPr>
                        <w:sz w:val="24"/>
                        <w:szCs w:val="24"/>
                      </w:rPr>
                    </w:pPr>
                    <w:r>
                      <w:rPr>
                        <w:sz w:val="24"/>
                        <w:szCs w:val="24"/>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19</w:t>
                    </w:r>
                    <w:r>
                      <w:rPr>
                        <w:sz w:val="24"/>
                        <w:szCs w:val="24"/>
                      </w:rPr>
                      <w:fldChar w:fldCharType="end"/>
                    </w:r>
                    <w:r>
                      <w:rPr>
                        <w:sz w:val="24"/>
                        <w:szCs w:val="24"/>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70"/>
      </w:pPr>
      <w:r>
        <w:separator/>
      </w:r>
    </w:p>
  </w:footnote>
  <w:footnote w:type="continuationSeparator" w:id="1">
    <w:p>
      <w:pPr>
        <w:spacing w:line="240" w:lineRule="auto"/>
        <w:ind w:firstLine="67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ind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5787E"/>
    <w:rsid w:val="00324F23"/>
    <w:rsid w:val="00350FF6"/>
    <w:rsid w:val="003567F2"/>
    <w:rsid w:val="0047667B"/>
    <w:rsid w:val="007C2C05"/>
    <w:rsid w:val="00D2686B"/>
    <w:rsid w:val="00D96E49"/>
    <w:rsid w:val="030074A7"/>
    <w:rsid w:val="04E60A4D"/>
    <w:rsid w:val="092917BC"/>
    <w:rsid w:val="0C7C018A"/>
    <w:rsid w:val="0CFD486B"/>
    <w:rsid w:val="11496C09"/>
    <w:rsid w:val="144C6FE7"/>
    <w:rsid w:val="16532CFC"/>
    <w:rsid w:val="16A91EF8"/>
    <w:rsid w:val="1BDC6D50"/>
    <w:rsid w:val="22027BAF"/>
    <w:rsid w:val="254C3BF1"/>
    <w:rsid w:val="25C428AA"/>
    <w:rsid w:val="26D7660D"/>
    <w:rsid w:val="2AFEFC98"/>
    <w:rsid w:val="2E876700"/>
    <w:rsid w:val="2F2A5E74"/>
    <w:rsid w:val="33CE3CE5"/>
    <w:rsid w:val="39CC2A82"/>
    <w:rsid w:val="3AFA36CD"/>
    <w:rsid w:val="3DC54FBA"/>
    <w:rsid w:val="3EFFCBDD"/>
    <w:rsid w:val="3F12422F"/>
    <w:rsid w:val="3F2400C7"/>
    <w:rsid w:val="3FF72A23"/>
    <w:rsid w:val="3FFDA05B"/>
    <w:rsid w:val="43A24383"/>
    <w:rsid w:val="44CF1A70"/>
    <w:rsid w:val="4745787E"/>
    <w:rsid w:val="4792415F"/>
    <w:rsid w:val="49F509D5"/>
    <w:rsid w:val="4D7A191D"/>
    <w:rsid w:val="4E453CD9"/>
    <w:rsid w:val="515B1A65"/>
    <w:rsid w:val="58E673A6"/>
    <w:rsid w:val="5B557067"/>
    <w:rsid w:val="5CFF221A"/>
    <w:rsid w:val="5E02284A"/>
    <w:rsid w:val="5E0B0F98"/>
    <w:rsid w:val="5FE5886B"/>
    <w:rsid w:val="66B6F3D0"/>
    <w:rsid w:val="67F53B1D"/>
    <w:rsid w:val="69A76050"/>
    <w:rsid w:val="69B80EDA"/>
    <w:rsid w:val="6D175D26"/>
    <w:rsid w:val="6EFD1B00"/>
    <w:rsid w:val="6FBB3D55"/>
    <w:rsid w:val="712DBF1C"/>
    <w:rsid w:val="72E83EF2"/>
    <w:rsid w:val="738B4962"/>
    <w:rsid w:val="74485C77"/>
    <w:rsid w:val="77DB2BEF"/>
    <w:rsid w:val="784D655E"/>
    <w:rsid w:val="787B5134"/>
    <w:rsid w:val="7977E175"/>
    <w:rsid w:val="799040F2"/>
    <w:rsid w:val="79BD2249"/>
    <w:rsid w:val="7DFF4DBA"/>
    <w:rsid w:val="7E7A7121"/>
    <w:rsid w:val="7F8B396B"/>
    <w:rsid w:val="7FEF827A"/>
    <w:rsid w:val="7FFD4D24"/>
    <w:rsid w:val="993DB6CB"/>
    <w:rsid w:val="BFE6F508"/>
    <w:rsid w:val="CBBFA71E"/>
    <w:rsid w:val="DBDF5642"/>
    <w:rsid w:val="DBFDF768"/>
    <w:rsid w:val="DE1E5633"/>
    <w:rsid w:val="DED0D227"/>
    <w:rsid w:val="EDDF3A5C"/>
    <w:rsid w:val="EFFDCCB2"/>
    <w:rsid w:val="F7DE13B9"/>
    <w:rsid w:val="FD0EA140"/>
    <w:rsid w:val="FDD7D99F"/>
    <w:rsid w:val="FF7E8F79"/>
    <w:rsid w:val="FFA5A092"/>
    <w:rsid w:val="FFBE8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910" w:firstLineChars="200"/>
      <w:jc w:val="both"/>
    </w:pPr>
    <w:rPr>
      <w:rFonts w:ascii="Times New Roman" w:hAnsi="Times New Roman" w:eastAsia="方正仿宋_GBK" w:cs="Times New Roman"/>
      <w:kern w:val="2"/>
      <w:sz w:val="32"/>
      <w:szCs w:val="32"/>
      <w:lang w:val="en-US" w:eastAsia="zh-CN" w:bidi="ar-SA"/>
    </w:rPr>
  </w:style>
  <w:style w:type="paragraph" w:styleId="2">
    <w:name w:val="heading 1"/>
    <w:basedOn w:val="1"/>
    <w:next w:val="1"/>
    <w:qFormat/>
    <w:uiPriority w:val="9"/>
    <w:pPr>
      <w:tabs>
        <w:tab w:val="left" w:pos="8844"/>
      </w:tabs>
      <w:spacing w:before="50" w:beforeLines="50" w:after="50" w:afterLines="50" w:line="600" w:lineRule="exact"/>
      <w:ind w:firstLine="672"/>
      <w:outlineLvl w:val="0"/>
    </w:pPr>
    <w:rPr>
      <w:rFonts w:ascii="方正黑体_GBK" w:hAnsi="方正黑体_GBK" w:eastAsia="方正黑体_GBK"/>
      <w:b/>
    </w:rPr>
  </w:style>
  <w:style w:type="paragraph" w:styleId="3">
    <w:name w:val="heading 2"/>
    <w:basedOn w:val="1"/>
    <w:next w:val="1"/>
    <w:qFormat/>
    <w:uiPriority w:val="0"/>
    <w:pPr>
      <w:tabs>
        <w:tab w:val="left" w:pos="8844"/>
      </w:tabs>
      <w:spacing w:before="120" w:after="120" w:line="600" w:lineRule="exact"/>
      <w:ind w:firstLine="672"/>
      <w:outlineLvl w:val="1"/>
    </w:pPr>
    <w:rPr>
      <w:rFonts w:ascii="方正楷体_GBK" w:hAnsi="方正楷体_GBK" w:eastAsia="华文楷体"/>
      <w:b/>
    </w:rPr>
  </w:style>
  <w:style w:type="paragraph" w:styleId="4">
    <w:name w:val="heading 3"/>
    <w:basedOn w:val="1"/>
    <w:next w:val="5"/>
    <w:qFormat/>
    <w:uiPriority w:val="9"/>
    <w:pPr>
      <w:tabs>
        <w:tab w:val="left" w:pos="8844"/>
      </w:tabs>
      <w:spacing w:before="120" w:after="120" w:line="590" w:lineRule="exact"/>
      <w:ind w:firstLine="674"/>
      <w:outlineLvl w:val="2"/>
    </w:pPr>
    <w:rPr>
      <w:b/>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5">
    <w:name w:val="正文样式"/>
    <w:unhideWhenUsed/>
    <w:qFormat/>
    <w:uiPriority w:val="0"/>
    <w:pPr>
      <w:widowControl w:val="0"/>
      <w:spacing w:after="160" w:line="360" w:lineRule="auto"/>
      <w:ind w:firstLine="200" w:firstLineChars="200"/>
      <w:jc w:val="both"/>
    </w:pPr>
    <w:rPr>
      <w:rFonts w:ascii="Times New Roman" w:hAnsi="Times New Roman" w:eastAsia="宋体" w:cs="Times New Roman"/>
      <w:bCs/>
      <w:snapToGrid w:val="0"/>
      <w:sz w:val="24"/>
      <w:szCs w:val="44"/>
      <w:lang w:val="en-US" w:eastAsia="zh-CN" w:bidi="ar-SA"/>
    </w:rPr>
  </w:style>
  <w:style w:type="paragraph" w:styleId="6">
    <w:name w:val="Document Map"/>
    <w:basedOn w:val="1"/>
    <w:qFormat/>
    <w:uiPriority w:val="0"/>
    <w:rPr>
      <w:rFonts w:ascii="宋体"/>
      <w:sz w:val="18"/>
      <w:szCs w:val="18"/>
    </w:rPr>
  </w:style>
  <w:style w:type="paragraph" w:styleId="7">
    <w:name w:val="annotation text"/>
    <w:basedOn w:val="1"/>
    <w:unhideWhenUsed/>
    <w:qFormat/>
    <w:uiPriority w:val="99"/>
    <w:pPr>
      <w:spacing w:line="240" w:lineRule="auto"/>
      <w:jc w:val="left"/>
    </w:pPr>
  </w:style>
  <w:style w:type="paragraph" w:styleId="8">
    <w:name w:val="Body Text"/>
    <w:basedOn w:val="1"/>
    <w:qFormat/>
    <w:uiPriority w:val="0"/>
    <w:pPr>
      <w:jc w:val="center"/>
    </w:pPr>
    <w:rPr>
      <w:rFonts w:ascii="方正仿宋_GBK"/>
    </w:rPr>
  </w:style>
  <w:style w:type="paragraph" w:styleId="9">
    <w:name w:val="toc 3"/>
    <w:next w:val="1"/>
    <w:unhideWhenUsed/>
    <w:qFormat/>
    <w:uiPriority w:val="39"/>
    <w:pPr>
      <w:widowControl w:val="0"/>
      <w:spacing w:line="560" w:lineRule="exact"/>
      <w:ind w:left="840" w:leftChars="400" w:firstLine="910" w:firstLineChars="200"/>
      <w:jc w:val="both"/>
    </w:pPr>
    <w:rPr>
      <w:rFonts w:ascii="Times New Roman" w:hAnsi="Times New Roman" w:eastAsia="方正仿宋_GBK" w:cs="Times New Roman"/>
      <w:kern w:val="2"/>
      <w:sz w:val="32"/>
      <w:szCs w:val="32"/>
      <w:lang w:val="en-US" w:eastAsia="zh-CN" w:bidi="ar-SA"/>
    </w:rPr>
  </w:style>
  <w:style w:type="paragraph" w:styleId="10">
    <w:name w:val="Balloon Text"/>
    <w:basedOn w:val="1"/>
    <w:link w:val="19"/>
    <w:qFormat/>
    <w:uiPriority w:val="0"/>
    <w:pPr>
      <w:spacing w:line="240" w:lineRule="auto"/>
    </w:pPr>
    <w:rPr>
      <w:sz w:val="18"/>
      <w:szCs w:val="18"/>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unhideWhenUsed/>
    <w:qFormat/>
    <w:uiPriority w:val="99"/>
    <w:pPr>
      <w:widowControl w:val="0"/>
      <w:pBdr>
        <w:bottom w:val="single" w:color="auto" w:sz="6" w:space="1"/>
      </w:pBdr>
      <w:tabs>
        <w:tab w:val="center" w:pos="4153"/>
        <w:tab w:val="right" w:pos="8306"/>
      </w:tabs>
      <w:snapToGrid w:val="0"/>
      <w:spacing w:line="560" w:lineRule="exact"/>
      <w:ind w:firstLine="910" w:firstLineChars="200"/>
      <w:jc w:val="center"/>
    </w:pPr>
    <w:rPr>
      <w:rFonts w:ascii="Times New Roman" w:hAnsi="Times New Roman" w:eastAsia="方正仿宋_GBK" w:cs="Times New Roman"/>
      <w:kern w:val="2"/>
      <w:sz w:val="18"/>
      <w:szCs w:val="18"/>
      <w:lang w:val="en-US" w:eastAsia="zh-CN" w:bidi="ar-SA"/>
    </w:rPr>
  </w:style>
  <w:style w:type="paragraph" w:styleId="13">
    <w:name w:val="toc 1"/>
    <w:next w:val="1"/>
    <w:unhideWhenUsed/>
    <w:qFormat/>
    <w:uiPriority w:val="39"/>
    <w:pPr>
      <w:widowControl w:val="0"/>
      <w:spacing w:line="560" w:lineRule="exact"/>
      <w:ind w:firstLine="910" w:firstLineChars="200"/>
      <w:jc w:val="both"/>
    </w:pPr>
    <w:rPr>
      <w:rFonts w:ascii="Times New Roman" w:hAnsi="Times New Roman" w:eastAsia="方正仿宋_GBK" w:cs="Times New Roman"/>
      <w:kern w:val="2"/>
      <w:sz w:val="32"/>
      <w:szCs w:val="32"/>
      <w:lang w:val="en-US" w:eastAsia="zh-CN" w:bidi="ar-SA"/>
    </w:rPr>
  </w:style>
  <w:style w:type="paragraph" w:styleId="14">
    <w:name w:val="toc 2"/>
    <w:next w:val="1"/>
    <w:unhideWhenUsed/>
    <w:qFormat/>
    <w:uiPriority w:val="39"/>
    <w:pPr>
      <w:widowControl w:val="0"/>
      <w:spacing w:line="560" w:lineRule="exact"/>
      <w:ind w:left="420" w:leftChars="200" w:firstLine="910" w:firstLineChars="200"/>
      <w:jc w:val="both"/>
    </w:pPr>
    <w:rPr>
      <w:rFonts w:ascii="Times New Roman" w:hAnsi="Times New Roman" w:eastAsia="方正仿宋_GBK" w:cs="Times New Roman"/>
      <w:kern w:val="2"/>
      <w:sz w:val="32"/>
      <w:szCs w:val="32"/>
      <w:lang w:val="en-US" w:eastAsia="zh-CN" w:bidi="ar-SA"/>
    </w:rPr>
  </w:style>
  <w:style w:type="character" w:styleId="17">
    <w:name w:val="page number"/>
    <w:qFormat/>
    <w:uiPriority w:val="0"/>
  </w:style>
  <w:style w:type="character" w:styleId="18">
    <w:name w:val="annotation reference"/>
    <w:basedOn w:val="16"/>
    <w:qFormat/>
    <w:uiPriority w:val="0"/>
    <w:rPr>
      <w:sz w:val="21"/>
      <w:szCs w:val="21"/>
    </w:rPr>
  </w:style>
  <w:style w:type="character" w:customStyle="1" w:styleId="19">
    <w:name w:val="批注框文本 字符"/>
    <w:basedOn w:val="16"/>
    <w:link w:val="10"/>
    <w:qFormat/>
    <w:uiPriority w:val="0"/>
    <w:rPr>
      <w:rFonts w:ascii="Times New Roman" w:hAnsi="Times New Roman" w:eastAsia="方正仿宋_GBK"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486</Words>
  <Characters>521</Characters>
  <Lines>133</Lines>
  <Paragraphs>37</Paragraphs>
  <TotalTime>5</TotalTime>
  <ScaleCrop>false</ScaleCrop>
  <LinksUpToDate>false</LinksUpToDate>
  <CharactersWithSpaces>549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2026-09-12T08:18:00Z</dcterms:created>
  <dc:creator>YT</dc:creator>
  <cp:lastModifiedBy>user</cp:lastModifiedBy>
  <dcterms:modified xsi:type="dcterms:W3CDTF">2026-09-18T14:33:50Z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97662CE5B01149D5853EA1DC56701E0D_13</vt:lpwstr>
  </property>
  <property fmtid="{D5CDD505-2E9C-101B-9397-08002B2CF9AE}" pid="4" name="KSOTemplateDocerSaveRecord">
    <vt:lpwstr>eyJoZGlkIjoiMjU2YjhkMDc3YzNiY2E2YmJiY2U0NjhjY2U0N2RiN2IiLCJ1c2VySWQiOiI5ODQ1NjE2MjEifQ==</vt:lpwstr>
  </property>
</Properties>
</file>