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88388">
      <w:pPr>
        <w:keepNext w:val="0"/>
        <w:keepLines w:val="0"/>
        <w:pageBreakBefore w:val="0"/>
        <w:kinsoku/>
        <w:overflowPunct/>
        <w:topLinePunct w:val="0"/>
        <w:autoSpaceDE/>
        <w:autoSpaceDN/>
        <w:bidi w:val="0"/>
        <w:spacing w:line="600" w:lineRule="exact"/>
        <w:jc w:val="center"/>
        <w:textAlignment w:val="auto"/>
        <w:outlineLvl w:val="0"/>
        <w:rPr>
          <w:rFonts w:hint="default" w:ascii="Times New Roman" w:hAnsi="Times New Roman" w:eastAsia="方正小标宋简体" w:cs="Times New Roman"/>
          <w:sz w:val="36"/>
          <w:szCs w:val="36"/>
          <w:highlight w:val="none"/>
        </w:rPr>
      </w:pPr>
      <w:r>
        <w:rPr>
          <w:rFonts w:hint="default" w:ascii="Times New Roman" w:hAnsi="Times New Roman" w:eastAsia="方正小标宋简体" w:cs="Times New Roman"/>
          <w:sz w:val="36"/>
          <w:lang w:val="zh-CN"/>
        </w:rPr>
        <w:t>玉溪市中心血站</w:t>
      </w:r>
      <w:r>
        <w:rPr>
          <w:rFonts w:hint="default" w:ascii="Times New Roman" w:hAnsi="Times New Roman" w:eastAsia="方正小标宋简体" w:cs="Times New Roman"/>
          <w:sz w:val="36"/>
          <w:szCs w:val="36"/>
          <w:highlight w:val="none"/>
          <w:lang w:val="en-US" w:eastAsia="zh-CN"/>
        </w:rPr>
        <w:t>2025</w:t>
      </w:r>
      <w:r>
        <w:rPr>
          <w:rFonts w:hint="default" w:ascii="Times New Roman" w:hAnsi="Times New Roman" w:eastAsia="方正小标宋简体" w:cs="Times New Roman"/>
          <w:sz w:val="36"/>
          <w:szCs w:val="36"/>
          <w:highlight w:val="none"/>
        </w:rPr>
        <w:t>年度部门决算</w:t>
      </w:r>
    </w:p>
    <w:p w14:paraId="5803E46E">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小标宋简体" w:cs="Times New Roman"/>
          <w:sz w:val="36"/>
          <w:szCs w:val="36"/>
          <w:highlight w:val="none"/>
        </w:rPr>
      </w:pPr>
    </w:p>
    <w:p w14:paraId="03F818A3">
      <w:pPr>
        <w:keepNext w:val="0"/>
        <w:keepLines w:val="0"/>
        <w:pageBreakBefore w:val="0"/>
        <w:kinsoku/>
        <w:overflowPunct/>
        <w:topLinePunct w:val="0"/>
        <w:autoSpaceDE/>
        <w:autoSpaceDN/>
        <w:bidi w:val="0"/>
        <w:spacing w:line="600" w:lineRule="exact"/>
        <w:jc w:val="center"/>
        <w:textAlignment w:val="auto"/>
        <w:outlineLvl w:val="0"/>
        <w:rPr>
          <w:rFonts w:hint="default" w:ascii="Times New Roman" w:hAnsi="Times New Roman" w:eastAsia="方正小标宋简体" w:cs="Times New Roman"/>
          <w:sz w:val="36"/>
          <w:szCs w:val="36"/>
          <w:highlight w:val="none"/>
          <w:lang w:eastAsia="zh-CN"/>
        </w:rPr>
      </w:pPr>
      <w:r>
        <w:rPr>
          <w:rFonts w:hint="default" w:ascii="Times New Roman" w:hAnsi="Times New Roman" w:eastAsia="方正小标宋简体" w:cs="Times New Roman"/>
          <w:sz w:val="36"/>
          <w:szCs w:val="36"/>
          <w:highlight w:val="none"/>
          <w:lang w:eastAsia="zh-CN"/>
        </w:rPr>
        <w:t>目录</w:t>
      </w:r>
    </w:p>
    <w:p w14:paraId="06D16282">
      <w:pPr>
        <w:keepNext w:val="0"/>
        <w:keepLines w:val="0"/>
        <w:pageBreakBefore w:val="0"/>
        <w:kinsoku/>
        <w:overflowPunct/>
        <w:topLinePunct w:val="0"/>
        <w:autoSpaceDE/>
        <w:autoSpaceDN/>
        <w:bidi w:val="0"/>
        <w:spacing w:line="600" w:lineRule="exact"/>
        <w:jc w:val="left"/>
        <w:textAlignment w:val="auto"/>
        <w:rPr>
          <w:rFonts w:hint="default" w:ascii="Times New Roman" w:hAnsi="Times New Roman" w:eastAsia="方正黑体_GBK" w:cs="Times New Roman"/>
          <w:sz w:val="30"/>
          <w:szCs w:val="30"/>
          <w:highlight w:val="none"/>
        </w:rPr>
      </w:pPr>
    </w:p>
    <w:p w14:paraId="16DAB85D">
      <w:pPr>
        <w:keepNext w:val="0"/>
        <w:keepLines w:val="0"/>
        <w:pageBreakBefore w:val="0"/>
        <w:kinsoku/>
        <w:overflowPunct/>
        <w:topLinePunct w:val="0"/>
        <w:autoSpaceDE/>
        <w:autoSpaceDN/>
        <w:bidi w:val="0"/>
        <w:spacing w:line="600" w:lineRule="exact"/>
        <w:jc w:val="left"/>
        <w:textAlignment w:val="auto"/>
        <w:outlineLvl w:val="0"/>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rPr>
        <w:t xml:space="preserve">第一部分  </w:t>
      </w:r>
      <w:r>
        <w:rPr>
          <w:rFonts w:hint="default" w:ascii="Times New Roman" w:hAnsi="Times New Roman" w:eastAsia="方正黑体_GBK" w:cs="Times New Roman"/>
          <w:sz w:val="30"/>
          <w:szCs w:val="30"/>
          <w:highlight w:val="none"/>
          <w:lang w:eastAsia="zh-CN"/>
        </w:rPr>
        <w:t>单位</w:t>
      </w:r>
      <w:r>
        <w:rPr>
          <w:rFonts w:hint="default" w:ascii="Times New Roman" w:hAnsi="Times New Roman" w:eastAsia="方正黑体_GBK" w:cs="Times New Roman"/>
          <w:sz w:val="30"/>
          <w:szCs w:val="30"/>
          <w:highlight w:val="none"/>
        </w:rPr>
        <w:t>概况</w:t>
      </w:r>
    </w:p>
    <w:p w14:paraId="10441CA7">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一、主要职</w:t>
      </w:r>
      <w:r>
        <w:rPr>
          <w:rFonts w:hint="default" w:ascii="Times New Roman" w:hAnsi="Times New Roman" w:eastAsia="楷体" w:cs="Times New Roman"/>
          <w:sz w:val="30"/>
          <w:szCs w:val="30"/>
          <w:highlight w:val="none"/>
          <w:lang w:eastAsia="zh-CN"/>
        </w:rPr>
        <w:t>责</w:t>
      </w:r>
    </w:p>
    <w:p w14:paraId="3050B587">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二、</w:t>
      </w:r>
      <w:r>
        <w:rPr>
          <w:rFonts w:hint="default" w:ascii="Times New Roman" w:hAnsi="Times New Roman" w:eastAsia="楷体" w:cs="Times New Roman"/>
          <w:sz w:val="30"/>
          <w:szCs w:val="30"/>
          <w:highlight w:val="none"/>
          <w:lang w:eastAsia="zh-CN"/>
        </w:rPr>
        <w:t>基本情况</w:t>
      </w:r>
    </w:p>
    <w:p w14:paraId="195D08E4">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三、重点工作概述</w:t>
      </w:r>
    </w:p>
    <w:p w14:paraId="2EC88BFB">
      <w:pPr>
        <w:keepNext w:val="0"/>
        <w:keepLines w:val="0"/>
        <w:pageBreakBefore w:val="0"/>
        <w:kinsoku/>
        <w:overflowPunct/>
        <w:topLinePunct w:val="0"/>
        <w:autoSpaceDE/>
        <w:autoSpaceDN/>
        <w:bidi w:val="0"/>
        <w:spacing w:line="600" w:lineRule="exact"/>
        <w:jc w:val="left"/>
        <w:textAlignment w:val="auto"/>
        <w:outlineLvl w:val="0"/>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rPr>
        <w:t xml:space="preserve">第二部分  </w:t>
      </w:r>
      <w:r>
        <w:rPr>
          <w:rFonts w:hint="default" w:ascii="Times New Roman" w:hAnsi="Times New Roman" w:eastAsia="方正黑体_GBK" w:cs="Times New Roman"/>
          <w:sz w:val="30"/>
          <w:szCs w:val="30"/>
          <w:highlight w:val="none"/>
          <w:lang w:val="en-US" w:eastAsia="zh-CN"/>
        </w:rPr>
        <w:t>2025</w:t>
      </w:r>
      <w:r>
        <w:rPr>
          <w:rFonts w:hint="default" w:ascii="Times New Roman" w:hAnsi="Times New Roman" w:eastAsia="方正黑体_GBK" w:cs="Times New Roman"/>
          <w:sz w:val="30"/>
          <w:szCs w:val="30"/>
          <w:highlight w:val="none"/>
        </w:rPr>
        <w:t>年度部门决算表</w:t>
      </w:r>
    </w:p>
    <w:p w14:paraId="2A0B99E4">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一、收入支出决算表</w:t>
      </w:r>
    </w:p>
    <w:p w14:paraId="54D0ACE8">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二、收入决算表</w:t>
      </w:r>
    </w:p>
    <w:p w14:paraId="10DF81A5">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三、支出决算表</w:t>
      </w:r>
    </w:p>
    <w:p w14:paraId="3C0902A7">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四、财政拨款收入支出决算表</w:t>
      </w:r>
    </w:p>
    <w:p w14:paraId="19A6D3B4">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五、一般公共预算财政拨款收入支出决算表</w:t>
      </w:r>
    </w:p>
    <w:p w14:paraId="1D301033">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六、一般公共预算财政拨款基本支出决算表</w:t>
      </w:r>
    </w:p>
    <w:p w14:paraId="3DA64F41">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七、</w:t>
      </w:r>
      <w:r>
        <w:rPr>
          <w:rFonts w:hint="default" w:ascii="Times New Roman" w:hAnsi="Times New Roman" w:eastAsia="楷体" w:cs="Times New Roman"/>
          <w:sz w:val="30"/>
          <w:szCs w:val="30"/>
          <w:highlight w:val="none"/>
          <w:lang w:eastAsia="zh-CN"/>
        </w:rPr>
        <w:t>一般公共预算财政拨款项目支出决算表</w:t>
      </w:r>
    </w:p>
    <w:p w14:paraId="7FD8FB72">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八</w:t>
      </w:r>
      <w:r>
        <w:rPr>
          <w:rFonts w:hint="default" w:ascii="Times New Roman" w:hAnsi="Times New Roman" w:eastAsia="楷体" w:cs="Times New Roman"/>
          <w:sz w:val="30"/>
          <w:szCs w:val="30"/>
          <w:highlight w:val="none"/>
        </w:rPr>
        <w:t>、政府性基金预算财政拨款收入支出决算表</w:t>
      </w:r>
    </w:p>
    <w:p w14:paraId="7FA25E51">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九、国有资本经营预算财政拨款收入支出决算表</w:t>
      </w:r>
    </w:p>
    <w:p w14:paraId="66C12D8B">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十</w:t>
      </w:r>
      <w:r>
        <w:rPr>
          <w:rFonts w:hint="default" w:ascii="Times New Roman" w:hAnsi="Times New Roman" w:eastAsia="楷体" w:cs="Times New Roman"/>
          <w:sz w:val="30"/>
          <w:szCs w:val="30"/>
          <w:highlight w:val="none"/>
        </w:rPr>
        <w:t>、</w:t>
      </w:r>
      <w:r>
        <w:rPr>
          <w:rFonts w:hint="default" w:ascii="Times New Roman" w:hAnsi="Times New Roman" w:eastAsia="楷体" w:cs="Times New Roman"/>
          <w:sz w:val="30"/>
          <w:szCs w:val="30"/>
          <w:highlight w:val="none"/>
          <w:lang w:eastAsia="zh-CN"/>
        </w:rPr>
        <w:t>财政拨款</w:t>
      </w:r>
      <w:r>
        <w:rPr>
          <w:rFonts w:hint="default" w:ascii="Times New Roman" w:hAnsi="Times New Roman" w:eastAsia="楷体" w:cs="Times New Roman"/>
          <w:sz w:val="30"/>
          <w:szCs w:val="30"/>
          <w:highlight w:val="none"/>
        </w:rPr>
        <w:t>“三公”经费、行政参公单位机关运行经费情况表</w:t>
      </w:r>
    </w:p>
    <w:p w14:paraId="41B3873F">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val="en-US" w:eastAsia="zh-CN"/>
        </w:rPr>
        <w:t>十一、一般公共预算财政拨款“三公”经费情况表</w:t>
      </w:r>
    </w:p>
    <w:p w14:paraId="4F449A21">
      <w:pPr>
        <w:keepNext w:val="0"/>
        <w:keepLines w:val="0"/>
        <w:pageBreakBefore w:val="0"/>
        <w:kinsoku/>
        <w:overflowPunct/>
        <w:topLinePunct w:val="0"/>
        <w:autoSpaceDE/>
        <w:autoSpaceDN/>
        <w:bidi w:val="0"/>
        <w:spacing w:line="600" w:lineRule="exact"/>
        <w:jc w:val="left"/>
        <w:textAlignment w:val="auto"/>
        <w:outlineLvl w:val="0"/>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rPr>
        <w:t>第三部</w:t>
      </w:r>
      <w:r>
        <w:rPr>
          <w:rFonts w:hint="default" w:ascii="Times New Roman" w:hAnsi="Times New Roman" w:eastAsia="方正黑体_GBK" w:cs="Times New Roman"/>
          <w:sz w:val="30"/>
          <w:szCs w:val="30"/>
          <w:highlight w:val="none"/>
          <w:lang w:eastAsia="zh-CN"/>
        </w:rPr>
        <w:t>分</w:t>
      </w:r>
      <w:r>
        <w:rPr>
          <w:rFonts w:hint="default" w:ascii="Times New Roman" w:hAnsi="Times New Roman" w:eastAsia="方正黑体_GBK" w:cs="Times New Roman"/>
          <w:sz w:val="30"/>
          <w:szCs w:val="30"/>
          <w:highlight w:val="none"/>
        </w:rPr>
        <w:t xml:space="preserve">  </w:t>
      </w:r>
      <w:r>
        <w:rPr>
          <w:rFonts w:hint="default" w:ascii="Times New Roman" w:hAnsi="Times New Roman" w:eastAsia="方正黑体_GBK" w:cs="Times New Roman"/>
          <w:sz w:val="30"/>
          <w:szCs w:val="30"/>
          <w:highlight w:val="none"/>
          <w:lang w:val="en-US" w:eastAsia="zh-CN"/>
        </w:rPr>
        <w:t>2025</w:t>
      </w:r>
      <w:r>
        <w:rPr>
          <w:rFonts w:hint="default" w:ascii="Times New Roman" w:hAnsi="Times New Roman" w:eastAsia="方正黑体_GBK" w:cs="Times New Roman"/>
          <w:sz w:val="30"/>
          <w:szCs w:val="30"/>
          <w:highlight w:val="none"/>
        </w:rPr>
        <w:t>年度部门决算情况说明</w:t>
      </w:r>
    </w:p>
    <w:p w14:paraId="1E316B9A">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一、收入决算情况说明</w:t>
      </w:r>
    </w:p>
    <w:p w14:paraId="28BF3884">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二、支出决算情况说明</w:t>
      </w:r>
    </w:p>
    <w:p w14:paraId="7B451EDE">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三、一般公共预算财政拨款支出决算情况说明</w:t>
      </w:r>
    </w:p>
    <w:p w14:paraId="2CBDDA8D">
      <w:pPr>
        <w:keepNext w:val="0"/>
        <w:keepLines w:val="0"/>
        <w:pageBreakBefore w:val="0"/>
        <w:widowControl/>
        <w:kinsoku/>
        <w:overflowPunct/>
        <w:topLinePunct w:val="0"/>
        <w:autoSpaceDE/>
        <w:autoSpaceDN/>
        <w:bidi w:val="0"/>
        <w:snapToGrid w:val="0"/>
        <w:spacing w:before="100" w:after="100" w:line="600" w:lineRule="exact"/>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四、财政拨款“三公”经费支出决算情况说明</w:t>
      </w:r>
    </w:p>
    <w:p w14:paraId="08B0F50C">
      <w:pPr>
        <w:keepNext w:val="0"/>
        <w:keepLines w:val="0"/>
        <w:pageBreakBefore w:val="0"/>
        <w:widowControl/>
        <w:kinsoku/>
        <w:overflowPunct/>
        <w:topLinePunct w:val="0"/>
        <w:autoSpaceDE/>
        <w:autoSpaceDN/>
        <w:bidi w:val="0"/>
        <w:snapToGrid w:val="0"/>
        <w:spacing w:before="100" w:after="100" w:line="600" w:lineRule="exact"/>
        <w:jc w:val="left"/>
        <w:textAlignment w:val="auto"/>
        <w:outlineLvl w:val="0"/>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lang w:eastAsia="zh-CN"/>
        </w:rPr>
        <w:t>第四部分</w:t>
      </w:r>
      <w:r>
        <w:rPr>
          <w:rFonts w:hint="default" w:ascii="Times New Roman" w:hAnsi="Times New Roman" w:eastAsia="楷体" w:cs="Times New Roman"/>
          <w:sz w:val="30"/>
          <w:szCs w:val="30"/>
          <w:highlight w:val="none"/>
          <w:lang w:val="en-US" w:eastAsia="zh-CN"/>
        </w:rPr>
        <w:t xml:space="preserve">  </w:t>
      </w:r>
      <w:r>
        <w:rPr>
          <w:rFonts w:hint="default" w:ascii="Times New Roman" w:hAnsi="Times New Roman" w:eastAsia="方正黑体_GBK" w:cs="Times New Roman"/>
          <w:sz w:val="30"/>
          <w:szCs w:val="30"/>
          <w:highlight w:val="none"/>
        </w:rPr>
        <w:t>其他重要事项及相关口径情况说明</w:t>
      </w:r>
    </w:p>
    <w:p w14:paraId="5D8F5312">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一、</w:t>
      </w:r>
      <w:r>
        <w:rPr>
          <w:rFonts w:hint="default" w:ascii="Times New Roman" w:hAnsi="Times New Roman" w:eastAsia="楷体" w:cs="Times New Roman"/>
          <w:sz w:val="30"/>
          <w:szCs w:val="30"/>
          <w:highlight w:val="none"/>
        </w:rPr>
        <w:t>机关运行经费支出情况</w:t>
      </w:r>
    </w:p>
    <w:p w14:paraId="0F1F3665">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二、</w:t>
      </w:r>
      <w:r>
        <w:rPr>
          <w:rFonts w:hint="default" w:ascii="Times New Roman" w:hAnsi="Times New Roman" w:eastAsia="楷体" w:cs="Times New Roman"/>
          <w:sz w:val="30"/>
          <w:szCs w:val="30"/>
          <w:highlight w:val="none"/>
        </w:rPr>
        <w:t>国有资产占用情况</w:t>
      </w:r>
    </w:p>
    <w:p w14:paraId="51E02801">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w:t>
      </w:r>
      <w:r>
        <w:rPr>
          <w:rFonts w:hint="default" w:ascii="Times New Roman" w:hAnsi="Times New Roman" w:eastAsia="楷体" w:cs="Times New Roman"/>
          <w:sz w:val="30"/>
          <w:szCs w:val="30"/>
          <w:highlight w:val="none"/>
        </w:rPr>
        <w:t>政府采购支出情况</w:t>
      </w:r>
    </w:p>
    <w:p w14:paraId="1E31441F">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四、</w:t>
      </w:r>
      <w:r>
        <w:rPr>
          <w:rFonts w:hint="default" w:ascii="Times New Roman" w:hAnsi="Times New Roman" w:eastAsia="楷体" w:cs="Times New Roman"/>
          <w:sz w:val="30"/>
          <w:szCs w:val="30"/>
          <w:highlight w:val="none"/>
          <w:lang w:val="en-US" w:eastAsia="zh-CN"/>
        </w:rPr>
        <w:t>单位绩效自评情况</w:t>
      </w:r>
    </w:p>
    <w:p w14:paraId="373F1E7E">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五、</w:t>
      </w:r>
      <w:r>
        <w:rPr>
          <w:rFonts w:hint="default" w:ascii="Times New Roman" w:hAnsi="Times New Roman" w:eastAsia="楷体" w:cs="Times New Roman"/>
          <w:sz w:val="30"/>
          <w:szCs w:val="30"/>
          <w:highlight w:val="none"/>
          <w:lang w:val="en-US" w:eastAsia="zh-CN"/>
        </w:rPr>
        <w:t>其他重要事项情况说明</w:t>
      </w:r>
    </w:p>
    <w:p w14:paraId="1D599A24">
      <w:pPr>
        <w:keepNext w:val="0"/>
        <w:keepLines w:val="0"/>
        <w:pageBreakBefore w:val="0"/>
        <w:kinsoku/>
        <w:overflowPunct/>
        <w:topLinePunct w:val="0"/>
        <w:autoSpaceDE/>
        <w:autoSpaceDN/>
        <w:bidi w:val="0"/>
        <w:spacing w:line="600" w:lineRule="exact"/>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六、相关口径说明</w:t>
      </w:r>
    </w:p>
    <w:p w14:paraId="7949D165">
      <w:pPr>
        <w:keepNext w:val="0"/>
        <w:keepLines w:val="0"/>
        <w:pageBreakBefore w:val="0"/>
        <w:widowControl/>
        <w:kinsoku/>
        <w:overflowPunct/>
        <w:topLinePunct w:val="0"/>
        <w:autoSpaceDE/>
        <w:autoSpaceDN/>
        <w:bidi w:val="0"/>
        <w:snapToGrid w:val="0"/>
        <w:spacing w:before="100" w:after="100" w:line="600" w:lineRule="exact"/>
        <w:jc w:val="left"/>
        <w:textAlignment w:val="auto"/>
        <w:outlineLvl w:val="0"/>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rPr>
        <w:t>第</w:t>
      </w:r>
      <w:r>
        <w:rPr>
          <w:rFonts w:hint="default" w:ascii="Times New Roman" w:hAnsi="Times New Roman" w:eastAsia="方正黑体_GBK" w:cs="Times New Roman"/>
          <w:sz w:val="30"/>
          <w:szCs w:val="30"/>
          <w:highlight w:val="none"/>
          <w:lang w:eastAsia="zh-CN"/>
        </w:rPr>
        <w:t>五</w:t>
      </w:r>
      <w:r>
        <w:rPr>
          <w:rFonts w:hint="default" w:ascii="Times New Roman" w:hAnsi="Times New Roman" w:eastAsia="方正黑体_GBK" w:cs="Times New Roman"/>
          <w:sz w:val="30"/>
          <w:szCs w:val="30"/>
          <w:highlight w:val="none"/>
        </w:rPr>
        <w:t>部分  名词解释</w:t>
      </w:r>
    </w:p>
    <w:p w14:paraId="0FDA9A77">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黑体_GBK" w:cs="Times New Roman"/>
          <w:sz w:val="32"/>
          <w:szCs w:val="32"/>
          <w:highlight w:val="none"/>
        </w:rPr>
      </w:pPr>
    </w:p>
    <w:p w14:paraId="482E864F">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黑体_GBK" w:cs="Times New Roman"/>
          <w:sz w:val="32"/>
          <w:szCs w:val="32"/>
          <w:highlight w:val="none"/>
        </w:rPr>
      </w:pPr>
    </w:p>
    <w:p w14:paraId="24C5748B">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黑体_GBK" w:cs="Times New Roman"/>
          <w:sz w:val="32"/>
          <w:szCs w:val="32"/>
          <w:highlight w:val="none"/>
        </w:rPr>
      </w:pPr>
    </w:p>
    <w:p w14:paraId="2D1A9BBA">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黑体_GBK" w:cs="Times New Roman"/>
          <w:sz w:val="32"/>
          <w:szCs w:val="32"/>
          <w:highlight w:val="none"/>
        </w:rPr>
      </w:pPr>
    </w:p>
    <w:p w14:paraId="604C2949">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黑体_GBK" w:cs="Times New Roman"/>
          <w:sz w:val="32"/>
          <w:szCs w:val="32"/>
          <w:highlight w:val="none"/>
        </w:rPr>
      </w:pPr>
    </w:p>
    <w:p w14:paraId="2D273051">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黑体_GBK" w:cs="Times New Roman"/>
          <w:sz w:val="32"/>
          <w:szCs w:val="32"/>
          <w:highlight w:val="none"/>
        </w:rPr>
      </w:pPr>
    </w:p>
    <w:p w14:paraId="18614853">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黑体_GBK" w:cs="Times New Roman"/>
          <w:sz w:val="32"/>
          <w:szCs w:val="32"/>
          <w:highlight w:val="none"/>
        </w:rPr>
      </w:pPr>
    </w:p>
    <w:p w14:paraId="60C04C53">
      <w:pPr>
        <w:keepNext w:val="0"/>
        <w:keepLines w:val="0"/>
        <w:pageBreakBefore w:val="0"/>
        <w:kinsoku/>
        <w:overflowPunct/>
        <w:topLinePunct w:val="0"/>
        <w:autoSpaceDE/>
        <w:autoSpaceDN/>
        <w:bidi w:val="0"/>
        <w:spacing w:line="600" w:lineRule="exact"/>
        <w:jc w:val="both"/>
        <w:textAlignment w:val="auto"/>
        <w:rPr>
          <w:rFonts w:hint="default" w:ascii="Times New Roman" w:hAnsi="Times New Roman" w:eastAsia="方正黑体_GBK" w:cs="Times New Roman"/>
          <w:sz w:val="32"/>
          <w:szCs w:val="32"/>
          <w:highlight w:val="none"/>
        </w:rPr>
      </w:pPr>
    </w:p>
    <w:p w14:paraId="3FB64100">
      <w:pPr>
        <w:keepNext w:val="0"/>
        <w:keepLines w:val="0"/>
        <w:pageBreakBefore w:val="0"/>
        <w:kinsoku/>
        <w:overflowPunct/>
        <w:topLinePunct w:val="0"/>
        <w:autoSpaceDE/>
        <w:autoSpaceDN/>
        <w:bidi w:val="0"/>
        <w:spacing w:line="600" w:lineRule="exact"/>
        <w:jc w:val="center"/>
        <w:textAlignment w:val="auto"/>
        <w:outlineLvl w:val="0"/>
        <w:rPr>
          <w:rFonts w:hint="default" w:ascii="Times New Roman" w:hAnsi="Times New Roman" w:eastAsia="方正黑体_GBK" w:cs="Times New Roman"/>
          <w:sz w:val="32"/>
          <w:szCs w:val="32"/>
          <w:highlight w:val="none"/>
        </w:rPr>
      </w:pPr>
    </w:p>
    <w:p w14:paraId="14A26DE2">
      <w:pPr>
        <w:keepNext w:val="0"/>
        <w:keepLines w:val="0"/>
        <w:pageBreakBefore w:val="0"/>
        <w:kinsoku/>
        <w:overflowPunct/>
        <w:topLinePunct w:val="0"/>
        <w:autoSpaceDE/>
        <w:autoSpaceDN/>
        <w:bidi w:val="0"/>
        <w:spacing w:line="600" w:lineRule="exact"/>
        <w:jc w:val="center"/>
        <w:textAlignment w:val="auto"/>
        <w:outlineLvl w:val="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 xml:space="preserve">第一部分  </w:t>
      </w:r>
      <w:r>
        <w:rPr>
          <w:rFonts w:hint="default" w:ascii="Times New Roman" w:hAnsi="Times New Roman" w:eastAsia="方正黑体_GBK" w:cs="Times New Roman"/>
          <w:sz w:val="32"/>
          <w:szCs w:val="32"/>
          <w:highlight w:val="none"/>
          <w:lang w:eastAsia="zh-CN"/>
        </w:rPr>
        <w:t>单位</w:t>
      </w:r>
      <w:r>
        <w:rPr>
          <w:rFonts w:hint="default" w:ascii="Times New Roman" w:hAnsi="Times New Roman" w:eastAsia="方正黑体_GBK" w:cs="Times New Roman"/>
          <w:sz w:val="32"/>
          <w:szCs w:val="32"/>
          <w:highlight w:val="none"/>
        </w:rPr>
        <w:t>概况</w:t>
      </w:r>
    </w:p>
    <w:p w14:paraId="31A062E4">
      <w:pPr>
        <w:keepNext w:val="0"/>
        <w:keepLines w:val="0"/>
        <w:pageBreakBefore w:val="0"/>
        <w:kinsoku/>
        <w:overflowPunct/>
        <w:topLinePunct w:val="0"/>
        <w:autoSpaceDE/>
        <w:autoSpaceDN/>
        <w:bidi w:val="0"/>
        <w:spacing w:line="600" w:lineRule="exact"/>
        <w:ind w:firstLine="600" w:firstLineChars="200"/>
        <w:textAlignment w:val="auto"/>
        <w:outlineLvl w:val="1"/>
        <w:rPr>
          <w:rFonts w:hint="default" w:ascii="Times New Roman" w:hAnsi="Times New Roman" w:eastAsia="方正黑体_GBK" w:cs="Times New Roman"/>
          <w:sz w:val="30"/>
          <w:szCs w:val="30"/>
          <w:highlight w:val="none"/>
          <w:lang w:eastAsia="zh-CN"/>
        </w:rPr>
      </w:pPr>
      <w:r>
        <w:rPr>
          <w:rFonts w:hint="default" w:ascii="Times New Roman" w:hAnsi="Times New Roman" w:eastAsia="方正黑体_GBK" w:cs="Times New Roman"/>
          <w:sz w:val="30"/>
          <w:szCs w:val="30"/>
          <w:highlight w:val="none"/>
        </w:rPr>
        <w:t>一、主要</w:t>
      </w:r>
      <w:r>
        <w:rPr>
          <w:rFonts w:hint="default" w:ascii="Times New Roman" w:hAnsi="Times New Roman" w:eastAsia="方正黑体_GBK" w:cs="Times New Roman"/>
          <w:sz w:val="30"/>
          <w:szCs w:val="30"/>
          <w:highlight w:val="none"/>
          <w:lang w:eastAsia="zh-CN"/>
        </w:rPr>
        <w:t>职责</w:t>
      </w:r>
    </w:p>
    <w:p w14:paraId="5EEAA4B5">
      <w:pPr>
        <w:pStyle w:val="3"/>
        <w:keepNext w:val="0"/>
        <w:keepLines w:val="0"/>
        <w:pageBreakBefore w:val="0"/>
        <w:kinsoku/>
        <w:overflowPunct/>
        <w:topLinePunct w:val="0"/>
        <w:autoSpaceDE/>
        <w:autoSpaceDN/>
        <w:bidi w:val="0"/>
        <w:adjustRightInd w:val="0"/>
        <w:snapToGrid w:val="0"/>
        <w:spacing w:line="600" w:lineRule="exact"/>
        <w:ind w:firstLine="630" w:firstLineChars="210"/>
        <w:textAlignment w:val="auto"/>
        <w:rPr>
          <w:rFonts w:hint="default" w:ascii="Times New Roman" w:hAnsi="Times New Roman" w:eastAsia="方正仿宋_GBK" w:cs="Times New Roman"/>
          <w:bCs/>
          <w:szCs w:val="30"/>
          <w:highlight w:val="none"/>
        </w:rPr>
      </w:pPr>
      <w:r>
        <w:rPr>
          <w:rFonts w:hint="default" w:ascii="Times New Roman" w:hAnsi="Times New Roman" w:eastAsia="方正仿宋_GBK" w:cs="Times New Roman"/>
          <w:bCs/>
          <w:szCs w:val="30"/>
          <w:highlight w:val="none"/>
        </w:rPr>
        <w:t>玉溪市中心血站为玉溪市卫健委下属公益一类正科级事业单位，是玉溪市唯一的血液采供单位。主要职责为保障人民身体健康提供安全有效血液，组织血源、采集血液、临床用血提供、献血法宣传、血液质量保障、输血技术人员培训、输血科学研究。</w:t>
      </w:r>
    </w:p>
    <w:p w14:paraId="6EB00B1B">
      <w:pPr>
        <w:keepNext w:val="0"/>
        <w:keepLines w:val="0"/>
        <w:pageBreakBefore w:val="0"/>
        <w:kinsoku/>
        <w:overflowPunct/>
        <w:topLinePunct w:val="0"/>
        <w:autoSpaceDE/>
        <w:autoSpaceDN/>
        <w:bidi w:val="0"/>
        <w:spacing w:line="600" w:lineRule="exact"/>
        <w:ind w:firstLine="600" w:firstLineChars="200"/>
        <w:textAlignment w:val="auto"/>
        <w:outlineLvl w:val="1"/>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rPr>
        <w:t>二、基本情况</w:t>
      </w:r>
    </w:p>
    <w:p w14:paraId="7FC90DDF">
      <w:pPr>
        <w:keepNext w:val="0"/>
        <w:keepLines w:val="0"/>
        <w:pageBreakBefore w:val="0"/>
        <w:kinsoku/>
        <w:overflowPunct/>
        <w:topLinePunct w:val="0"/>
        <w:autoSpaceDE/>
        <w:autoSpaceDN/>
        <w:bidi w:val="0"/>
        <w:spacing w:line="600" w:lineRule="exact"/>
        <w:ind w:firstLine="600" w:firstLineChars="200"/>
        <w:textAlignment w:val="auto"/>
        <w:outlineLvl w:val="2"/>
        <w:rPr>
          <w:rFonts w:hint="default" w:ascii="Times New Roman" w:hAnsi="Times New Roman" w:eastAsia="方正楷体_GBK" w:cs="Times New Roman"/>
          <w:sz w:val="30"/>
          <w:szCs w:val="30"/>
          <w:highlight w:val="none"/>
        </w:rPr>
      </w:pPr>
      <w:r>
        <w:rPr>
          <w:rFonts w:hint="default" w:ascii="Times New Roman" w:hAnsi="Times New Roman" w:eastAsia="方正楷体_GBK" w:cs="Times New Roman"/>
          <w:sz w:val="30"/>
          <w:szCs w:val="30"/>
          <w:highlight w:val="none"/>
        </w:rPr>
        <w:t>（一）机构设置情况</w:t>
      </w:r>
    </w:p>
    <w:p w14:paraId="53FF2759">
      <w:pPr>
        <w:keepNext w:val="0"/>
        <w:keepLines w:val="0"/>
        <w:pageBreakBefore w:val="0"/>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kern w:val="2"/>
          <w:sz w:val="30"/>
          <w:szCs w:val="30"/>
          <w:shd w:val="clear" w:color="auto" w:fill="FFFFFF"/>
          <w:lang w:val="en-US" w:eastAsia="zh-CN" w:bidi="ar-SA"/>
        </w:rPr>
      </w:pPr>
      <w:r>
        <w:rPr>
          <w:rFonts w:hint="default" w:ascii="Times New Roman" w:hAnsi="Times New Roman" w:eastAsia="方正仿宋_GBK" w:cs="Times New Roman"/>
          <w:kern w:val="2"/>
          <w:sz w:val="30"/>
          <w:szCs w:val="30"/>
          <w:shd w:val="clear" w:color="auto" w:fill="FFFFFF"/>
          <w:lang w:val="en-US" w:eastAsia="zh-CN" w:bidi="ar-SA"/>
        </w:rPr>
        <w:t>我单位共设置5个内设机构，包括：办公室、业务科、宣采科、质管检验科、成分供血科。</w:t>
      </w:r>
    </w:p>
    <w:p w14:paraId="2DE6DB0D">
      <w:pPr>
        <w:keepNext w:val="0"/>
        <w:keepLines w:val="0"/>
        <w:pageBreakBefore w:val="0"/>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kern w:val="2"/>
          <w:sz w:val="30"/>
          <w:szCs w:val="30"/>
          <w:shd w:val="clear" w:color="auto" w:fill="FFFFFF"/>
          <w:lang w:val="en-US" w:eastAsia="zh-CN" w:bidi="ar-SA"/>
        </w:rPr>
      </w:pPr>
      <w:r>
        <w:rPr>
          <w:rFonts w:hint="default" w:ascii="Times New Roman" w:hAnsi="Times New Roman" w:eastAsia="方正仿宋_GBK" w:cs="Times New Roman"/>
          <w:kern w:val="2"/>
          <w:sz w:val="30"/>
          <w:szCs w:val="30"/>
          <w:shd w:val="clear" w:color="auto" w:fill="FFFFFF"/>
          <w:lang w:val="en-US" w:eastAsia="zh-CN" w:bidi="ar-SA"/>
        </w:rPr>
        <w:t>我单位为基层预算单位，无下属单位。</w:t>
      </w:r>
    </w:p>
    <w:p w14:paraId="1DC3FEC6">
      <w:pPr>
        <w:keepNext w:val="0"/>
        <w:keepLines w:val="0"/>
        <w:pageBreakBefore w:val="0"/>
        <w:kinsoku/>
        <w:overflowPunct/>
        <w:topLinePunct w:val="0"/>
        <w:autoSpaceDE/>
        <w:autoSpaceDN/>
        <w:bidi w:val="0"/>
        <w:spacing w:line="600" w:lineRule="exact"/>
        <w:ind w:firstLine="600" w:firstLineChars="200"/>
        <w:textAlignment w:val="auto"/>
        <w:outlineLvl w:val="2"/>
        <w:rPr>
          <w:rFonts w:hint="default" w:ascii="Times New Roman" w:hAnsi="Times New Roman" w:eastAsia="方正楷体_GBK" w:cs="Times New Roman"/>
          <w:sz w:val="30"/>
          <w:szCs w:val="30"/>
          <w:highlight w:val="none"/>
        </w:rPr>
      </w:pPr>
      <w:r>
        <w:rPr>
          <w:rFonts w:hint="default" w:ascii="Times New Roman" w:hAnsi="Times New Roman" w:eastAsia="方正楷体_GBK" w:cs="Times New Roman"/>
          <w:sz w:val="30"/>
          <w:szCs w:val="30"/>
          <w:highlight w:val="none"/>
          <w:lang w:eastAsia="zh-CN"/>
        </w:rPr>
        <w:t>（二）</w:t>
      </w:r>
      <w:r>
        <w:rPr>
          <w:rFonts w:hint="default" w:ascii="Times New Roman" w:hAnsi="Times New Roman" w:eastAsia="方正楷体_GBK" w:cs="Times New Roman"/>
          <w:sz w:val="30"/>
          <w:szCs w:val="30"/>
          <w:highlight w:val="none"/>
        </w:rPr>
        <w:t>决算单位构成</w:t>
      </w:r>
    </w:p>
    <w:p w14:paraId="2B9A1F89">
      <w:pPr>
        <w:keepNext w:val="0"/>
        <w:keepLines w:val="0"/>
        <w:pageBreakBefore w:val="0"/>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kern w:val="2"/>
          <w:sz w:val="30"/>
          <w:szCs w:val="30"/>
          <w:shd w:val="clear" w:color="auto" w:fill="FFFFFF"/>
          <w:lang w:val="en-US" w:eastAsia="zh-CN" w:bidi="ar-SA"/>
        </w:rPr>
      </w:pPr>
      <w:r>
        <w:rPr>
          <w:rFonts w:hint="default" w:ascii="Times New Roman" w:hAnsi="Times New Roman" w:eastAsia="方正仿宋_GBK" w:cs="Times New Roman"/>
          <w:kern w:val="2"/>
          <w:sz w:val="30"/>
          <w:szCs w:val="30"/>
          <w:shd w:val="clear" w:color="auto" w:fill="FFFFFF"/>
          <w:lang w:val="en-US" w:eastAsia="zh-CN" w:bidi="ar-SA"/>
        </w:rPr>
        <w:t>我单位作为二级预算单位纳入2025年度部门决算编报范围。</w:t>
      </w:r>
    </w:p>
    <w:p w14:paraId="683C0546">
      <w:pPr>
        <w:keepNext w:val="0"/>
        <w:keepLines w:val="0"/>
        <w:pageBreakBefore w:val="0"/>
        <w:kinsoku/>
        <w:overflowPunct/>
        <w:topLinePunct w:val="0"/>
        <w:autoSpaceDE/>
        <w:autoSpaceDN/>
        <w:bidi w:val="0"/>
        <w:spacing w:line="600" w:lineRule="exact"/>
        <w:ind w:firstLine="600" w:firstLineChars="200"/>
        <w:textAlignment w:val="auto"/>
        <w:outlineLvl w:val="2"/>
        <w:rPr>
          <w:rFonts w:hint="default" w:ascii="Times New Roman" w:hAnsi="Times New Roman" w:eastAsia="方正楷体_GBK" w:cs="Times New Roman"/>
          <w:sz w:val="30"/>
          <w:szCs w:val="30"/>
          <w:highlight w:val="none"/>
        </w:rPr>
      </w:pPr>
      <w:r>
        <w:rPr>
          <w:rFonts w:hint="default" w:ascii="Times New Roman" w:hAnsi="Times New Roman" w:eastAsia="方正楷体_GBK" w:cs="Times New Roman"/>
          <w:sz w:val="30"/>
          <w:szCs w:val="30"/>
          <w:highlight w:val="none"/>
        </w:rPr>
        <w:t>（</w:t>
      </w:r>
      <w:r>
        <w:rPr>
          <w:rFonts w:hint="default" w:ascii="Times New Roman" w:hAnsi="Times New Roman" w:eastAsia="方正楷体_GBK" w:cs="Times New Roman"/>
          <w:sz w:val="30"/>
          <w:szCs w:val="30"/>
          <w:highlight w:val="none"/>
          <w:lang w:eastAsia="zh-CN"/>
        </w:rPr>
        <w:t>三</w:t>
      </w:r>
      <w:r>
        <w:rPr>
          <w:rFonts w:hint="default" w:ascii="Times New Roman" w:hAnsi="Times New Roman" w:eastAsia="方正楷体_GBK" w:cs="Times New Roman"/>
          <w:sz w:val="30"/>
          <w:szCs w:val="30"/>
          <w:highlight w:val="none"/>
        </w:rPr>
        <w:t>）</w:t>
      </w:r>
      <w:r>
        <w:rPr>
          <w:rFonts w:hint="default" w:ascii="Times New Roman" w:hAnsi="Times New Roman" w:eastAsia="方正楷体_GBK" w:cs="Times New Roman"/>
          <w:sz w:val="30"/>
          <w:szCs w:val="30"/>
          <w:highlight w:val="none"/>
          <w:lang w:eastAsia="zh-CN"/>
        </w:rPr>
        <w:t>单位</w:t>
      </w:r>
      <w:r>
        <w:rPr>
          <w:rFonts w:hint="default" w:ascii="Times New Roman" w:hAnsi="Times New Roman" w:eastAsia="方正楷体_GBK" w:cs="Times New Roman"/>
          <w:sz w:val="30"/>
          <w:szCs w:val="30"/>
          <w:highlight w:val="none"/>
        </w:rPr>
        <w:t xml:space="preserve">人员和车辆的编制及实有情况 </w:t>
      </w:r>
    </w:p>
    <w:p w14:paraId="35F28C6D">
      <w:pPr>
        <w:keepNext w:val="0"/>
        <w:keepLines w:val="0"/>
        <w:pageBreakBefore w:val="0"/>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sz w:val="30"/>
          <w:szCs w:val="30"/>
          <w:highlight w:val="none"/>
          <w:lang w:eastAsia="zh-CN"/>
        </w:rPr>
        <w:t>我单位</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年末</w:t>
      </w:r>
      <w:r>
        <w:rPr>
          <w:rFonts w:hint="default" w:ascii="Times New Roman" w:hAnsi="Times New Roman" w:eastAsia="方正仿宋_GBK" w:cs="Times New Roman"/>
          <w:sz w:val="30"/>
          <w:szCs w:val="30"/>
          <w:highlight w:val="none"/>
          <w:lang w:eastAsia="zh-CN"/>
        </w:rPr>
        <w:t>编制内</w:t>
      </w:r>
      <w:r>
        <w:rPr>
          <w:rFonts w:hint="default" w:ascii="Times New Roman" w:hAnsi="Times New Roman" w:eastAsia="方正仿宋_GBK" w:cs="Times New Roman"/>
          <w:sz w:val="30"/>
          <w:szCs w:val="30"/>
          <w:highlight w:val="none"/>
        </w:rPr>
        <w:t>实有人员</w:t>
      </w:r>
      <w:r>
        <w:rPr>
          <w:rFonts w:hint="default" w:ascii="Times New Roman" w:hAnsi="Times New Roman" w:eastAsia="方正仿宋_GBK" w:cs="Times New Roman"/>
          <w:color w:val="auto"/>
          <w:sz w:val="30"/>
          <w:szCs w:val="30"/>
          <w:highlight w:val="none"/>
          <w:lang w:val="en-US" w:eastAsia="zh-CN"/>
        </w:rPr>
        <w:t>41</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b w:val="0"/>
          <w:bCs w:val="0"/>
          <w:kern w:val="0"/>
          <w:sz w:val="30"/>
          <w:szCs w:val="30"/>
          <w:highlight w:val="none"/>
          <w:lang w:eastAsia="zh-CN"/>
        </w:rPr>
        <w:t>包括</w:t>
      </w:r>
      <w:r>
        <w:rPr>
          <w:rFonts w:hint="default" w:ascii="Times New Roman" w:hAnsi="Times New Roman" w:eastAsia="方正仿宋_GBK" w:cs="Times New Roman"/>
          <w:kern w:val="0"/>
          <w:sz w:val="30"/>
          <w:szCs w:val="30"/>
          <w:highlight w:val="none"/>
          <w:lang w:eastAsia="zh-CN"/>
        </w:rPr>
        <w:t>财政拨款开支经费的</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公务员</w:t>
      </w:r>
      <w:r>
        <w:rPr>
          <w:rFonts w:hint="default" w:ascii="Times New Roman" w:hAnsi="Times New Roman" w:eastAsia="方正仿宋_GBK" w:cs="Times New Roman"/>
          <w:color w:val="auto"/>
          <w:sz w:val="30"/>
          <w:szCs w:val="30"/>
          <w:highlight w:val="none"/>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参照公务员法管理人员</w:t>
      </w:r>
      <w:r>
        <w:rPr>
          <w:rFonts w:hint="default" w:ascii="Times New Roman" w:hAnsi="Times New Roman" w:eastAsia="方正仿宋_GBK" w:cs="Times New Roman"/>
          <w:color w:val="auto"/>
          <w:sz w:val="30"/>
          <w:szCs w:val="30"/>
          <w:highlight w:val="none"/>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kern w:val="0"/>
          <w:sz w:val="30"/>
          <w:szCs w:val="30"/>
          <w:highlight w:val="none"/>
        </w:rPr>
        <w:t>事业管理人员和专业技术人员</w:t>
      </w:r>
      <w:r>
        <w:rPr>
          <w:rFonts w:hint="default" w:ascii="Times New Roman" w:hAnsi="Times New Roman" w:eastAsia="方正仿宋_GBK" w:cs="Times New Roman"/>
          <w:color w:val="auto"/>
          <w:sz w:val="30"/>
          <w:szCs w:val="30"/>
          <w:highlight w:val="none"/>
          <w:lang w:val="en-US" w:eastAsia="zh-CN"/>
        </w:rPr>
        <w:t>41</w:t>
      </w:r>
      <w:r>
        <w:rPr>
          <w:rFonts w:hint="default" w:ascii="Times New Roman" w:hAnsi="Times New Roman" w:eastAsia="方正仿宋_GBK" w:cs="Times New Roman"/>
          <w:kern w:val="0"/>
          <w:sz w:val="30"/>
          <w:szCs w:val="30"/>
          <w:highlight w:val="none"/>
        </w:rPr>
        <w:t>人，机关和事业工人</w:t>
      </w:r>
      <w:r>
        <w:rPr>
          <w:rFonts w:hint="default" w:ascii="Times New Roman" w:hAnsi="Times New Roman" w:eastAsia="方正仿宋_GBK" w:cs="Times New Roman"/>
          <w:color w:val="auto"/>
          <w:sz w:val="30"/>
          <w:szCs w:val="30"/>
          <w:highlight w:val="none"/>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；经费自理人员</w:t>
      </w:r>
      <w:r>
        <w:rPr>
          <w:rFonts w:hint="default" w:ascii="Times New Roman" w:hAnsi="Times New Roman" w:eastAsia="方正仿宋_GBK" w:cs="Times New Roman"/>
          <w:color w:val="auto"/>
          <w:sz w:val="30"/>
          <w:szCs w:val="30"/>
          <w:highlight w:val="none"/>
          <w:lang w:val="en-US" w:eastAsia="zh-CN"/>
        </w:rPr>
        <w:t>0</w:t>
      </w:r>
      <w:r>
        <w:rPr>
          <w:rFonts w:hint="default" w:ascii="Times New Roman" w:hAnsi="Times New Roman" w:eastAsia="方正仿宋_GBK" w:cs="Times New Roman"/>
          <w:kern w:val="0"/>
          <w:sz w:val="30"/>
          <w:szCs w:val="30"/>
          <w:highlight w:val="none"/>
        </w:rPr>
        <w:t>人</w:t>
      </w:r>
      <w:r>
        <w:rPr>
          <w:rFonts w:hint="default" w:ascii="Times New Roman" w:hAnsi="Times New Roman" w:eastAsia="方正仿宋_GBK" w:cs="Times New Roman"/>
          <w:kern w:val="0"/>
          <w:sz w:val="30"/>
          <w:szCs w:val="30"/>
          <w:highlight w:val="none"/>
          <w:lang w:eastAsia="zh-CN"/>
        </w:rPr>
        <w:t>。</w:t>
      </w:r>
    </w:p>
    <w:p w14:paraId="770262F1">
      <w:pPr>
        <w:keepNext w:val="0"/>
        <w:keepLines w:val="0"/>
        <w:pageBreakBefore w:val="0"/>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kern w:val="0"/>
          <w:sz w:val="30"/>
          <w:szCs w:val="30"/>
          <w:highlight w:val="none"/>
          <w:lang w:val="en-US" w:eastAsia="zh-CN"/>
        </w:rPr>
      </w:pPr>
      <w:r>
        <w:rPr>
          <w:rFonts w:hint="default" w:ascii="Times New Roman" w:hAnsi="Times New Roman" w:eastAsia="方正仿宋_GBK" w:cs="Times New Roman"/>
          <w:sz w:val="30"/>
          <w:szCs w:val="30"/>
          <w:highlight w:val="none"/>
          <w:lang w:eastAsia="zh-CN"/>
        </w:rPr>
        <w:t>我单位</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年末</w:t>
      </w:r>
      <w:r>
        <w:rPr>
          <w:rFonts w:hint="default" w:ascii="Times New Roman" w:hAnsi="Times New Roman" w:eastAsia="方正仿宋_GBK" w:cs="Times New Roman"/>
          <w:sz w:val="30"/>
          <w:szCs w:val="30"/>
          <w:highlight w:val="none"/>
          <w:lang w:eastAsia="zh-CN"/>
        </w:rPr>
        <w:t>其他人员</w:t>
      </w:r>
      <w:r>
        <w:rPr>
          <w:rFonts w:hint="default" w:ascii="Times New Roman" w:hAnsi="Times New Roman" w:eastAsia="方正仿宋_GBK" w:cs="Times New Roman"/>
          <w:color w:val="auto"/>
          <w:sz w:val="30"/>
          <w:szCs w:val="30"/>
          <w:highlight w:val="none"/>
          <w:lang w:val="en-US" w:eastAsia="zh-CN"/>
        </w:rPr>
        <w:t>0</w:t>
      </w:r>
      <w:r>
        <w:rPr>
          <w:rFonts w:hint="default" w:ascii="Times New Roman" w:hAnsi="Times New Roman" w:eastAsia="方正仿宋_GBK" w:cs="Times New Roman"/>
          <w:sz w:val="30"/>
          <w:szCs w:val="30"/>
          <w:highlight w:val="none"/>
          <w:lang w:val="en-US" w:eastAsia="zh-CN"/>
        </w:rPr>
        <w:t>人。包括财政拨款开支经费的人员</w:t>
      </w:r>
      <w:r>
        <w:rPr>
          <w:rFonts w:hint="default" w:ascii="Times New Roman" w:hAnsi="Times New Roman" w:eastAsia="方正仿宋_GBK" w:cs="Times New Roman"/>
          <w:color w:val="auto"/>
          <w:sz w:val="30"/>
          <w:szCs w:val="30"/>
          <w:highlight w:val="none"/>
          <w:lang w:val="en-US" w:eastAsia="zh-CN"/>
        </w:rPr>
        <w:t>0</w:t>
      </w:r>
      <w:r>
        <w:rPr>
          <w:rFonts w:hint="default" w:ascii="Times New Roman" w:hAnsi="Times New Roman" w:eastAsia="方正仿宋_GBK" w:cs="Times New Roman"/>
          <w:sz w:val="30"/>
          <w:szCs w:val="30"/>
          <w:highlight w:val="none"/>
          <w:lang w:eastAsia="zh-CN"/>
        </w:rPr>
        <w:t>人；经费自理人员</w:t>
      </w:r>
      <w:r>
        <w:rPr>
          <w:rFonts w:hint="default" w:ascii="Times New Roman" w:hAnsi="Times New Roman" w:eastAsia="方正仿宋_GBK" w:cs="Times New Roman"/>
          <w:color w:val="auto"/>
          <w:sz w:val="30"/>
          <w:szCs w:val="30"/>
          <w:highlight w:val="none"/>
          <w:lang w:val="en-US" w:eastAsia="zh-CN"/>
        </w:rPr>
        <w:t>0</w:t>
      </w:r>
      <w:r>
        <w:rPr>
          <w:rFonts w:hint="default" w:ascii="Times New Roman" w:hAnsi="Times New Roman" w:eastAsia="方正仿宋_GBK" w:cs="Times New Roman"/>
          <w:sz w:val="30"/>
          <w:szCs w:val="30"/>
          <w:highlight w:val="none"/>
          <w:lang w:eastAsia="zh-CN"/>
        </w:rPr>
        <w:t>人。</w:t>
      </w:r>
    </w:p>
    <w:p w14:paraId="695C3E38">
      <w:pPr>
        <w:keepNext w:val="0"/>
        <w:keepLines w:val="0"/>
        <w:pageBreakBefore w:val="0"/>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i w:val="0"/>
          <w:iCs w:val="0"/>
          <w:kern w:val="0"/>
          <w:sz w:val="30"/>
          <w:szCs w:val="30"/>
          <w:highlight w:val="none"/>
          <w:lang w:val="en-US" w:eastAsia="zh-CN"/>
        </w:rPr>
      </w:pPr>
      <w:r>
        <w:rPr>
          <w:rFonts w:hint="default" w:ascii="Times New Roman" w:hAnsi="Times New Roman" w:eastAsia="方正仿宋_GBK" w:cs="Times New Roman"/>
          <w:i w:val="0"/>
          <w:iCs w:val="0"/>
          <w:kern w:val="0"/>
          <w:sz w:val="30"/>
          <w:szCs w:val="30"/>
          <w:highlight w:val="none"/>
          <w:lang w:eastAsia="zh-CN"/>
        </w:rPr>
        <w:t>年末单位发放离退休费的</w:t>
      </w:r>
      <w:r>
        <w:rPr>
          <w:rFonts w:hint="default" w:ascii="Times New Roman" w:hAnsi="Times New Roman" w:eastAsia="方正仿宋_GBK" w:cs="Times New Roman"/>
          <w:i w:val="0"/>
          <w:iCs w:val="0"/>
          <w:strike w:val="0"/>
          <w:dstrike w:val="0"/>
          <w:color w:val="auto"/>
          <w:kern w:val="0"/>
          <w:sz w:val="30"/>
          <w:szCs w:val="30"/>
          <w:highlight w:val="none"/>
        </w:rPr>
        <w:t>离</w:t>
      </w:r>
      <w:r>
        <w:rPr>
          <w:rFonts w:hint="default" w:ascii="Times New Roman" w:hAnsi="Times New Roman" w:eastAsia="方正仿宋_GBK" w:cs="Times New Roman"/>
          <w:i w:val="0"/>
          <w:iCs w:val="0"/>
          <w:kern w:val="0"/>
          <w:sz w:val="30"/>
          <w:szCs w:val="30"/>
          <w:highlight w:val="none"/>
        </w:rPr>
        <w:t>退休人员</w:t>
      </w:r>
      <w:r>
        <w:rPr>
          <w:rFonts w:hint="default" w:ascii="Times New Roman" w:hAnsi="Times New Roman" w:eastAsia="方正仿宋_GBK" w:cs="Times New Roman"/>
          <w:i w:val="0"/>
          <w:iCs w:val="0"/>
          <w:kern w:val="0"/>
          <w:sz w:val="30"/>
          <w:szCs w:val="30"/>
          <w:highlight w:val="none"/>
          <w:lang w:eastAsia="zh-CN"/>
        </w:rPr>
        <w:t>共计</w:t>
      </w:r>
      <w:r>
        <w:rPr>
          <w:rFonts w:hint="default" w:ascii="Times New Roman" w:hAnsi="Times New Roman" w:eastAsia="方正仿宋_GBK" w:cs="Times New Roman"/>
          <w:i w:val="0"/>
          <w:iCs w:val="0"/>
          <w:sz w:val="30"/>
          <w:szCs w:val="30"/>
          <w:highlight w:val="none"/>
          <w:lang w:val="en-US" w:eastAsia="zh-CN"/>
        </w:rPr>
        <w:t>0</w:t>
      </w:r>
      <w:r>
        <w:rPr>
          <w:rFonts w:hint="default" w:ascii="Times New Roman" w:hAnsi="Times New Roman" w:eastAsia="方正仿宋_GBK" w:cs="Times New Roman"/>
          <w:i w:val="0"/>
          <w:iCs w:val="0"/>
          <w:kern w:val="0"/>
          <w:sz w:val="30"/>
          <w:szCs w:val="30"/>
          <w:highlight w:val="none"/>
        </w:rPr>
        <w:t>人</w:t>
      </w:r>
      <w:r>
        <w:rPr>
          <w:rFonts w:hint="default" w:ascii="Times New Roman" w:hAnsi="Times New Roman" w:eastAsia="方正仿宋_GBK" w:cs="Times New Roman"/>
          <w:i w:val="0"/>
          <w:iCs w:val="0"/>
          <w:kern w:val="0"/>
          <w:sz w:val="30"/>
          <w:szCs w:val="30"/>
          <w:highlight w:val="none"/>
          <w:lang w:eastAsia="zh-CN"/>
        </w:rPr>
        <w:t>（</w:t>
      </w:r>
      <w:r>
        <w:rPr>
          <w:rFonts w:hint="default" w:ascii="Times New Roman" w:hAnsi="Times New Roman" w:eastAsia="方正仿宋_GBK" w:cs="Times New Roman"/>
          <w:i w:val="0"/>
          <w:iCs w:val="0"/>
          <w:strike w:val="0"/>
          <w:dstrike w:val="0"/>
          <w:color w:val="auto"/>
          <w:kern w:val="0"/>
          <w:sz w:val="30"/>
          <w:szCs w:val="30"/>
          <w:highlight w:val="none"/>
        </w:rPr>
        <w:t>离休</w:t>
      </w:r>
      <w:r>
        <w:rPr>
          <w:rFonts w:hint="default" w:ascii="Times New Roman" w:hAnsi="Times New Roman" w:eastAsia="方正仿宋_GBK" w:cs="Times New Roman"/>
          <w:i w:val="0"/>
          <w:iCs w:val="0"/>
          <w:strike w:val="0"/>
          <w:dstrike w:val="0"/>
          <w:color w:val="auto"/>
          <w:sz w:val="30"/>
          <w:szCs w:val="30"/>
          <w:highlight w:val="none"/>
          <w:lang w:val="en-US" w:eastAsia="zh-CN"/>
        </w:rPr>
        <w:t>0</w:t>
      </w:r>
      <w:r>
        <w:rPr>
          <w:rFonts w:hint="default" w:ascii="Times New Roman" w:hAnsi="Times New Roman" w:eastAsia="方正仿宋_GBK" w:cs="Times New Roman"/>
          <w:i w:val="0"/>
          <w:iCs w:val="0"/>
          <w:strike w:val="0"/>
          <w:dstrike w:val="0"/>
          <w:color w:val="auto"/>
          <w:kern w:val="0"/>
          <w:sz w:val="30"/>
          <w:szCs w:val="30"/>
          <w:highlight w:val="none"/>
        </w:rPr>
        <w:t>人，</w:t>
      </w:r>
      <w:r>
        <w:rPr>
          <w:rFonts w:hint="default" w:ascii="Times New Roman" w:hAnsi="Times New Roman" w:eastAsia="方正仿宋_GBK" w:cs="Times New Roman"/>
          <w:i w:val="0"/>
          <w:iCs w:val="0"/>
          <w:kern w:val="0"/>
          <w:sz w:val="30"/>
          <w:szCs w:val="30"/>
          <w:highlight w:val="none"/>
        </w:rPr>
        <w:t>退休</w:t>
      </w:r>
      <w:r>
        <w:rPr>
          <w:rFonts w:hint="default" w:ascii="Times New Roman" w:hAnsi="Times New Roman" w:eastAsia="方正仿宋_GBK" w:cs="Times New Roman"/>
          <w:i w:val="0"/>
          <w:iCs w:val="0"/>
          <w:sz w:val="30"/>
          <w:szCs w:val="30"/>
          <w:highlight w:val="none"/>
          <w:lang w:val="en-US" w:eastAsia="zh-CN"/>
        </w:rPr>
        <w:t>0</w:t>
      </w:r>
      <w:r>
        <w:rPr>
          <w:rFonts w:hint="default" w:ascii="Times New Roman" w:hAnsi="Times New Roman" w:eastAsia="方正仿宋_GBK" w:cs="Times New Roman"/>
          <w:i w:val="0"/>
          <w:iCs w:val="0"/>
          <w:kern w:val="0"/>
          <w:sz w:val="30"/>
          <w:szCs w:val="30"/>
          <w:highlight w:val="none"/>
        </w:rPr>
        <w:t>人</w:t>
      </w:r>
      <w:r>
        <w:rPr>
          <w:rFonts w:hint="default" w:ascii="Times New Roman" w:hAnsi="Times New Roman" w:eastAsia="方正仿宋_GBK" w:cs="Times New Roman"/>
          <w:i w:val="0"/>
          <w:iCs w:val="0"/>
          <w:kern w:val="0"/>
          <w:sz w:val="30"/>
          <w:szCs w:val="30"/>
          <w:highlight w:val="none"/>
          <w:lang w:eastAsia="zh-CN"/>
        </w:rPr>
        <w:t>）。年末</w:t>
      </w:r>
      <w:r>
        <w:rPr>
          <w:rFonts w:hint="default" w:ascii="Times New Roman" w:hAnsi="Times New Roman" w:eastAsia="方正仿宋_GBK" w:cs="Times New Roman"/>
          <w:i w:val="0"/>
          <w:iCs w:val="0"/>
          <w:kern w:val="0"/>
          <w:sz w:val="30"/>
          <w:szCs w:val="30"/>
          <w:highlight w:val="none"/>
        </w:rPr>
        <w:t>由养老保险基金发放养老金的</w:t>
      </w:r>
      <w:r>
        <w:rPr>
          <w:rFonts w:hint="default" w:ascii="Times New Roman" w:hAnsi="Times New Roman" w:eastAsia="方正仿宋_GBK" w:cs="Times New Roman"/>
          <w:i w:val="0"/>
          <w:iCs w:val="0"/>
          <w:strike w:val="0"/>
          <w:dstrike w:val="0"/>
          <w:color w:val="auto"/>
          <w:kern w:val="0"/>
          <w:sz w:val="30"/>
          <w:szCs w:val="30"/>
          <w:highlight w:val="none"/>
        </w:rPr>
        <w:t>离</w:t>
      </w:r>
      <w:r>
        <w:rPr>
          <w:rFonts w:hint="default" w:ascii="Times New Roman" w:hAnsi="Times New Roman" w:eastAsia="方正仿宋_GBK" w:cs="Times New Roman"/>
          <w:i w:val="0"/>
          <w:iCs w:val="0"/>
          <w:kern w:val="0"/>
          <w:sz w:val="30"/>
          <w:szCs w:val="30"/>
          <w:highlight w:val="none"/>
        </w:rPr>
        <w:t>退休人员</w:t>
      </w:r>
      <w:r>
        <w:rPr>
          <w:rFonts w:hint="default" w:ascii="Times New Roman" w:hAnsi="Times New Roman" w:eastAsia="方正仿宋_GBK" w:cs="Times New Roman"/>
          <w:i w:val="0"/>
          <w:iCs w:val="0"/>
          <w:kern w:val="0"/>
          <w:sz w:val="30"/>
          <w:szCs w:val="30"/>
          <w:highlight w:val="none"/>
          <w:lang w:val="en-US" w:eastAsia="zh-CN"/>
        </w:rPr>
        <w:t>15人</w:t>
      </w:r>
      <w:r>
        <w:rPr>
          <w:rFonts w:hint="default" w:ascii="Times New Roman" w:hAnsi="Times New Roman" w:eastAsia="方正仿宋_GBK" w:cs="Times New Roman"/>
          <w:i w:val="0"/>
          <w:iCs w:val="0"/>
          <w:kern w:val="0"/>
          <w:sz w:val="30"/>
          <w:szCs w:val="30"/>
          <w:highlight w:val="none"/>
          <w:lang w:eastAsia="zh-CN"/>
        </w:rPr>
        <w:t>（</w:t>
      </w:r>
      <w:r>
        <w:rPr>
          <w:rFonts w:hint="default" w:ascii="Times New Roman" w:hAnsi="Times New Roman" w:eastAsia="方正仿宋_GBK" w:cs="Times New Roman"/>
          <w:i w:val="0"/>
          <w:iCs w:val="0"/>
          <w:strike w:val="0"/>
          <w:dstrike w:val="0"/>
          <w:color w:val="auto"/>
          <w:kern w:val="0"/>
          <w:sz w:val="30"/>
          <w:szCs w:val="30"/>
          <w:highlight w:val="none"/>
        </w:rPr>
        <w:t>离休</w:t>
      </w:r>
      <w:r>
        <w:rPr>
          <w:rFonts w:hint="default" w:ascii="Times New Roman" w:hAnsi="Times New Roman" w:eastAsia="方正仿宋_GBK" w:cs="Times New Roman"/>
          <w:i w:val="0"/>
          <w:iCs w:val="0"/>
          <w:strike w:val="0"/>
          <w:dstrike w:val="0"/>
          <w:color w:val="auto"/>
          <w:sz w:val="30"/>
          <w:szCs w:val="30"/>
          <w:highlight w:val="none"/>
          <w:lang w:val="en-US" w:eastAsia="zh-CN"/>
        </w:rPr>
        <w:t>0</w:t>
      </w:r>
      <w:r>
        <w:rPr>
          <w:rFonts w:hint="default" w:ascii="Times New Roman" w:hAnsi="Times New Roman" w:eastAsia="方正仿宋_GBK" w:cs="Times New Roman"/>
          <w:i w:val="0"/>
          <w:iCs w:val="0"/>
          <w:strike w:val="0"/>
          <w:dstrike w:val="0"/>
          <w:color w:val="auto"/>
          <w:kern w:val="0"/>
          <w:sz w:val="30"/>
          <w:szCs w:val="30"/>
          <w:highlight w:val="none"/>
        </w:rPr>
        <w:t>人，</w:t>
      </w:r>
      <w:r>
        <w:rPr>
          <w:rFonts w:hint="default" w:ascii="Times New Roman" w:hAnsi="Times New Roman" w:eastAsia="方正仿宋_GBK" w:cs="Times New Roman"/>
          <w:i w:val="0"/>
          <w:iCs w:val="0"/>
          <w:kern w:val="0"/>
          <w:sz w:val="30"/>
          <w:szCs w:val="30"/>
          <w:highlight w:val="none"/>
        </w:rPr>
        <w:t>退休</w:t>
      </w:r>
      <w:r>
        <w:rPr>
          <w:rFonts w:hint="default" w:ascii="Times New Roman" w:hAnsi="Times New Roman" w:eastAsia="方正仿宋_GBK" w:cs="Times New Roman"/>
          <w:i w:val="0"/>
          <w:iCs w:val="0"/>
          <w:sz w:val="30"/>
          <w:szCs w:val="30"/>
          <w:highlight w:val="none"/>
          <w:lang w:val="en-US" w:eastAsia="zh-CN"/>
        </w:rPr>
        <w:t>15</w:t>
      </w:r>
      <w:r>
        <w:rPr>
          <w:rFonts w:hint="default" w:ascii="Times New Roman" w:hAnsi="Times New Roman" w:eastAsia="方正仿宋_GBK" w:cs="Times New Roman"/>
          <w:i w:val="0"/>
          <w:iCs w:val="0"/>
          <w:kern w:val="0"/>
          <w:sz w:val="30"/>
          <w:szCs w:val="30"/>
          <w:highlight w:val="none"/>
        </w:rPr>
        <w:t>人</w:t>
      </w:r>
      <w:r>
        <w:rPr>
          <w:rFonts w:hint="default" w:ascii="Times New Roman" w:hAnsi="Times New Roman" w:eastAsia="方正仿宋_GBK" w:cs="Times New Roman"/>
          <w:i w:val="0"/>
          <w:iCs w:val="0"/>
          <w:kern w:val="0"/>
          <w:sz w:val="30"/>
          <w:szCs w:val="30"/>
          <w:highlight w:val="none"/>
          <w:lang w:eastAsia="zh-CN"/>
        </w:rPr>
        <w:t>），</w:t>
      </w:r>
      <w:r>
        <w:rPr>
          <w:rFonts w:hint="default" w:ascii="Times New Roman" w:hAnsi="Times New Roman" w:eastAsia="方正仿宋_GBK" w:cs="Times New Roman"/>
          <w:i w:val="0"/>
          <w:iCs w:val="0"/>
          <w:kern w:val="0"/>
          <w:sz w:val="30"/>
          <w:szCs w:val="30"/>
          <w:highlight w:val="none"/>
          <w:lang w:val="en-US" w:eastAsia="zh-CN"/>
        </w:rPr>
        <w:t>年末学生0人，年末遗属0人。</w:t>
      </w:r>
    </w:p>
    <w:p w14:paraId="7BE534E5">
      <w:pPr>
        <w:keepNext w:val="0"/>
        <w:keepLines w:val="0"/>
        <w:pageBreakBefore w:val="0"/>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color w:val="FF0000"/>
          <w:kern w:val="0"/>
          <w:sz w:val="30"/>
          <w:szCs w:val="30"/>
          <w:highlight w:val="none"/>
        </w:rPr>
      </w:pPr>
      <w:r>
        <w:rPr>
          <w:rFonts w:hint="default" w:ascii="Times New Roman" w:hAnsi="Times New Roman" w:eastAsia="方正仿宋_GBK" w:cs="Times New Roman"/>
          <w:b w:val="0"/>
          <w:bCs w:val="0"/>
          <w:sz w:val="30"/>
          <w:szCs w:val="30"/>
          <w:highlight w:val="none"/>
          <w:u w:val="none"/>
          <w:lang w:val="en-US" w:eastAsia="zh-CN"/>
        </w:rPr>
        <w:t>车辆编制8辆，在编实有车辆8辆，超编0辆。</w:t>
      </w:r>
    </w:p>
    <w:p w14:paraId="214A47B4">
      <w:pPr>
        <w:keepNext w:val="0"/>
        <w:keepLines w:val="0"/>
        <w:pageBreakBefore w:val="0"/>
        <w:kinsoku/>
        <w:overflowPunct/>
        <w:topLinePunct w:val="0"/>
        <w:autoSpaceDE/>
        <w:autoSpaceDN/>
        <w:bidi w:val="0"/>
        <w:spacing w:line="600" w:lineRule="exact"/>
        <w:ind w:firstLine="600" w:firstLineChars="200"/>
        <w:textAlignment w:val="auto"/>
        <w:outlineLvl w:val="1"/>
        <w:rPr>
          <w:rFonts w:hint="default" w:ascii="Times New Roman" w:hAnsi="Times New Roman" w:eastAsia="方正黑体_GBK" w:cs="Times New Roman"/>
          <w:sz w:val="30"/>
          <w:szCs w:val="30"/>
          <w:highlight w:val="none"/>
          <w:lang w:eastAsia="zh-CN"/>
        </w:rPr>
      </w:pPr>
      <w:r>
        <w:rPr>
          <w:rFonts w:hint="default" w:ascii="Times New Roman" w:hAnsi="Times New Roman" w:eastAsia="方正黑体_GBK" w:cs="Times New Roman"/>
          <w:sz w:val="30"/>
          <w:szCs w:val="30"/>
          <w:highlight w:val="none"/>
          <w:lang w:eastAsia="zh-CN"/>
        </w:rPr>
        <w:t>三、重点工作概述</w:t>
      </w:r>
    </w:p>
    <w:p w14:paraId="54083A04">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rPr>
        <w:t>1.强化宣传招募，激发献血宣传活力。充分融合传统媒体与新媒体优势，多维度、广覆盖开展无偿献血宣传，不断扩大公益影响力。一是建好用好新媒体平台。微信公众平台全年发布献血相关简讯40篇，拍摄16条短视频通过抖音、微信朋友圈等渠道开展宣传，实现宣传目标人群精准投放；在红塔区市政中心5个公交车站点（10块宣传栏）长期投放广告，黄金商圈LED大屏在世界献血者日等重要节点全天循环播放公益广告。二是优化传统宣传方式。更新采血现场宣传展板，以矿泉水、手提袋为载体植入公益信息，确保无偿献血宣传内容“润物细无声”的进入群众心中；工作人员严格执行“三友三动”服务标准，发放《无偿献血，让爱成长》宣传册并讲解知识，精准延伸服务触角，通过血液信息管理短信平台发送献血提醒、采血通知及节日祝福等信息，同步开展电话精准招募；举办机采血小板及稀有血型联谊会，激发献血者荣誉感。</w:t>
      </w:r>
    </w:p>
    <w:p w14:paraId="0A9BA8F2">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rPr>
        <w:t>2.强化统筹联动，保障临床用血需求。一是全面提升采供血能力。面对目前采血工作开展难的现状，市中心血站在市卫健委带领下，联动各县（市、区）统筹调度献血资源，聚焦千人口献血率11.2‰核心目标，优化采血流程、强化服务保障，进一步保障年度采供血工作目标按时完成。二是加强采供血队伍建设。组织新员工入职培训考核7人次、转岗考核5人次，开展全员培训20次，组织外派人员参加省内外业务、技术培训、进修26人次。成功举办市级继教项目《智慧血站建设与临床输血技术培训班》，邀请省内外知名专家授课，吸引全省各级医疗机构和血站的100余名相关专业技术人员参加培训，培训紧扣学术前沿动态，符合学科发展趋势，内容充实，案例生动，具有极高的学习价值和实践指导意义，全面提升采供血专业人才队伍能力水平。三是多措并举开展采供血工作。组织团体献血活动，依托“卫生健康系统献血月”“6·14世界献血者日”“公职人员献血月”等特殊时间载体，动员全市各级政府部门、医院、公卫单位、学院等团体组织干部职工积极参与无偿献血活动。2025年共采集25539人，血量8615750ml，千人口献血率为11.27‰。其中全血采集24256人，血量8181150ml，机采血小板采集1283人，2173治疗量，年内未出现血液紧张的局面，切实保障了玉溪市临床用血需求。</w:t>
      </w:r>
    </w:p>
    <w:p w14:paraId="24CF729C">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rPr>
        <w:t>3.严守质量底线，筑牢血液安全屏障。一是血液检测全覆盖。2025年全年完成血液检测25628人份，不合格率1.12%，实现血液检测率100%、标本漏检率0、检测报告发放准确率100%，未发生输血相关传染性疾病传播事故及其他重大差错。全面开展特殊血液样本检测服务工作，聚焦临床输血难题，持续为全市医疗机构提供免费的血型免疫相关特殊血液样本检测服务，有效缓解了医疗机构特殊输血诊疗需求痛点。2025年累计向各级医疗机构提供免费疑难血型鉴定、输血疑难配型服务61次，切实为临床患者生命健康保驾护航。二是构建全链条质量监控网。完善质量体系建设，严格执行质量体系文件，坚持常态化过程监控，建立月、季、年度质量通报及考核机制，全年对各科室开展过程监控59次，有效提升了血液质量管控及业务工作检查的实效性。通过对原辅材料准入、工艺卫生管控、仪器设备运维、血液终产品检测等关键环节实施实时动态监控，进一步保障临床输血安全。三是强化实验室能力建设。玉溪市中心血站实验室于2025年12月6日至7日通过中国合格评定国家认可委员会（CNAS）专项评审，血站严格对标ISO 15189标准优化流程，从检测流程优化、技术规范细化、人员能力提升等多维度发力，进一步明确实验室管理要求、规范操作流程，有效保障了血液检测结果的准确性与可靠性。积极参加国家级、省级各类室间质评活动，9项参评项目均获100%合格，彰显稳定可靠的检测水平。四是直击临床精准配血痛点，开展Rh分型检测。购置全自动血型分析仪于2025年12月开始Rh分型检测，截至目前完成3763人次检测，大幅缩短检测周期，实现样本快速转运、风险降低、人力优化及过程可追溯，显著提升了检测效率与结果精准度，为快速响应临床用血需求、保障血液供应时效提供了有力技术支撑。12月19日市医院某患者因呕血3000余毫升紧急入院，急需输血，在交叉配血过程中检测出抗E抗体，急需Rh分型为Ccee的适配血液。全自动血型分析仪仅耗时5分钟便完成了相关血液的Rh分型的查找工作，成功匹配到适配血液，为患者及时救治赢得了宝贵时间。</w:t>
      </w:r>
    </w:p>
    <w:p w14:paraId="56C00E0D">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rPr>
        <w:t>4.规范成分制备，提升供血服务效能。一是按质按量完成成分制备。血站全年完成成分分离血量40731.5单位，全血领用量40735单位，血液成分分离率99.99%。积极完成特殊血液制备，制备洗涤红细胞822单位，冰冻红细胞162单位，冰冻解冻去甘油红细胞115.25单位，冷沉淀凝血因子6559.5单位。所制备血液均符合国家全血和成分血质量标准。二是全面保障临床用血需求。年内供血总量达83575.25单位，其中红细胞40216.75单位，血小板2175单位，血浆33559.5单位，冷沉淀7624单位。按计划为市级医院、基层储血库定期送血，高效响应急救用血需求。全年完成计划送血493次、急救送血5次。三是精进制备管理。全面实现二次浆制备数据全流程可追溯，全程记录关键参数、经手人员等信息，解决传统手工记录模式下易出现的数据丢失、填写不规范、信息核对滞后等痛点问题，为质量溯源提供支撑。四是投入补齐新设备助力业务完善。新增血液运输箱及血小板保存箱，补齐了血液储运、特殊成分血保存的硬件短板，进一步提升了特殊血液成分的质量保障能力，为急救送血、计划送血及血液长效储存提供了坚实的硬件支撑。</w:t>
      </w:r>
    </w:p>
    <w:p w14:paraId="3BA26451">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rPr>
        <w:t>5.筑牢全域防线，保障业务平稳安全。一是筑牢安全生产防线。建立特种设备日管控、周排查、月调度制度，委托专业机构开展电梯维保，作业人员持证上岗；全年开展7次全站性安全隐患排查，问题立行立改、隐患清零，年内未发生安全问题。二是筑牢基层用血安全防线。加强对基层用血机构的指导，组织进行血液安全督导检查，重点围绕《医疗机构临床用血管理办法》《临床输血技术规范》《医疗机构临床实验室管理办法》等，采取查阅文件、现场查看、访谈等方式，共检查14家医院，对临床用血的安全重点环节重点督查，做到及时发现、提出整改意见、消除安全隐患。针对未开展输血工作的医院进行访谈，提出下一步开展临床输血工作的建议。三是筑牢环境保护防线。严格落实医疗废物管理规定，根据《医疗废物管理条例》相关规定，每月填报医疗机构废弃物自查数据及医疗污水自查数据。2025年共上报医废12466.7kg，其中感染性废物12112.79kg，损伤性废物353.91kg。污水取样外送到玉溪市中医医院进行检测12次均合格。接受上级部门的不定期抽查均合格。四是筑牢设施耗材管控防线。按要求做好供方资质管理工作，根据《血站质量规范》《血站实验室质量管理规范》《血站技术操作规程》和《CNAS-CL02医学实验室质量和能力认可准则》的相关要求索取供应商加盖供货单位印章的资料并存档，2025年12月份组织使用科室、质管科和业务科对我站29家供方进行评审，从合格供应商中选择供方，确定了本年度的合格供方29家。持续做好设备管理工作，2025年度及时有效联系、送检设备校验252台，联系维修设备20台。做好设备报修、维修、保养后的记录。协助科室完善、健全设备档案。五是筑牢信访舆情安全防线。持续做好献血后续服务工作，2025年度无偿献血咨询193人次，献血者的血液检测阳性回告107人次，现场审核无偿献血减免1次，减免金额1010.00元，微信端审核53人次，减免金额54007.00元，医院端审核406人次，减免金额263086.5元，做好献血征询表的核查、归档工作，走好服务群众的最后一里路。</w:t>
      </w:r>
    </w:p>
    <w:p w14:paraId="48C57C46">
      <w:pPr>
        <w:keepNext w:val="0"/>
        <w:keepLines w:val="0"/>
        <w:pageBreakBefore w:val="0"/>
        <w:kinsoku/>
        <w:overflowPunct/>
        <w:topLinePunct w:val="0"/>
        <w:autoSpaceDE/>
        <w:autoSpaceDN/>
        <w:bidi w:val="0"/>
        <w:spacing w:line="600" w:lineRule="exact"/>
        <w:jc w:val="center"/>
        <w:textAlignment w:val="auto"/>
        <w:outlineLvl w:val="0"/>
        <w:rPr>
          <w:rFonts w:hint="default" w:ascii="Times New Roman" w:hAnsi="Times New Roman" w:eastAsia="方正黑体_GBK" w:cs="Times New Roman"/>
          <w:sz w:val="32"/>
          <w:szCs w:val="32"/>
          <w:highlight w:val="none"/>
        </w:rPr>
      </w:pPr>
    </w:p>
    <w:p w14:paraId="54FF6F43">
      <w:pPr>
        <w:keepNext w:val="0"/>
        <w:keepLines w:val="0"/>
        <w:pageBreakBefore w:val="0"/>
        <w:kinsoku/>
        <w:overflowPunct/>
        <w:topLinePunct w:val="0"/>
        <w:autoSpaceDE/>
        <w:autoSpaceDN/>
        <w:bidi w:val="0"/>
        <w:spacing w:line="600" w:lineRule="exact"/>
        <w:jc w:val="center"/>
        <w:textAlignment w:val="auto"/>
        <w:outlineLvl w:val="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 xml:space="preserve">第二部分  </w:t>
      </w:r>
      <w:r>
        <w:rPr>
          <w:rFonts w:hint="default" w:ascii="Times New Roman" w:hAnsi="Times New Roman" w:eastAsia="方正黑体_GBK" w:cs="Times New Roman"/>
          <w:sz w:val="32"/>
          <w:szCs w:val="32"/>
          <w:highlight w:val="none"/>
          <w:lang w:val="en-US" w:eastAsia="zh-CN"/>
        </w:rPr>
        <w:t>2025</w:t>
      </w:r>
      <w:r>
        <w:rPr>
          <w:rFonts w:hint="default" w:ascii="Times New Roman" w:hAnsi="Times New Roman" w:eastAsia="方正黑体_GBK" w:cs="Times New Roman"/>
          <w:sz w:val="32"/>
          <w:szCs w:val="32"/>
          <w:highlight w:val="none"/>
        </w:rPr>
        <w:t>年度部门决算表</w:t>
      </w:r>
    </w:p>
    <w:p w14:paraId="0116A242">
      <w:pPr>
        <w:keepNext w:val="0"/>
        <w:keepLines w:val="0"/>
        <w:pageBreakBefore w:val="0"/>
        <w:kinsoku/>
        <w:overflowPunct/>
        <w:topLinePunct w:val="0"/>
        <w:autoSpaceDE/>
        <w:autoSpaceDN/>
        <w:bidi w:val="0"/>
        <w:spacing w:line="600" w:lineRule="exact"/>
        <w:ind w:firstLine="600" w:firstLineChars="200"/>
        <w:jc w:val="center"/>
        <w:textAlignment w:val="auto"/>
        <w:outlineLvl w:val="1"/>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（详见附件）</w:t>
      </w:r>
    </w:p>
    <w:p w14:paraId="0F319C54">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本单位</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lang w:eastAsia="zh-CN"/>
        </w:rPr>
        <w:t>年度无政府性基金预算财政拨款收入，《政府性基金预算财政拨款收入支出决算表》为空表。</w:t>
      </w:r>
    </w:p>
    <w:p w14:paraId="4A9B3EA4">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本单位</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lang w:eastAsia="zh-CN"/>
        </w:rPr>
        <w:t>年度无国有资本经营预算财政拨款收入，《国有资本经营预算财政拨款收入支出决算表》为空表。</w:t>
      </w:r>
    </w:p>
    <w:p w14:paraId="15376254">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p>
    <w:p w14:paraId="679245F1">
      <w:pPr>
        <w:keepNext w:val="0"/>
        <w:keepLines w:val="0"/>
        <w:pageBreakBefore w:val="0"/>
        <w:kinsoku/>
        <w:overflowPunct/>
        <w:topLinePunct w:val="0"/>
        <w:autoSpaceDE/>
        <w:autoSpaceDN/>
        <w:bidi w:val="0"/>
        <w:spacing w:line="600" w:lineRule="exact"/>
        <w:jc w:val="center"/>
        <w:textAlignment w:val="auto"/>
        <w:outlineLvl w:val="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第三部</w:t>
      </w:r>
      <w:r>
        <w:rPr>
          <w:rFonts w:hint="default" w:ascii="Times New Roman" w:hAnsi="Times New Roman" w:eastAsia="方正黑体_GBK" w:cs="Times New Roman"/>
          <w:sz w:val="32"/>
          <w:szCs w:val="32"/>
          <w:highlight w:val="none"/>
          <w:lang w:eastAsia="zh-CN"/>
        </w:rPr>
        <w:t>分</w:t>
      </w:r>
      <w:r>
        <w:rPr>
          <w:rFonts w:hint="default" w:ascii="Times New Roman" w:hAnsi="Times New Roman" w:eastAsia="方正黑体_GBK" w:cs="Times New Roman"/>
          <w:sz w:val="32"/>
          <w:szCs w:val="32"/>
          <w:highlight w:val="none"/>
        </w:rPr>
        <w:t xml:space="preserve">  </w:t>
      </w:r>
      <w:r>
        <w:rPr>
          <w:rFonts w:hint="default" w:ascii="Times New Roman" w:hAnsi="Times New Roman" w:eastAsia="方正黑体_GBK" w:cs="Times New Roman"/>
          <w:sz w:val="32"/>
          <w:szCs w:val="32"/>
          <w:highlight w:val="none"/>
          <w:lang w:val="en-US" w:eastAsia="zh-CN"/>
        </w:rPr>
        <w:t>2025</w:t>
      </w:r>
      <w:r>
        <w:rPr>
          <w:rFonts w:hint="default" w:ascii="Times New Roman" w:hAnsi="Times New Roman" w:eastAsia="方正黑体_GBK" w:cs="Times New Roman"/>
          <w:sz w:val="32"/>
          <w:szCs w:val="32"/>
          <w:highlight w:val="none"/>
        </w:rPr>
        <w:t>年度部门决算情况说明</w:t>
      </w:r>
    </w:p>
    <w:p w14:paraId="697AFE44">
      <w:pPr>
        <w:keepNext w:val="0"/>
        <w:keepLines w:val="0"/>
        <w:pageBreakBefore w:val="0"/>
        <w:kinsoku/>
        <w:overflowPunct/>
        <w:topLinePunct w:val="0"/>
        <w:autoSpaceDE/>
        <w:autoSpaceDN/>
        <w:bidi w:val="0"/>
        <w:spacing w:line="600" w:lineRule="exact"/>
        <w:ind w:firstLine="600" w:firstLineChars="200"/>
        <w:jc w:val="left"/>
        <w:textAlignment w:val="auto"/>
        <w:outlineLvl w:val="1"/>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rPr>
        <w:t>一、收入决算情况说明</w:t>
      </w:r>
    </w:p>
    <w:p w14:paraId="3DB6A813">
      <w:pPr>
        <w:keepNext w:val="0"/>
        <w:keepLines w:val="0"/>
        <w:pageBreakBefore w:val="0"/>
        <w:widowControl/>
        <w:kinsoku/>
        <w:overflowPunct/>
        <w:topLinePunct w:val="0"/>
        <w:autoSpaceDE/>
        <w:autoSpaceDN/>
        <w:bidi w:val="0"/>
        <w:snapToGrid w:val="0"/>
        <w:spacing w:before="100" w:after="100" w:line="600" w:lineRule="exact"/>
        <w:ind w:firstLine="538"/>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2"/>
          <w:szCs w:val="32"/>
          <w:lang w:val="zh-CN"/>
        </w:rPr>
        <w:t>玉溪市中心血站</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 xml:space="preserve">年度收入合计34,393,290.05 </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 xml:space="preserve">。其中：财政拨款收入16,485,658.47 </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color w:val="auto"/>
          <w:sz w:val="30"/>
          <w:highlight w:val="none"/>
          <w:lang w:val="en-US" w:eastAsia="zh-CN"/>
        </w:rPr>
        <w:t>47.93</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无</w:t>
      </w:r>
      <w:r>
        <w:rPr>
          <w:rFonts w:hint="default" w:ascii="Times New Roman" w:hAnsi="Times New Roman" w:eastAsia="方正仿宋_GBK" w:cs="Times New Roman"/>
          <w:sz w:val="30"/>
          <w:szCs w:val="30"/>
          <w:highlight w:val="none"/>
        </w:rPr>
        <w:t xml:space="preserve">上级补助收入；事业收入17,907,631.58 </w:t>
      </w:r>
      <w:r>
        <w:rPr>
          <w:rFonts w:hint="default" w:ascii="Times New Roman" w:hAnsi="Times New Roman" w:eastAsia="方正仿宋_GBK" w:cs="Times New Roman"/>
          <w:sz w:val="30"/>
          <w:szCs w:val="30"/>
          <w:highlight w:val="none"/>
          <w:lang w:eastAsia="zh-CN"/>
        </w:rPr>
        <w:t>元（含教育收费</w:t>
      </w:r>
      <w:r>
        <w:rPr>
          <w:rFonts w:hint="default"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，占总收入的</w:t>
      </w:r>
      <w:r>
        <w:rPr>
          <w:rFonts w:hint="default" w:ascii="Times New Roman" w:hAnsi="Times New Roman" w:eastAsia="方正仿宋_GBK" w:cs="Times New Roman"/>
          <w:sz w:val="30"/>
          <w:szCs w:val="30"/>
          <w:highlight w:val="none"/>
          <w:lang w:val="en-US" w:eastAsia="zh-CN"/>
        </w:rPr>
        <w:t>52.07</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无</w:t>
      </w:r>
      <w:r>
        <w:rPr>
          <w:rFonts w:hint="default" w:ascii="Times New Roman" w:hAnsi="Times New Roman" w:eastAsia="方正仿宋_GBK" w:cs="Times New Roman"/>
          <w:sz w:val="30"/>
          <w:szCs w:val="30"/>
          <w:highlight w:val="none"/>
        </w:rPr>
        <w:t>经营收入；</w:t>
      </w:r>
      <w:r>
        <w:rPr>
          <w:rFonts w:hint="default" w:ascii="Times New Roman" w:hAnsi="Times New Roman" w:eastAsia="方正仿宋_GBK" w:cs="Times New Roman"/>
          <w:sz w:val="30"/>
          <w:szCs w:val="30"/>
          <w:highlight w:val="none"/>
          <w:lang w:eastAsia="zh-CN"/>
        </w:rPr>
        <w:t>无</w:t>
      </w:r>
      <w:r>
        <w:rPr>
          <w:rFonts w:hint="default" w:ascii="Times New Roman" w:hAnsi="Times New Roman" w:eastAsia="方正仿宋_GBK" w:cs="Times New Roman"/>
          <w:sz w:val="30"/>
          <w:szCs w:val="30"/>
          <w:highlight w:val="none"/>
        </w:rPr>
        <w:t>附属单位</w:t>
      </w:r>
      <w:r>
        <w:rPr>
          <w:rFonts w:hint="default" w:ascii="Times New Roman" w:hAnsi="Times New Roman" w:eastAsia="方正仿宋_GBK" w:cs="Times New Roman"/>
          <w:sz w:val="30"/>
          <w:szCs w:val="30"/>
          <w:highlight w:val="none"/>
          <w:lang w:eastAsia="zh-CN"/>
        </w:rPr>
        <w:t>上缴</w:t>
      </w:r>
      <w:r>
        <w:rPr>
          <w:rFonts w:hint="default" w:ascii="Times New Roman" w:hAnsi="Times New Roman" w:eastAsia="方正仿宋_GBK" w:cs="Times New Roman"/>
          <w:sz w:val="30"/>
          <w:szCs w:val="30"/>
          <w:highlight w:val="none"/>
        </w:rPr>
        <w:t>收入；</w:t>
      </w:r>
      <w:r>
        <w:rPr>
          <w:rFonts w:hint="default" w:ascii="Times New Roman" w:hAnsi="Times New Roman" w:eastAsia="方正仿宋_GBK" w:cs="Times New Roman"/>
          <w:sz w:val="30"/>
          <w:szCs w:val="30"/>
          <w:highlight w:val="none"/>
          <w:lang w:eastAsia="zh-CN"/>
        </w:rPr>
        <w:t>无</w:t>
      </w:r>
      <w:r>
        <w:rPr>
          <w:rFonts w:hint="default" w:ascii="Times New Roman" w:hAnsi="Times New Roman" w:eastAsia="方正仿宋_GBK" w:cs="Times New Roman"/>
          <w:sz w:val="30"/>
          <w:szCs w:val="30"/>
          <w:highlight w:val="none"/>
        </w:rPr>
        <w:t>其他收入。</w:t>
      </w:r>
    </w:p>
    <w:p w14:paraId="6ED579F4">
      <w:pPr>
        <w:keepNext w:val="0"/>
        <w:keepLines w:val="0"/>
        <w:pageBreakBefore w:val="0"/>
        <w:widowControl/>
        <w:kinsoku/>
        <w:overflowPunct/>
        <w:topLinePunct w:val="0"/>
        <w:autoSpaceDE/>
        <w:autoSpaceDN/>
        <w:bidi w:val="0"/>
        <w:snapToGrid w:val="0"/>
        <w:spacing w:before="100" w:after="100" w:line="600" w:lineRule="exact"/>
        <w:ind w:firstLine="538"/>
        <w:jc w:val="left"/>
        <w:textAlignment w:val="auto"/>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sz w:val="30"/>
          <w:szCs w:val="30"/>
          <w:highlight w:val="none"/>
        </w:rPr>
        <w:t>与上年</w:t>
      </w:r>
      <w:r>
        <w:rPr>
          <w:rFonts w:hint="default" w:ascii="Times New Roman" w:hAnsi="Times New Roman" w:eastAsia="方正仿宋_GBK" w:cs="Times New Roman"/>
          <w:sz w:val="30"/>
          <w:szCs w:val="30"/>
          <w:highlight w:val="none"/>
          <w:lang w:eastAsia="zh-CN"/>
        </w:rPr>
        <w:t>相比，</w:t>
      </w:r>
      <w:r>
        <w:rPr>
          <w:rFonts w:hint="default" w:ascii="Times New Roman" w:hAnsi="Times New Roman" w:eastAsia="方正仿宋_GBK" w:cs="Times New Roman"/>
          <w:sz w:val="30"/>
          <w:szCs w:val="30"/>
          <w:highlight w:val="none"/>
        </w:rPr>
        <w:t>收入合计</w:t>
      </w:r>
      <w:r>
        <w:rPr>
          <w:rFonts w:hint="default" w:ascii="Times New Roman" w:hAnsi="Times New Roman" w:eastAsia="方正仿宋_GBK" w:cs="Times New Roman"/>
          <w:sz w:val="30"/>
          <w:szCs w:val="30"/>
          <w:highlight w:val="none"/>
          <w:lang w:eastAsia="zh-CN"/>
        </w:rPr>
        <w:t>增加 3,006,268.86 元，增长</w:t>
      </w:r>
      <w:r>
        <w:rPr>
          <w:rFonts w:hint="default" w:ascii="Times New Roman" w:hAnsi="Times New Roman" w:eastAsia="方正仿宋_GBK" w:cs="Times New Roman"/>
          <w:sz w:val="30"/>
          <w:szCs w:val="30"/>
          <w:highlight w:val="none"/>
          <w:lang w:val="en-US" w:eastAsia="zh-CN"/>
        </w:rPr>
        <w:t>9.58</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w:t>
      </w:r>
      <w:r>
        <w:rPr>
          <w:rFonts w:hint="default" w:ascii="Times New Roman" w:hAnsi="Times New Roman" w:eastAsia="方正仿宋_GBK" w:cs="Times New Roman"/>
          <w:sz w:val="30"/>
          <w:szCs w:val="30"/>
          <w:highlight w:val="none"/>
        </w:rPr>
        <w:t>财政拨款收入</w:t>
      </w:r>
      <w:r>
        <w:rPr>
          <w:rFonts w:hint="default" w:ascii="Times New Roman" w:hAnsi="Times New Roman" w:eastAsia="方正仿宋_GBK" w:cs="Times New Roman"/>
          <w:sz w:val="30"/>
          <w:szCs w:val="30"/>
          <w:highlight w:val="none"/>
          <w:lang w:eastAsia="zh-CN"/>
        </w:rPr>
        <w:t>增加 3,347,462.28 元，增长</w:t>
      </w:r>
      <w:r>
        <w:rPr>
          <w:rFonts w:hint="default" w:ascii="Times New Roman" w:hAnsi="Times New Roman" w:eastAsia="方正仿宋_GBK" w:cs="Times New Roman"/>
          <w:sz w:val="30"/>
          <w:szCs w:val="30"/>
          <w:highlight w:val="none"/>
          <w:lang w:val="en-US" w:eastAsia="zh-CN"/>
        </w:rPr>
        <w:t>25.48</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；无</w:t>
      </w:r>
      <w:r>
        <w:rPr>
          <w:rFonts w:hint="default" w:ascii="Times New Roman" w:hAnsi="Times New Roman" w:eastAsia="方正仿宋_GBK" w:cs="Times New Roman"/>
          <w:sz w:val="30"/>
          <w:szCs w:val="30"/>
          <w:highlight w:val="none"/>
        </w:rPr>
        <w:t>上级补助收入</w:t>
      </w:r>
      <w:r>
        <w:rPr>
          <w:rFonts w:hint="default" w:ascii="Times New Roman" w:hAnsi="Times New Roman" w:eastAsia="方正仿宋_GBK" w:cs="Times New Roman"/>
          <w:sz w:val="30"/>
          <w:szCs w:val="30"/>
          <w:highlight w:val="none"/>
          <w:lang w:eastAsia="zh-CN"/>
        </w:rPr>
        <w:t>；事业收入</w:t>
      </w:r>
      <w:r>
        <w:rPr>
          <w:rFonts w:hint="default" w:ascii="Times New Roman" w:hAnsi="Times New Roman" w:eastAsia="方正仿宋_GBK" w:cs="Times New Roman"/>
          <w:sz w:val="30"/>
          <w:szCs w:val="30"/>
          <w:highlight w:val="none"/>
          <w:lang w:val="en-US" w:eastAsia="zh-CN"/>
        </w:rPr>
        <w:t xml:space="preserve">减少 341,193.42 </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lang w:val="en-US" w:eastAsia="zh-CN"/>
        </w:rPr>
        <w:t>下降</w:t>
      </w:r>
      <w:r>
        <w:rPr>
          <w:rFonts w:hint="default" w:ascii="Times New Roman" w:hAnsi="Times New Roman" w:eastAsia="方正仿宋_GBK" w:cs="Times New Roman"/>
          <w:color w:val="auto"/>
          <w:sz w:val="30"/>
          <w:highlight w:val="none"/>
          <w:lang w:val="en-US" w:eastAsia="zh-CN"/>
        </w:rPr>
        <w:t>1.87</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；无经营收入；无附属单位上缴收入；无其他收入。</w:t>
      </w:r>
      <w:r>
        <w:rPr>
          <w:rFonts w:hint="default" w:ascii="Times New Roman" w:hAnsi="Times New Roman" w:eastAsia="方正仿宋_GBK" w:cs="Times New Roman"/>
          <w:sz w:val="30"/>
          <w:szCs w:val="30"/>
          <w:highlight w:val="none"/>
        </w:rPr>
        <w:t>主要原因</w:t>
      </w:r>
      <w:r>
        <w:rPr>
          <w:rFonts w:hint="default" w:ascii="Times New Roman" w:hAnsi="Times New Roman" w:eastAsia="方正仿宋_GBK" w:cs="Times New Roman"/>
          <w:sz w:val="30"/>
          <w:szCs w:val="30"/>
          <w:highlight w:val="none"/>
          <w:lang w:eastAsia="zh-CN"/>
        </w:rPr>
        <w:t>是2025年新进人员较多导致人员经费增加，2025年采血量下降导致事业收入减少</w:t>
      </w:r>
      <w:r>
        <w:rPr>
          <w:rFonts w:hint="default" w:ascii="Times New Roman" w:hAnsi="Times New Roman" w:eastAsia="方正仿宋_GBK" w:cs="Times New Roman"/>
          <w:color w:val="auto"/>
          <w:sz w:val="30"/>
          <w:szCs w:val="30"/>
          <w:highlight w:val="none"/>
        </w:rPr>
        <w:t>。</w:t>
      </w:r>
    </w:p>
    <w:p w14:paraId="7F4D8BB1">
      <w:pPr>
        <w:keepNext w:val="0"/>
        <w:keepLines w:val="0"/>
        <w:pageBreakBefore w:val="0"/>
        <w:widowControl/>
        <w:kinsoku/>
        <w:overflowPunct/>
        <w:topLinePunct w:val="0"/>
        <w:autoSpaceDE/>
        <w:autoSpaceDN/>
        <w:bidi w:val="0"/>
        <w:snapToGrid w:val="0"/>
        <w:spacing w:before="100" w:after="100" w:line="600" w:lineRule="exact"/>
        <w:ind w:firstLine="538"/>
        <w:jc w:val="left"/>
        <w:textAlignment w:val="auto"/>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rPr>
        <w:drawing>
          <wp:anchor distT="0" distB="0" distL="114300" distR="114300" simplePos="0" relativeHeight="251659264" behindDoc="0" locked="0" layoutInCell="1" allowOverlap="1">
            <wp:simplePos x="0" y="0"/>
            <wp:positionH relativeFrom="column">
              <wp:posOffset>384175</wp:posOffset>
            </wp:positionH>
            <wp:positionV relativeFrom="paragraph">
              <wp:posOffset>121920</wp:posOffset>
            </wp:positionV>
            <wp:extent cx="4826000" cy="2743200"/>
            <wp:effectExtent l="4445" t="4445" r="8255" b="14605"/>
            <wp:wrapTopAndBottom/>
            <wp:docPr id="2" name="图表 1" descr="7b0a202020202263686172745265734964223a202232303437323230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default" w:ascii="Times New Roman" w:hAnsi="Times New Roman" w:eastAsia="方正黑体_GBK" w:cs="Times New Roman"/>
          <w:sz w:val="30"/>
          <w:szCs w:val="30"/>
          <w:highlight w:val="none"/>
        </w:rPr>
        <w:t>二、支出决算情况说明</w:t>
      </w:r>
    </w:p>
    <w:p w14:paraId="631633C8">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sz w:val="32"/>
          <w:szCs w:val="32"/>
          <w:lang w:val="zh-CN"/>
        </w:rPr>
        <w:t>玉溪市中心血站</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年度支出合计37,245,290.91</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。其中：</w:t>
      </w:r>
      <w:r>
        <w:rPr>
          <w:rFonts w:hint="default" w:ascii="Times New Roman" w:hAnsi="Times New Roman" w:eastAsia="方正仿宋_GBK" w:cs="Times New Roman"/>
          <w:kern w:val="0"/>
          <w:sz w:val="30"/>
          <w:szCs w:val="30"/>
          <w:highlight w:val="none"/>
        </w:rPr>
        <w:t>基本支出13,331,972.84</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highlight w:val="none"/>
          <w:lang w:val="en-US" w:eastAsia="zh-CN"/>
        </w:rPr>
        <w:t>35.80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kern w:val="0"/>
          <w:sz w:val="30"/>
          <w:szCs w:val="30"/>
          <w:highlight w:val="none"/>
        </w:rPr>
        <w:t>；项目支出 23,913,318.07</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，占总支出的</w:t>
      </w:r>
      <w:r>
        <w:rPr>
          <w:rFonts w:hint="default" w:ascii="Times New Roman" w:hAnsi="Times New Roman" w:eastAsia="方正仿宋_GBK" w:cs="Times New Roman"/>
          <w:color w:val="auto"/>
          <w:sz w:val="30"/>
          <w:highlight w:val="none"/>
          <w:lang w:val="en-US" w:eastAsia="zh-CN"/>
        </w:rPr>
        <w:t>64.20</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无</w:t>
      </w:r>
      <w:r>
        <w:rPr>
          <w:rFonts w:hint="default" w:ascii="Times New Roman" w:hAnsi="Times New Roman" w:eastAsia="方正仿宋_GBK" w:cs="Times New Roman"/>
          <w:kern w:val="0"/>
          <w:sz w:val="30"/>
          <w:szCs w:val="30"/>
          <w:highlight w:val="none"/>
        </w:rPr>
        <w:t>上缴上级支出；</w:t>
      </w:r>
      <w:r>
        <w:rPr>
          <w:rFonts w:hint="default" w:ascii="Times New Roman" w:hAnsi="Times New Roman" w:eastAsia="方正仿宋_GBK" w:cs="Times New Roman"/>
          <w:kern w:val="0"/>
          <w:sz w:val="30"/>
          <w:szCs w:val="30"/>
          <w:highlight w:val="none"/>
          <w:lang w:eastAsia="zh-CN"/>
        </w:rPr>
        <w:t>无</w:t>
      </w:r>
      <w:r>
        <w:rPr>
          <w:rFonts w:hint="default" w:ascii="Times New Roman" w:hAnsi="Times New Roman" w:eastAsia="方正仿宋_GBK" w:cs="Times New Roman"/>
          <w:kern w:val="0"/>
          <w:sz w:val="30"/>
          <w:szCs w:val="30"/>
          <w:highlight w:val="none"/>
        </w:rPr>
        <w:t>经营支出；</w:t>
      </w:r>
      <w:r>
        <w:rPr>
          <w:rFonts w:hint="default" w:ascii="Times New Roman" w:hAnsi="Times New Roman" w:eastAsia="方正仿宋_GBK" w:cs="Times New Roman"/>
          <w:kern w:val="0"/>
          <w:sz w:val="30"/>
          <w:szCs w:val="30"/>
          <w:highlight w:val="none"/>
          <w:lang w:eastAsia="zh-CN"/>
        </w:rPr>
        <w:t>无</w:t>
      </w:r>
      <w:r>
        <w:rPr>
          <w:rFonts w:hint="default" w:ascii="Times New Roman" w:hAnsi="Times New Roman" w:eastAsia="方正仿宋_GBK" w:cs="Times New Roman"/>
          <w:kern w:val="0"/>
          <w:sz w:val="30"/>
          <w:szCs w:val="30"/>
          <w:highlight w:val="none"/>
        </w:rPr>
        <w:t>对附属单位补助支出。</w:t>
      </w:r>
    </w:p>
    <w:p w14:paraId="689C95EC">
      <w:pPr>
        <w:keepNext w:val="0"/>
        <w:keepLines w:val="0"/>
        <w:pageBreakBefore w:val="0"/>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color w:val="FF0000"/>
          <w:sz w:val="30"/>
          <w:szCs w:val="30"/>
          <w:highlight w:val="none"/>
          <w:lang w:eastAsia="zh-CN"/>
        </w:rPr>
      </w:pPr>
      <w:r>
        <w:rPr>
          <w:rFonts w:hint="default" w:ascii="Times New Roman" w:hAnsi="Times New Roman" w:eastAsia="方正仿宋_GBK" w:cs="Times New Roman"/>
          <w:sz w:val="30"/>
          <w:szCs w:val="30"/>
          <w:highlight w:val="none"/>
        </w:rPr>
        <w:t>与上年</w:t>
      </w:r>
      <w:r>
        <w:rPr>
          <w:rFonts w:hint="default" w:ascii="Times New Roman" w:hAnsi="Times New Roman" w:eastAsia="方正仿宋_GBK" w:cs="Times New Roman"/>
          <w:sz w:val="30"/>
          <w:szCs w:val="30"/>
          <w:highlight w:val="none"/>
          <w:lang w:eastAsia="zh-CN"/>
        </w:rPr>
        <w:t>相比，支出</w:t>
      </w:r>
      <w:r>
        <w:rPr>
          <w:rFonts w:hint="default" w:ascii="Times New Roman" w:hAnsi="Times New Roman" w:eastAsia="方正仿宋_GBK" w:cs="Times New Roman"/>
          <w:sz w:val="30"/>
          <w:szCs w:val="30"/>
          <w:highlight w:val="none"/>
        </w:rPr>
        <w:t>合计</w:t>
      </w:r>
      <w:r>
        <w:rPr>
          <w:rFonts w:hint="default" w:ascii="Times New Roman" w:hAnsi="Times New Roman" w:eastAsia="方正仿宋_GBK" w:cs="Times New Roman"/>
          <w:sz w:val="30"/>
          <w:szCs w:val="30"/>
          <w:highlight w:val="none"/>
          <w:lang w:val="en-US" w:eastAsia="zh-CN"/>
        </w:rPr>
        <w:t>减少3,690,862.57</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lang w:val="en-US" w:eastAsia="zh-CN"/>
        </w:rPr>
        <w:t>下降9.02</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w:t>
      </w:r>
      <w:r>
        <w:rPr>
          <w:rFonts w:hint="default" w:ascii="Times New Roman" w:hAnsi="Times New Roman" w:eastAsia="方正仿宋_GBK" w:cs="Times New Roman"/>
          <w:kern w:val="0"/>
          <w:sz w:val="30"/>
          <w:szCs w:val="30"/>
          <w:highlight w:val="none"/>
        </w:rPr>
        <w:t>基本支出</w:t>
      </w:r>
      <w:r>
        <w:rPr>
          <w:rFonts w:hint="default" w:ascii="Times New Roman" w:hAnsi="Times New Roman" w:eastAsia="方正仿宋_GBK" w:cs="Times New Roman"/>
          <w:sz w:val="30"/>
          <w:szCs w:val="30"/>
          <w:highlight w:val="none"/>
          <w:lang w:eastAsia="zh-CN"/>
        </w:rPr>
        <w:t>增加1,674,069.49元，增长</w:t>
      </w:r>
      <w:r>
        <w:rPr>
          <w:rFonts w:hint="default" w:ascii="Times New Roman" w:hAnsi="Times New Roman" w:eastAsia="方正仿宋_GBK" w:cs="Times New Roman"/>
          <w:sz w:val="30"/>
          <w:szCs w:val="30"/>
          <w:highlight w:val="none"/>
          <w:lang w:val="en-US" w:eastAsia="zh-CN"/>
        </w:rPr>
        <w:t>14.36</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；项目支出</w:t>
      </w:r>
      <w:r>
        <w:rPr>
          <w:rFonts w:hint="default" w:ascii="Times New Roman" w:hAnsi="Times New Roman" w:eastAsia="方正仿宋_GBK" w:cs="Times New Roman"/>
          <w:sz w:val="30"/>
          <w:szCs w:val="30"/>
          <w:highlight w:val="none"/>
          <w:lang w:val="en-US" w:eastAsia="zh-CN"/>
        </w:rPr>
        <w:t xml:space="preserve">减少 5,364,932.06 </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lang w:val="en-US" w:eastAsia="zh-CN"/>
        </w:rPr>
        <w:t>下降18.32</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；无上缴上级支出；无经营支出；无对附属单位补助支出。</w:t>
      </w:r>
      <w:r>
        <w:rPr>
          <w:rFonts w:hint="default" w:ascii="Times New Roman" w:hAnsi="Times New Roman" w:eastAsia="方正仿宋_GBK" w:cs="Times New Roman"/>
          <w:sz w:val="30"/>
          <w:szCs w:val="30"/>
          <w:highlight w:val="none"/>
        </w:rPr>
        <w:t>主要原因</w:t>
      </w:r>
      <w:r>
        <w:rPr>
          <w:rFonts w:hint="default" w:ascii="Times New Roman" w:hAnsi="Times New Roman" w:eastAsia="方正仿宋_GBK" w:cs="Times New Roman"/>
          <w:sz w:val="30"/>
          <w:szCs w:val="30"/>
          <w:highlight w:val="none"/>
          <w:lang w:eastAsia="zh-CN"/>
        </w:rPr>
        <w:t>是2025年单位房屋面积增加导致基本支出物业管理费增加，</w:t>
      </w:r>
      <w:r>
        <w:rPr>
          <w:rFonts w:hint="default" w:ascii="Times New Roman" w:hAnsi="Times New Roman" w:eastAsia="方正仿宋_GBK" w:cs="Times New Roman"/>
          <w:sz w:val="30"/>
          <w:szCs w:val="30"/>
          <w:highlight w:val="none"/>
          <w:lang w:val="en-US" w:eastAsia="zh-CN"/>
        </w:rPr>
        <w:t>2025年无</w:t>
      </w:r>
      <w:r>
        <w:rPr>
          <w:rFonts w:hint="default" w:ascii="Times New Roman" w:hAnsi="Times New Roman" w:eastAsia="方正仿宋_GBK" w:cs="Times New Roman"/>
          <w:sz w:val="30"/>
          <w:szCs w:val="30"/>
          <w:highlight w:val="none"/>
          <w:lang w:eastAsia="zh-CN"/>
        </w:rPr>
        <w:t>2024年支出的玉溪市中心血站实验楼建设项目开工建设支付工程款</w:t>
      </w:r>
      <w:r>
        <w:rPr>
          <w:rFonts w:hint="default" w:ascii="Times New Roman" w:hAnsi="Times New Roman" w:eastAsia="方正仿宋_GBK" w:cs="Times New Roman"/>
          <w:sz w:val="30"/>
          <w:szCs w:val="30"/>
          <w:highlight w:val="none"/>
        </w:rPr>
        <w:t>。</w:t>
      </w:r>
    </w:p>
    <w:tbl>
      <w:tblPr>
        <w:tblStyle w:val="6"/>
        <w:tblW w:w="7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9"/>
        <w:gridCol w:w="2619"/>
        <w:gridCol w:w="2622"/>
      </w:tblGrid>
      <w:tr w14:paraId="39D6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860" w:type="dxa"/>
            <w:gridSpan w:val="3"/>
            <w:tcBorders>
              <w:top w:val="nil"/>
              <w:left w:val="nil"/>
              <w:bottom w:val="single" w:color="auto" w:sz="4" w:space="0"/>
              <w:right w:val="nil"/>
            </w:tcBorders>
          </w:tcPr>
          <w:p w14:paraId="67B09806">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sz w:val="30"/>
                <w:szCs w:val="30"/>
                <w:highlight w:val="none"/>
                <w:vertAlign w:val="baseline"/>
                <w:lang w:val="en-US" w:eastAsia="zh-CN"/>
              </w:rPr>
            </w:pPr>
            <w:r>
              <w:rPr>
                <w:rFonts w:hint="default" w:ascii="Times New Roman" w:hAnsi="Times New Roman" w:eastAsia="方正仿宋_GBK" w:cs="Times New Roman"/>
                <w:color w:val="auto"/>
                <w:sz w:val="30"/>
                <w:szCs w:val="30"/>
                <w:highlight w:val="none"/>
                <w:vertAlign w:val="baseline"/>
                <w:lang w:val="en-US" w:eastAsia="zh-CN"/>
              </w:rPr>
              <w:t>2025年各项支出占总支出的分布情况表</w:t>
            </w:r>
          </w:p>
        </w:tc>
      </w:tr>
      <w:tr w14:paraId="1177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2619" w:type="dxa"/>
            <w:tcBorders>
              <w:top w:val="single" w:color="auto" w:sz="4" w:space="0"/>
            </w:tcBorders>
          </w:tcPr>
          <w:p w14:paraId="7375D2D9">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sz w:val="30"/>
                <w:szCs w:val="30"/>
                <w:highlight w:val="none"/>
                <w:vertAlign w:val="baseline"/>
                <w:lang w:eastAsia="zh-CN"/>
              </w:rPr>
            </w:pPr>
          </w:p>
        </w:tc>
        <w:tc>
          <w:tcPr>
            <w:tcW w:w="2619" w:type="dxa"/>
            <w:tcBorders>
              <w:top w:val="single" w:color="auto" w:sz="4" w:space="0"/>
            </w:tcBorders>
            <w:shd w:val="clear" w:color="auto" w:fill="auto"/>
            <w:vAlign w:val="top"/>
          </w:tcPr>
          <w:p w14:paraId="79035D34">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kern w:val="2"/>
                <w:sz w:val="30"/>
                <w:szCs w:val="30"/>
                <w:highlight w:val="none"/>
                <w:vertAlign w:val="baseline"/>
                <w:lang w:val="en-US" w:eastAsia="zh-CN" w:bidi="ar-SA"/>
              </w:rPr>
            </w:pPr>
            <w:r>
              <w:rPr>
                <w:rFonts w:hint="default" w:ascii="Times New Roman" w:hAnsi="Times New Roman" w:eastAsia="方正仿宋_GBK" w:cs="Times New Roman"/>
                <w:color w:val="auto"/>
                <w:sz w:val="30"/>
                <w:szCs w:val="30"/>
                <w:highlight w:val="none"/>
                <w:vertAlign w:val="baseline"/>
                <w:lang w:eastAsia="zh-CN"/>
              </w:rPr>
              <w:t>金额（单位：元）</w:t>
            </w:r>
          </w:p>
        </w:tc>
        <w:tc>
          <w:tcPr>
            <w:tcW w:w="2622" w:type="dxa"/>
            <w:tcBorders>
              <w:top w:val="single" w:color="auto" w:sz="4" w:space="0"/>
            </w:tcBorders>
            <w:shd w:val="clear" w:color="auto" w:fill="auto"/>
            <w:vAlign w:val="top"/>
          </w:tcPr>
          <w:p w14:paraId="299C84F5">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kern w:val="2"/>
                <w:sz w:val="30"/>
                <w:szCs w:val="30"/>
                <w:highlight w:val="none"/>
                <w:vertAlign w:val="baseline"/>
                <w:lang w:val="en-US" w:eastAsia="zh-CN" w:bidi="ar-SA"/>
              </w:rPr>
            </w:pPr>
            <w:r>
              <w:rPr>
                <w:rFonts w:hint="default" w:ascii="Times New Roman" w:hAnsi="Times New Roman" w:eastAsia="方正仿宋_GBK" w:cs="Times New Roman"/>
                <w:color w:val="auto"/>
                <w:sz w:val="30"/>
                <w:szCs w:val="30"/>
                <w:highlight w:val="none"/>
                <w:vertAlign w:val="baseline"/>
                <w:lang w:eastAsia="zh-CN"/>
              </w:rPr>
              <w:t>占比</w:t>
            </w:r>
            <w:r>
              <w:rPr>
                <w:rFonts w:hint="default" w:ascii="Times New Roman" w:hAnsi="Times New Roman" w:eastAsia="方正仿宋_GBK" w:cs="Times New Roman"/>
                <w:color w:val="auto"/>
                <w:sz w:val="30"/>
                <w:szCs w:val="30"/>
                <w:highlight w:val="none"/>
                <w:vertAlign w:val="baseline"/>
                <w:lang w:val="en-US" w:eastAsia="zh-CN"/>
              </w:rPr>
              <w:t>%</w:t>
            </w:r>
          </w:p>
        </w:tc>
      </w:tr>
      <w:tr w14:paraId="3538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2619" w:type="dxa"/>
            <w:shd w:val="clear" w:color="auto" w:fill="auto"/>
            <w:vAlign w:val="top"/>
          </w:tcPr>
          <w:p w14:paraId="6F86BFD1">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kern w:val="2"/>
                <w:sz w:val="30"/>
                <w:szCs w:val="30"/>
                <w:highlight w:val="none"/>
                <w:vertAlign w:val="baseline"/>
                <w:lang w:val="en-US" w:eastAsia="zh-CN" w:bidi="ar-SA"/>
              </w:rPr>
            </w:pPr>
            <w:r>
              <w:rPr>
                <w:rFonts w:hint="default" w:ascii="Times New Roman" w:hAnsi="Times New Roman" w:eastAsia="方正仿宋_GBK" w:cs="Times New Roman"/>
                <w:color w:val="auto"/>
                <w:sz w:val="30"/>
                <w:szCs w:val="30"/>
                <w:highlight w:val="none"/>
                <w:vertAlign w:val="baseline"/>
                <w:lang w:eastAsia="zh-CN"/>
              </w:rPr>
              <w:t>基本支出</w:t>
            </w:r>
          </w:p>
        </w:tc>
        <w:tc>
          <w:tcPr>
            <w:tcW w:w="2619" w:type="dxa"/>
          </w:tcPr>
          <w:p w14:paraId="1BDC7B57">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sz w:val="30"/>
                <w:szCs w:val="30"/>
                <w:highlight w:val="none"/>
                <w:vertAlign w:val="baseline"/>
              </w:rPr>
            </w:pPr>
            <w:r>
              <w:rPr>
                <w:rFonts w:hint="default" w:ascii="Times New Roman" w:hAnsi="Times New Roman" w:eastAsia="方正仿宋_GBK" w:cs="Times New Roman"/>
                <w:kern w:val="0"/>
                <w:sz w:val="30"/>
                <w:szCs w:val="30"/>
                <w:highlight w:val="none"/>
              </w:rPr>
              <w:t>13,331,972.84</w:t>
            </w:r>
          </w:p>
        </w:tc>
        <w:tc>
          <w:tcPr>
            <w:tcW w:w="2622" w:type="dxa"/>
          </w:tcPr>
          <w:p w14:paraId="507A8F09">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sz w:val="30"/>
                <w:szCs w:val="30"/>
                <w:highlight w:val="none"/>
                <w:vertAlign w:val="baseline"/>
              </w:rPr>
            </w:pPr>
            <w:r>
              <w:rPr>
                <w:rFonts w:hint="default" w:ascii="Times New Roman" w:hAnsi="Times New Roman" w:eastAsia="方正仿宋_GBK" w:cs="Times New Roman"/>
                <w:color w:val="auto"/>
                <w:sz w:val="30"/>
                <w:highlight w:val="none"/>
                <w:lang w:val="en-US" w:eastAsia="zh-CN"/>
              </w:rPr>
              <w:t>35.80</w:t>
            </w:r>
          </w:p>
        </w:tc>
      </w:tr>
      <w:tr w14:paraId="584E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2619" w:type="dxa"/>
            <w:shd w:val="clear" w:color="auto" w:fill="auto"/>
            <w:vAlign w:val="top"/>
          </w:tcPr>
          <w:p w14:paraId="507F8634">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kern w:val="2"/>
                <w:sz w:val="30"/>
                <w:szCs w:val="30"/>
                <w:highlight w:val="none"/>
                <w:vertAlign w:val="baseline"/>
                <w:lang w:val="en-US" w:eastAsia="zh-CN" w:bidi="ar-SA"/>
              </w:rPr>
            </w:pPr>
            <w:r>
              <w:rPr>
                <w:rFonts w:hint="default" w:ascii="Times New Roman" w:hAnsi="Times New Roman" w:eastAsia="方正仿宋_GBK" w:cs="Times New Roman"/>
                <w:color w:val="auto"/>
                <w:sz w:val="30"/>
                <w:szCs w:val="30"/>
                <w:highlight w:val="none"/>
                <w:vertAlign w:val="baseline"/>
                <w:lang w:eastAsia="zh-CN"/>
              </w:rPr>
              <w:t>项目支出</w:t>
            </w:r>
          </w:p>
        </w:tc>
        <w:tc>
          <w:tcPr>
            <w:tcW w:w="2619" w:type="dxa"/>
          </w:tcPr>
          <w:p w14:paraId="36207E94">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sz w:val="30"/>
                <w:szCs w:val="30"/>
                <w:highlight w:val="none"/>
                <w:vertAlign w:val="baseline"/>
              </w:rPr>
            </w:pPr>
            <w:r>
              <w:rPr>
                <w:rFonts w:hint="default" w:ascii="Times New Roman" w:hAnsi="Times New Roman" w:eastAsia="方正仿宋_GBK" w:cs="Times New Roman"/>
                <w:kern w:val="0"/>
                <w:sz w:val="30"/>
                <w:szCs w:val="30"/>
                <w:highlight w:val="none"/>
              </w:rPr>
              <w:t>23,913,318.07</w:t>
            </w:r>
          </w:p>
        </w:tc>
        <w:tc>
          <w:tcPr>
            <w:tcW w:w="2622" w:type="dxa"/>
          </w:tcPr>
          <w:p w14:paraId="65A28D52">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sz w:val="30"/>
                <w:szCs w:val="30"/>
                <w:highlight w:val="none"/>
                <w:vertAlign w:val="baseline"/>
              </w:rPr>
            </w:pPr>
            <w:r>
              <w:rPr>
                <w:rFonts w:hint="default" w:ascii="Times New Roman" w:hAnsi="Times New Roman" w:eastAsia="方正仿宋_GBK" w:cs="Times New Roman"/>
                <w:color w:val="auto"/>
                <w:sz w:val="30"/>
                <w:highlight w:val="none"/>
                <w:lang w:val="en-US" w:eastAsia="zh-CN"/>
              </w:rPr>
              <w:t>64.20</w:t>
            </w:r>
          </w:p>
        </w:tc>
      </w:tr>
      <w:tr w14:paraId="0D42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19" w:type="dxa"/>
            <w:shd w:val="clear" w:color="auto" w:fill="auto"/>
            <w:vAlign w:val="top"/>
          </w:tcPr>
          <w:p w14:paraId="567F87CA">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kern w:val="2"/>
                <w:sz w:val="30"/>
                <w:szCs w:val="30"/>
                <w:highlight w:val="none"/>
                <w:vertAlign w:val="baseline"/>
                <w:lang w:val="en-US" w:eastAsia="zh-CN" w:bidi="ar-SA"/>
              </w:rPr>
            </w:pPr>
            <w:r>
              <w:rPr>
                <w:rFonts w:hint="default" w:ascii="Times New Roman" w:hAnsi="Times New Roman" w:eastAsia="方正仿宋_GBK" w:cs="Times New Roman"/>
                <w:color w:val="auto"/>
                <w:sz w:val="30"/>
                <w:szCs w:val="30"/>
                <w:highlight w:val="none"/>
                <w:vertAlign w:val="baseline"/>
                <w:lang w:eastAsia="zh-CN"/>
              </w:rPr>
              <w:t>合计</w:t>
            </w:r>
          </w:p>
        </w:tc>
        <w:tc>
          <w:tcPr>
            <w:tcW w:w="2619" w:type="dxa"/>
          </w:tcPr>
          <w:p w14:paraId="73C1ECA1">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sz w:val="30"/>
                <w:szCs w:val="30"/>
                <w:highlight w:val="none"/>
                <w:vertAlign w:val="baseline"/>
              </w:rPr>
            </w:pPr>
            <w:r>
              <w:rPr>
                <w:rFonts w:hint="default" w:ascii="Times New Roman" w:hAnsi="Times New Roman" w:eastAsia="方正仿宋_GBK" w:cs="Times New Roman"/>
                <w:sz w:val="30"/>
                <w:szCs w:val="30"/>
                <w:highlight w:val="none"/>
              </w:rPr>
              <w:t>37,245,290.91</w:t>
            </w:r>
          </w:p>
        </w:tc>
        <w:tc>
          <w:tcPr>
            <w:tcW w:w="2622" w:type="dxa"/>
          </w:tcPr>
          <w:p w14:paraId="0D1A3CF7">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仿宋_GBK" w:cs="Times New Roman"/>
                <w:color w:val="auto"/>
                <w:sz w:val="30"/>
                <w:szCs w:val="30"/>
                <w:highlight w:val="none"/>
                <w:vertAlign w:val="baseline"/>
                <w:lang w:val="en-US" w:eastAsia="zh-CN"/>
              </w:rPr>
            </w:pPr>
            <w:r>
              <w:rPr>
                <w:rFonts w:hint="default" w:ascii="Times New Roman" w:hAnsi="Times New Roman" w:eastAsia="方正仿宋_GBK" w:cs="Times New Roman"/>
                <w:color w:val="auto"/>
                <w:sz w:val="30"/>
                <w:szCs w:val="30"/>
                <w:highlight w:val="none"/>
                <w:vertAlign w:val="baseline"/>
                <w:lang w:val="en-US" w:eastAsia="zh-CN"/>
              </w:rPr>
              <w:t>100.00</w:t>
            </w:r>
          </w:p>
        </w:tc>
      </w:tr>
    </w:tbl>
    <w:p w14:paraId="3C4ADAFB">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default" w:ascii="Times New Roman" w:hAnsi="Times New Roman" w:eastAsia="方正楷体_GBK" w:cs="Times New Roman"/>
          <w:sz w:val="30"/>
          <w:szCs w:val="30"/>
          <w:highlight w:val="none"/>
        </w:rPr>
      </w:pPr>
      <w:r>
        <w:rPr>
          <w:rFonts w:hint="default" w:ascii="Times New Roman" w:hAnsi="Times New Roman" w:eastAsia="方正楷体_GBK" w:cs="Times New Roman"/>
          <w:sz w:val="30"/>
          <w:szCs w:val="30"/>
          <w:highlight w:val="none"/>
        </w:rPr>
        <w:t>（一）基本支出情况</w:t>
      </w:r>
    </w:p>
    <w:p w14:paraId="01CB925B">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color w:val="FF0000"/>
          <w:sz w:val="30"/>
          <w:szCs w:val="30"/>
          <w:highlight w:val="none"/>
        </w:rPr>
      </w:pP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年度用于保障</w:t>
      </w:r>
      <w:r>
        <w:rPr>
          <w:rFonts w:hint="default" w:ascii="Times New Roman" w:hAnsi="Times New Roman" w:eastAsia="方正仿宋_GBK" w:cs="Times New Roman"/>
          <w:sz w:val="30"/>
          <w:szCs w:val="30"/>
          <w:highlight w:val="none"/>
          <w:lang w:eastAsia="zh-CN"/>
        </w:rPr>
        <w:t>玉溪市中心血站</w:t>
      </w:r>
      <w:r>
        <w:rPr>
          <w:rFonts w:hint="default" w:ascii="Times New Roman" w:hAnsi="Times New Roman" w:eastAsia="方正仿宋_GBK" w:cs="Times New Roman"/>
          <w:sz w:val="30"/>
          <w:szCs w:val="30"/>
          <w:highlight w:val="none"/>
        </w:rPr>
        <w:t>机构正常运转的日常支出</w:t>
      </w:r>
      <w:r>
        <w:rPr>
          <w:rFonts w:hint="default" w:ascii="Times New Roman" w:hAnsi="Times New Roman" w:eastAsia="方正仿宋_GBK" w:cs="Times New Roman"/>
          <w:kern w:val="0"/>
          <w:sz w:val="30"/>
          <w:szCs w:val="30"/>
          <w:highlight w:val="none"/>
        </w:rPr>
        <w:t>13,331,972.84</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w:t>
      </w:r>
      <w:r>
        <w:rPr>
          <w:rFonts w:hint="default" w:ascii="Times New Roman" w:hAnsi="Times New Roman" w:eastAsia="方正仿宋_GBK" w:cs="Times New Roman"/>
          <w:sz w:val="30"/>
          <w:szCs w:val="30"/>
          <w:highlight w:val="none"/>
        </w:rPr>
        <w:t xml:space="preserve">基本工资、津贴补贴等人员经费支出 10,589,987.18 </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占基本支出的</w:t>
      </w:r>
      <w:r>
        <w:rPr>
          <w:rFonts w:hint="default" w:ascii="Times New Roman" w:hAnsi="Times New Roman" w:eastAsia="方正仿宋_GBK" w:cs="Times New Roman"/>
          <w:sz w:val="30"/>
          <w:szCs w:val="30"/>
          <w:highlight w:val="none"/>
          <w:lang w:val="en-US" w:eastAsia="zh-CN"/>
        </w:rPr>
        <w:t>79.43%</w:t>
      </w:r>
      <w:r>
        <w:rPr>
          <w:rFonts w:hint="default" w:ascii="Times New Roman" w:hAnsi="Times New Roman" w:eastAsia="方正仿宋_GBK" w:cs="Times New Roman"/>
          <w:sz w:val="30"/>
          <w:szCs w:val="30"/>
          <w:highlight w:val="none"/>
        </w:rPr>
        <w:t xml:space="preserve">；办公费、印刷费、水电费、办公设备购置等公用经费 2,741,985.66 </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占基本支出的</w:t>
      </w:r>
      <w:r>
        <w:rPr>
          <w:rFonts w:hint="default" w:ascii="Times New Roman" w:hAnsi="Times New Roman" w:eastAsia="方正仿宋_GBK" w:cs="Times New Roman"/>
          <w:color w:val="auto"/>
          <w:sz w:val="30"/>
          <w:highlight w:val="none"/>
          <w:lang w:val="en-US" w:eastAsia="zh-CN"/>
        </w:rPr>
        <w:t>20.57</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w:t>
      </w:r>
    </w:p>
    <w:p w14:paraId="51B1A0A0">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default" w:ascii="Times New Roman" w:hAnsi="Times New Roman" w:eastAsia="方正楷体_GBK" w:cs="Times New Roman"/>
          <w:sz w:val="30"/>
          <w:szCs w:val="30"/>
          <w:highlight w:val="none"/>
        </w:rPr>
      </w:pPr>
      <w:r>
        <w:rPr>
          <w:rFonts w:hint="default" w:ascii="Times New Roman" w:hAnsi="Times New Roman" w:eastAsia="方正楷体_GBK" w:cs="Times New Roman"/>
          <w:sz w:val="30"/>
          <w:szCs w:val="30"/>
          <w:highlight w:val="none"/>
        </w:rPr>
        <w:drawing>
          <wp:anchor distT="0" distB="0" distL="114300" distR="114300" simplePos="0" relativeHeight="251660288" behindDoc="0" locked="0" layoutInCell="1" allowOverlap="1">
            <wp:simplePos x="0" y="0"/>
            <wp:positionH relativeFrom="column">
              <wp:posOffset>575945</wp:posOffset>
            </wp:positionH>
            <wp:positionV relativeFrom="paragraph">
              <wp:posOffset>9525</wp:posOffset>
            </wp:positionV>
            <wp:extent cx="4398010" cy="2598420"/>
            <wp:effectExtent l="4445" t="4445" r="17145" b="6985"/>
            <wp:wrapTopAndBottom/>
            <wp:docPr id="3" name="图表 2"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default" w:ascii="Times New Roman" w:hAnsi="Times New Roman" w:eastAsia="方正楷体_GBK" w:cs="Times New Roman"/>
          <w:sz w:val="30"/>
          <w:szCs w:val="30"/>
          <w:highlight w:val="none"/>
        </w:rPr>
        <w:t>（二）项目支出情况</w:t>
      </w:r>
    </w:p>
    <w:p w14:paraId="0AB80826">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年度用于保障</w:t>
      </w:r>
      <w:r>
        <w:rPr>
          <w:rFonts w:hint="default" w:ascii="Times New Roman" w:hAnsi="Times New Roman" w:eastAsia="方正仿宋_GBK" w:cs="Times New Roman"/>
          <w:sz w:val="30"/>
          <w:szCs w:val="30"/>
          <w:highlight w:val="none"/>
          <w:lang w:eastAsia="zh-CN"/>
        </w:rPr>
        <w:t>玉溪市中心血站机构</w:t>
      </w:r>
      <w:r>
        <w:rPr>
          <w:rFonts w:hint="default" w:ascii="Times New Roman" w:hAnsi="Times New Roman" w:eastAsia="方正仿宋_GBK" w:cs="Times New Roman"/>
          <w:sz w:val="30"/>
          <w:szCs w:val="30"/>
          <w:highlight w:val="none"/>
        </w:rPr>
        <w:t>为完成特定的行政工作任务或事业发展目标，用于专项业务工作的经费支出23,913,318.07</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其中：基本建设类项目支出4,320,000.00元</w:t>
      </w:r>
      <w:r>
        <w:rPr>
          <w:rFonts w:hint="default" w:ascii="Times New Roman" w:hAnsi="Times New Roman" w:eastAsia="方正仿宋_GBK" w:cs="Times New Roman"/>
          <w:sz w:val="30"/>
          <w:szCs w:val="30"/>
          <w:highlight w:val="none"/>
        </w:rPr>
        <w:t>。</w:t>
      </w:r>
    </w:p>
    <w:p w14:paraId="4218BCB7">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玉财社〔2025〕107号玉溪市中心血站2025年公立医院改革与高质量发展示范项目上级补助资金450,789.00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主要用于本单位区域信息化联网项目建设</w:t>
      </w:r>
      <w:r>
        <w:rPr>
          <w:rFonts w:hint="default" w:ascii="Times New Roman" w:hAnsi="Times New Roman" w:eastAsia="方正仿宋_GBK" w:cs="Times New Roman"/>
          <w:sz w:val="30"/>
          <w:szCs w:val="30"/>
          <w:highlight w:val="none"/>
          <w:lang w:eastAsia="zh-CN"/>
        </w:rPr>
        <w:t>。</w:t>
      </w:r>
    </w:p>
    <w:p w14:paraId="539156D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玉财社〔2023〕230号公立医院高质量发展中央补助专项经费1,200,000.0</w:t>
      </w:r>
      <w:r>
        <w:rPr>
          <w:rFonts w:hint="default" w:ascii="Times New Roman" w:hAnsi="Times New Roman" w:eastAsia="方正仿宋_GBK" w:cs="Times New Roman"/>
          <w:sz w:val="30"/>
          <w:szCs w:val="30"/>
          <w:highlight w:val="none"/>
          <w:lang w:val="en-US" w:eastAsia="zh-CN"/>
        </w:rPr>
        <w:t>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，主要用于本单位区域信息化联网项目建设。</w:t>
      </w:r>
    </w:p>
    <w:p w14:paraId="2F69FBBA">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rPr>
        <w:t>玉财社〔2025〕22号血站事业收入专项资金16,953,529.07</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，主要用于</w:t>
      </w:r>
      <w:r>
        <w:rPr>
          <w:rFonts w:hint="eastAsia" w:ascii="Times New Roman" w:hAnsi="Times New Roman" w:eastAsia="方正仿宋_GBK" w:cs="Times New Roman"/>
          <w:sz w:val="30"/>
          <w:szCs w:val="30"/>
          <w:highlight w:val="none"/>
          <w:lang w:eastAsia="zh-CN"/>
        </w:rPr>
        <w:t>单位正常运转开支。</w:t>
      </w:r>
    </w:p>
    <w:p w14:paraId="6D52DFB6">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 xml:space="preserve">玉财社〔2025〕102号特定项目社2025030项目经费30,000.00 </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，主要用于购置试剂耗材。</w:t>
      </w:r>
    </w:p>
    <w:p w14:paraId="15A671CB">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玉财社〔2025〕13号特定项目社2025046项目经费959,000.00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，主要用于购置试剂耗材。</w:t>
      </w:r>
    </w:p>
    <w:p w14:paraId="7BA8C4FC">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玉财社〔2024〕166号玉溪市血液保障能力提升项目资金4,320,000.00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，主要用于单位智能供血系统建设。</w:t>
      </w:r>
    </w:p>
    <w:p w14:paraId="799A0AA7">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1"/>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rPr>
        <w:t>三、一般公共预算财政拨款支出决算情况说明</w:t>
      </w:r>
    </w:p>
    <w:p w14:paraId="24DFD562">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default" w:ascii="Times New Roman" w:hAnsi="Times New Roman" w:eastAsia="方正楷体_GBK" w:cs="Times New Roman"/>
          <w:sz w:val="30"/>
          <w:szCs w:val="30"/>
          <w:highlight w:val="none"/>
        </w:rPr>
      </w:pPr>
      <w:r>
        <w:rPr>
          <w:rFonts w:hint="default" w:ascii="Times New Roman" w:hAnsi="Times New Roman" w:eastAsia="方正楷体_GBK" w:cs="Times New Roman"/>
          <w:sz w:val="30"/>
          <w:szCs w:val="30"/>
          <w:highlight w:val="none"/>
        </w:rPr>
        <w:t>（一）一般公共预算财政拨款支出决算总体情况</w:t>
      </w:r>
    </w:p>
    <w:p w14:paraId="26F8AF37">
      <w:pPr>
        <w:keepNext w:val="0"/>
        <w:keepLines w:val="0"/>
        <w:pageBreakBefore w:val="0"/>
        <w:widowControl/>
        <w:kinsoku/>
        <w:overflowPunct/>
        <w:topLinePunct w:val="0"/>
        <w:autoSpaceDE/>
        <w:autoSpaceDN/>
        <w:bidi w:val="0"/>
        <w:snapToGrid w:val="0"/>
        <w:spacing w:before="100" w:after="100" w:line="600" w:lineRule="exact"/>
        <w:ind w:firstLine="640" w:firstLineChars="200"/>
        <w:jc w:val="left"/>
        <w:textAlignment w:val="auto"/>
        <w:rPr>
          <w:rFonts w:hint="default" w:ascii="Times New Roman" w:hAnsi="Times New Roman" w:eastAsia="方正仿宋_GBK" w:cs="Times New Roman"/>
          <w:kern w:val="0"/>
          <w:sz w:val="30"/>
          <w:szCs w:val="30"/>
          <w:highlight w:val="none"/>
        </w:rPr>
      </w:pPr>
      <w:r>
        <w:rPr>
          <w:rFonts w:hint="eastAsia" w:ascii="Times New Roman" w:hAnsi="Times New Roman" w:eastAsia="方正仿宋_GBK" w:cs="Times New Roman"/>
          <w:sz w:val="32"/>
          <w:szCs w:val="32"/>
          <w:lang w:val="zh-CN" w:eastAsia="zh-CN"/>
        </w:rPr>
        <w:t>玉溪市中心血站</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年度一般公共预算财政拨款支出16,485,658.47</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,占本年支出合计的</w:t>
      </w:r>
      <w:r>
        <w:rPr>
          <w:rFonts w:hint="eastAsia" w:ascii="Times New Roman" w:hAnsi="Times New Roman" w:eastAsia="方正仿宋_GBK" w:cs="Times New Roman"/>
          <w:sz w:val="30"/>
          <w:szCs w:val="30"/>
          <w:highlight w:val="none"/>
          <w:lang w:val="en-US" w:eastAsia="zh-CN"/>
        </w:rPr>
        <w:t>44.26</w:t>
      </w:r>
      <w:r>
        <w:rPr>
          <w:rFonts w:hint="default" w:ascii="Times New Roman" w:hAnsi="Times New Roman" w:eastAsia="方正仿宋_GBK" w:cs="Times New Roman"/>
          <w:kern w:val="0"/>
          <w:sz w:val="30"/>
          <w:szCs w:val="30"/>
          <w:highlight w:val="none"/>
        </w:rPr>
        <w:t>%。与上年</w:t>
      </w:r>
      <w:r>
        <w:rPr>
          <w:rFonts w:hint="default" w:ascii="Times New Roman" w:hAnsi="Times New Roman" w:eastAsia="方正仿宋_GBK" w:cs="Times New Roman"/>
          <w:kern w:val="0"/>
          <w:sz w:val="30"/>
          <w:szCs w:val="30"/>
          <w:highlight w:val="none"/>
          <w:lang w:eastAsia="zh-CN"/>
        </w:rPr>
        <w:t>相比</w:t>
      </w:r>
      <w:r>
        <w:rPr>
          <w:rFonts w:hint="default" w:ascii="Times New Roman" w:hAnsi="Times New Roman" w:eastAsia="方正仿宋_GBK" w:cs="Times New Roman"/>
          <w:kern w:val="0"/>
          <w:sz w:val="30"/>
          <w:szCs w:val="30"/>
          <w:highlight w:val="none"/>
        </w:rPr>
        <w:t>增加</w:t>
      </w:r>
      <w:r>
        <w:rPr>
          <w:rFonts w:hint="default" w:ascii="Times New Roman" w:hAnsi="Times New Roman" w:eastAsia="方正仿宋_GBK" w:cs="Times New Roman"/>
          <w:sz w:val="30"/>
          <w:szCs w:val="30"/>
          <w:highlight w:val="none"/>
          <w:lang w:eastAsia="zh-CN"/>
        </w:rPr>
        <w:t>3,347,462.28</w:t>
      </w:r>
      <w:r>
        <w:rPr>
          <w:rFonts w:hint="default" w:ascii="Times New Roman" w:hAnsi="Times New Roman" w:eastAsia="方正仿宋_GBK" w:cs="Times New Roman"/>
          <w:kern w:val="0"/>
          <w:sz w:val="30"/>
          <w:szCs w:val="30"/>
          <w:highlight w:val="none"/>
        </w:rPr>
        <w:t>元，增长</w:t>
      </w:r>
      <w:r>
        <w:rPr>
          <w:rFonts w:hint="eastAsia" w:ascii="Times New Roman" w:hAnsi="Times New Roman" w:eastAsia="方正仿宋_GBK" w:cs="Times New Roman"/>
          <w:sz w:val="30"/>
          <w:szCs w:val="30"/>
          <w:highlight w:val="none"/>
          <w:lang w:val="en-US" w:eastAsia="zh-CN"/>
        </w:rPr>
        <w:t>25.48</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完成年初预算的</w:t>
      </w:r>
      <w:r>
        <w:rPr>
          <w:rFonts w:hint="eastAsia" w:ascii="Times New Roman" w:hAnsi="Times New Roman" w:eastAsia="方正仿宋_GBK" w:cs="Times New Roman"/>
          <w:sz w:val="30"/>
          <w:szCs w:val="30"/>
          <w:highlight w:val="none"/>
          <w:lang w:val="en-US" w:eastAsia="zh-CN"/>
        </w:rPr>
        <w:t>194.84</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kern w:val="0"/>
          <w:sz w:val="30"/>
          <w:szCs w:val="30"/>
          <w:highlight w:val="none"/>
        </w:rPr>
        <w:t>。</w:t>
      </w:r>
    </w:p>
    <w:p w14:paraId="775526BB">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default" w:ascii="Times New Roman" w:hAnsi="Times New Roman" w:eastAsia="方正楷体_GBK" w:cs="Times New Roman"/>
          <w:sz w:val="30"/>
          <w:szCs w:val="30"/>
          <w:highlight w:val="none"/>
        </w:rPr>
      </w:pPr>
      <w:r>
        <w:rPr>
          <w:rFonts w:hint="default" w:ascii="Times New Roman" w:hAnsi="Times New Roman" w:eastAsia="方正楷体_GBK" w:cs="Times New Roman"/>
          <w:sz w:val="30"/>
          <w:szCs w:val="30"/>
          <w:highlight w:val="none"/>
        </w:rPr>
        <w:t>（二）一般公共预算财政拨款支出决算</w:t>
      </w:r>
      <w:r>
        <w:rPr>
          <w:rFonts w:hint="default" w:ascii="Times New Roman" w:hAnsi="Times New Roman" w:eastAsia="方正楷体_GBK" w:cs="Times New Roman"/>
          <w:sz w:val="30"/>
          <w:szCs w:val="30"/>
          <w:highlight w:val="none"/>
          <w:lang w:eastAsia="zh-CN"/>
        </w:rPr>
        <w:t>分功能分类科目情况</w:t>
      </w:r>
      <w:r>
        <w:rPr>
          <w:rFonts w:hint="default" w:ascii="Times New Roman" w:hAnsi="Times New Roman" w:eastAsia="方正楷体_GBK" w:cs="Times New Roman"/>
          <w:sz w:val="30"/>
          <w:szCs w:val="30"/>
          <w:highlight w:val="none"/>
        </w:rPr>
        <w:tab/>
      </w:r>
    </w:p>
    <w:p w14:paraId="455C11C8">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Times New Roman" w:hAnsi="Times New Roman" w:eastAsia="方正仿宋_GBK" w:cs="Times New Roman"/>
          <w:color w:val="FF0000"/>
          <w:sz w:val="30"/>
          <w:szCs w:val="30"/>
          <w:highlight w:val="none"/>
          <w:lang w:eastAsia="zh-CN"/>
        </w:rPr>
      </w:pPr>
      <w:r>
        <w:rPr>
          <w:rFonts w:hint="default" w:ascii="Times New Roman" w:hAnsi="Times New Roman" w:eastAsia="方正仿宋_GBK" w:cs="Times New Roman"/>
          <w:kern w:val="0"/>
          <w:sz w:val="30"/>
          <w:szCs w:val="30"/>
          <w:highlight w:val="none"/>
        </w:rPr>
        <w:t>1.一般公共服务（类）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7D1B8CC3">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rPr>
        <w:t>2.外交（类）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26B3447E">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kern w:val="0"/>
          <w:sz w:val="30"/>
          <w:szCs w:val="30"/>
          <w:highlight w:val="none"/>
        </w:rPr>
        <w:t>3.国防（类）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22800A7F">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kern w:val="0"/>
          <w:sz w:val="30"/>
          <w:szCs w:val="30"/>
          <w:highlight w:val="none"/>
        </w:rPr>
        <w:t>4.公共安全（类）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0777163C">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5.教育（类）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5919C9B2">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6.科学技术（类）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1DCC6AEA">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7.文化旅游体育与传媒（类）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28149175">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8.社会保障和就业（类）支出</w:t>
      </w:r>
      <w:r>
        <w:rPr>
          <w:rFonts w:hint="default" w:ascii="Times New Roman" w:hAnsi="Times New Roman" w:eastAsia="方正仿宋_GBK" w:cs="Times New Roman"/>
          <w:sz w:val="30"/>
          <w:szCs w:val="30"/>
          <w:highlight w:val="none"/>
          <w:lang w:eastAsia="zh-CN"/>
        </w:rPr>
        <w:t>1,296,632.33</w:t>
      </w:r>
      <w:r>
        <w:rPr>
          <w:rFonts w:hint="default" w:ascii="Times New Roman" w:hAnsi="Times New Roman" w:eastAsia="方正仿宋_GBK" w:cs="Times New Roman"/>
          <w:color w:val="auto"/>
          <w:kern w:val="0"/>
          <w:sz w:val="30"/>
          <w:highlight w:val="none"/>
          <w:lang w:val="en-US"/>
        </w:rPr>
        <w:t>元，</w:t>
      </w:r>
      <w:r>
        <w:rPr>
          <w:rFonts w:hint="default" w:ascii="Times New Roman" w:hAnsi="Times New Roman" w:eastAsia="方正仿宋_GBK" w:cs="Times New Roman"/>
          <w:color w:val="auto"/>
          <w:sz w:val="30"/>
          <w:highlight w:val="none"/>
          <w:lang w:val="en-US"/>
        </w:rPr>
        <w:t>占一般公共预算财政拨款总支出的</w:t>
      </w:r>
      <w:r>
        <w:rPr>
          <w:rFonts w:hint="eastAsia" w:ascii="Times New Roman" w:hAnsi="Times New Roman" w:eastAsia="方正仿宋_GBK" w:cs="Times New Roman"/>
          <w:sz w:val="30"/>
          <w:szCs w:val="30"/>
          <w:highlight w:val="none"/>
          <w:lang w:val="en-US" w:eastAsia="zh-CN"/>
        </w:rPr>
        <w:t>7.87</w:t>
      </w:r>
      <w:r>
        <w:rPr>
          <w:rFonts w:hint="default" w:ascii="Times New Roman" w:hAnsi="Times New Roman" w:eastAsia="方正仿宋_GBK" w:cs="Times New Roman"/>
          <w:color w:val="auto"/>
          <w:sz w:val="30"/>
          <w:highlight w:val="none"/>
          <w:lang w:val="en-US"/>
        </w:rPr>
        <w:t>%</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完成年初预算的</w:t>
      </w:r>
      <w:r>
        <w:rPr>
          <w:rFonts w:hint="eastAsia" w:ascii="Times New Roman" w:hAnsi="Times New Roman" w:eastAsia="方正仿宋_GBK" w:cs="Times New Roman"/>
          <w:sz w:val="30"/>
          <w:szCs w:val="30"/>
          <w:highlight w:val="none"/>
          <w:lang w:val="en-US" w:eastAsia="zh-CN"/>
        </w:rPr>
        <w:t>149.97</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kern w:val="0"/>
          <w:sz w:val="30"/>
          <w:szCs w:val="30"/>
          <w:highlight w:val="none"/>
        </w:rPr>
        <w:t>主要用于机关事业单位基本养老保险缴费支出671,999.16</w:t>
      </w:r>
      <w:r>
        <w:rPr>
          <w:rFonts w:hint="eastAsia" w:ascii="Times New Roman" w:hAnsi="Times New Roman" w:eastAsia="方正仿宋_GBK" w:cs="Times New Roman"/>
          <w:kern w:val="0"/>
          <w:sz w:val="30"/>
          <w:szCs w:val="30"/>
          <w:highlight w:val="none"/>
          <w:lang w:eastAsia="zh-CN"/>
        </w:rPr>
        <w:t>元，机关事业单位职业年金缴费支出255,533.17元，事业单位离退休</w:t>
      </w:r>
      <w:r>
        <w:rPr>
          <w:rFonts w:hint="eastAsia" w:ascii="Times New Roman" w:hAnsi="Times New Roman" w:eastAsia="方正仿宋_GBK" w:cs="Times New Roman"/>
          <w:kern w:val="0"/>
          <w:sz w:val="30"/>
          <w:szCs w:val="30"/>
          <w:highlight w:val="none"/>
          <w:lang w:val="en-US" w:eastAsia="zh-CN"/>
        </w:rPr>
        <w:t>3</w:t>
      </w:r>
      <w:r>
        <w:rPr>
          <w:rFonts w:hint="eastAsia" w:ascii="Times New Roman" w:hAnsi="Times New Roman" w:eastAsia="方正仿宋_GBK" w:cs="Times New Roman"/>
          <w:kern w:val="0"/>
          <w:sz w:val="30"/>
          <w:szCs w:val="30"/>
          <w:highlight w:val="none"/>
          <w:lang w:eastAsia="zh-CN"/>
        </w:rPr>
        <w:t>69,100.00元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造成预决算差异的主要原因是</w:t>
      </w:r>
      <w:r>
        <w:rPr>
          <w:rFonts w:hint="eastAsia" w:ascii="Times New Roman" w:hAnsi="Times New Roman" w:eastAsia="方正仿宋_GBK" w:cs="Times New Roman"/>
          <w:kern w:val="0"/>
          <w:sz w:val="30"/>
          <w:szCs w:val="30"/>
          <w:highlight w:val="none"/>
          <w:lang w:val="en-US" w:eastAsia="zh-CN"/>
        </w:rPr>
        <w:t>2025年</w:t>
      </w:r>
      <w:r>
        <w:rPr>
          <w:rFonts w:hint="default" w:ascii="Times New Roman" w:hAnsi="Times New Roman" w:eastAsia="方正仿宋_GBK" w:cs="Times New Roman"/>
          <w:kern w:val="0"/>
          <w:sz w:val="30"/>
          <w:szCs w:val="30"/>
          <w:highlight w:val="none"/>
          <w:lang w:eastAsia="zh-CN"/>
        </w:rPr>
        <w:t>退休</w:t>
      </w:r>
      <w:r>
        <w:rPr>
          <w:rFonts w:hint="eastAsia" w:ascii="Times New Roman" w:hAnsi="Times New Roman" w:eastAsia="方正仿宋_GBK" w:cs="Times New Roman"/>
          <w:kern w:val="0"/>
          <w:sz w:val="30"/>
          <w:szCs w:val="30"/>
          <w:highlight w:val="none"/>
          <w:lang w:eastAsia="zh-CN"/>
        </w:rPr>
        <w:t>两名</w:t>
      </w:r>
      <w:r>
        <w:rPr>
          <w:rFonts w:hint="default" w:ascii="Times New Roman" w:hAnsi="Times New Roman" w:eastAsia="方正仿宋_GBK" w:cs="Times New Roman"/>
          <w:kern w:val="0"/>
          <w:sz w:val="30"/>
          <w:szCs w:val="30"/>
          <w:highlight w:val="none"/>
          <w:lang w:eastAsia="zh-CN"/>
        </w:rPr>
        <w:t>职工。</w:t>
      </w:r>
    </w:p>
    <w:p w14:paraId="1CE4652F">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9.卫生健康（类）支出</w:t>
      </w:r>
      <w:r>
        <w:rPr>
          <w:rFonts w:hint="default" w:ascii="Times New Roman" w:hAnsi="Times New Roman" w:eastAsia="方正仿宋_GBK" w:cs="Times New Roman"/>
          <w:sz w:val="30"/>
          <w:szCs w:val="30"/>
          <w:highlight w:val="none"/>
          <w:lang w:eastAsia="zh-CN"/>
        </w:rPr>
        <w:t>14,541,609.14</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eastAsia" w:ascii="Times New Roman" w:hAnsi="Times New Roman" w:eastAsia="方正仿宋_GBK" w:cs="Times New Roman"/>
          <w:sz w:val="30"/>
          <w:szCs w:val="30"/>
          <w:highlight w:val="none"/>
          <w:lang w:val="en-US" w:eastAsia="zh-CN"/>
        </w:rPr>
        <w:t>88.21</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完成年初预算的</w:t>
      </w:r>
      <w:r>
        <w:rPr>
          <w:rFonts w:hint="eastAsia" w:ascii="Times New Roman" w:hAnsi="Times New Roman" w:eastAsia="方正仿宋_GBK" w:cs="Times New Roman"/>
          <w:sz w:val="30"/>
          <w:szCs w:val="30"/>
          <w:highlight w:val="none"/>
          <w:lang w:val="en-US" w:eastAsia="zh-CN"/>
        </w:rPr>
        <w:t>207.84</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kern w:val="0"/>
          <w:sz w:val="30"/>
          <w:szCs w:val="30"/>
          <w:highlight w:val="none"/>
        </w:rPr>
        <w:t>主要用于其他公立医院支出1,650,789.00</w:t>
      </w:r>
      <w:r>
        <w:rPr>
          <w:rFonts w:hint="eastAsia" w:ascii="Times New Roman" w:hAnsi="Times New Roman" w:eastAsia="方正仿宋_GBK" w:cs="Times New Roman"/>
          <w:kern w:val="0"/>
          <w:sz w:val="30"/>
          <w:szCs w:val="30"/>
          <w:highlight w:val="none"/>
          <w:lang w:eastAsia="zh-CN"/>
        </w:rPr>
        <w:t>元，采供血机构6,917,573.27 元，重大公共卫生服务989,000.00元，事业单位医疗359,479.24元，公务员医疗补助273,439.61元，其他行政事业单位医疗支出31,328.02元，其他卫生健康支出4,320,000.00元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造成预决算差异的主要原因是</w:t>
      </w:r>
      <w:r>
        <w:rPr>
          <w:rFonts w:hint="eastAsia" w:ascii="Times New Roman" w:hAnsi="Times New Roman" w:eastAsia="方正仿宋_GBK" w:cs="Times New Roman"/>
          <w:kern w:val="0"/>
          <w:sz w:val="30"/>
          <w:szCs w:val="30"/>
          <w:highlight w:val="none"/>
          <w:lang w:val="en-US" w:eastAsia="zh-CN"/>
        </w:rPr>
        <w:t>2025</w:t>
      </w:r>
      <w:r>
        <w:rPr>
          <w:rFonts w:hint="default" w:ascii="Times New Roman" w:hAnsi="Times New Roman" w:eastAsia="方正仿宋_GBK" w:cs="Times New Roman"/>
          <w:kern w:val="0"/>
          <w:sz w:val="30"/>
          <w:szCs w:val="30"/>
          <w:highlight w:val="none"/>
          <w:lang w:eastAsia="zh-CN"/>
        </w:rPr>
        <w:t>年单位完成建设智能供血系统。</w:t>
      </w:r>
    </w:p>
    <w:p w14:paraId="08575631">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Times New Roman" w:hAnsi="Times New Roman" w:eastAsia="方正仿宋_GBK" w:cs="Times New Roman"/>
          <w:color w:val="auto"/>
          <w:sz w:val="30"/>
          <w:szCs w:val="30"/>
          <w:highlight w:val="none"/>
          <w:lang w:eastAsia="zh-CN"/>
        </w:rPr>
      </w:pPr>
      <w:r>
        <w:rPr>
          <w:rFonts w:hint="default" w:ascii="Times New Roman" w:hAnsi="Times New Roman" w:eastAsia="方正仿宋_GBK" w:cs="Times New Roman"/>
          <w:color w:val="auto"/>
          <w:kern w:val="0"/>
          <w:sz w:val="30"/>
          <w:highlight w:val="none"/>
          <w:lang w:val="en-US"/>
        </w:rPr>
        <w:t>10.节能环保（类）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505090DF">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11.城乡社区（类）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629F856E">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Times New Roman" w:hAnsi="Times New Roman" w:eastAsia="方正仿宋_GBK" w:cs="Times New Roman"/>
          <w:color w:val="auto"/>
          <w:sz w:val="30"/>
          <w:szCs w:val="30"/>
          <w:highlight w:val="none"/>
          <w:lang w:eastAsia="zh-CN"/>
        </w:rPr>
      </w:pPr>
      <w:r>
        <w:rPr>
          <w:rFonts w:hint="default" w:ascii="Times New Roman" w:hAnsi="Times New Roman" w:eastAsia="方正仿宋_GBK" w:cs="Times New Roman"/>
          <w:color w:val="auto"/>
          <w:kern w:val="0"/>
          <w:sz w:val="30"/>
          <w:highlight w:val="none"/>
          <w:lang w:val="en-US"/>
        </w:rPr>
        <w:t>12.农林水（类）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61AE16A3">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13.交通运输（类）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10540B37">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14.资源勘探工业信息等（类）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0CAD63CD">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15.商业服务业等（类）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789B53EF">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16.金融（类）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518983FC">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17.援助其他地区（类）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43C20003">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18.自然资源海洋气象等（类）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12B7A4B7">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19.住房保障（类）支出</w:t>
      </w:r>
      <w:r>
        <w:rPr>
          <w:rFonts w:hint="default" w:ascii="Times New Roman" w:hAnsi="Times New Roman" w:eastAsia="方正仿宋_GBK" w:cs="Times New Roman"/>
          <w:sz w:val="30"/>
          <w:szCs w:val="30"/>
          <w:highlight w:val="none"/>
          <w:lang w:eastAsia="zh-CN"/>
        </w:rPr>
        <w:t>647,417.00</w:t>
      </w:r>
      <w:r>
        <w:rPr>
          <w:rFonts w:hint="default" w:ascii="Times New Roman" w:hAnsi="Times New Roman" w:eastAsia="方正仿宋_GBK" w:cs="Times New Roman"/>
          <w:kern w:val="0"/>
          <w:sz w:val="30"/>
          <w:szCs w:val="30"/>
          <w:highlight w:val="none"/>
          <w:lang w:eastAsia="zh-CN"/>
        </w:rPr>
        <w:t>元</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sz w:val="30"/>
          <w:szCs w:val="30"/>
          <w:highlight w:val="none"/>
        </w:rPr>
        <w:t>占一般公共预算财政拨款总支出的</w:t>
      </w:r>
      <w:r>
        <w:rPr>
          <w:rFonts w:hint="eastAsia" w:ascii="Times New Roman" w:hAnsi="Times New Roman" w:eastAsia="方正仿宋_GBK" w:cs="Times New Roman"/>
          <w:sz w:val="30"/>
          <w:szCs w:val="30"/>
          <w:highlight w:val="none"/>
          <w:lang w:val="en-US" w:eastAsia="zh-CN"/>
        </w:rPr>
        <w:t>3.92</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完成年初预算的</w:t>
      </w:r>
      <w:r>
        <w:rPr>
          <w:rFonts w:hint="eastAsia" w:ascii="Times New Roman" w:hAnsi="Times New Roman" w:eastAsia="方正仿宋_GBK" w:cs="Times New Roman"/>
          <w:sz w:val="30"/>
          <w:szCs w:val="30"/>
          <w:highlight w:val="none"/>
          <w:lang w:val="en-US" w:eastAsia="zh-CN"/>
        </w:rPr>
        <w:t>107.85</w:t>
      </w:r>
      <w:r>
        <w:rPr>
          <w:rFonts w:hint="default" w:ascii="Times New Roman" w:hAnsi="Times New Roman" w:eastAsia="方正仿宋_GBK" w:cs="Times New Roman"/>
          <w:sz w:val="30"/>
          <w:szCs w:val="30"/>
          <w:highlight w:val="none"/>
          <w:lang w:val="en-US" w:eastAsia="zh-CN"/>
        </w:rPr>
        <w:t>%</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kern w:val="0"/>
          <w:sz w:val="30"/>
          <w:szCs w:val="30"/>
          <w:highlight w:val="none"/>
        </w:rPr>
        <w:t>主要用</w:t>
      </w:r>
      <w:r>
        <w:rPr>
          <w:rFonts w:hint="default" w:ascii="Times New Roman" w:hAnsi="Times New Roman" w:eastAsia="方正仿宋_GBK" w:cs="Times New Roman"/>
          <w:color w:val="auto"/>
          <w:kern w:val="0"/>
          <w:sz w:val="30"/>
          <w:szCs w:val="30"/>
          <w:highlight w:val="none"/>
        </w:rPr>
        <w:t>于</w:t>
      </w:r>
      <w:r>
        <w:rPr>
          <w:rFonts w:hint="eastAsia" w:ascii="Times New Roman" w:hAnsi="Times New Roman" w:eastAsia="方正仿宋_GBK" w:cs="Times New Roman"/>
          <w:color w:val="auto"/>
          <w:sz w:val="30"/>
          <w:szCs w:val="30"/>
          <w:highlight w:val="none"/>
          <w:lang w:eastAsia="zh-CN"/>
        </w:rPr>
        <w:t>住房公积金</w:t>
      </w:r>
      <w:r>
        <w:rPr>
          <w:rFonts w:hint="eastAsia" w:ascii="Times New Roman" w:hAnsi="Times New Roman" w:eastAsia="方正仿宋_GBK" w:cs="Times New Roman"/>
          <w:color w:val="auto"/>
          <w:sz w:val="30"/>
          <w:szCs w:val="30"/>
          <w:highlight w:val="none"/>
          <w:lang w:val="en-US" w:eastAsia="zh-CN"/>
        </w:rPr>
        <w:t>608</w:t>
      </w:r>
      <w:r>
        <w:rPr>
          <w:rFonts w:hint="default" w:ascii="Times New Roman" w:hAnsi="Times New Roman" w:eastAsia="方正仿宋_GBK" w:cs="Times New Roman"/>
          <w:color w:val="auto"/>
          <w:sz w:val="30"/>
          <w:szCs w:val="30"/>
          <w:highlight w:val="none"/>
          <w:lang w:eastAsia="zh-CN"/>
        </w:rPr>
        <w:t>,</w:t>
      </w:r>
      <w:r>
        <w:rPr>
          <w:rFonts w:hint="eastAsia" w:ascii="Times New Roman" w:hAnsi="Times New Roman" w:eastAsia="方正仿宋_GBK" w:cs="Times New Roman"/>
          <w:color w:val="auto"/>
          <w:sz w:val="30"/>
          <w:szCs w:val="30"/>
          <w:highlight w:val="none"/>
          <w:lang w:val="en-US" w:eastAsia="zh-CN"/>
        </w:rPr>
        <w:t>642.00元，购房补贴38</w:t>
      </w:r>
      <w:r>
        <w:rPr>
          <w:rFonts w:hint="default" w:ascii="Times New Roman" w:hAnsi="Times New Roman" w:eastAsia="方正仿宋_GBK" w:cs="Times New Roman"/>
          <w:color w:val="auto"/>
          <w:sz w:val="30"/>
          <w:szCs w:val="30"/>
          <w:highlight w:val="none"/>
          <w:lang w:eastAsia="zh-CN"/>
        </w:rPr>
        <w:t>,</w:t>
      </w:r>
      <w:r>
        <w:rPr>
          <w:rFonts w:hint="eastAsia" w:ascii="Times New Roman" w:hAnsi="Times New Roman" w:eastAsia="方正仿宋_GBK" w:cs="Times New Roman"/>
          <w:color w:val="auto"/>
          <w:sz w:val="30"/>
          <w:szCs w:val="30"/>
          <w:highlight w:val="none"/>
          <w:lang w:val="en-US" w:eastAsia="zh-CN"/>
        </w:rPr>
        <w:t>775.00元</w:t>
      </w:r>
      <w:r>
        <w:rPr>
          <w:rFonts w:hint="default" w:ascii="Times New Roman" w:hAnsi="Times New Roman" w:eastAsia="方正仿宋_GBK" w:cs="Times New Roman"/>
          <w:color w:val="auto"/>
          <w:kern w:val="0"/>
          <w:sz w:val="30"/>
          <w:szCs w:val="30"/>
          <w:highlight w:val="none"/>
        </w:rPr>
        <w:t>；</w:t>
      </w:r>
      <w:r>
        <w:rPr>
          <w:rFonts w:hint="default" w:ascii="Times New Roman" w:hAnsi="Times New Roman" w:eastAsia="方正仿宋_GBK" w:cs="Times New Roman"/>
          <w:color w:val="auto"/>
          <w:kern w:val="0"/>
          <w:sz w:val="30"/>
          <w:szCs w:val="30"/>
          <w:highlight w:val="none"/>
          <w:lang w:eastAsia="zh-CN"/>
        </w:rPr>
        <w:t>造成预决算差异</w:t>
      </w:r>
      <w:r>
        <w:rPr>
          <w:rFonts w:hint="default" w:ascii="Times New Roman" w:hAnsi="Times New Roman" w:eastAsia="方正仿宋_GBK" w:cs="Times New Roman"/>
          <w:kern w:val="0"/>
          <w:sz w:val="30"/>
          <w:szCs w:val="30"/>
          <w:highlight w:val="none"/>
          <w:lang w:eastAsia="zh-CN"/>
        </w:rPr>
        <w:t>的主要原因是</w:t>
      </w:r>
      <w:r>
        <w:rPr>
          <w:rFonts w:hint="eastAsia" w:ascii="Times New Roman" w:hAnsi="Times New Roman" w:eastAsia="方正仿宋_GBK" w:cs="Times New Roman"/>
          <w:kern w:val="0"/>
          <w:sz w:val="30"/>
          <w:szCs w:val="30"/>
          <w:highlight w:val="none"/>
          <w:lang w:val="en-US" w:eastAsia="zh-CN"/>
        </w:rPr>
        <w:t>2025年新进三名职工</w:t>
      </w:r>
      <w:r>
        <w:rPr>
          <w:rFonts w:hint="default" w:ascii="Times New Roman" w:hAnsi="Times New Roman" w:eastAsia="方正仿宋_GBK" w:cs="Times New Roman"/>
          <w:kern w:val="0"/>
          <w:sz w:val="30"/>
          <w:szCs w:val="30"/>
          <w:highlight w:val="none"/>
          <w:lang w:eastAsia="zh-CN"/>
        </w:rPr>
        <w:t>。</w:t>
      </w:r>
    </w:p>
    <w:p w14:paraId="16ADA4C1">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20.粮油物资储备（类）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779A73FA">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Times New Roman" w:hAnsi="Times New Roman" w:eastAsia="方正仿宋_GBK" w:cs="Times New Roman"/>
          <w:color w:val="auto"/>
          <w:sz w:val="30"/>
          <w:szCs w:val="30"/>
          <w:highlight w:val="none"/>
          <w:lang w:eastAsia="zh-CN"/>
        </w:rPr>
      </w:pPr>
      <w:r>
        <w:rPr>
          <w:rFonts w:hint="default" w:ascii="Times New Roman" w:hAnsi="Times New Roman" w:eastAsia="方正仿宋_GBK" w:cs="Times New Roman"/>
          <w:color w:val="auto"/>
          <w:kern w:val="0"/>
          <w:sz w:val="30"/>
          <w:highlight w:val="none"/>
          <w:lang w:val="en-US"/>
        </w:rPr>
        <w:t>21.国有资本经营预算（类）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46D32827">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22.灾害防治及应急管理（类）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7225C8B0">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23.其他（类）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5A10DCB8">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color w:val="auto"/>
          <w:kern w:val="0"/>
          <w:sz w:val="30"/>
          <w:highlight w:val="none"/>
          <w:lang w:val="en-US"/>
        </w:rPr>
        <w:t>24.债务还本（类）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0FE0E944">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eastAsia" w:ascii="Times New Roman" w:hAnsi="Times New Roman" w:eastAsia="方正仿宋_GBK" w:cs="Times New Roman"/>
          <w:color w:val="auto"/>
          <w:sz w:val="30"/>
          <w:szCs w:val="30"/>
          <w:highlight w:val="none"/>
          <w:lang w:eastAsia="zh-CN"/>
        </w:rPr>
      </w:pPr>
      <w:r>
        <w:rPr>
          <w:rFonts w:hint="default" w:ascii="Times New Roman" w:hAnsi="Times New Roman" w:eastAsia="方正仿宋_GBK" w:cs="Times New Roman"/>
          <w:color w:val="auto"/>
          <w:kern w:val="0"/>
          <w:sz w:val="30"/>
          <w:highlight w:val="none"/>
          <w:lang w:val="en-US"/>
        </w:rPr>
        <w:t>25.债务付息（类）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07B61058">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color w:val="auto"/>
          <w:kern w:val="0"/>
          <w:sz w:val="30"/>
          <w:highlight w:val="none"/>
          <w:lang w:val="en-US"/>
        </w:rPr>
        <w:t>26.抗疫特别国债安排（类）</w:t>
      </w:r>
      <w:r>
        <w:rPr>
          <w:rFonts w:hint="eastAsia" w:ascii="Times New Roman" w:hAnsi="Times New Roman" w:eastAsia="方正仿宋_GBK" w:cs="Times New Roman"/>
          <w:color w:val="auto"/>
          <w:kern w:val="0"/>
          <w:sz w:val="30"/>
          <w:szCs w:val="30"/>
          <w:highlight w:val="none"/>
          <w:lang w:eastAsia="zh-CN"/>
        </w:rPr>
        <w:t>无</w:t>
      </w:r>
      <w:r>
        <w:rPr>
          <w:rFonts w:hint="default" w:ascii="Times New Roman" w:hAnsi="Times New Roman" w:eastAsia="方正仿宋_GBK" w:cs="Times New Roman"/>
          <w:color w:val="auto"/>
          <w:kern w:val="0"/>
          <w:sz w:val="30"/>
          <w:szCs w:val="30"/>
          <w:highlight w:val="none"/>
        </w:rPr>
        <w:t>支出，</w:t>
      </w:r>
      <w:r>
        <w:rPr>
          <w:rFonts w:hint="default" w:ascii="Times New Roman" w:hAnsi="Times New Roman" w:eastAsia="方正仿宋_GBK" w:cs="Times New Roman"/>
          <w:color w:val="auto"/>
          <w:sz w:val="30"/>
          <w:szCs w:val="30"/>
          <w:highlight w:val="none"/>
          <w:lang w:eastAsia="zh-CN"/>
        </w:rPr>
        <w:t>年初无此项预算</w:t>
      </w:r>
      <w:r>
        <w:rPr>
          <w:rFonts w:hint="eastAsia" w:ascii="Times New Roman" w:hAnsi="Times New Roman" w:eastAsia="方正仿宋_GBK" w:cs="Times New Roman"/>
          <w:color w:val="auto"/>
          <w:sz w:val="30"/>
          <w:szCs w:val="30"/>
          <w:highlight w:val="none"/>
          <w:lang w:eastAsia="zh-CN"/>
        </w:rPr>
        <w:t>。</w:t>
      </w:r>
    </w:p>
    <w:p w14:paraId="629A495E">
      <w:pPr>
        <w:keepNext w:val="0"/>
        <w:keepLines w:val="0"/>
        <w:pageBreakBefore w:val="0"/>
        <w:widowControl/>
        <w:numPr>
          <w:ilvl w:val="0"/>
          <w:numId w:val="1"/>
        </w:numPr>
        <w:kinsoku/>
        <w:overflowPunct/>
        <w:topLinePunct w:val="0"/>
        <w:autoSpaceDE/>
        <w:autoSpaceDN/>
        <w:bidi w:val="0"/>
        <w:snapToGrid w:val="0"/>
        <w:spacing w:before="100" w:after="100" w:line="600" w:lineRule="exact"/>
        <w:ind w:firstLine="600" w:firstLineChars="200"/>
        <w:jc w:val="left"/>
        <w:textAlignment w:val="auto"/>
        <w:outlineLvl w:val="1"/>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rPr>
        <w:t>财政拨款“三公”经费支出决算情况说明</w:t>
      </w:r>
    </w:p>
    <w:p w14:paraId="299E768A">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default" w:ascii="Times New Roman" w:hAnsi="Times New Roman" w:eastAsia="方正楷体_GBK" w:cs="Times New Roman"/>
          <w:sz w:val="30"/>
          <w:szCs w:val="30"/>
          <w:highlight w:val="none"/>
          <w:lang w:val="en-US" w:eastAsia="zh-CN"/>
        </w:rPr>
      </w:pPr>
      <w:r>
        <w:rPr>
          <w:rFonts w:hint="default" w:ascii="Times New Roman" w:hAnsi="Times New Roman" w:eastAsia="方正楷体_GBK" w:cs="Times New Roman"/>
          <w:sz w:val="30"/>
          <w:szCs w:val="30"/>
          <w:highlight w:val="none"/>
          <w:lang w:val="en-US" w:eastAsia="zh-CN"/>
        </w:rPr>
        <w:t>（一）总体情况</w:t>
      </w:r>
    </w:p>
    <w:p w14:paraId="34D85B52">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color w:val="auto"/>
          <w:sz w:val="30"/>
          <w:szCs w:val="30"/>
          <w:highlight w:val="none"/>
          <w:lang w:eastAsia="zh-CN"/>
        </w:rPr>
      </w:pPr>
      <w:r>
        <w:rPr>
          <w:rFonts w:hint="default" w:ascii="Times New Roman" w:hAnsi="Times New Roman" w:eastAsia="方正仿宋_GBK" w:cs="Times New Roman"/>
          <w:kern w:val="0"/>
          <w:sz w:val="30"/>
          <w:szCs w:val="30"/>
          <w:highlight w:val="none"/>
          <w:lang w:val="en-US" w:eastAsia="zh-CN"/>
        </w:rPr>
        <w:t>2025</w:t>
      </w:r>
      <w:r>
        <w:rPr>
          <w:rFonts w:hint="default" w:ascii="Times New Roman" w:hAnsi="Times New Roman" w:eastAsia="方正仿宋_GBK" w:cs="Times New Roman"/>
          <w:kern w:val="0"/>
          <w:sz w:val="30"/>
          <w:szCs w:val="30"/>
          <w:highlight w:val="none"/>
        </w:rPr>
        <w:t>年度财政拨款“三公”经费支出决算中，财政拨款“三公”经费支出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eastAsia" w:ascii="Times New Roman" w:hAnsi="Times New Roman" w:eastAsia="方正仿宋_GBK" w:cs="Times New Roman"/>
          <w:sz w:val="30"/>
          <w:szCs w:val="30"/>
          <w:highlight w:val="none"/>
          <w:lang w:val="en-US" w:eastAsia="zh-CN"/>
        </w:rPr>
        <w:t>241,800.00</w:t>
      </w:r>
      <w:r>
        <w:rPr>
          <w:rFonts w:hint="default" w:ascii="Times New Roman" w:hAnsi="Times New Roman" w:eastAsia="方正仿宋_GBK" w:cs="Times New Roman"/>
          <w:kern w:val="0"/>
          <w:sz w:val="30"/>
          <w:szCs w:val="30"/>
          <w:highlight w:val="none"/>
        </w:rPr>
        <w:t>元，决算为</w:t>
      </w:r>
      <w:r>
        <w:rPr>
          <w:rFonts w:hint="eastAsia" w:ascii="Times New Roman" w:hAnsi="Times New Roman" w:eastAsia="方正仿宋_GBK" w:cs="Times New Roman"/>
          <w:sz w:val="30"/>
          <w:szCs w:val="30"/>
          <w:highlight w:val="none"/>
          <w:lang w:val="en-US" w:eastAsia="zh-CN"/>
        </w:rPr>
        <w:t>231,916.00</w:t>
      </w:r>
      <w:r>
        <w:rPr>
          <w:rFonts w:hint="default" w:ascii="Times New Roman" w:hAnsi="Times New Roman" w:eastAsia="方正仿宋_GBK" w:cs="Times New Roman"/>
          <w:kern w:val="0"/>
          <w:sz w:val="30"/>
          <w:szCs w:val="30"/>
          <w:highlight w:val="none"/>
        </w:rPr>
        <w:t>元，完成</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预算的</w:t>
      </w:r>
      <w:r>
        <w:rPr>
          <w:rFonts w:hint="eastAsia" w:ascii="Times New Roman" w:hAnsi="Times New Roman" w:eastAsia="方正仿宋_GBK" w:cs="Times New Roman"/>
          <w:sz w:val="30"/>
          <w:szCs w:val="30"/>
          <w:highlight w:val="none"/>
          <w:lang w:val="en-US" w:eastAsia="zh-CN"/>
        </w:rPr>
        <w:t>95.91</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；支出决算较上年增加18,269.69</w:t>
      </w:r>
      <w:r>
        <w:rPr>
          <w:rFonts w:hint="default" w:ascii="Times New Roman" w:hAnsi="Times New Roman" w:eastAsia="方正仿宋_GBK" w:cs="Times New Roman"/>
          <w:kern w:val="0"/>
          <w:sz w:val="30"/>
          <w:szCs w:val="30"/>
          <w:highlight w:val="none"/>
          <w:lang w:val="en-US" w:eastAsia="zh-CN"/>
        </w:rPr>
        <w:t>元，增长8.55%</w:t>
      </w:r>
      <w:r>
        <w:rPr>
          <w:rFonts w:hint="default" w:ascii="Times New Roman" w:hAnsi="Times New Roman" w:eastAsia="方正仿宋_GBK" w:cs="Times New Roman"/>
          <w:color w:val="auto"/>
          <w:sz w:val="30"/>
          <w:szCs w:val="30"/>
          <w:highlight w:val="none"/>
          <w:lang w:eastAsia="zh-CN"/>
        </w:rPr>
        <w:t>。</w:t>
      </w:r>
    </w:p>
    <w:p w14:paraId="7935C21C">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color w:val="FF0000"/>
          <w:sz w:val="30"/>
          <w:szCs w:val="30"/>
          <w:highlight w:val="none"/>
          <w:lang w:eastAsia="zh-CN"/>
        </w:rPr>
      </w:pPr>
      <w:r>
        <w:rPr>
          <w:rFonts w:hint="default" w:ascii="Times New Roman" w:hAnsi="Times New Roman" w:eastAsia="方正仿宋_GBK" w:cs="Times New Roman"/>
          <w:kern w:val="0"/>
          <w:sz w:val="30"/>
          <w:szCs w:val="30"/>
          <w:highlight w:val="none"/>
          <w:lang w:eastAsia="zh-CN"/>
        </w:rPr>
        <w:t>因公出国（境）费用</w:t>
      </w:r>
      <w:r>
        <w:rPr>
          <w:rFonts w:hint="default" w:ascii="Times New Roman" w:hAnsi="Times New Roman" w:eastAsia="方正仿宋_GBK" w:cs="Times New Roman"/>
          <w:kern w:val="0"/>
          <w:sz w:val="30"/>
          <w:szCs w:val="30"/>
          <w:highlight w:val="none"/>
        </w:rPr>
        <w:t>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kern w:val="0"/>
          <w:sz w:val="30"/>
          <w:szCs w:val="30"/>
          <w:highlight w:val="none"/>
        </w:rPr>
        <w:t>元</w:t>
      </w:r>
      <w:r>
        <w:rPr>
          <w:rFonts w:hint="default" w:ascii="Times New Roman" w:hAnsi="Times New Roman" w:eastAsia="方正仿宋_GBK" w:cs="Times New Roman"/>
          <w:kern w:val="0"/>
          <w:sz w:val="30"/>
          <w:szCs w:val="30"/>
          <w:highlight w:val="none"/>
          <w:lang w:eastAsia="zh-CN"/>
        </w:rPr>
        <w:t>，决算为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kern w:val="0"/>
          <w:sz w:val="30"/>
          <w:szCs w:val="30"/>
          <w:highlight w:val="none"/>
        </w:rPr>
        <w:t>元，占财政拨款“三公”经费</w:t>
      </w:r>
      <w:r>
        <w:rPr>
          <w:rFonts w:hint="default" w:ascii="Times New Roman" w:hAnsi="Times New Roman" w:eastAsia="方正仿宋_GBK" w:cs="Times New Roman"/>
          <w:kern w:val="0"/>
          <w:sz w:val="30"/>
          <w:szCs w:val="30"/>
          <w:highlight w:val="none"/>
          <w:lang w:eastAsia="zh-CN"/>
        </w:rPr>
        <w:t>总支出决算的</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kern w:val="0"/>
          <w:sz w:val="30"/>
          <w:szCs w:val="30"/>
          <w:highlight w:val="none"/>
        </w:rPr>
        <w:t>%；公务用车购置费支出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kern w:val="0"/>
          <w:sz w:val="30"/>
          <w:szCs w:val="30"/>
          <w:highlight w:val="none"/>
        </w:rPr>
        <w:t>元</w:t>
      </w:r>
      <w:r>
        <w:rPr>
          <w:rFonts w:hint="default" w:ascii="Times New Roman" w:hAnsi="Times New Roman" w:eastAsia="方正仿宋_GBK" w:cs="Times New Roman"/>
          <w:kern w:val="0"/>
          <w:sz w:val="30"/>
          <w:szCs w:val="30"/>
          <w:highlight w:val="none"/>
          <w:lang w:eastAsia="zh-CN"/>
        </w:rPr>
        <w:t>，决算为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kern w:val="0"/>
          <w:sz w:val="30"/>
          <w:szCs w:val="30"/>
          <w:highlight w:val="none"/>
        </w:rPr>
        <w:t>元，占财政拨款“三公”经费</w:t>
      </w:r>
      <w:r>
        <w:rPr>
          <w:rFonts w:hint="default" w:ascii="Times New Roman" w:hAnsi="Times New Roman" w:eastAsia="方正仿宋_GBK" w:cs="Times New Roman"/>
          <w:kern w:val="0"/>
          <w:sz w:val="30"/>
          <w:szCs w:val="30"/>
          <w:highlight w:val="none"/>
          <w:lang w:eastAsia="zh-CN"/>
        </w:rPr>
        <w:t>总支出决算的</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kern w:val="0"/>
          <w:sz w:val="30"/>
          <w:szCs w:val="30"/>
          <w:highlight w:val="none"/>
        </w:rPr>
        <w:t>%；公务用车</w:t>
      </w:r>
      <w:r>
        <w:rPr>
          <w:rFonts w:hint="default" w:ascii="Times New Roman" w:hAnsi="Times New Roman" w:eastAsia="方正仿宋_GBK" w:cs="Times New Roman"/>
          <w:kern w:val="0"/>
          <w:sz w:val="30"/>
          <w:szCs w:val="30"/>
          <w:highlight w:val="none"/>
          <w:lang w:eastAsia="zh-CN"/>
        </w:rPr>
        <w:t>运行维护</w:t>
      </w:r>
      <w:r>
        <w:rPr>
          <w:rFonts w:hint="default" w:ascii="Times New Roman" w:hAnsi="Times New Roman" w:eastAsia="方正仿宋_GBK" w:cs="Times New Roman"/>
          <w:kern w:val="0"/>
          <w:sz w:val="30"/>
          <w:szCs w:val="30"/>
          <w:highlight w:val="none"/>
        </w:rPr>
        <w:t>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eastAsia" w:ascii="Times New Roman" w:hAnsi="Times New Roman" w:eastAsia="方正仿宋_GBK" w:cs="Times New Roman"/>
          <w:sz w:val="30"/>
          <w:szCs w:val="30"/>
          <w:highlight w:val="none"/>
          <w:lang w:val="en-US" w:eastAsia="zh-CN"/>
        </w:rPr>
        <w:t>229,800.00</w:t>
      </w:r>
      <w:r>
        <w:rPr>
          <w:rFonts w:hint="default" w:ascii="Times New Roman" w:hAnsi="Times New Roman" w:eastAsia="方正仿宋_GBK" w:cs="Times New Roman"/>
          <w:kern w:val="0"/>
          <w:sz w:val="30"/>
          <w:szCs w:val="30"/>
          <w:highlight w:val="none"/>
        </w:rPr>
        <w:t>元</w:t>
      </w:r>
      <w:r>
        <w:rPr>
          <w:rFonts w:hint="default" w:ascii="Times New Roman" w:hAnsi="Times New Roman" w:eastAsia="方正仿宋_GBK" w:cs="Times New Roman"/>
          <w:kern w:val="0"/>
          <w:sz w:val="30"/>
          <w:szCs w:val="30"/>
          <w:highlight w:val="none"/>
          <w:lang w:eastAsia="zh-CN"/>
        </w:rPr>
        <w:t>，决算为</w:t>
      </w:r>
      <w:r>
        <w:rPr>
          <w:rFonts w:hint="eastAsia" w:ascii="Times New Roman" w:hAnsi="Times New Roman" w:eastAsia="方正仿宋_GBK" w:cs="Times New Roman"/>
          <w:sz w:val="30"/>
          <w:szCs w:val="30"/>
          <w:highlight w:val="none"/>
          <w:lang w:val="en-US" w:eastAsia="zh-CN"/>
        </w:rPr>
        <w:t>229,800.00</w:t>
      </w:r>
      <w:r>
        <w:rPr>
          <w:rFonts w:hint="default" w:ascii="Times New Roman" w:hAnsi="Times New Roman" w:eastAsia="方正仿宋_GBK" w:cs="Times New Roman"/>
          <w:kern w:val="0"/>
          <w:sz w:val="30"/>
          <w:szCs w:val="30"/>
          <w:highlight w:val="none"/>
        </w:rPr>
        <w:t>元，占财政拨款“三公”经费</w:t>
      </w:r>
      <w:r>
        <w:rPr>
          <w:rFonts w:hint="default" w:ascii="Times New Roman" w:hAnsi="Times New Roman" w:eastAsia="方正仿宋_GBK" w:cs="Times New Roman"/>
          <w:kern w:val="0"/>
          <w:sz w:val="30"/>
          <w:szCs w:val="30"/>
          <w:highlight w:val="none"/>
          <w:lang w:eastAsia="zh-CN"/>
        </w:rPr>
        <w:t>总支出决算的</w:t>
      </w:r>
      <w:r>
        <w:rPr>
          <w:rFonts w:hint="eastAsia" w:ascii="Times New Roman" w:hAnsi="Times New Roman" w:eastAsia="方正仿宋_GBK" w:cs="Times New Roman"/>
          <w:sz w:val="30"/>
          <w:szCs w:val="30"/>
          <w:highlight w:val="none"/>
          <w:lang w:val="en-US" w:eastAsia="zh-CN"/>
        </w:rPr>
        <w:t>99.09</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，完成年初预算的</w:t>
      </w:r>
      <w:r>
        <w:rPr>
          <w:rFonts w:hint="eastAsia" w:ascii="Times New Roman" w:hAnsi="Times New Roman" w:eastAsia="方正仿宋_GBK" w:cs="Times New Roman"/>
          <w:kern w:val="0"/>
          <w:sz w:val="30"/>
          <w:szCs w:val="30"/>
          <w:highlight w:val="none"/>
          <w:lang w:val="en-US" w:eastAsia="zh-CN"/>
        </w:rPr>
        <w:t>100.00</w:t>
      </w:r>
      <w:r>
        <w:rPr>
          <w:rFonts w:hint="default" w:ascii="Times New Roman" w:hAnsi="Times New Roman" w:eastAsia="方正仿宋_GBK" w:cs="Times New Roman"/>
          <w:kern w:val="0"/>
          <w:sz w:val="30"/>
          <w:szCs w:val="30"/>
          <w:highlight w:val="none"/>
          <w:lang w:val="en-US" w:eastAsia="zh-CN"/>
        </w:rPr>
        <w:t>%；</w:t>
      </w:r>
      <w:r>
        <w:rPr>
          <w:rFonts w:hint="default" w:ascii="Times New Roman" w:hAnsi="Times New Roman" w:eastAsia="方正仿宋_GBK" w:cs="Times New Roman"/>
          <w:kern w:val="0"/>
          <w:sz w:val="30"/>
          <w:szCs w:val="30"/>
          <w:highlight w:val="none"/>
        </w:rPr>
        <w:t>公务接待费支出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kern w:val="0"/>
          <w:sz w:val="30"/>
          <w:szCs w:val="30"/>
          <w:highlight w:val="none"/>
        </w:rPr>
        <w:t>预算为</w:t>
      </w:r>
      <w:r>
        <w:rPr>
          <w:rFonts w:hint="eastAsia" w:ascii="Times New Roman" w:hAnsi="Times New Roman" w:eastAsia="方正仿宋_GBK" w:cs="Times New Roman"/>
          <w:sz w:val="30"/>
          <w:szCs w:val="30"/>
          <w:highlight w:val="none"/>
          <w:lang w:val="en-US" w:eastAsia="zh-CN"/>
        </w:rPr>
        <w:t>12,000.00</w:t>
      </w:r>
      <w:r>
        <w:rPr>
          <w:rFonts w:hint="default" w:ascii="Times New Roman" w:hAnsi="Times New Roman" w:eastAsia="方正仿宋_GBK" w:cs="Times New Roman"/>
          <w:kern w:val="0"/>
          <w:sz w:val="30"/>
          <w:szCs w:val="30"/>
          <w:highlight w:val="none"/>
        </w:rPr>
        <w:t>元</w:t>
      </w:r>
      <w:r>
        <w:rPr>
          <w:rFonts w:hint="default" w:ascii="Times New Roman" w:hAnsi="Times New Roman" w:eastAsia="方正仿宋_GBK" w:cs="Times New Roman"/>
          <w:kern w:val="0"/>
          <w:sz w:val="30"/>
          <w:szCs w:val="30"/>
          <w:highlight w:val="none"/>
          <w:lang w:eastAsia="zh-CN"/>
        </w:rPr>
        <w:t>，决算为</w:t>
      </w:r>
      <w:r>
        <w:rPr>
          <w:rFonts w:hint="eastAsia" w:ascii="Times New Roman" w:hAnsi="Times New Roman" w:eastAsia="方正仿宋_GBK" w:cs="Times New Roman"/>
          <w:sz w:val="30"/>
          <w:szCs w:val="30"/>
          <w:highlight w:val="none"/>
          <w:lang w:val="en-US" w:eastAsia="zh-CN"/>
        </w:rPr>
        <w:t>2,116.00</w:t>
      </w:r>
      <w:r>
        <w:rPr>
          <w:rFonts w:hint="default" w:ascii="Times New Roman" w:hAnsi="Times New Roman" w:eastAsia="方正仿宋_GBK" w:cs="Times New Roman"/>
          <w:kern w:val="0"/>
          <w:sz w:val="30"/>
          <w:szCs w:val="30"/>
          <w:highlight w:val="none"/>
        </w:rPr>
        <w:t>元，占财政拨款“三公”经费</w:t>
      </w:r>
      <w:r>
        <w:rPr>
          <w:rFonts w:hint="default" w:ascii="Times New Roman" w:hAnsi="Times New Roman" w:eastAsia="方正仿宋_GBK" w:cs="Times New Roman"/>
          <w:kern w:val="0"/>
          <w:sz w:val="30"/>
          <w:szCs w:val="30"/>
          <w:highlight w:val="none"/>
          <w:lang w:eastAsia="zh-CN"/>
        </w:rPr>
        <w:t>总支出决算的</w:t>
      </w:r>
      <w:r>
        <w:rPr>
          <w:rFonts w:hint="eastAsia" w:ascii="Times New Roman" w:hAnsi="Times New Roman" w:eastAsia="方正仿宋_GBK" w:cs="Times New Roman"/>
          <w:sz w:val="30"/>
          <w:szCs w:val="30"/>
          <w:highlight w:val="none"/>
          <w:lang w:val="en-US" w:eastAsia="zh-CN"/>
        </w:rPr>
        <w:t>0.91</w:t>
      </w:r>
      <w:r>
        <w:rPr>
          <w:rFonts w:hint="default" w:ascii="Times New Roman" w:hAnsi="Times New Roman" w:eastAsia="方正仿宋_GBK" w:cs="Times New Roman"/>
          <w:kern w:val="0"/>
          <w:sz w:val="30"/>
          <w:szCs w:val="30"/>
          <w:highlight w:val="none"/>
        </w:rPr>
        <w:t>%</w:t>
      </w:r>
      <w:r>
        <w:rPr>
          <w:rFonts w:hint="default" w:ascii="Times New Roman" w:hAnsi="Times New Roman" w:eastAsia="方正仿宋_GBK" w:cs="Times New Roman"/>
          <w:kern w:val="0"/>
          <w:sz w:val="30"/>
          <w:szCs w:val="30"/>
          <w:highlight w:val="none"/>
          <w:lang w:eastAsia="zh-CN"/>
        </w:rPr>
        <w:t>，完成年初预算的</w:t>
      </w:r>
      <w:r>
        <w:rPr>
          <w:rFonts w:hint="eastAsia" w:ascii="Times New Roman" w:hAnsi="Times New Roman" w:eastAsia="方正仿宋_GBK" w:cs="Times New Roman"/>
          <w:sz w:val="30"/>
          <w:szCs w:val="30"/>
          <w:highlight w:val="none"/>
          <w:lang w:val="en-US" w:eastAsia="zh-CN"/>
        </w:rPr>
        <w:t>17.63</w:t>
      </w:r>
      <w:r>
        <w:rPr>
          <w:rFonts w:hint="default" w:ascii="Times New Roman" w:hAnsi="Times New Roman" w:eastAsia="方正仿宋_GBK" w:cs="Times New Roman"/>
          <w:color w:val="auto"/>
          <w:kern w:val="0"/>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w:t>
      </w:r>
    </w:p>
    <w:p w14:paraId="7367C85C">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sz w:val="30"/>
          <w:szCs w:val="30"/>
          <w:highlight w:val="none"/>
          <w:lang w:eastAsia="zh-CN"/>
        </w:rPr>
        <w:t>因公出国（境）费用</w:t>
      </w:r>
      <w:r>
        <w:rPr>
          <w:rFonts w:hint="default" w:ascii="Times New Roman" w:hAnsi="Times New Roman" w:eastAsia="方正仿宋_GBK" w:cs="Times New Roman"/>
          <w:kern w:val="0"/>
          <w:sz w:val="30"/>
          <w:szCs w:val="30"/>
          <w:highlight w:val="none"/>
          <w:lang w:eastAsia="zh-CN"/>
        </w:rPr>
        <w:t>支出决算</w:t>
      </w:r>
      <w:r>
        <w:rPr>
          <w:rFonts w:hint="eastAsia" w:ascii="Times New Roman" w:hAnsi="Times New Roman" w:eastAsia="方正仿宋_GBK" w:cs="Times New Roman"/>
          <w:kern w:val="0"/>
          <w:sz w:val="30"/>
          <w:szCs w:val="30"/>
          <w:highlight w:val="none"/>
          <w:lang w:val="en-US" w:eastAsia="zh-CN"/>
        </w:rPr>
        <w:t>0.00元</w:t>
      </w:r>
      <w:r>
        <w:rPr>
          <w:rFonts w:hint="default" w:ascii="Times New Roman" w:hAnsi="Times New Roman" w:eastAsia="方正仿宋_GBK" w:cs="Times New Roman"/>
          <w:color w:val="auto"/>
          <w:kern w:val="0"/>
          <w:sz w:val="30"/>
          <w:szCs w:val="30"/>
          <w:highlight w:val="none"/>
          <w:lang w:eastAsia="zh-CN"/>
        </w:rPr>
        <w:t>较上年</w:t>
      </w:r>
      <w:r>
        <w:rPr>
          <w:rFonts w:hint="eastAsia" w:ascii="Times New Roman" w:hAnsi="Times New Roman" w:eastAsia="方正仿宋_GBK" w:cs="Times New Roman"/>
          <w:color w:val="auto"/>
          <w:kern w:val="0"/>
          <w:sz w:val="30"/>
          <w:szCs w:val="30"/>
          <w:highlight w:val="none"/>
          <w:lang w:eastAsia="zh-CN"/>
        </w:rPr>
        <w:t>无变化</w:t>
      </w:r>
      <w:r>
        <w:rPr>
          <w:rFonts w:hint="default" w:ascii="Times New Roman" w:hAnsi="Times New Roman" w:eastAsia="方正仿宋_GBK" w:cs="Times New Roman"/>
          <w:color w:val="auto"/>
          <w:kern w:val="0"/>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sz w:val="30"/>
          <w:szCs w:val="30"/>
          <w:highlight w:val="none"/>
        </w:rPr>
        <w:t>公务用车购置费</w:t>
      </w:r>
      <w:r>
        <w:rPr>
          <w:rFonts w:hint="default" w:ascii="Times New Roman" w:hAnsi="Times New Roman" w:eastAsia="方正仿宋_GBK" w:cs="Times New Roman"/>
          <w:kern w:val="0"/>
          <w:sz w:val="30"/>
          <w:szCs w:val="30"/>
          <w:highlight w:val="none"/>
          <w:lang w:eastAsia="zh-CN"/>
        </w:rPr>
        <w:t>支出决算</w:t>
      </w:r>
      <w:r>
        <w:rPr>
          <w:rFonts w:hint="eastAsia" w:ascii="Times New Roman" w:hAnsi="Times New Roman" w:eastAsia="方正仿宋_GBK" w:cs="Times New Roman"/>
          <w:kern w:val="0"/>
          <w:sz w:val="30"/>
          <w:szCs w:val="30"/>
          <w:highlight w:val="none"/>
          <w:lang w:val="en-US" w:eastAsia="zh-CN"/>
        </w:rPr>
        <w:t>0.00元</w:t>
      </w:r>
      <w:r>
        <w:rPr>
          <w:rFonts w:hint="default" w:ascii="Times New Roman" w:hAnsi="Times New Roman" w:eastAsia="方正仿宋_GBK" w:cs="Times New Roman"/>
          <w:color w:val="auto"/>
          <w:kern w:val="0"/>
          <w:sz w:val="30"/>
          <w:szCs w:val="30"/>
          <w:highlight w:val="none"/>
          <w:lang w:eastAsia="zh-CN"/>
        </w:rPr>
        <w:t>较上年</w:t>
      </w:r>
      <w:r>
        <w:rPr>
          <w:rFonts w:hint="eastAsia" w:ascii="Times New Roman" w:hAnsi="Times New Roman" w:eastAsia="方正仿宋_GBK" w:cs="Times New Roman"/>
          <w:color w:val="auto"/>
          <w:kern w:val="0"/>
          <w:sz w:val="30"/>
          <w:szCs w:val="30"/>
          <w:highlight w:val="none"/>
          <w:lang w:eastAsia="zh-CN"/>
        </w:rPr>
        <w:t>无变化</w:t>
      </w:r>
      <w:r>
        <w:rPr>
          <w:rFonts w:hint="default" w:ascii="Times New Roman" w:hAnsi="Times New Roman" w:eastAsia="方正仿宋_GBK" w:cs="Times New Roman"/>
          <w:color w:val="auto"/>
          <w:kern w:val="0"/>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sz w:val="30"/>
          <w:szCs w:val="30"/>
          <w:highlight w:val="none"/>
        </w:rPr>
        <w:t>公务用车</w:t>
      </w:r>
      <w:r>
        <w:rPr>
          <w:rFonts w:hint="default" w:ascii="Times New Roman" w:hAnsi="Times New Roman" w:eastAsia="方正仿宋_GBK" w:cs="Times New Roman"/>
          <w:sz w:val="30"/>
          <w:szCs w:val="30"/>
          <w:highlight w:val="none"/>
          <w:lang w:eastAsia="zh-CN"/>
        </w:rPr>
        <w:t>运行维护费</w:t>
      </w:r>
      <w:r>
        <w:rPr>
          <w:rFonts w:hint="default" w:ascii="Times New Roman" w:hAnsi="Times New Roman" w:eastAsia="方正仿宋_GBK" w:cs="Times New Roman"/>
          <w:kern w:val="0"/>
          <w:sz w:val="30"/>
          <w:szCs w:val="30"/>
          <w:highlight w:val="none"/>
          <w:lang w:eastAsia="zh-CN"/>
        </w:rPr>
        <w:t>支出决算较上年增加</w:t>
      </w:r>
      <w:r>
        <w:rPr>
          <w:rFonts w:hint="default" w:ascii="Times New Roman" w:hAnsi="Times New Roman" w:eastAsia="方正仿宋_GBK" w:cs="Times New Roman"/>
          <w:sz w:val="30"/>
          <w:szCs w:val="30"/>
          <w:highlight w:val="none"/>
          <w:lang w:eastAsia="zh-CN"/>
        </w:rPr>
        <w:t>28,153.69</w:t>
      </w:r>
      <w:r>
        <w:rPr>
          <w:rFonts w:hint="default" w:ascii="Times New Roman" w:hAnsi="Times New Roman" w:eastAsia="方正仿宋_GBK" w:cs="Times New Roman"/>
          <w:kern w:val="0"/>
          <w:sz w:val="30"/>
          <w:szCs w:val="30"/>
          <w:highlight w:val="none"/>
          <w:lang w:val="en-US" w:eastAsia="zh-CN"/>
        </w:rPr>
        <w:t>元，增长13.96%</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sz w:val="30"/>
          <w:szCs w:val="30"/>
          <w:highlight w:val="none"/>
        </w:rPr>
        <w:t>公务接待费</w:t>
      </w:r>
      <w:r>
        <w:rPr>
          <w:rFonts w:hint="default" w:ascii="Times New Roman" w:hAnsi="Times New Roman" w:eastAsia="方正仿宋_GBK" w:cs="Times New Roman"/>
          <w:kern w:val="0"/>
          <w:sz w:val="30"/>
          <w:szCs w:val="30"/>
          <w:highlight w:val="none"/>
          <w:lang w:eastAsia="zh-CN"/>
        </w:rPr>
        <w:t>支出决算较</w:t>
      </w:r>
      <w:r>
        <w:rPr>
          <w:rFonts w:hint="default" w:ascii="Times New Roman" w:hAnsi="Times New Roman" w:eastAsia="方正仿宋_GBK" w:cs="Times New Roman"/>
          <w:color w:val="auto"/>
          <w:kern w:val="0"/>
          <w:sz w:val="30"/>
          <w:szCs w:val="30"/>
          <w:highlight w:val="none"/>
          <w:lang w:eastAsia="zh-CN"/>
        </w:rPr>
        <w:t>上年</w:t>
      </w:r>
      <w:r>
        <w:rPr>
          <w:rFonts w:hint="default" w:ascii="Times New Roman" w:hAnsi="Times New Roman" w:eastAsia="方正仿宋_GBK" w:cs="Times New Roman"/>
          <w:color w:val="auto"/>
          <w:kern w:val="0"/>
          <w:sz w:val="30"/>
          <w:szCs w:val="30"/>
          <w:highlight w:val="none"/>
          <w:lang w:val="en-US" w:eastAsia="zh-CN"/>
        </w:rPr>
        <w:t>减少9,884.00元，下降82.37%</w:t>
      </w:r>
      <w:r>
        <w:rPr>
          <w:rFonts w:hint="default" w:ascii="Times New Roman" w:hAnsi="Times New Roman" w:eastAsia="方正仿宋_GBK" w:cs="Times New Roman"/>
          <w:color w:val="auto"/>
          <w:kern w:val="0"/>
          <w:sz w:val="30"/>
          <w:szCs w:val="30"/>
          <w:highlight w:val="none"/>
          <w:lang w:eastAsia="zh-CN"/>
        </w:rPr>
        <w:t>；具体是国内接待费支出决算</w:t>
      </w:r>
      <w:r>
        <w:rPr>
          <w:rFonts w:hint="eastAsia" w:ascii="Times New Roman" w:hAnsi="Times New Roman" w:eastAsia="方正仿宋_GBK" w:cs="Times New Roman"/>
          <w:color w:val="auto"/>
          <w:sz w:val="30"/>
          <w:szCs w:val="30"/>
          <w:highlight w:val="none"/>
          <w:lang w:val="en-US" w:eastAsia="zh-CN"/>
        </w:rPr>
        <w:t>2,116.00</w:t>
      </w:r>
      <w:r>
        <w:rPr>
          <w:rFonts w:hint="default" w:ascii="Times New Roman" w:hAnsi="Times New Roman" w:eastAsia="方正仿宋_GBK" w:cs="Times New Roman"/>
          <w:color w:val="auto"/>
          <w:kern w:val="0"/>
          <w:sz w:val="30"/>
          <w:szCs w:val="30"/>
          <w:highlight w:val="none"/>
          <w:lang w:eastAsia="zh-CN"/>
        </w:rPr>
        <w:t>元（其中：外事接待费支出决算</w:t>
      </w:r>
      <w:r>
        <w:rPr>
          <w:rFonts w:hint="eastAsia" w:ascii="Times New Roman" w:hAnsi="Times New Roman" w:eastAsia="方正仿宋_GBK" w:cs="Times New Roman"/>
          <w:color w:val="auto"/>
          <w:sz w:val="30"/>
          <w:szCs w:val="30"/>
          <w:highlight w:val="none"/>
          <w:lang w:val="en-US" w:eastAsia="zh-CN"/>
        </w:rPr>
        <w:t>0.00</w:t>
      </w:r>
      <w:r>
        <w:rPr>
          <w:rFonts w:hint="default" w:ascii="Times New Roman" w:hAnsi="Times New Roman" w:eastAsia="方正仿宋_GBK" w:cs="Times New Roman"/>
          <w:color w:val="auto"/>
          <w:kern w:val="0"/>
          <w:sz w:val="30"/>
          <w:szCs w:val="30"/>
          <w:highlight w:val="none"/>
          <w:lang w:eastAsia="zh-CN"/>
        </w:rPr>
        <w:t>元），较上年</w:t>
      </w:r>
      <w:r>
        <w:rPr>
          <w:rFonts w:hint="default" w:ascii="Times New Roman" w:hAnsi="Times New Roman" w:eastAsia="方正仿宋_GBK" w:cs="Times New Roman"/>
          <w:color w:val="auto"/>
          <w:kern w:val="0"/>
          <w:sz w:val="30"/>
          <w:szCs w:val="30"/>
          <w:highlight w:val="none"/>
          <w:lang w:val="en-US" w:eastAsia="zh-CN"/>
        </w:rPr>
        <w:t>减少9,884.00元，下降82.37%</w:t>
      </w:r>
      <w:r>
        <w:rPr>
          <w:rFonts w:hint="default" w:ascii="Times New Roman" w:hAnsi="Times New Roman" w:eastAsia="方正仿宋_GBK" w:cs="Times New Roman"/>
          <w:color w:val="auto"/>
          <w:sz w:val="30"/>
          <w:szCs w:val="30"/>
          <w:highlight w:val="none"/>
          <w:lang w:eastAsia="zh-CN"/>
        </w:rPr>
        <w:t>；</w:t>
      </w:r>
      <w:r>
        <w:rPr>
          <w:rFonts w:hint="default" w:ascii="Times New Roman" w:hAnsi="Times New Roman" w:eastAsia="方正仿宋_GBK" w:cs="Times New Roman"/>
          <w:color w:val="auto"/>
          <w:kern w:val="0"/>
          <w:sz w:val="30"/>
          <w:szCs w:val="30"/>
          <w:highlight w:val="none"/>
          <w:lang w:eastAsia="zh-CN"/>
        </w:rPr>
        <w:t>国（境）外接待费支出决算</w:t>
      </w:r>
      <w:r>
        <w:rPr>
          <w:rFonts w:hint="eastAsia" w:ascii="Times New Roman" w:hAnsi="Times New Roman" w:eastAsia="方正仿宋_GBK" w:cs="Times New Roman"/>
          <w:color w:val="auto"/>
          <w:sz w:val="30"/>
          <w:szCs w:val="30"/>
          <w:highlight w:val="none"/>
          <w:lang w:val="en-US" w:eastAsia="zh-CN"/>
        </w:rPr>
        <w:t>0.00</w:t>
      </w:r>
      <w:r>
        <w:rPr>
          <w:rFonts w:hint="default" w:ascii="Times New Roman" w:hAnsi="Times New Roman" w:eastAsia="方正仿宋_GBK" w:cs="Times New Roman"/>
          <w:color w:val="auto"/>
          <w:kern w:val="0"/>
          <w:sz w:val="30"/>
          <w:szCs w:val="30"/>
          <w:highlight w:val="none"/>
          <w:lang w:eastAsia="zh-CN"/>
        </w:rPr>
        <w:t>元较上年</w:t>
      </w:r>
      <w:r>
        <w:rPr>
          <w:rFonts w:hint="eastAsia" w:ascii="Times New Roman" w:hAnsi="Times New Roman" w:eastAsia="方正仿宋_GBK" w:cs="Times New Roman"/>
          <w:color w:val="auto"/>
          <w:kern w:val="0"/>
          <w:sz w:val="30"/>
          <w:szCs w:val="30"/>
          <w:highlight w:val="none"/>
          <w:lang w:eastAsia="zh-CN"/>
        </w:rPr>
        <w:t>无变化</w:t>
      </w:r>
      <w:r>
        <w:rPr>
          <w:rFonts w:hint="default" w:ascii="Times New Roman" w:hAnsi="Times New Roman" w:eastAsia="方正仿宋_GBK" w:cs="Times New Roman"/>
          <w:color w:val="auto"/>
          <w:kern w:val="0"/>
          <w:sz w:val="30"/>
          <w:szCs w:val="30"/>
          <w:highlight w:val="none"/>
          <w:lang w:val="en-US" w:eastAsia="zh-CN"/>
        </w:rPr>
        <w:t>，</w:t>
      </w:r>
      <w:r>
        <w:rPr>
          <w:rFonts w:hint="default" w:ascii="Times New Roman" w:hAnsi="Times New Roman" w:eastAsia="方正仿宋_GBK" w:cs="Times New Roman"/>
          <w:color w:val="auto"/>
          <w:sz w:val="30"/>
          <w:szCs w:val="30"/>
          <w:highlight w:val="none"/>
          <w:lang w:eastAsia="zh-CN"/>
        </w:rPr>
        <w:t>上年无此项支出</w:t>
      </w:r>
      <w:r>
        <w:rPr>
          <w:rFonts w:hint="default" w:ascii="Times New Roman" w:hAnsi="Times New Roman" w:eastAsia="方正仿宋_GBK" w:cs="Times New Roman"/>
          <w:color w:val="auto"/>
          <w:kern w:val="0"/>
          <w:sz w:val="30"/>
          <w:szCs w:val="30"/>
          <w:highlight w:val="none"/>
          <w:lang w:eastAsia="zh-CN"/>
        </w:rPr>
        <w:t>。</w:t>
      </w:r>
    </w:p>
    <w:p w14:paraId="00820748">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p>
    <w:p w14:paraId="29D2AFBB">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p>
    <w:p w14:paraId="7171373D">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p>
    <w:p w14:paraId="79423AF9">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default" w:ascii="Times New Roman" w:hAnsi="Times New Roman" w:eastAsia="方正楷体_GBK" w:cs="Times New Roman"/>
          <w:sz w:val="30"/>
          <w:szCs w:val="30"/>
          <w:highlight w:val="none"/>
          <w:lang w:val="en-US" w:eastAsia="zh-CN"/>
        </w:rPr>
      </w:pPr>
      <w:r>
        <w:rPr>
          <w:rFonts w:hint="default" w:ascii="Times New Roman" w:hAnsi="Times New Roman" w:eastAsia="方正楷体_GBK" w:cs="Times New Roman"/>
          <w:sz w:val="30"/>
          <w:szCs w:val="30"/>
          <w:highlight w:val="none"/>
          <w:lang w:val="en-US" w:eastAsia="zh-CN"/>
        </w:rPr>
        <w:t>（二）一般公共预算财政拨款“三公”经费支出决算情况说明</w:t>
      </w:r>
    </w:p>
    <w:p w14:paraId="406F4D3C">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kern w:val="0"/>
          <w:sz w:val="30"/>
          <w:szCs w:val="30"/>
          <w:highlight w:val="none"/>
          <w:lang w:eastAsia="zh-CN"/>
        </w:rPr>
      </w:pP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年度一般公共预算财政拨款“三公”经费支出</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sz w:val="30"/>
          <w:szCs w:val="30"/>
          <w:highlight w:val="none"/>
        </w:rPr>
        <w:t>预算为</w:t>
      </w:r>
      <w:r>
        <w:rPr>
          <w:rFonts w:hint="eastAsia" w:ascii="Times New Roman" w:hAnsi="Times New Roman" w:eastAsia="方正仿宋_GBK" w:cs="Times New Roman"/>
          <w:sz w:val="30"/>
          <w:szCs w:val="30"/>
          <w:highlight w:val="none"/>
          <w:lang w:val="en-US" w:eastAsia="zh-CN"/>
        </w:rPr>
        <w:t>241,800.00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，支出决算为</w:t>
      </w:r>
      <w:r>
        <w:rPr>
          <w:rFonts w:hint="eastAsia" w:ascii="Times New Roman" w:hAnsi="Times New Roman" w:eastAsia="方正仿宋_GBK" w:cs="Times New Roman"/>
          <w:sz w:val="30"/>
          <w:szCs w:val="30"/>
          <w:highlight w:val="none"/>
          <w:lang w:val="en-US" w:eastAsia="zh-CN"/>
        </w:rPr>
        <w:t>231,916.00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，完成</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sz w:val="30"/>
          <w:szCs w:val="30"/>
          <w:highlight w:val="none"/>
        </w:rPr>
        <w:t>预算的</w:t>
      </w:r>
      <w:r>
        <w:rPr>
          <w:rFonts w:hint="eastAsia" w:ascii="Times New Roman" w:hAnsi="Times New Roman" w:eastAsia="方正仿宋_GBK" w:cs="Times New Roman"/>
          <w:sz w:val="30"/>
          <w:szCs w:val="30"/>
          <w:highlight w:val="none"/>
          <w:lang w:val="en-US" w:eastAsia="zh-CN"/>
        </w:rPr>
        <w:t>95.91</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kern w:val="0"/>
          <w:sz w:val="30"/>
          <w:szCs w:val="30"/>
          <w:highlight w:val="none"/>
          <w:lang w:eastAsia="zh-CN"/>
        </w:rPr>
        <w:t>支出决算较上年增加18,269.69</w:t>
      </w:r>
      <w:r>
        <w:rPr>
          <w:rFonts w:hint="default" w:ascii="Times New Roman" w:hAnsi="Times New Roman" w:eastAsia="方正仿宋_GBK" w:cs="Times New Roman"/>
          <w:kern w:val="0"/>
          <w:sz w:val="30"/>
          <w:szCs w:val="30"/>
          <w:highlight w:val="none"/>
          <w:lang w:val="en-US" w:eastAsia="zh-CN"/>
        </w:rPr>
        <w:t>元，增长8.55%</w:t>
      </w:r>
      <w:r>
        <w:rPr>
          <w:rFonts w:hint="default" w:ascii="Times New Roman" w:hAnsi="Times New Roman" w:eastAsia="方正仿宋_GBK" w:cs="Times New Roman"/>
          <w:kern w:val="0"/>
          <w:sz w:val="30"/>
          <w:szCs w:val="30"/>
          <w:highlight w:val="none"/>
          <w:lang w:eastAsia="zh-CN"/>
        </w:rPr>
        <w:t>。</w:t>
      </w:r>
    </w:p>
    <w:p w14:paraId="442AE815">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sz w:val="30"/>
          <w:szCs w:val="30"/>
          <w:highlight w:val="none"/>
        </w:rPr>
        <w:t>一般公共预算财政拨款“三公”经费支出</w:t>
      </w:r>
      <w:r>
        <w:rPr>
          <w:rFonts w:hint="default" w:ascii="Times New Roman" w:hAnsi="Times New Roman" w:eastAsia="方正仿宋_GBK" w:cs="Times New Roman"/>
          <w:sz w:val="30"/>
          <w:szCs w:val="30"/>
          <w:highlight w:val="none"/>
          <w:lang w:eastAsia="zh-CN"/>
        </w:rPr>
        <w:t>中：因公出国（境）费用</w:t>
      </w:r>
      <w:r>
        <w:rPr>
          <w:rFonts w:hint="default" w:ascii="Times New Roman" w:hAnsi="Times New Roman" w:eastAsia="方正仿宋_GBK" w:cs="Times New Roman"/>
          <w:sz w:val="30"/>
          <w:szCs w:val="30"/>
          <w:highlight w:val="none"/>
        </w:rPr>
        <w:t>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；公务用车购置费支出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；公务用车</w:t>
      </w:r>
      <w:r>
        <w:rPr>
          <w:rFonts w:hint="default" w:ascii="Times New Roman" w:hAnsi="Times New Roman" w:eastAsia="方正仿宋_GBK" w:cs="Times New Roman"/>
          <w:sz w:val="30"/>
          <w:szCs w:val="30"/>
          <w:highlight w:val="none"/>
          <w:lang w:eastAsia="zh-CN"/>
        </w:rPr>
        <w:t>运行维护费</w:t>
      </w:r>
      <w:r>
        <w:rPr>
          <w:rFonts w:hint="default" w:ascii="Times New Roman" w:hAnsi="Times New Roman" w:eastAsia="方正仿宋_GBK" w:cs="Times New Roman"/>
          <w:sz w:val="30"/>
          <w:szCs w:val="30"/>
          <w:highlight w:val="none"/>
        </w:rPr>
        <w:t>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eastAsia" w:ascii="Times New Roman" w:hAnsi="Times New Roman" w:eastAsia="方正仿宋_GBK" w:cs="Times New Roman"/>
          <w:sz w:val="30"/>
          <w:szCs w:val="30"/>
          <w:highlight w:val="none"/>
          <w:lang w:val="en-US" w:eastAsia="zh-CN"/>
        </w:rPr>
        <w:t>229,800.00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eastAsia" w:ascii="Times New Roman" w:hAnsi="Times New Roman" w:eastAsia="方正仿宋_GBK" w:cs="Times New Roman"/>
          <w:sz w:val="30"/>
          <w:szCs w:val="30"/>
          <w:highlight w:val="none"/>
          <w:lang w:val="en-US" w:eastAsia="zh-CN"/>
        </w:rPr>
        <w:t>229,800.00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，完成</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sz w:val="30"/>
          <w:szCs w:val="30"/>
          <w:highlight w:val="none"/>
        </w:rPr>
        <w:t>预算的</w:t>
      </w:r>
      <w:r>
        <w:rPr>
          <w:rFonts w:hint="eastAsia" w:ascii="Times New Roman" w:hAnsi="Times New Roman" w:eastAsia="方正仿宋_GBK" w:cs="Times New Roman"/>
          <w:sz w:val="30"/>
          <w:szCs w:val="30"/>
          <w:highlight w:val="none"/>
          <w:lang w:val="en-US" w:eastAsia="zh-CN"/>
        </w:rPr>
        <w:t>100.00</w:t>
      </w:r>
      <w:r>
        <w:rPr>
          <w:rFonts w:hint="default" w:ascii="Times New Roman" w:hAnsi="Times New Roman" w:eastAsia="方正仿宋_GBK" w:cs="Times New Roman"/>
          <w:sz w:val="30"/>
          <w:szCs w:val="30"/>
          <w:highlight w:val="none"/>
        </w:rPr>
        <w:t>%；公务接待费支出</w:t>
      </w:r>
      <w:r>
        <w:rPr>
          <w:rFonts w:hint="default" w:ascii="Times New Roman" w:hAnsi="Times New Roman" w:eastAsia="方正仿宋_GBK" w:cs="Times New Roman"/>
          <w:sz w:val="30"/>
          <w:szCs w:val="30"/>
          <w:highlight w:val="none"/>
          <w:lang w:eastAsia="zh-CN"/>
        </w:rPr>
        <w:t>年</w:t>
      </w:r>
      <w:r>
        <w:rPr>
          <w:rFonts w:hint="default" w:ascii="Times New Roman" w:hAnsi="Times New Roman" w:eastAsia="方正仿宋_GBK" w:cs="Times New Roman"/>
          <w:kern w:val="0"/>
          <w:sz w:val="30"/>
          <w:szCs w:val="30"/>
          <w:highlight w:val="none"/>
          <w:lang w:eastAsia="zh-CN"/>
        </w:rPr>
        <w:t>初</w:t>
      </w:r>
      <w:r>
        <w:rPr>
          <w:rFonts w:hint="default" w:ascii="Times New Roman" w:hAnsi="Times New Roman" w:eastAsia="方正仿宋_GBK" w:cs="Times New Roman"/>
          <w:sz w:val="30"/>
          <w:szCs w:val="30"/>
          <w:highlight w:val="none"/>
        </w:rPr>
        <w:t>预算为</w:t>
      </w:r>
      <w:r>
        <w:rPr>
          <w:rFonts w:hint="eastAsia" w:ascii="Times New Roman" w:hAnsi="Times New Roman" w:eastAsia="方正仿宋_GBK" w:cs="Times New Roman"/>
          <w:sz w:val="30"/>
          <w:szCs w:val="30"/>
          <w:highlight w:val="none"/>
          <w:lang w:val="en-US" w:eastAsia="zh-CN"/>
        </w:rPr>
        <w:t>12,000.00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，决算为</w:t>
      </w:r>
      <w:r>
        <w:rPr>
          <w:rFonts w:hint="eastAsia" w:ascii="Times New Roman" w:hAnsi="Times New Roman" w:eastAsia="方正仿宋_GBK" w:cs="Times New Roman"/>
          <w:color w:val="auto"/>
          <w:sz w:val="30"/>
          <w:szCs w:val="30"/>
          <w:highlight w:val="none"/>
          <w:lang w:val="en-US" w:eastAsia="zh-CN"/>
        </w:rPr>
        <w:t>2,116.00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，完成</w:t>
      </w:r>
      <w:r>
        <w:rPr>
          <w:rFonts w:hint="default" w:ascii="Times New Roman" w:hAnsi="Times New Roman" w:eastAsia="方正仿宋_GBK" w:cs="Times New Roman"/>
          <w:kern w:val="0"/>
          <w:sz w:val="30"/>
          <w:szCs w:val="30"/>
          <w:highlight w:val="none"/>
          <w:lang w:eastAsia="zh-CN"/>
        </w:rPr>
        <w:t>年初</w:t>
      </w:r>
      <w:r>
        <w:rPr>
          <w:rFonts w:hint="default" w:ascii="Times New Roman" w:hAnsi="Times New Roman" w:eastAsia="方正仿宋_GBK" w:cs="Times New Roman"/>
          <w:sz w:val="30"/>
          <w:szCs w:val="30"/>
          <w:highlight w:val="none"/>
        </w:rPr>
        <w:t>预算的</w:t>
      </w:r>
      <w:r>
        <w:rPr>
          <w:rFonts w:hint="eastAsia" w:ascii="Times New Roman" w:hAnsi="Times New Roman" w:eastAsia="方正仿宋_GBK" w:cs="Times New Roman"/>
          <w:sz w:val="30"/>
          <w:szCs w:val="30"/>
          <w:highlight w:val="none"/>
          <w:lang w:val="en-US" w:eastAsia="zh-CN"/>
        </w:rPr>
        <w:t>17.63</w:t>
      </w:r>
      <w:r>
        <w:rPr>
          <w:rFonts w:hint="default" w:ascii="Times New Roman" w:hAnsi="Times New Roman" w:eastAsia="方正仿宋_GBK" w:cs="Times New Roman"/>
          <w:color w:val="auto"/>
          <w:kern w:val="0"/>
          <w:sz w:val="30"/>
          <w:szCs w:val="30"/>
          <w:highlight w:val="none"/>
          <w:lang w:val="en-US" w:eastAsia="zh-CN"/>
        </w:rPr>
        <w:t>%</w:t>
      </w: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年度一般公共预算财政拨款“三公”经费支出决算</w:t>
      </w:r>
      <w:r>
        <w:rPr>
          <w:rFonts w:hint="default" w:ascii="Times New Roman" w:hAnsi="Times New Roman" w:eastAsia="方正仿宋_GBK" w:cs="Times New Roman"/>
          <w:color w:val="auto"/>
          <w:sz w:val="30"/>
          <w:szCs w:val="30"/>
          <w:highlight w:val="none"/>
        </w:rPr>
        <w:t>数小于</w:t>
      </w:r>
      <w:r>
        <w:rPr>
          <w:rFonts w:hint="default" w:ascii="Times New Roman" w:hAnsi="Times New Roman" w:eastAsia="方正仿宋_GBK" w:cs="Times New Roman"/>
          <w:color w:val="auto"/>
          <w:kern w:val="0"/>
          <w:sz w:val="30"/>
          <w:szCs w:val="30"/>
          <w:highlight w:val="none"/>
          <w:lang w:eastAsia="zh-CN"/>
        </w:rPr>
        <w:t>年初</w:t>
      </w:r>
      <w:r>
        <w:rPr>
          <w:rFonts w:hint="default" w:ascii="Times New Roman" w:hAnsi="Times New Roman" w:eastAsia="方正仿宋_GBK" w:cs="Times New Roman"/>
          <w:color w:val="auto"/>
          <w:sz w:val="30"/>
          <w:szCs w:val="30"/>
          <w:highlight w:val="none"/>
        </w:rPr>
        <w:t>预算数的主要原因</w:t>
      </w:r>
      <w:r>
        <w:rPr>
          <w:rFonts w:hint="default" w:ascii="Times New Roman" w:hAnsi="Times New Roman" w:eastAsia="方正仿宋_GBK" w:cs="Times New Roman"/>
          <w:color w:val="auto"/>
          <w:sz w:val="30"/>
          <w:szCs w:val="30"/>
          <w:highlight w:val="none"/>
          <w:lang w:eastAsia="zh-CN"/>
        </w:rPr>
        <w:t>是2025年接待批次减少</w:t>
      </w:r>
      <w:r>
        <w:rPr>
          <w:rFonts w:hint="default" w:ascii="Times New Roman" w:hAnsi="Times New Roman" w:eastAsia="方正仿宋_GBK" w:cs="Times New Roman"/>
          <w:color w:val="auto"/>
          <w:sz w:val="30"/>
          <w:szCs w:val="30"/>
          <w:highlight w:val="none"/>
        </w:rPr>
        <w:t>。</w:t>
      </w:r>
    </w:p>
    <w:p w14:paraId="292B3056">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color w:val="auto"/>
          <w:sz w:val="30"/>
          <w:szCs w:val="30"/>
          <w:highlight w:val="none"/>
        </w:rPr>
        <w:t>一般公共预算财政拨款“三公”经费支出</w:t>
      </w:r>
      <w:r>
        <w:rPr>
          <w:rFonts w:hint="default" w:ascii="Times New Roman" w:hAnsi="Times New Roman" w:eastAsia="方正仿宋_GBK" w:cs="Times New Roman"/>
          <w:color w:val="auto"/>
          <w:sz w:val="30"/>
          <w:szCs w:val="30"/>
          <w:highlight w:val="none"/>
          <w:lang w:eastAsia="zh-CN"/>
        </w:rPr>
        <w:t>中：因公出国（境）费用</w:t>
      </w:r>
      <w:r>
        <w:rPr>
          <w:rFonts w:hint="default" w:ascii="Times New Roman" w:hAnsi="Times New Roman" w:eastAsia="方正仿宋_GBK" w:cs="Times New Roman"/>
          <w:color w:val="auto"/>
          <w:sz w:val="30"/>
          <w:szCs w:val="30"/>
          <w:highlight w:val="none"/>
        </w:rPr>
        <w:t>支出决算</w:t>
      </w:r>
      <w:r>
        <w:rPr>
          <w:rFonts w:hint="eastAsia" w:ascii="Times New Roman" w:hAnsi="Times New Roman" w:eastAsia="方正仿宋_GBK" w:cs="Times New Roman"/>
          <w:color w:val="auto"/>
          <w:sz w:val="32"/>
          <w:szCs w:val="32"/>
          <w:lang w:val="en-US" w:eastAsia="zh-CN"/>
        </w:rPr>
        <w:t>0.00元较上年无变化，上年无此项支出</w:t>
      </w:r>
      <w:r>
        <w:rPr>
          <w:rFonts w:hint="default" w:ascii="Times New Roman" w:hAnsi="Times New Roman" w:eastAsia="方正仿宋_GBK" w:cs="Times New Roman"/>
          <w:color w:val="auto"/>
          <w:sz w:val="30"/>
          <w:szCs w:val="30"/>
          <w:highlight w:val="none"/>
        </w:rPr>
        <w:t>；公务用车购置费支出决算</w:t>
      </w:r>
      <w:r>
        <w:rPr>
          <w:rFonts w:hint="eastAsia" w:ascii="Times New Roman" w:hAnsi="Times New Roman" w:eastAsia="方正仿宋_GBK" w:cs="Times New Roman"/>
          <w:color w:val="auto"/>
          <w:sz w:val="32"/>
          <w:szCs w:val="32"/>
          <w:lang w:val="en-US" w:eastAsia="zh-CN"/>
        </w:rPr>
        <w:t>0.00元较上年无变化，上年无此项支出</w:t>
      </w:r>
      <w:r>
        <w:rPr>
          <w:rFonts w:hint="default" w:ascii="Times New Roman" w:hAnsi="Times New Roman" w:eastAsia="方正仿宋_GBK" w:cs="Times New Roman"/>
          <w:color w:val="auto"/>
          <w:sz w:val="30"/>
          <w:szCs w:val="30"/>
          <w:highlight w:val="none"/>
        </w:rPr>
        <w:t>；公务用车</w:t>
      </w:r>
      <w:r>
        <w:rPr>
          <w:rFonts w:hint="default" w:ascii="Times New Roman" w:hAnsi="Times New Roman" w:eastAsia="方正仿宋_GBK" w:cs="Times New Roman"/>
          <w:color w:val="auto"/>
          <w:sz w:val="30"/>
          <w:szCs w:val="30"/>
          <w:highlight w:val="none"/>
          <w:lang w:eastAsia="zh-CN"/>
        </w:rPr>
        <w:t>运行维护费</w:t>
      </w:r>
      <w:r>
        <w:rPr>
          <w:rFonts w:hint="default" w:ascii="Times New Roman" w:hAnsi="Times New Roman" w:eastAsia="方正仿宋_GBK" w:cs="Times New Roman"/>
          <w:color w:val="auto"/>
          <w:sz w:val="30"/>
          <w:szCs w:val="30"/>
          <w:highlight w:val="none"/>
        </w:rPr>
        <w:t>支出决算</w:t>
      </w:r>
      <w:r>
        <w:rPr>
          <w:rFonts w:hint="default" w:ascii="Times New Roman" w:hAnsi="Times New Roman" w:eastAsia="方正仿宋_GBK" w:cs="Times New Roman"/>
          <w:color w:val="auto"/>
          <w:kern w:val="0"/>
          <w:sz w:val="30"/>
          <w:szCs w:val="30"/>
          <w:highlight w:val="none"/>
          <w:lang w:eastAsia="zh-CN"/>
        </w:rPr>
        <w:t>增加</w:t>
      </w:r>
      <w:r>
        <w:rPr>
          <w:rFonts w:hint="default" w:ascii="Times New Roman" w:hAnsi="Times New Roman" w:eastAsia="方正仿宋_GBK" w:cs="Times New Roman"/>
          <w:color w:val="auto"/>
          <w:sz w:val="30"/>
          <w:szCs w:val="30"/>
          <w:highlight w:val="none"/>
          <w:lang w:eastAsia="zh-CN"/>
        </w:rPr>
        <w:t>28,153.69</w:t>
      </w:r>
      <w:r>
        <w:rPr>
          <w:rFonts w:hint="default" w:ascii="Times New Roman" w:hAnsi="Times New Roman" w:eastAsia="方正仿宋_GBK" w:cs="Times New Roman"/>
          <w:color w:val="auto"/>
          <w:kern w:val="0"/>
          <w:sz w:val="30"/>
          <w:szCs w:val="30"/>
          <w:highlight w:val="none"/>
          <w:lang w:val="en-US" w:eastAsia="zh-CN"/>
        </w:rPr>
        <w:t>元，增长13.96%</w:t>
      </w:r>
      <w:r>
        <w:rPr>
          <w:rFonts w:hint="default" w:ascii="Times New Roman" w:hAnsi="Times New Roman" w:eastAsia="方正仿宋_GBK" w:cs="Times New Roman"/>
          <w:color w:val="auto"/>
          <w:sz w:val="30"/>
          <w:szCs w:val="30"/>
          <w:highlight w:val="none"/>
        </w:rPr>
        <w:t>；公务接待费支出决算</w:t>
      </w:r>
      <w:r>
        <w:rPr>
          <w:rFonts w:hint="default" w:ascii="Times New Roman" w:hAnsi="Times New Roman" w:eastAsia="方正仿宋_GBK" w:cs="Times New Roman"/>
          <w:color w:val="auto"/>
          <w:kern w:val="0"/>
          <w:sz w:val="30"/>
          <w:szCs w:val="30"/>
          <w:highlight w:val="none"/>
          <w:lang w:val="en-US" w:eastAsia="zh-CN"/>
        </w:rPr>
        <w:t>减少9,884.00元，下降82.37%</w:t>
      </w:r>
      <w:r>
        <w:rPr>
          <w:rFonts w:hint="default" w:ascii="Times New Roman" w:hAnsi="Times New Roman" w:eastAsia="方正仿宋_GBK" w:cs="Times New Roman"/>
          <w:color w:val="auto"/>
          <w:sz w:val="30"/>
          <w:szCs w:val="30"/>
          <w:highlight w:val="none"/>
          <w:lang w:eastAsia="zh-CN"/>
        </w:rPr>
        <w:t>，</w:t>
      </w:r>
      <w:r>
        <w:rPr>
          <w:rFonts w:hint="default" w:ascii="Times New Roman" w:hAnsi="Times New Roman" w:eastAsia="方正仿宋_GBK" w:cs="Times New Roman"/>
          <w:color w:val="auto"/>
          <w:kern w:val="0"/>
          <w:sz w:val="30"/>
          <w:szCs w:val="30"/>
          <w:highlight w:val="none"/>
          <w:lang w:eastAsia="zh-CN"/>
        </w:rPr>
        <w:t>具体是国内接待费支出决算</w:t>
      </w:r>
      <w:r>
        <w:rPr>
          <w:rFonts w:hint="eastAsia" w:ascii="Times New Roman" w:hAnsi="Times New Roman" w:eastAsia="方正仿宋_GBK" w:cs="Times New Roman"/>
          <w:color w:val="auto"/>
          <w:sz w:val="30"/>
          <w:szCs w:val="30"/>
          <w:highlight w:val="none"/>
          <w:lang w:val="en-US" w:eastAsia="zh-CN"/>
        </w:rPr>
        <w:t>2,116.00</w:t>
      </w:r>
      <w:r>
        <w:rPr>
          <w:rFonts w:hint="default" w:ascii="Times New Roman" w:hAnsi="Times New Roman" w:eastAsia="方正仿宋_GBK" w:cs="Times New Roman"/>
          <w:color w:val="auto"/>
          <w:kern w:val="0"/>
          <w:sz w:val="30"/>
          <w:szCs w:val="30"/>
          <w:highlight w:val="none"/>
          <w:lang w:eastAsia="zh-CN"/>
        </w:rPr>
        <w:t>元（其中：外事接待费支出决算</w:t>
      </w:r>
      <w:r>
        <w:rPr>
          <w:rFonts w:hint="eastAsia" w:ascii="Times New Roman" w:hAnsi="Times New Roman" w:eastAsia="方正仿宋_GBK" w:cs="Times New Roman"/>
          <w:color w:val="auto"/>
          <w:sz w:val="30"/>
          <w:szCs w:val="30"/>
          <w:highlight w:val="none"/>
          <w:lang w:val="en-US" w:eastAsia="zh-CN"/>
        </w:rPr>
        <w:t>0.00</w:t>
      </w:r>
      <w:r>
        <w:rPr>
          <w:rFonts w:hint="default" w:ascii="Times New Roman" w:hAnsi="Times New Roman" w:eastAsia="方正仿宋_GBK" w:cs="Times New Roman"/>
          <w:color w:val="auto"/>
          <w:kern w:val="0"/>
          <w:sz w:val="30"/>
          <w:szCs w:val="30"/>
          <w:highlight w:val="none"/>
          <w:lang w:eastAsia="zh-CN"/>
        </w:rPr>
        <w:t>元），较上年</w:t>
      </w:r>
      <w:r>
        <w:rPr>
          <w:rFonts w:hint="default" w:ascii="Times New Roman" w:hAnsi="Times New Roman" w:eastAsia="方正仿宋_GBK" w:cs="Times New Roman"/>
          <w:color w:val="auto"/>
          <w:kern w:val="0"/>
          <w:sz w:val="30"/>
          <w:szCs w:val="30"/>
          <w:highlight w:val="none"/>
          <w:lang w:val="en-US" w:eastAsia="zh-CN"/>
        </w:rPr>
        <w:t>减少9,884.00元，下降82.37%</w:t>
      </w:r>
      <w:r>
        <w:rPr>
          <w:rFonts w:hint="default" w:ascii="Times New Roman" w:hAnsi="Times New Roman" w:eastAsia="方正仿宋_GBK" w:cs="Times New Roman"/>
          <w:color w:val="auto"/>
          <w:sz w:val="30"/>
          <w:szCs w:val="30"/>
          <w:highlight w:val="none"/>
          <w:lang w:eastAsia="zh-CN"/>
        </w:rPr>
        <w:t>；</w:t>
      </w:r>
      <w:r>
        <w:rPr>
          <w:rFonts w:hint="default" w:ascii="Times New Roman" w:hAnsi="Times New Roman" w:eastAsia="方正仿宋_GBK" w:cs="Times New Roman"/>
          <w:color w:val="auto"/>
          <w:kern w:val="0"/>
          <w:sz w:val="30"/>
          <w:szCs w:val="30"/>
          <w:highlight w:val="none"/>
          <w:lang w:eastAsia="zh-CN"/>
        </w:rPr>
        <w:t>国（境）</w:t>
      </w:r>
      <w:r>
        <w:rPr>
          <w:rFonts w:hint="default" w:ascii="Times New Roman" w:hAnsi="Times New Roman" w:eastAsia="方正仿宋_GBK" w:cs="Times New Roman"/>
          <w:kern w:val="0"/>
          <w:sz w:val="30"/>
          <w:szCs w:val="30"/>
          <w:highlight w:val="none"/>
          <w:lang w:eastAsia="zh-CN"/>
        </w:rPr>
        <w:t>外接待费支出决算</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元较上年无变化，上年无此项支出</w:t>
      </w:r>
      <w:r>
        <w:rPr>
          <w:rFonts w:hint="default" w:ascii="Times New Roman" w:hAnsi="Times New Roman" w:eastAsia="方正仿宋_GBK" w:cs="Times New Roman"/>
          <w:kern w:val="0"/>
          <w:sz w:val="30"/>
          <w:szCs w:val="30"/>
          <w:highlight w:val="none"/>
          <w:lang w:eastAsia="zh-CN"/>
        </w:rPr>
        <w:t>。</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年度一般公共预算财政拨款“三公”经费支出决算增加的主要原因</w:t>
      </w:r>
      <w:r>
        <w:rPr>
          <w:rFonts w:hint="default" w:ascii="Times New Roman" w:hAnsi="Times New Roman" w:eastAsia="方正仿宋_GBK" w:cs="Times New Roman"/>
          <w:sz w:val="30"/>
          <w:szCs w:val="30"/>
          <w:highlight w:val="none"/>
          <w:lang w:eastAsia="zh-CN"/>
        </w:rPr>
        <w:t>是2025年下县采血频繁导致车辆运维费增加</w:t>
      </w:r>
      <w:r>
        <w:rPr>
          <w:rFonts w:hint="default" w:ascii="Times New Roman" w:hAnsi="Times New Roman" w:eastAsia="方正仿宋_GBK" w:cs="Times New Roman"/>
          <w:sz w:val="30"/>
          <w:szCs w:val="30"/>
          <w:highlight w:val="none"/>
        </w:rPr>
        <w:t>。</w:t>
      </w:r>
    </w:p>
    <w:p w14:paraId="7FD6AC0C">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rPr>
        <w:t>一般公共预算财政拨款“三公”经费支出</w:t>
      </w:r>
      <w:r>
        <w:rPr>
          <w:rFonts w:hint="default" w:ascii="Times New Roman" w:hAnsi="Times New Roman" w:eastAsia="方正仿宋_GBK" w:cs="Times New Roman"/>
          <w:sz w:val="30"/>
          <w:szCs w:val="30"/>
          <w:highlight w:val="none"/>
          <w:lang w:eastAsia="zh-CN"/>
        </w:rPr>
        <w:t>实物量的</w:t>
      </w:r>
      <w:r>
        <w:rPr>
          <w:rFonts w:hint="default" w:ascii="Times New Roman" w:hAnsi="Times New Roman" w:eastAsia="方正仿宋_GBK" w:cs="Times New Roman"/>
          <w:sz w:val="30"/>
          <w:szCs w:val="30"/>
          <w:highlight w:val="none"/>
        </w:rPr>
        <w:t>具体情况</w:t>
      </w:r>
      <w:r>
        <w:rPr>
          <w:rFonts w:hint="default" w:ascii="Times New Roman" w:hAnsi="Times New Roman" w:eastAsia="方正仿宋_GBK" w:cs="Times New Roman"/>
          <w:sz w:val="30"/>
          <w:szCs w:val="30"/>
          <w:highlight w:val="none"/>
          <w:lang w:eastAsia="zh-CN"/>
        </w:rPr>
        <w:t>：</w:t>
      </w:r>
    </w:p>
    <w:p w14:paraId="5BC53C89">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b w:val="0"/>
          <w:bCs/>
          <w:sz w:val="30"/>
          <w:szCs w:val="30"/>
          <w:highlight w:val="none"/>
        </w:rPr>
      </w:pPr>
      <w:r>
        <w:rPr>
          <w:rFonts w:hint="default" w:ascii="Times New Roman" w:hAnsi="Times New Roman" w:eastAsia="方正仿宋_GBK" w:cs="Times New Roman"/>
          <w:b w:val="0"/>
          <w:bCs/>
          <w:sz w:val="30"/>
          <w:szCs w:val="30"/>
          <w:highlight w:val="none"/>
        </w:rPr>
        <w:t>1.安排因公出国（境）团组</w:t>
      </w:r>
      <w:r>
        <w:rPr>
          <w:rFonts w:hint="eastAsia" w:ascii="Times New Roman" w:hAnsi="Times New Roman" w:eastAsia="方正仿宋_GBK" w:cs="Times New Roman"/>
          <w:sz w:val="30"/>
          <w:szCs w:val="30"/>
          <w:highlight w:val="none"/>
          <w:lang w:val="en-US" w:eastAsia="zh-CN"/>
        </w:rPr>
        <w:t>0</w:t>
      </w:r>
      <w:r>
        <w:rPr>
          <w:rFonts w:hint="default" w:ascii="Times New Roman" w:hAnsi="Times New Roman" w:eastAsia="方正仿宋_GBK" w:cs="Times New Roman"/>
          <w:b w:val="0"/>
          <w:bCs/>
          <w:sz w:val="30"/>
          <w:szCs w:val="30"/>
          <w:highlight w:val="none"/>
        </w:rPr>
        <w:t>个，累计</w:t>
      </w:r>
      <w:r>
        <w:rPr>
          <w:rFonts w:hint="eastAsia" w:ascii="Times New Roman" w:hAnsi="Times New Roman" w:eastAsia="方正仿宋_GBK" w:cs="Times New Roman"/>
          <w:sz w:val="30"/>
          <w:szCs w:val="30"/>
          <w:highlight w:val="none"/>
          <w:lang w:val="en-US" w:eastAsia="zh-CN"/>
        </w:rPr>
        <w:t>0</w:t>
      </w:r>
      <w:r>
        <w:rPr>
          <w:rFonts w:hint="default" w:ascii="Times New Roman" w:hAnsi="Times New Roman" w:eastAsia="方正仿宋_GBK" w:cs="Times New Roman"/>
          <w:b w:val="0"/>
          <w:bCs/>
          <w:sz w:val="30"/>
          <w:szCs w:val="30"/>
          <w:highlight w:val="none"/>
        </w:rPr>
        <w:t>人次。</w:t>
      </w:r>
    </w:p>
    <w:p w14:paraId="08929043">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b w:val="0"/>
          <w:bCs/>
          <w:sz w:val="30"/>
          <w:szCs w:val="30"/>
          <w:highlight w:val="none"/>
        </w:rPr>
      </w:pPr>
      <w:r>
        <w:rPr>
          <w:rFonts w:hint="default" w:ascii="Times New Roman" w:hAnsi="Times New Roman" w:eastAsia="方正仿宋_GBK" w:cs="Times New Roman"/>
          <w:b w:val="0"/>
          <w:bCs/>
          <w:sz w:val="30"/>
          <w:szCs w:val="30"/>
          <w:highlight w:val="none"/>
        </w:rPr>
        <w:t>2.购置车辆</w:t>
      </w:r>
      <w:r>
        <w:rPr>
          <w:rFonts w:hint="eastAsia" w:ascii="Times New Roman" w:hAnsi="Times New Roman" w:eastAsia="方正仿宋_GBK" w:cs="Times New Roman"/>
          <w:sz w:val="30"/>
          <w:szCs w:val="30"/>
          <w:highlight w:val="none"/>
          <w:lang w:val="en-US" w:eastAsia="zh-CN"/>
        </w:rPr>
        <w:t>0</w:t>
      </w:r>
      <w:r>
        <w:rPr>
          <w:rFonts w:hint="default" w:ascii="Times New Roman" w:hAnsi="Times New Roman" w:eastAsia="方正仿宋_GBK" w:cs="Times New Roman"/>
          <w:b w:val="0"/>
          <w:bCs/>
          <w:sz w:val="30"/>
          <w:szCs w:val="30"/>
          <w:highlight w:val="none"/>
        </w:rPr>
        <w:t>辆。开支一般公共预算财政拨款的公务用车保有量为</w:t>
      </w:r>
      <w:r>
        <w:rPr>
          <w:rFonts w:hint="eastAsia" w:ascii="Times New Roman" w:hAnsi="Times New Roman" w:eastAsia="方正仿宋_GBK" w:cs="Times New Roman"/>
          <w:sz w:val="30"/>
          <w:szCs w:val="30"/>
          <w:highlight w:val="none"/>
          <w:lang w:val="en-US" w:eastAsia="zh-CN"/>
        </w:rPr>
        <w:t>8</w:t>
      </w:r>
      <w:r>
        <w:rPr>
          <w:rFonts w:hint="default" w:ascii="Times New Roman" w:hAnsi="Times New Roman" w:eastAsia="方正仿宋_GBK" w:cs="Times New Roman"/>
          <w:b w:val="0"/>
          <w:bCs/>
          <w:sz w:val="30"/>
          <w:szCs w:val="30"/>
          <w:highlight w:val="none"/>
        </w:rPr>
        <w:t>辆。主要用于</w:t>
      </w:r>
      <w:r>
        <w:rPr>
          <w:rFonts w:hint="eastAsia" w:ascii="Times New Roman" w:hAnsi="Times New Roman" w:eastAsia="方正仿宋_GBK" w:cs="Times New Roman"/>
          <w:sz w:val="32"/>
          <w:szCs w:val="32"/>
          <w:lang w:val="en-US" w:eastAsia="zh-CN"/>
        </w:rPr>
        <w:t>采血及送取血</w:t>
      </w:r>
      <w:r>
        <w:rPr>
          <w:rFonts w:hint="default" w:ascii="Times New Roman" w:hAnsi="Times New Roman" w:eastAsia="方正仿宋_GBK" w:cs="Times New Roman"/>
          <w:b w:val="0"/>
          <w:bCs/>
          <w:sz w:val="30"/>
          <w:szCs w:val="30"/>
          <w:highlight w:val="none"/>
        </w:rPr>
        <w:t>所需车辆燃料费、维修费、过路过桥费、保险费等。</w:t>
      </w:r>
    </w:p>
    <w:p w14:paraId="6FE6942E">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b w:val="0"/>
          <w:bCs/>
          <w:sz w:val="30"/>
          <w:szCs w:val="30"/>
          <w:highlight w:val="none"/>
        </w:rPr>
        <w:t>3.安排</w:t>
      </w:r>
      <w:r>
        <w:rPr>
          <w:rFonts w:hint="default" w:ascii="Times New Roman" w:hAnsi="Times New Roman" w:eastAsia="方正仿宋_GBK" w:cs="Times New Roman"/>
          <w:sz w:val="30"/>
          <w:szCs w:val="30"/>
          <w:highlight w:val="none"/>
        </w:rPr>
        <w:t>国内公务接待</w:t>
      </w:r>
      <w:r>
        <w:rPr>
          <w:rFonts w:hint="eastAsia" w:ascii="Times New Roman" w:hAnsi="Times New Roman" w:eastAsia="方正仿宋_GBK" w:cs="Times New Roman"/>
          <w:sz w:val="30"/>
          <w:szCs w:val="30"/>
          <w:highlight w:val="none"/>
          <w:lang w:val="en-US" w:eastAsia="zh-CN"/>
        </w:rPr>
        <w:t>5</w:t>
      </w:r>
      <w:r>
        <w:rPr>
          <w:rFonts w:hint="default" w:ascii="Times New Roman" w:hAnsi="Times New Roman" w:eastAsia="方正仿宋_GBK" w:cs="Times New Roman"/>
          <w:sz w:val="30"/>
          <w:szCs w:val="30"/>
          <w:highlight w:val="none"/>
        </w:rPr>
        <w:t>批次（其中：外事接待</w:t>
      </w:r>
      <w:r>
        <w:rPr>
          <w:rFonts w:hint="eastAsia" w:ascii="Times New Roman" w:hAnsi="Times New Roman" w:eastAsia="方正仿宋_GBK" w:cs="Times New Roman"/>
          <w:sz w:val="30"/>
          <w:szCs w:val="30"/>
          <w:highlight w:val="none"/>
          <w:lang w:val="en-US" w:eastAsia="zh-CN"/>
        </w:rPr>
        <w:t>0</w:t>
      </w:r>
      <w:r>
        <w:rPr>
          <w:rFonts w:hint="default" w:ascii="Times New Roman" w:hAnsi="Times New Roman" w:eastAsia="方正仿宋_GBK" w:cs="Times New Roman"/>
          <w:sz w:val="30"/>
          <w:szCs w:val="30"/>
          <w:highlight w:val="none"/>
        </w:rPr>
        <w:t>批次），接待人次</w:t>
      </w:r>
      <w:r>
        <w:rPr>
          <w:rFonts w:hint="eastAsia" w:ascii="Times New Roman" w:hAnsi="Times New Roman" w:eastAsia="方正仿宋_GBK" w:cs="Times New Roman"/>
          <w:sz w:val="30"/>
          <w:szCs w:val="30"/>
          <w:highlight w:val="none"/>
          <w:lang w:val="en-US" w:eastAsia="zh-CN"/>
        </w:rPr>
        <w:t>17</w:t>
      </w:r>
      <w:r>
        <w:rPr>
          <w:rFonts w:hint="default" w:ascii="Times New Roman" w:hAnsi="Times New Roman" w:eastAsia="方正仿宋_GBK" w:cs="Times New Roman"/>
          <w:sz w:val="30"/>
          <w:szCs w:val="30"/>
          <w:highlight w:val="none"/>
        </w:rPr>
        <w:t>人（其中：外事接待人次</w:t>
      </w:r>
      <w:r>
        <w:rPr>
          <w:rFonts w:hint="eastAsia" w:ascii="Times New Roman" w:hAnsi="Times New Roman" w:eastAsia="方正仿宋_GBK" w:cs="Times New Roman"/>
          <w:sz w:val="30"/>
          <w:szCs w:val="30"/>
          <w:highlight w:val="none"/>
          <w:lang w:val="en-US" w:eastAsia="zh-CN"/>
        </w:rPr>
        <w:t>0</w:t>
      </w:r>
      <w:r>
        <w:rPr>
          <w:rFonts w:hint="default" w:ascii="Times New Roman" w:hAnsi="Times New Roman" w:eastAsia="方正仿宋_GBK" w:cs="Times New Roman"/>
          <w:sz w:val="30"/>
          <w:szCs w:val="30"/>
          <w:highlight w:val="none"/>
        </w:rPr>
        <w:t>人）。主要用于</w:t>
      </w:r>
      <w:r>
        <w:rPr>
          <w:rFonts w:hint="eastAsia" w:ascii="Times New Roman" w:hAnsi="Times New Roman" w:eastAsia="方正仿宋_GBK" w:cs="Times New Roman"/>
          <w:sz w:val="32"/>
          <w:szCs w:val="32"/>
          <w:lang w:val="en-US" w:eastAsia="zh-CN"/>
        </w:rPr>
        <w:t>其他单位至我单位交流学习</w:t>
      </w:r>
      <w:r>
        <w:rPr>
          <w:rFonts w:hint="default" w:ascii="Times New Roman" w:hAnsi="Times New Roman" w:eastAsia="方正仿宋_GBK" w:cs="Times New Roman"/>
          <w:sz w:val="30"/>
          <w:szCs w:val="30"/>
          <w:highlight w:val="none"/>
        </w:rPr>
        <w:t>发生的接待支出。安排国（境）外公务接待</w:t>
      </w:r>
      <w:r>
        <w:rPr>
          <w:rFonts w:hint="eastAsia" w:ascii="Times New Roman" w:hAnsi="Times New Roman" w:eastAsia="方正仿宋_GBK" w:cs="Times New Roman"/>
          <w:sz w:val="30"/>
          <w:szCs w:val="30"/>
          <w:highlight w:val="none"/>
          <w:lang w:val="en-US" w:eastAsia="zh-CN"/>
        </w:rPr>
        <w:t>0</w:t>
      </w:r>
      <w:r>
        <w:rPr>
          <w:rFonts w:hint="default" w:ascii="Times New Roman" w:hAnsi="Times New Roman" w:eastAsia="方正仿宋_GBK" w:cs="Times New Roman"/>
          <w:sz w:val="30"/>
          <w:szCs w:val="30"/>
          <w:highlight w:val="none"/>
        </w:rPr>
        <w:t>批次，接待人次</w:t>
      </w:r>
      <w:r>
        <w:rPr>
          <w:rFonts w:hint="eastAsia" w:ascii="Times New Roman" w:hAnsi="Times New Roman" w:eastAsia="方正仿宋_GBK" w:cs="Times New Roman"/>
          <w:sz w:val="30"/>
          <w:szCs w:val="30"/>
          <w:highlight w:val="none"/>
          <w:lang w:val="en-US" w:eastAsia="zh-CN"/>
        </w:rPr>
        <w:t>0</w:t>
      </w:r>
      <w:r>
        <w:rPr>
          <w:rFonts w:hint="default" w:ascii="Times New Roman" w:hAnsi="Times New Roman" w:eastAsia="方正仿宋_GBK" w:cs="Times New Roman"/>
          <w:sz w:val="30"/>
          <w:szCs w:val="30"/>
          <w:highlight w:val="none"/>
        </w:rPr>
        <w:t>人。</w:t>
      </w:r>
    </w:p>
    <w:p w14:paraId="74462541">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2"/>
        <w:rPr>
          <w:rFonts w:hint="default" w:ascii="Times New Roman" w:hAnsi="Times New Roman" w:eastAsia="方正楷体_GBK" w:cs="Times New Roman"/>
          <w:sz w:val="30"/>
          <w:szCs w:val="30"/>
          <w:highlight w:val="none"/>
          <w:lang w:eastAsia="zh-CN"/>
        </w:rPr>
      </w:pPr>
      <w:r>
        <w:rPr>
          <w:rFonts w:hint="default" w:ascii="Times New Roman" w:hAnsi="Times New Roman" w:eastAsia="方正楷体_GBK" w:cs="Times New Roman"/>
          <w:sz w:val="30"/>
          <w:szCs w:val="30"/>
          <w:highlight w:val="none"/>
          <w:lang w:eastAsia="zh-CN"/>
        </w:rPr>
        <w:t>（三）需要说明的事项</w:t>
      </w:r>
    </w:p>
    <w:p w14:paraId="555D2807">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不存在需要说明的事项。</w:t>
      </w:r>
    </w:p>
    <w:p w14:paraId="1B6A5D44">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p>
    <w:p w14:paraId="46B1343B">
      <w:pPr>
        <w:keepNext w:val="0"/>
        <w:keepLines w:val="0"/>
        <w:pageBreakBefore w:val="0"/>
        <w:widowControl/>
        <w:kinsoku/>
        <w:overflowPunct/>
        <w:topLinePunct w:val="0"/>
        <w:autoSpaceDE/>
        <w:autoSpaceDN/>
        <w:bidi w:val="0"/>
        <w:snapToGrid w:val="0"/>
        <w:spacing w:before="100" w:after="100" w:line="600" w:lineRule="exact"/>
        <w:ind w:firstLine="640" w:firstLineChars="200"/>
        <w:jc w:val="left"/>
        <w:textAlignment w:val="auto"/>
        <w:outlineLvl w:val="0"/>
        <w:rPr>
          <w:rFonts w:hint="default" w:ascii="Times New Roman" w:hAnsi="Times New Roman" w:eastAsia="方正仿宋_GBK" w:cs="Times New Roman"/>
          <w:sz w:val="32"/>
          <w:szCs w:val="32"/>
          <w:highlight w:val="none"/>
        </w:rPr>
      </w:pPr>
      <w:r>
        <w:rPr>
          <w:rFonts w:hint="default" w:ascii="Times New Roman" w:hAnsi="Times New Roman" w:eastAsia="方正黑体_GBK" w:cs="Times New Roman"/>
          <w:sz w:val="32"/>
          <w:szCs w:val="32"/>
          <w:highlight w:val="none"/>
        </w:rPr>
        <w:t>第四部分  其他重要事项及相关口径情况说明</w:t>
      </w:r>
    </w:p>
    <w:p w14:paraId="0FACA1C8">
      <w:pPr>
        <w:keepNext w:val="0"/>
        <w:keepLines w:val="0"/>
        <w:pageBreakBefore w:val="0"/>
        <w:kinsoku/>
        <w:overflowPunct/>
        <w:topLinePunct w:val="0"/>
        <w:autoSpaceDE/>
        <w:autoSpaceDN/>
        <w:bidi w:val="0"/>
        <w:spacing w:line="600" w:lineRule="exact"/>
        <w:ind w:firstLine="600" w:firstLineChars="200"/>
        <w:jc w:val="left"/>
        <w:textAlignment w:val="auto"/>
        <w:outlineLvl w:val="1"/>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rPr>
        <w:t>一</w:t>
      </w:r>
      <w:r>
        <w:rPr>
          <w:rFonts w:hint="default" w:ascii="Times New Roman" w:hAnsi="Times New Roman" w:eastAsia="方正黑体_GBK" w:cs="Times New Roman"/>
          <w:sz w:val="30"/>
          <w:szCs w:val="30"/>
          <w:highlight w:val="none"/>
          <w:lang w:eastAsia="zh-CN"/>
        </w:rPr>
        <w:t>、</w:t>
      </w:r>
      <w:r>
        <w:rPr>
          <w:rFonts w:hint="default" w:ascii="Times New Roman" w:hAnsi="Times New Roman" w:eastAsia="方正黑体_GBK" w:cs="Times New Roman"/>
          <w:sz w:val="30"/>
          <w:szCs w:val="30"/>
          <w:highlight w:val="none"/>
        </w:rPr>
        <w:t>机关运行经费支出情况</w:t>
      </w:r>
    </w:p>
    <w:p w14:paraId="2B54AA64">
      <w:pPr>
        <w:keepNext w:val="0"/>
        <w:keepLines w:val="0"/>
        <w:pageBreakBefore w:val="0"/>
        <w:kinsoku/>
        <w:overflowPunct/>
        <w:topLinePunct w:val="0"/>
        <w:autoSpaceDE/>
        <w:autoSpaceDN/>
        <w:bidi w:val="0"/>
        <w:spacing w:line="600" w:lineRule="exact"/>
        <w:ind w:firstLine="640" w:firstLineChars="200"/>
        <w:jc w:val="left"/>
        <w:textAlignment w:val="auto"/>
        <w:rPr>
          <w:rFonts w:hint="default" w:ascii="Times New Roman" w:hAnsi="Times New Roman" w:eastAsia="方正仿宋_GBK" w:cs="Times New Roman"/>
          <w:sz w:val="30"/>
          <w:szCs w:val="30"/>
          <w:highlight w:val="none"/>
        </w:rPr>
      </w:pPr>
      <w:r>
        <w:rPr>
          <w:rFonts w:hint="eastAsia" w:ascii="Times New Roman" w:hAnsi="Times New Roman" w:eastAsia="方正仿宋_GBK" w:cs="Times New Roman"/>
          <w:sz w:val="32"/>
          <w:szCs w:val="32"/>
          <w:lang w:val="zh-CN" w:eastAsia="zh-CN"/>
        </w:rPr>
        <w:t>玉溪市中心血站</w:t>
      </w:r>
      <w:r>
        <w:rPr>
          <w:rFonts w:hint="default" w:ascii="Times New Roman" w:hAnsi="Times New Roman" w:eastAsia="方正仿宋_GBK" w:cs="Times New Roman"/>
          <w:sz w:val="30"/>
          <w:szCs w:val="30"/>
          <w:highlight w:val="none"/>
          <w:lang w:val="en-US" w:eastAsia="zh-CN"/>
        </w:rPr>
        <w:t>2025</w:t>
      </w:r>
      <w:r>
        <w:rPr>
          <w:rFonts w:hint="default" w:ascii="Times New Roman" w:hAnsi="Times New Roman" w:eastAsia="方正仿宋_GBK" w:cs="Times New Roman"/>
          <w:sz w:val="30"/>
          <w:szCs w:val="30"/>
          <w:highlight w:val="none"/>
        </w:rPr>
        <w:t>年机关运行经费支出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w:t>
      </w:r>
      <w:r>
        <w:rPr>
          <w:rFonts w:hint="default" w:ascii="Times New Roman" w:hAnsi="Times New Roman" w:eastAsia="方正仿宋_GBK" w:cs="Times New Roman"/>
          <w:sz w:val="30"/>
          <w:szCs w:val="30"/>
          <w:highlight w:val="none"/>
        </w:rPr>
        <w:t>，</w:t>
      </w:r>
      <w:r>
        <w:rPr>
          <w:rFonts w:hint="eastAsia" w:ascii="Times New Roman" w:hAnsi="Times New Roman" w:eastAsia="方正仿宋_GBK" w:cs="Times New Roman"/>
          <w:sz w:val="30"/>
          <w:szCs w:val="30"/>
          <w:highlight w:val="none"/>
          <w:lang w:eastAsia="zh-CN"/>
        </w:rPr>
        <w:t>较</w:t>
      </w:r>
      <w:r>
        <w:rPr>
          <w:rFonts w:hint="eastAsia" w:ascii="Times New Roman" w:hAnsi="Times New Roman" w:eastAsia="方正仿宋_GBK" w:cs="Times New Roman"/>
          <w:sz w:val="30"/>
          <w:szCs w:val="30"/>
          <w:highlight w:val="none"/>
          <w:lang w:val="en-US" w:eastAsia="zh-CN"/>
        </w:rPr>
        <w:t>2024年无变化</w:t>
      </w:r>
      <w:r>
        <w:rPr>
          <w:rFonts w:hint="default" w:ascii="Times New Roman" w:hAnsi="Times New Roman" w:eastAsia="方正仿宋_GBK" w:cs="Times New Roman"/>
          <w:sz w:val="30"/>
          <w:szCs w:val="30"/>
          <w:highlight w:val="none"/>
        </w:rPr>
        <w:t>。</w:t>
      </w:r>
    </w:p>
    <w:p w14:paraId="09660E12">
      <w:pPr>
        <w:keepNext w:val="0"/>
        <w:keepLines w:val="0"/>
        <w:pageBreakBefore w:val="0"/>
        <w:widowControl/>
        <w:kinsoku/>
        <w:overflowPunct/>
        <w:topLinePunct w:val="0"/>
        <w:autoSpaceDE/>
        <w:autoSpaceDN/>
        <w:bidi w:val="0"/>
        <w:spacing w:line="600" w:lineRule="exact"/>
        <w:ind w:firstLine="600" w:firstLineChars="200"/>
        <w:textAlignment w:val="auto"/>
        <w:outlineLvl w:val="1"/>
        <w:rPr>
          <w:rFonts w:hint="default" w:ascii="Times New Roman" w:hAnsi="Times New Roman" w:eastAsia="方正黑体_GBK" w:cs="Times New Roman"/>
          <w:color w:val="000000"/>
          <w:kern w:val="0"/>
          <w:sz w:val="30"/>
          <w:szCs w:val="30"/>
          <w:highlight w:val="none"/>
        </w:rPr>
      </w:pPr>
      <w:r>
        <w:rPr>
          <w:rFonts w:hint="default" w:ascii="Times New Roman" w:hAnsi="Times New Roman" w:eastAsia="方正黑体_GBK" w:cs="Times New Roman"/>
          <w:color w:val="000000"/>
          <w:kern w:val="0"/>
          <w:sz w:val="30"/>
          <w:szCs w:val="30"/>
          <w:highlight w:val="none"/>
          <w:lang w:eastAsia="zh-CN"/>
        </w:rPr>
        <w:t>二、</w:t>
      </w:r>
      <w:r>
        <w:rPr>
          <w:rFonts w:hint="default" w:ascii="Times New Roman" w:hAnsi="Times New Roman" w:eastAsia="方正黑体_GBK" w:cs="Times New Roman"/>
          <w:color w:val="000000"/>
          <w:kern w:val="0"/>
          <w:sz w:val="30"/>
          <w:szCs w:val="30"/>
          <w:highlight w:val="none"/>
        </w:rPr>
        <w:t>国有资产占用情况</w:t>
      </w:r>
    </w:p>
    <w:p w14:paraId="3DC98354">
      <w:pPr>
        <w:keepNext w:val="0"/>
        <w:keepLines w:val="0"/>
        <w:pageBreakBefore w:val="0"/>
        <w:widowControl/>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color w:val="000000"/>
          <w:kern w:val="0"/>
          <w:sz w:val="30"/>
          <w:szCs w:val="30"/>
          <w:highlight w:val="none"/>
        </w:rPr>
      </w:pPr>
      <w:r>
        <w:rPr>
          <w:rFonts w:hint="default" w:ascii="Times New Roman" w:hAnsi="Times New Roman" w:eastAsia="方正仿宋_GBK" w:cs="Times New Roman"/>
          <w:sz w:val="30"/>
          <w:szCs w:val="30"/>
          <w:highlight w:val="none"/>
          <w:lang w:eastAsia="zh-CN"/>
        </w:rPr>
        <w:t>截至2025年末，</w:t>
      </w:r>
      <w:r>
        <w:rPr>
          <w:rFonts w:hint="eastAsia" w:ascii="Times New Roman" w:hAnsi="Times New Roman" w:eastAsia="方正仿宋_GBK" w:cs="Times New Roman"/>
          <w:sz w:val="32"/>
          <w:szCs w:val="32"/>
          <w:lang w:val="zh-CN" w:eastAsia="zh-CN"/>
        </w:rPr>
        <w:t>玉溪市中心血站</w:t>
      </w:r>
      <w:r>
        <w:rPr>
          <w:rFonts w:hint="default" w:ascii="Times New Roman" w:hAnsi="Times New Roman" w:eastAsia="方正仿宋_GBK" w:cs="Times New Roman"/>
          <w:sz w:val="30"/>
          <w:szCs w:val="30"/>
          <w:highlight w:val="none"/>
          <w:lang w:eastAsia="zh-CN"/>
        </w:rPr>
        <w:t>资产总额</w:t>
      </w:r>
      <w:r>
        <w:rPr>
          <w:rFonts w:hint="eastAsia" w:eastAsia="方正仿宋_GBK" w:cs="Times New Roman"/>
          <w:sz w:val="30"/>
          <w:szCs w:val="30"/>
          <w:highlight w:val="none"/>
          <w:lang w:eastAsia="zh-CN"/>
        </w:rPr>
        <w:t>62</w:t>
      </w:r>
      <w:r>
        <w:rPr>
          <w:rFonts w:hint="eastAsia" w:eastAsia="方正仿宋_GBK" w:cs="Times New Roman"/>
          <w:sz w:val="30"/>
          <w:szCs w:val="30"/>
          <w:highlight w:val="none"/>
          <w:lang w:val="en-US" w:eastAsia="zh-CN"/>
        </w:rPr>
        <w:t>,</w:t>
      </w:r>
      <w:r>
        <w:rPr>
          <w:rFonts w:hint="eastAsia" w:eastAsia="方正仿宋_GBK" w:cs="Times New Roman"/>
          <w:sz w:val="30"/>
          <w:szCs w:val="30"/>
          <w:highlight w:val="none"/>
          <w:lang w:eastAsia="zh-CN"/>
        </w:rPr>
        <w:t>148</w:t>
      </w:r>
      <w:r>
        <w:rPr>
          <w:rFonts w:hint="eastAsia" w:eastAsia="方正仿宋_GBK" w:cs="Times New Roman"/>
          <w:sz w:val="30"/>
          <w:szCs w:val="30"/>
          <w:highlight w:val="none"/>
          <w:lang w:val="en-US" w:eastAsia="zh-CN"/>
        </w:rPr>
        <w:t>,</w:t>
      </w:r>
      <w:r>
        <w:rPr>
          <w:rFonts w:hint="eastAsia" w:eastAsia="方正仿宋_GBK" w:cs="Times New Roman"/>
          <w:sz w:val="30"/>
          <w:szCs w:val="30"/>
          <w:highlight w:val="none"/>
          <w:lang w:eastAsia="zh-CN"/>
        </w:rPr>
        <w:t>905.09</w:t>
      </w:r>
      <w:r>
        <w:rPr>
          <w:rFonts w:hint="default" w:ascii="Times New Roman" w:hAnsi="Times New Roman" w:eastAsia="方正仿宋_GBK" w:cs="Times New Roman"/>
          <w:sz w:val="30"/>
          <w:szCs w:val="30"/>
          <w:highlight w:val="none"/>
          <w:lang w:eastAsia="zh-CN"/>
        </w:rPr>
        <w:t>元，其中，流动资产</w:t>
      </w:r>
      <w:r>
        <w:rPr>
          <w:rFonts w:hint="eastAsia" w:eastAsia="方正仿宋_GBK" w:cs="Times New Roman"/>
          <w:sz w:val="30"/>
          <w:szCs w:val="30"/>
          <w:highlight w:val="none"/>
          <w:lang w:eastAsia="zh-CN"/>
        </w:rPr>
        <w:t>8</w:t>
      </w:r>
      <w:r>
        <w:rPr>
          <w:rFonts w:hint="eastAsia" w:eastAsia="方正仿宋_GBK" w:cs="Times New Roman"/>
          <w:sz w:val="30"/>
          <w:szCs w:val="30"/>
          <w:highlight w:val="none"/>
          <w:lang w:val="en-US" w:eastAsia="zh-CN"/>
        </w:rPr>
        <w:t>,</w:t>
      </w:r>
      <w:r>
        <w:rPr>
          <w:rFonts w:hint="eastAsia" w:eastAsia="方正仿宋_GBK" w:cs="Times New Roman"/>
          <w:sz w:val="30"/>
          <w:szCs w:val="30"/>
          <w:highlight w:val="none"/>
          <w:lang w:eastAsia="zh-CN"/>
        </w:rPr>
        <w:t>834</w:t>
      </w:r>
      <w:r>
        <w:rPr>
          <w:rFonts w:hint="eastAsia" w:eastAsia="方正仿宋_GBK" w:cs="Times New Roman"/>
          <w:sz w:val="30"/>
          <w:szCs w:val="30"/>
          <w:highlight w:val="none"/>
          <w:lang w:val="en-US" w:eastAsia="zh-CN"/>
        </w:rPr>
        <w:t>,</w:t>
      </w:r>
      <w:r>
        <w:rPr>
          <w:rFonts w:hint="eastAsia" w:eastAsia="方正仿宋_GBK" w:cs="Times New Roman"/>
          <w:sz w:val="30"/>
          <w:szCs w:val="30"/>
          <w:highlight w:val="none"/>
          <w:lang w:eastAsia="zh-CN"/>
        </w:rPr>
        <w:t>192.84</w:t>
      </w:r>
      <w:r>
        <w:rPr>
          <w:rFonts w:hint="default" w:ascii="Times New Roman" w:hAnsi="Times New Roman" w:eastAsia="方正仿宋_GBK" w:cs="Times New Roman"/>
          <w:sz w:val="30"/>
          <w:szCs w:val="30"/>
          <w:highlight w:val="none"/>
          <w:lang w:eastAsia="zh-CN"/>
        </w:rPr>
        <w:t>元，固定资产</w:t>
      </w:r>
      <w:r>
        <w:rPr>
          <w:rFonts w:hint="eastAsia" w:eastAsia="方正仿宋_GBK" w:cs="Times New Roman"/>
          <w:sz w:val="30"/>
          <w:szCs w:val="30"/>
          <w:highlight w:val="none"/>
          <w:lang w:eastAsia="zh-CN"/>
        </w:rPr>
        <w:t>34</w:t>
      </w:r>
      <w:r>
        <w:rPr>
          <w:rFonts w:hint="eastAsia" w:eastAsia="方正仿宋_GBK" w:cs="Times New Roman"/>
          <w:sz w:val="30"/>
          <w:szCs w:val="30"/>
          <w:highlight w:val="none"/>
          <w:lang w:val="en-US" w:eastAsia="zh-CN"/>
        </w:rPr>
        <w:t>,</w:t>
      </w:r>
      <w:r>
        <w:rPr>
          <w:rFonts w:hint="eastAsia" w:eastAsia="方正仿宋_GBK" w:cs="Times New Roman"/>
          <w:sz w:val="30"/>
          <w:szCs w:val="30"/>
          <w:highlight w:val="none"/>
          <w:lang w:eastAsia="zh-CN"/>
        </w:rPr>
        <w:t>724</w:t>
      </w:r>
      <w:r>
        <w:rPr>
          <w:rFonts w:hint="eastAsia" w:eastAsia="方正仿宋_GBK" w:cs="Times New Roman"/>
          <w:sz w:val="30"/>
          <w:szCs w:val="30"/>
          <w:highlight w:val="none"/>
          <w:lang w:val="en-US" w:eastAsia="zh-CN"/>
        </w:rPr>
        <w:t>,</w:t>
      </w:r>
      <w:r>
        <w:rPr>
          <w:rFonts w:hint="eastAsia" w:eastAsia="方正仿宋_GBK" w:cs="Times New Roman"/>
          <w:sz w:val="30"/>
          <w:szCs w:val="30"/>
          <w:highlight w:val="none"/>
          <w:lang w:eastAsia="zh-CN"/>
        </w:rPr>
        <w:t>273.05</w:t>
      </w:r>
      <w:r>
        <w:rPr>
          <w:rFonts w:hint="default" w:ascii="Times New Roman" w:hAnsi="Times New Roman" w:eastAsia="方正仿宋_GBK" w:cs="Times New Roman"/>
          <w:sz w:val="30"/>
          <w:szCs w:val="30"/>
          <w:highlight w:val="none"/>
          <w:lang w:eastAsia="zh-CN"/>
        </w:rPr>
        <w:t>元（净值），对外投资及有价证券</w:t>
      </w:r>
      <w:r>
        <w:rPr>
          <w:rFonts w:hint="eastAsia"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eastAsia="zh-CN"/>
        </w:rPr>
        <w:t>元，在建工程</w:t>
      </w:r>
      <w:r>
        <w:rPr>
          <w:rFonts w:hint="eastAsia" w:eastAsia="方正仿宋_GBK" w:cs="Times New Roman"/>
          <w:sz w:val="30"/>
          <w:szCs w:val="30"/>
          <w:highlight w:val="none"/>
          <w:lang w:val="en-US" w:eastAsia="zh-CN"/>
        </w:rPr>
        <w:t>6,427,231.43</w:t>
      </w:r>
      <w:r>
        <w:rPr>
          <w:rFonts w:hint="default" w:ascii="Times New Roman" w:hAnsi="Times New Roman" w:eastAsia="方正仿宋_GBK" w:cs="Times New Roman"/>
          <w:sz w:val="30"/>
          <w:szCs w:val="30"/>
          <w:highlight w:val="none"/>
          <w:lang w:eastAsia="zh-CN"/>
        </w:rPr>
        <w:t>元，无形资产</w:t>
      </w:r>
      <w:r>
        <w:rPr>
          <w:rFonts w:hint="eastAsia" w:eastAsia="方正仿宋_GBK" w:cs="Times New Roman"/>
          <w:sz w:val="30"/>
          <w:szCs w:val="30"/>
          <w:highlight w:val="none"/>
          <w:lang w:val="en-US" w:eastAsia="zh-CN"/>
        </w:rPr>
        <w:t>10,863,196.30</w:t>
      </w:r>
      <w:r>
        <w:rPr>
          <w:rFonts w:hint="default" w:ascii="Times New Roman" w:hAnsi="Times New Roman" w:eastAsia="方正仿宋_GBK" w:cs="Times New Roman"/>
          <w:sz w:val="30"/>
          <w:szCs w:val="30"/>
          <w:highlight w:val="none"/>
          <w:lang w:eastAsia="zh-CN"/>
        </w:rPr>
        <w:t>元（净值），其他资产</w:t>
      </w:r>
      <w:r>
        <w:rPr>
          <w:rFonts w:hint="eastAsia" w:eastAsia="方正仿宋_GBK" w:cs="Times New Roman"/>
          <w:sz w:val="30"/>
          <w:szCs w:val="30"/>
          <w:highlight w:val="none"/>
          <w:lang w:val="en-US" w:eastAsia="zh-CN"/>
        </w:rPr>
        <w:t>1,300,011.47</w:t>
      </w:r>
      <w:r>
        <w:rPr>
          <w:rFonts w:hint="default" w:ascii="Times New Roman" w:hAnsi="Times New Roman" w:eastAsia="方正仿宋_GBK" w:cs="Times New Roman"/>
          <w:sz w:val="30"/>
          <w:szCs w:val="30"/>
          <w:highlight w:val="none"/>
          <w:lang w:eastAsia="zh-CN"/>
        </w:rPr>
        <w:t>元（净值）（具体内容详见附表）</w:t>
      </w:r>
      <w:r>
        <w:rPr>
          <w:rFonts w:hint="default" w:ascii="Times New Roman" w:hAnsi="Times New Roman" w:eastAsia="方正仿宋_GBK" w:cs="Times New Roman"/>
          <w:color w:val="000000"/>
          <w:kern w:val="0"/>
          <w:sz w:val="30"/>
          <w:szCs w:val="30"/>
          <w:highlight w:val="none"/>
        </w:rPr>
        <w:t>。与上年相比，本年资产总额增加</w:t>
      </w:r>
      <w:r>
        <w:rPr>
          <w:rFonts w:hint="eastAsia" w:eastAsia="方正仿宋_GBK" w:cs="Times New Roman"/>
          <w:color w:val="000000"/>
          <w:kern w:val="0"/>
          <w:sz w:val="30"/>
          <w:szCs w:val="30"/>
          <w:highlight w:val="none"/>
          <w:lang w:val="en-US" w:eastAsia="zh-CN"/>
        </w:rPr>
        <w:t>15,096,465.32</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，其中固定资产增加</w:t>
      </w:r>
      <w:r>
        <w:rPr>
          <w:rFonts w:hint="eastAsia" w:eastAsia="方正仿宋_GBK" w:cs="Times New Roman"/>
          <w:color w:val="000000"/>
          <w:kern w:val="0"/>
          <w:sz w:val="30"/>
          <w:szCs w:val="30"/>
          <w:highlight w:val="none"/>
          <w:lang w:val="en-US" w:eastAsia="zh-CN"/>
        </w:rPr>
        <w:t>27,459,524.80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。处置房屋建筑物</w:t>
      </w:r>
      <w:r>
        <w:rPr>
          <w:rFonts w:hint="eastAsia"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rPr>
        <w:t>平方米，账面原值</w:t>
      </w:r>
      <w:r>
        <w:rPr>
          <w:rFonts w:hint="eastAsia"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；处置车辆</w:t>
      </w:r>
      <w:r>
        <w:rPr>
          <w:rFonts w:hint="eastAsia" w:eastAsia="方正仿宋_GBK" w:cs="Times New Roman"/>
          <w:color w:val="000000"/>
          <w:kern w:val="0"/>
          <w:sz w:val="30"/>
          <w:szCs w:val="30"/>
          <w:highlight w:val="none"/>
          <w:lang w:val="en-US" w:eastAsia="zh-CN"/>
        </w:rPr>
        <w:t>0</w:t>
      </w:r>
      <w:r>
        <w:rPr>
          <w:rFonts w:hint="default" w:ascii="Times New Roman" w:hAnsi="Times New Roman" w:eastAsia="方正仿宋_GBK" w:cs="Times New Roman"/>
          <w:color w:val="000000"/>
          <w:kern w:val="0"/>
          <w:sz w:val="30"/>
          <w:szCs w:val="30"/>
          <w:highlight w:val="none"/>
        </w:rPr>
        <w:t>辆，账面原值</w:t>
      </w:r>
      <w:r>
        <w:rPr>
          <w:rFonts w:hint="eastAsia"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；报废报损资产</w:t>
      </w:r>
      <w:r>
        <w:rPr>
          <w:rFonts w:hint="eastAsia" w:eastAsia="方正仿宋_GBK" w:cs="Times New Roman"/>
          <w:color w:val="000000"/>
          <w:kern w:val="0"/>
          <w:sz w:val="30"/>
          <w:szCs w:val="30"/>
          <w:highlight w:val="none"/>
          <w:lang w:val="en-US" w:eastAsia="zh-CN"/>
        </w:rPr>
        <w:t>47</w:t>
      </w:r>
      <w:r>
        <w:rPr>
          <w:rFonts w:hint="default" w:ascii="Times New Roman" w:hAnsi="Times New Roman" w:eastAsia="方正仿宋_GBK" w:cs="Times New Roman"/>
          <w:color w:val="000000"/>
          <w:kern w:val="0"/>
          <w:sz w:val="30"/>
          <w:szCs w:val="30"/>
          <w:highlight w:val="none"/>
        </w:rPr>
        <w:t>项，账面原值</w:t>
      </w:r>
      <w:r>
        <w:rPr>
          <w:rFonts w:hint="eastAsia" w:eastAsia="方正仿宋_GBK" w:cs="Times New Roman"/>
          <w:color w:val="000000"/>
          <w:kern w:val="0"/>
          <w:sz w:val="30"/>
          <w:szCs w:val="30"/>
          <w:highlight w:val="none"/>
          <w:lang w:val="en-US" w:eastAsia="zh-CN"/>
        </w:rPr>
        <w:t>1,529,096.00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，实现资产处置收入</w:t>
      </w:r>
      <w:r>
        <w:rPr>
          <w:rFonts w:hint="eastAsia" w:eastAsia="方正仿宋_GBK" w:cs="Times New Roman"/>
          <w:color w:val="000000"/>
          <w:kern w:val="0"/>
          <w:sz w:val="30"/>
          <w:szCs w:val="30"/>
          <w:highlight w:val="none"/>
          <w:lang w:val="en-US" w:eastAsia="zh-CN"/>
        </w:rPr>
        <w:t>3,009.00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；出租房屋</w:t>
      </w:r>
      <w:r>
        <w:rPr>
          <w:rFonts w:hint="eastAsia"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rPr>
        <w:t>平方米，账面原值</w:t>
      </w:r>
      <w:r>
        <w:rPr>
          <w:rFonts w:hint="eastAsia"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，实现资产使用收入</w:t>
      </w:r>
      <w:r>
        <w:rPr>
          <w:rFonts w:hint="eastAsia" w:eastAsia="方正仿宋_GBK" w:cs="Times New Roman"/>
          <w:color w:val="000000"/>
          <w:kern w:val="0"/>
          <w:sz w:val="30"/>
          <w:szCs w:val="30"/>
          <w:highlight w:val="none"/>
          <w:lang w:val="en-US" w:eastAsia="zh-CN"/>
        </w:rPr>
        <w:t>0.00</w:t>
      </w:r>
      <w:r>
        <w:rPr>
          <w:rFonts w:hint="default" w:ascii="Times New Roman" w:hAnsi="Times New Roman" w:eastAsia="方正仿宋_GBK" w:cs="Times New Roman"/>
          <w:color w:val="000000"/>
          <w:kern w:val="0"/>
          <w:sz w:val="30"/>
          <w:szCs w:val="30"/>
          <w:highlight w:val="none"/>
          <w:lang w:eastAsia="zh-CN"/>
        </w:rPr>
        <w:t>元</w:t>
      </w:r>
      <w:r>
        <w:rPr>
          <w:rFonts w:hint="default" w:ascii="Times New Roman" w:hAnsi="Times New Roman" w:eastAsia="方正仿宋_GBK" w:cs="Times New Roman"/>
          <w:color w:val="000000"/>
          <w:kern w:val="0"/>
          <w:sz w:val="30"/>
          <w:szCs w:val="30"/>
          <w:highlight w:val="none"/>
        </w:rPr>
        <w:t>。</w:t>
      </w:r>
    </w:p>
    <w:p w14:paraId="5E4BF2FB">
      <w:pPr>
        <w:keepNext w:val="0"/>
        <w:keepLines w:val="0"/>
        <w:pageBreakBefore w:val="0"/>
        <w:widowControl/>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color w:val="000000"/>
          <w:kern w:val="0"/>
          <w:sz w:val="30"/>
          <w:szCs w:val="30"/>
          <w:highlight w:val="none"/>
          <w:lang w:eastAsia="zh-CN"/>
        </w:rPr>
      </w:pPr>
      <w:r>
        <w:rPr>
          <w:rFonts w:hint="default" w:ascii="Times New Roman" w:hAnsi="Times New Roman" w:eastAsia="方正仿宋_GBK" w:cs="Times New Roman"/>
          <w:color w:val="000000"/>
          <w:kern w:val="0"/>
          <w:sz w:val="30"/>
          <w:szCs w:val="30"/>
          <w:highlight w:val="none"/>
          <w:lang w:eastAsia="zh-CN"/>
        </w:rPr>
        <w:t>（</w:t>
      </w:r>
      <w:r>
        <w:rPr>
          <w:rFonts w:hint="default" w:ascii="Times New Roman" w:hAnsi="Times New Roman" w:eastAsia="方正仿宋_GBK" w:cs="Times New Roman"/>
          <w:color w:val="000000"/>
          <w:kern w:val="0"/>
          <w:sz w:val="30"/>
          <w:szCs w:val="30"/>
          <w:highlight w:val="none"/>
        </w:rPr>
        <w:t>国有资产占有使用情况表</w:t>
      </w:r>
      <w:r>
        <w:rPr>
          <w:rFonts w:hint="default" w:ascii="Times New Roman" w:hAnsi="Times New Roman" w:eastAsia="方正仿宋_GBK" w:cs="Times New Roman"/>
          <w:color w:val="000000"/>
          <w:kern w:val="0"/>
          <w:sz w:val="30"/>
          <w:szCs w:val="30"/>
          <w:highlight w:val="none"/>
          <w:lang w:eastAsia="zh-CN"/>
        </w:rPr>
        <w:t>详见附表）</w:t>
      </w:r>
    </w:p>
    <w:p w14:paraId="2DD757A4">
      <w:pPr>
        <w:keepNext w:val="0"/>
        <w:keepLines w:val="0"/>
        <w:pageBreakBefore w:val="0"/>
        <w:kinsoku/>
        <w:overflowPunct/>
        <w:topLinePunct w:val="0"/>
        <w:autoSpaceDE/>
        <w:autoSpaceDN/>
        <w:bidi w:val="0"/>
        <w:spacing w:line="600" w:lineRule="exact"/>
        <w:ind w:firstLine="600" w:firstLineChars="200"/>
        <w:jc w:val="left"/>
        <w:textAlignment w:val="auto"/>
        <w:outlineLvl w:val="1"/>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0"/>
          <w:highlight w:val="none"/>
          <w:lang w:eastAsia="zh-CN"/>
        </w:rPr>
        <w:t>三、政</w:t>
      </w:r>
      <w:r>
        <w:rPr>
          <w:rFonts w:hint="default" w:ascii="Times New Roman" w:hAnsi="Times New Roman" w:eastAsia="方正黑体_GBK" w:cs="Times New Roman"/>
          <w:sz w:val="30"/>
          <w:szCs w:val="30"/>
          <w:highlight w:val="none"/>
        </w:rPr>
        <w:t>府采购支出情况</w:t>
      </w:r>
      <w:bookmarkStart w:id="0" w:name="_GoBack"/>
      <w:bookmarkEnd w:id="0"/>
    </w:p>
    <w:p w14:paraId="7C69F156">
      <w:pPr>
        <w:keepNext w:val="0"/>
        <w:keepLines w:val="0"/>
        <w:pageBreakBefore w:val="0"/>
        <w:kinsoku/>
        <w:overflowPunct/>
        <w:topLinePunct w:val="0"/>
        <w:autoSpaceDE/>
        <w:autoSpaceDN/>
        <w:bidi w:val="0"/>
        <w:spacing w:line="600" w:lineRule="exact"/>
        <w:ind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2025年度，单位政府采购支出总额</w:t>
      </w:r>
      <w:r>
        <w:rPr>
          <w:rFonts w:hint="eastAsia" w:eastAsia="方正仿宋_GBK" w:cs="Times New Roman"/>
          <w:sz w:val="30"/>
          <w:szCs w:val="30"/>
          <w:highlight w:val="none"/>
          <w:lang w:val="en-US" w:eastAsia="zh-CN"/>
        </w:rPr>
        <w:t>9,558,299.38</w:t>
      </w:r>
      <w:r>
        <w:rPr>
          <w:rFonts w:hint="default" w:ascii="Times New Roman" w:hAnsi="Times New Roman" w:eastAsia="方正仿宋_GBK" w:cs="Times New Roman"/>
          <w:sz w:val="30"/>
          <w:szCs w:val="30"/>
          <w:highlight w:val="none"/>
          <w:lang w:val="en-US" w:eastAsia="zh-CN"/>
        </w:rPr>
        <w:t>元，其中：政府采购货物支出</w:t>
      </w:r>
      <w:r>
        <w:rPr>
          <w:rFonts w:hint="eastAsia" w:eastAsia="方正仿宋_GBK" w:cs="Times New Roman"/>
          <w:sz w:val="30"/>
          <w:szCs w:val="30"/>
          <w:highlight w:val="none"/>
          <w:lang w:val="en-US" w:eastAsia="zh-CN"/>
        </w:rPr>
        <w:t>9,169,169.91</w:t>
      </w:r>
      <w:r>
        <w:rPr>
          <w:rFonts w:hint="default" w:ascii="Times New Roman" w:hAnsi="Times New Roman" w:eastAsia="方正仿宋_GBK" w:cs="Times New Roman"/>
          <w:sz w:val="30"/>
          <w:szCs w:val="30"/>
          <w:highlight w:val="none"/>
          <w:lang w:val="en-US" w:eastAsia="zh-CN"/>
        </w:rPr>
        <w:t>元；政府采购工程支出</w:t>
      </w:r>
      <w:r>
        <w:rPr>
          <w:rFonts w:hint="eastAsia" w:ascii="Times New Roman" w:hAnsi="Times New Roman" w:eastAsia="方正仿宋_GBK" w:cs="Times New Roman"/>
          <w:sz w:val="30"/>
          <w:szCs w:val="30"/>
          <w:highlight w:val="none"/>
          <w:lang w:val="en-US" w:eastAsia="zh-CN"/>
        </w:rPr>
        <w:t>0.00</w:t>
      </w:r>
      <w:r>
        <w:rPr>
          <w:rFonts w:hint="default" w:ascii="Times New Roman" w:hAnsi="Times New Roman" w:eastAsia="方正仿宋_GBK" w:cs="Times New Roman"/>
          <w:sz w:val="30"/>
          <w:szCs w:val="30"/>
          <w:highlight w:val="none"/>
          <w:lang w:val="en-US" w:eastAsia="zh-CN"/>
        </w:rPr>
        <w:t>元；政府采购服务支出389,129.47元。授予中小企业合同金额</w:t>
      </w:r>
      <w:r>
        <w:rPr>
          <w:rFonts w:hint="eastAsia" w:eastAsia="方正仿宋_GBK" w:cs="Times New Roman"/>
          <w:sz w:val="30"/>
          <w:szCs w:val="30"/>
          <w:highlight w:val="none"/>
          <w:lang w:val="en-US" w:eastAsia="zh-CN"/>
        </w:rPr>
        <w:t>934,268.17</w:t>
      </w:r>
      <w:r>
        <w:rPr>
          <w:rFonts w:hint="default" w:ascii="Times New Roman" w:hAnsi="Times New Roman" w:eastAsia="方正仿宋_GBK" w:cs="Times New Roman"/>
          <w:sz w:val="30"/>
          <w:szCs w:val="30"/>
          <w:highlight w:val="none"/>
          <w:lang w:val="en-US" w:eastAsia="zh-CN"/>
        </w:rPr>
        <w:t>元，其中：授予小微企业合同金额</w:t>
      </w:r>
      <w:r>
        <w:rPr>
          <w:rFonts w:hint="eastAsia" w:eastAsia="方正仿宋_GBK" w:cs="Times New Roman"/>
          <w:color w:val="auto"/>
          <w:sz w:val="30"/>
          <w:highlight w:val="none"/>
          <w:lang w:val="en-US" w:eastAsia="zh-CN"/>
        </w:rPr>
        <w:t>9,266,623.77</w:t>
      </w:r>
      <w:r>
        <w:rPr>
          <w:rFonts w:hint="default" w:ascii="Times New Roman" w:hAnsi="Times New Roman" w:eastAsia="方正仿宋_GBK" w:cs="Times New Roman"/>
          <w:sz w:val="30"/>
          <w:szCs w:val="30"/>
          <w:highlight w:val="none"/>
          <w:lang w:val="en-US" w:eastAsia="zh-CN"/>
        </w:rPr>
        <w:t>元。</w:t>
      </w:r>
    </w:p>
    <w:p w14:paraId="1375CECC">
      <w:pPr>
        <w:keepNext w:val="0"/>
        <w:keepLines w:val="0"/>
        <w:pageBreakBefore w:val="0"/>
        <w:kinsoku/>
        <w:overflowPunct/>
        <w:topLinePunct w:val="0"/>
        <w:autoSpaceDE/>
        <w:autoSpaceDN/>
        <w:bidi w:val="0"/>
        <w:spacing w:line="600" w:lineRule="exact"/>
        <w:ind w:firstLine="600" w:firstLineChars="200"/>
        <w:jc w:val="left"/>
        <w:textAlignment w:val="auto"/>
        <w:outlineLvl w:val="1"/>
        <w:rPr>
          <w:rFonts w:hint="default" w:ascii="Times New Roman" w:hAnsi="Times New Roman" w:eastAsia="方正黑体_GBK" w:cs="Times New Roman"/>
          <w:sz w:val="30"/>
          <w:szCs w:val="30"/>
          <w:highlight w:val="none"/>
          <w:lang w:val="en-US" w:eastAsia="zh-CN"/>
        </w:rPr>
      </w:pPr>
      <w:r>
        <w:rPr>
          <w:rFonts w:hint="default" w:ascii="Times New Roman" w:hAnsi="Times New Roman" w:eastAsia="方正黑体_GBK" w:cs="Times New Roman"/>
          <w:sz w:val="30"/>
          <w:szCs w:val="30"/>
          <w:highlight w:val="none"/>
          <w:lang w:val="en-US" w:eastAsia="zh-CN"/>
        </w:rPr>
        <w:t>四、单位绩效自评情况</w:t>
      </w:r>
    </w:p>
    <w:p w14:paraId="09A98070">
      <w:pPr>
        <w:keepNext w:val="0"/>
        <w:keepLines w:val="0"/>
        <w:pageBreakBefore w:val="0"/>
        <w:widowControl/>
        <w:kinsoku/>
        <w:overflowPunct/>
        <w:topLinePunct w:val="0"/>
        <w:autoSpaceDE/>
        <w:autoSpaceDN/>
        <w:bidi w:val="0"/>
        <w:snapToGrid w:val="0"/>
        <w:spacing w:before="100" w:after="100" w:line="600" w:lineRule="exact"/>
        <w:ind w:firstLine="600"/>
        <w:jc w:val="left"/>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单位绩效自评情况详见附表。</w:t>
      </w:r>
    </w:p>
    <w:p w14:paraId="1205B90F">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1"/>
        <w:rPr>
          <w:rFonts w:hint="default" w:ascii="Times New Roman" w:hAnsi="Times New Roman" w:eastAsia="方正黑体_GBK" w:cs="Times New Roman"/>
          <w:sz w:val="30"/>
          <w:szCs w:val="30"/>
          <w:highlight w:val="none"/>
          <w:lang w:val="en-US" w:eastAsia="zh-CN"/>
        </w:rPr>
      </w:pPr>
      <w:r>
        <w:rPr>
          <w:rFonts w:hint="default" w:ascii="Times New Roman" w:hAnsi="Times New Roman" w:eastAsia="方正黑体_GBK" w:cs="Times New Roman"/>
          <w:sz w:val="30"/>
          <w:szCs w:val="30"/>
          <w:highlight w:val="none"/>
          <w:lang w:val="en-US" w:eastAsia="zh-CN"/>
        </w:rPr>
        <w:t>五、其他重要事项情况说明</w:t>
      </w:r>
    </w:p>
    <w:p w14:paraId="3BE19F91">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color w:val="FF0000"/>
          <w:sz w:val="30"/>
          <w:szCs w:val="30"/>
          <w:highlight w:val="none"/>
        </w:rPr>
      </w:pPr>
      <w:r>
        <w:rPr>
          <w:rFonts w:hint="eastAsia" w:ascii="Times New Roman" w:hAnsi="Times New Roman" w:eastAsia="方正仿宋_GBK" w:cs="Times New Roman"/>
          <w:sz w:val="30"/>
          <w:szCs w:val="30"/>
          <w:highlight w:val="none"/>
          <w:lang w:eastAsia="zh-CN"/>
        </w:rPr>
        <w:t>无</w:t>
      </w:r>
      <w:r>
        <w:rPr>
          <w:rFonts w:hint="default" w:ascii="Times New Roman" w:hAnsi="Times New Roman" w:eastAsia="方正仿宋_GBK" w:cs="Times New Roman"/>
          <w:sz w:val="30"/>
          <w:szCs w:val="30"/>
          <w:highlight w:val="none"/>
        </w:rPr>
        <w:t>。</w:t>
      </w:r>
    </w:p>
    <w:p w14:paraId="53A714F4">
      <w:pPr>
        <w:keepNext w:val="0"/>
        <w:keepLines w:val="0"/>
        <w:pageBreakBefore w:val="0"/>
        <w:widowControl/>
        <w:kinsoku/>
        <w:overflowPunct/>
        <w:topLinePunct w:val="0"/>
        <w:autoSpaceDE/>
        <w:autoSpaceDN/>
        <w:bidi w:val="0"/>
        <w:snapToGrid w:val="0"/>
        <w:spacing w:before="100" w:after="100" w:line="600" w:lineRule="exact"/>
        <w:ind w:firstLine="600" w:firstLineChars="200"/>
        <w:jc w:val="left"/>
        <w:textAlignment w:val="auto"/>
        <w:outlineLvl w:val="1"/>
        <w:rPr>
          <w:rFonts w:hint="default" w:ascii="Times New Roman" w:hAnsi="Times New Roman" w:eastAsia="方正黑体_GBK" w:cs="Times New Roman"/>
          <w:sz w:val="30"/>
          <w:szCs w:val="30"/>
          <w:highlight w:val="none"/>
          <w:lang w:val="en-US" w:eastAsia="zh-CN"/>
        </w:rPr>
      </w:pPr>
      <w:r>
        <w:rPr>
          <w:rFonts w:hint="default" w:ascii="Times New Roman" w:hAnsi="Times New Roman" w:eastAsia="方正黑体_GBK" w:cs="Times New Roman"/>
          <w:sz w:val="30"/>
          <w:szCs w:val="30"/>
          <w:highlight w:val="none"/>
          <w:lang w:val="en-US" w:eastAsia="zh-CN"/>
        </w:rPr>
        <w:t>六、相关口径说明</w:t>
      </w:r>
    </w:p>
    <w:p w14:paraId="575FC709">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eastAsia="zh-CN"/>
        </w:rPr>
        <w:t>（一）</w:t>
      </w:r>
      <w:r>
        <w:rPr>
          <w:rFonts w:hint="default" w:ascii="Times New Roman" w:hAnsi="Times New Roman" w:eastAsia="方正仿宋_GBK" w:cs="Times New Roman"/>
          <w:sz w:val="30"/>
          <w:szCs w:val="30"/>
          <w:highlight w:val="none"/>
        </w:rPr>
        <w:t>基本支出中人员经费包括工资福利支出和对个人和家庭的补助，公用</w:t>
      </w:r>
      <w:r>
        <w:rPr>
          <w:rFonts w:hint="default" w:ascii="Times New Roman" w:hAnsi="Times New Roman" w:eastAsia="方正仿宋_GBK" w:cs="Times New Roman"/>
          <w:sz w:val="30"/>
          <w:szCs w:val="30"/>
          <w:highlight w:val="none"/>
          <w:lang w:eastAsia="zh-CN"/>
        </w:rPr>
        <w:t>经费</w:t>
      </w:r>
      <w:r>
        <w:rPr>
          <w:rFonts w:hint="default" w:ascii="Times New Roman" w:hAnsi="Times New Roman" w:eastAsia="方正仿宋_GBK" w:cs="Times New Roman"/>
          <w:sz w:val="30"/>
          <w:szCs w:val="30"/>
          <w:highlight w:val="none"/>
        </w:rPr>
        <w:t>包括商品和服务支出、资本性支出等人员经费以外的支出。</w:t>
      </w:r>
    </w:p>
    <w:p w14:paraId="77A9071F">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eastAsia="zh-CN"/>
        </w:rPr>
        <w:t>（二）</w:t>
      </w:r>
      <w:r>
        <w:rPr>
          <w:rFonts w:hint="default" w:ascii="Times New Roman" w:hAnsi="Times New Roman" w:eastAsia="方正仿宋_GBK" w:cs="Times New Roman"/>
          <w:sz w:val="30"/>
          <w:szCs w:val="30"/>
          <w:highlight w:val="none"/>
        </w:rPr>
        <w:t>机关运行经费指行政单位和参照公务员法管理的事业单位使用一般公共预算财政拨款安排的基本支出中的公用经费支出</w:t>
      </w:r>
      <w:r>
        <w:rPr>
          <w:rFonts w:hint="default" w:ascii="Times New Roman" w:hAnsi="Times New Roman" w:eastAsia="方正仿宋_GBK" w:cs="Times New Roman"/>
          <w:sz w:val="30"/>
          <w:szCs w:val="30"/>
          <w:highlight w:val="none"/>
          <w:lang w:eastAsia="zh-CN"/>
        </w:rPr>
        <w:t>。</w:t>
      </w:r>
    </w:p>
    <w:p w14:paraId="5EA129AF">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（三）</w:t>
      </w:r>
      <w:r>
        <w:rPr>
          <w:rFonts w:hint="default" w:ascii="Times New Roman" w:hAnsi="Times New Roman" w:eastAsia="方正仿宋_GBK" w:cs="Times New Roman"/>
          <w:sz w:val="30"/>
          <w:szCs w:val="30"/>
          <w:highlight w:val="none"/>
        </w:rPr>
        <w:t>按照党中央、国务院有关文件及部门预算管理有关规定，“三公”经费包括</w:t>
      </w:r>
      <w:r>
        <w:rPr>
          <w:rFonts w:hint="default" w:ascii="Times New Roman" w:hAnsi="Times New Roman" w:eastAsia="方正仿宋_GBK" w:cs="Times New Roman"/>
          <w:sz w:val="30"/>
          <w:szCs w:val="30"/>
          <w:highlight w:val="none"/>
          <w:lang w:eastAsia="zh-CN"/>
        </w:rPr>
        <w:t>因公出国（境）费用</w:t>
      </w:r>
      <w:r>
        <w:rPr>
          <w:rFonts w:hint="default" w:ascii="Times New Roman" w:hAnsi="Times New Roman" w:eastAsia="方正仿宋_GBK" w:cs="Times New Roman"/>
          <w:sz w:val="30"/>
          <w:szCs w:val="30"/>
          <w:highlight w:val="none"/>
        </w:rPr>
        <w:t>、公务用车购置及运行维护费、公务接待费。其中：</w:t>
      </w:r>
      <w:r>
        <w:rPr>
          <w:rFonts w:hint="default" w:ascii="Times New Roman" w:hAnsi="Times New Roman" w:eastAsia="方正仿宋_GBK" w:cs="Times New Roman"/>
          <w:sz w:val="30"/>
          <w:szCs w:val="30"/>
          <w:highlight w:val="none"/>
          <w:lang w:eastAsia="zh-CN"/>
        </w:rPr>
        <w:t>因公出国（境）费用</w:t>
      </w:r>
      <w:r>
        <w:rPr>
          <w:rFonts w:hint="default" w:ascii="Times New Roman" w:hAnsi="Times New Roman" w:eastAsia="方正仿宋_GBK" w:cs="Times New Roman"/>
          <w:sz w:val="30"/>
          <w:szCs w:val="30"/>
          <w:highlight w:val="none"/>
        </w:rPr>
        <w:t>，指单位公务出国（境）的国际旅费、国外城市间交通费、住宿费、伙食费、培训费、公杂费等支出；公务用车购置费，指公务用车购置支出（含车辆购置税</w:t>
      </w:r>
      <w:r>
        <w:rPr>
          <w:rFonts w:hint="default" w:ascii="Times New Roman" w:hAnsi="Times New Roman" w:eastAsia="方正仿宋_GBK" w:cs="Times New Roman"/>
          <w:sz w:val="30"/>
          <w:szCs w:val="30"/>
          <w:highlight w:val="none"/>
          <w:lang w:eastAsia="zh-CN"/>
        </w:rPr>
        <w:t>、牌照费</w:t>
      </w:r>
      <w:r>
        <w:rPr>
          <w:rFonts w:hint="default" w:ascii="Times New Roman" w:hAnsi="Times New Roman" w:eastAsia="方正仿宋_GBK" w:cs="Times New Roman"/>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default" w:ascii="Times New Roman" w:hAnsi="Times New Roman" w:eastAsia="方正仿宋_GBK" w:cs="Times New Roman"/>
          <w:sz w:val="30"/>
          <w:szCs w:val="30"/>
          <w:highlight w:val="none"/>
          <w:lang w:eastAsia="zh-CN"/>
        </w:rPr>
        <w:t>本文中公开的财政拨款“三公”经费相关数据是一般公共预算、政府性基金及国有资本经营预算财政拨款支出的相关经费，不含非财政拨款部分。</w:t>
      </w:r>
    </w:p>
    <w:p w14:paraId="20189E6F">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lang w:eastAsia="zh-CN"/>
        </w:rPr>
        <w:t>（四）本文所称财政拨款</w:t>
      </w:r>
      <w:r>
        <w:rPr>
          <w:rFonts w:hint="default" w:ascii="Times New Roman" w:hAnsi="Times New Roman" w:eastAsia="方正仿宋_GBK" w:cs="Times New Roman"/>
          <w:sz w:val="30"/>
          <w:szCs w:val="30"/>
          <w:highlight w:val="none"/>
        </w:rPr>
        <w:t>“三公”经费决算数</w:t>
      </w:r>
      <w:r>
        <w:rPr>
          <w:rFonts w:hint="default" w:ascii="Times New Roman" w:hAnsi="Times New Roman" w:eastAsia="方正仿宋_GBK" w:cs="Times New Roman"/>
          <w:sz w:val="30"/>
          <w:szCs w:val="30"/>
          <w:highlight w:val="none"/>
          <w:lang w:eastAsia="zh-CN"/>
        </w:rPr>
        <w:t>是</w:t>
      </w:r>
      <w:r>
        <w:rPr>
          <w:rFonts w:hint="default" w:ascii="Times New Roman" w:hAnsi="Times New Roman" w:eastAsia="方正仿宋_GBK" w:cs="Times New Roman"/>
          <w:sz w:val="30"/>
          <w:szCs w:val="30"/>
          <w:highlight w:val="none"/>
        </w:rPr>
        <w:t>指各部门（含下属单位）</w:t>
      </w:r>
      <w:r>
        <w:rPr>
          <w:rFonts w:hint="default" w:ascii="Times New Roman" w:hAnsi="Times New Roman" w:eastAsia="方正仿宋_GBK" w:cs="Times New Roman"/>
          <w:sz w:val="30"/>
          <w:szCs w:val="30"/>
          <w:highlight w:val="none"/>
          <w:lang w:eastAsia="zh-CN"/>
        </w:rPr>
        <w:t>或单位</w:t>
      </w:r>
      <w:r>
        <w:rPr>
          <w:rFonts w:hint="default" w:ascii="Times New Roman" w:hAnsi="Times New Roman" w:eastAsia="方正仿宋_GBK" w:cs="Times New Roman"/>
          <w:sz w:val="30"/>
          <w:szCs w:val="30"/>
          <w:highlight w:val="none"/>
        </w:rPr>
        <w:t>当年通过本级财政拨款和以前年度财政拨款结转结余资金安排的</w:t>
      </w:r>
      <w:r>
        <w:rPr>
          <w:rFonts w:hint="default" w:ascii="Times New Roman" w:hAnsi="Times New Roman" w:eastAsia="方正仿宋_GBK" w:cs="Times New Roman"/>
          <w:sz w:val="30"/>
          <w:szCs w:val="30"/>
          <w:highlight w:val="none"/>
          <w:lang w:eastAsia="zh-CN"/>
        </w:rPr>
        <w:t>因公出国（境）费用</w:t>
      </w:r>
      <w:r>
        <w:rPr>
          <w:rFonts w:hint="default" w:ascii="Times New Roman" w:hAnsi="Times New Roman" w:eastAsia="方正仿宋_GBK" w:cs="Times New Roman"/>
          <w:sz w:val="30"/>
          <w:szCs w:val="30"/>
          <w:highlight w:val="none"/>
        </w:rPr>
        <w:t>、公务用车购置及运行维护费和公务接待费支出数（包括基本支出和项目支出）。</w:t>
      </w:r>
    </w:p>
    <w:p w14:paraId="741890EE">
      <w:pPr>
        <w:keepNext w:val="0"/>
        <w:keepLines w:val="0"/>
        <w:pageBreakBefore w:val="0"/>
        <w:kinsoku/>
        <w:overflowPunct/>
        <w:topLinePunct w:val="0"/>
        <w:autoSpaceDE/>
        <w:autoSpaceDN/>
        <w:bidi w:val="0"/>
        <w:spacing w:line="600" w:lineRule="exact"/>
        <w:jc w:val="center"/>
        <w:textAlignment w:val="auto"/>
        <w:outlineLvl w:val="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第</w:t>
      </w:r>
      <w:r>
        <w:rPr>
          <w:rFonts w:hint="default" w:ascii="Times New Roman" w:hAnsi="Times New Roman" w:eastAsia="方正黑体_GBK" w:cs="Times New Roman"/>
          <w:sz w:val="32"/>
          <w:szCs w:val="32"/>
          <w:highlight w:val="none"/>
          <w:lang w:eastAsia="zh-CN"/>
        </w:rPr>
        <w:t>五</w:t>
      </w:r>
      <w:r>
        <w:rPr>
          <w:rFonts w:hint="default" w:ascii="Times New Roman" w:hAnsi="Times New Roman" w:eastAsia="方正黑体_GBK" w:cs="Times New Roman"/>
          <w:sz w:val="32"/>
          <w:szCs w:val="32"/>
          <w:highlight w:val="none"/>
        </w:rPr>
        <w:t>部分  名词解释</w:t>
      </w:r>
    </w:p>
    <w:p w14:paraId="0BECC91C">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066D707D">
      <w:pPr>
        <w:keepNext w:val="0"/>
        <w:keepLines w:val="0"/>
        <w:pageBreakBefore w:val="0"/>
        <w:kinsoku/>
        <w:overflowPunct/>
        <w:topLinePunct w:val="0"/>
        <w:autoSpaceDE/>
        <w:autoSpaceDN/>
        <w:bidi w:val="0"/>
        <w:spacing w:line="600" w:lineRule="exact"/>
        <w:ind w:firstLine="600" w:firstLineChars="200"/>
        <w:jc w:val="left"/>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情况说明里涉及到需要解释说明的决算相关专用名词，在此进行说明解释。</w:t>
      </w:r>
      <w:r>
        <w:rPr>
          <w:rFonts w:hint="default" w:ascii="Times New Roman" w:hAnsi="Times New Roman" w:eastAsia="方正仿宋_GBK" w:cs="Times New Roman"/>
          <w:sz w:val="30"/>
          <w:szCs w:val="30"/>
          <w:highlight w:val="none"/>
          <w:lang w:eastAsia="zh-CN"/>
        </w:rPr>
        <w:t>若没有涉及专用名词，</w:t>
      </w:r>
      <w:r>
        <w:rPr>
          <w:rFonts w:hint="default" w:ascii="Times New Roman" w:hAnsi="Times New Roman" w:eastAsia="方正仿宋_GBK" w:cs="Times New Roman"/>
          <w:b/>
          <w:bCs/>
          <w:sz w:val="30"/>
          <w:szCs w:val="30"/>
          <w:highlight w:val="none"/>
          <w:lang w:eastAsia="zh-CN"/>
        </w:rPr>
        <w:t>应</w:t>
      </w:r>
      <w:r>
        <w:rPr>
          <w:rFonts w:hint="default" w:ascii="Times New Roman" w:hAnsi="Times New Roman" w:eastAsia="方正仿宋_GBK" w:cs="Times New Roman"/>
          <w:b/>
          <w:bCs/>
          <w:sz w:val="30"/>
          <w:szCs w:val="30"/>
          <w:highlight w:val="none"/>
          <w:u w:val="none"/>
          <w:lang w:val="en-US" w:eastAsia="zh-CN"/>
        </w:rPr>
        <w:t>至少公开一条与决算相关的财务专业名词解释，或</w:t>
      </w:r>
      <w:r>
        <w:rPr>
          <w:rFonts w:hint="default" w:ascii="Times New Roman" w:hAnsi="Times New Roman" w:eastAsia="方正仿宋_GBK" w:cs="Times New Roman"/>
          <w:sz w:val="30"/>
          <w:szCs w:val="30"/>
          <w:highlight w:val="none"/>
          <w:lang w:eastAsia="zh-CN"/>
        </w:rPr>
        <w:t>请直接保留模板提供专用名词。</w:t>
      </w:r>
    </w:p>
    <w:p w14:paraId="765FFC72">
      <w:pPr>
        <w:keepNext w:val="0"/>
        <w:keepLines w:val="0"/>
        <w:pageBreakBefore w:val="0"/>
        <w:kinsoku/>
        <w:overflowPunct/>
        <w:topLinePunct w:val="0"/>
        <w:autoSpaceDE/>
        <w:autoSpaceDN/>
        <w:bidi w:val="0"/>
        <w:spacing w:line="600" w:lineRule="exact"/>
        <w:textAlignment w:val="auto"/>
        <w:rPr>
          <w:rFonts w:hint="default" w:ascii="Times New Roman" w:hAnsi="Times New Roman" w:cs="Times New Roman"/>
          <w:highlight w:val="none"/>
        </w:rPr>
      </w:pPr>
    </w:p>
    <w:sectPr>
      <w:headerReference r:id="rId3" w:type="default"/>
      <w:footerReference r:id="rId4" w:type="default"/>
      <w:footerReference r:id="rId5" w:type="even"/>
      <w:pgSz w:w="11906" w:h="16838"/>
      <w:pgMar w:top="2098" w:right="1418" w:bottom="1588"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4D"/>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9ADA7">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F2D4289">
                          <w:pPr>
                            <w:pStyle w:val="2"/>
                            <w:rPr>
                              <w:rStyle w:val="8"/>
                            </w:rPr>
                          </w:pP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0F2D4289">
                    <w:pPr>
                      <w:pStyle w:val="2"/>
                      <w:rPr>
                        <w:rStyle w:val="8"/>
                      </w:rPr>
                    </w:pP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A22F9">
    <w:pPr>
      <w:pStyle w:val="2"/>
      <w:framePr w:wrap="around" w:vAnchor="text" w:hAnchor="margin" w:xAlign="center" w:y="1"/>
      <w:rPr>
        <w:rStyle w:val="8"/>
      </w:rPr>
    </w:pPr>
    <w:r>
      <w:fldChar w:fldCharType="begin"/>
    </w:r>
    <w:r>
      <w:rPr>
        <w:rStyle w:val="8"/>
      </w:rPr>
      <w:instrText xml:space="preserve">PAGE  </w:instrText>
    </w:r>
    <w:r>
      <w:fldChar w:fldCharType="separate"/>
    </w:r>
    <w:r>
      <w:fldChar w:fldCharType="end"/>
    </w:r>
  </w:p>
  <w:p w14:paraId="53CFDFC2">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91F68">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09A084"/>
    <w:multiLevelType w:val="singleLevel"/>
    <w:tmpl w:val="B809A08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D5B44"/>
    <w:rsid w:val="00295221"/>
    <w:rsid w:val="004428D7"/>
    <w:rsid w:val="007769FD"/>
    <w:rsid w:val="009D25BF"/>
    <w:rsid w:val="01207E49"/>
    <w:rsid w:val="01ED26C2"/>
    <w:rsid w:val="025811C6"/>
    <w:rsid w:val="02896555"/>
    <w:rsid w:val="029B292C"/>
    <w:rsid w:val="02B75F93"/>
    <w:rsid w:val="02B871BB"/>
    <w:rsid w:val="02E24634"/>
    <w:rsid w:val="02FB33E1"/>
    <w:rsid w:val="03305DE9"/>
    <w:rsid w:val="034D0487"/>
    <w:rsid w:val="03B11286"/>
    <w:rsid w:val="03CA58FE"/>
    <w:rsid w:val="041A7827"/>
    <w:rsid w:val="04271BFA"/>
    <w:rsid w:val="04BC11CE"/>
    <w:rsid w:val="04C10576"/>
    <w:rsid w:val="05174717"/>
    <w:rsid w:val="0574646B"/>
    <w:rsid w:val="058F13D8"/>
    <w:rsid w:val="059C5753"/>
    <w:rsid w:val="05DC7F46"/>
    <w:rsid w:val="05E97883"/>
    <w:rsid w:val="060B1C24"/>
    <w:rsid w:val="062A0404"/>
    <w:rsid w:val="06444EBA"/>
    <w:rsid w:val="065D0EEB"/>
    <w:rsid w:val="067D4F13"/>
    <w:rsid w:val="07405F45"/>
    <w:rsid w:val="074E4226"/>
    <w:rsid w:val="075C4FC8"/>
    <w:rsid w:val="07B029A5"/>
    <w:rsid w:val="07BB3ECB"/>
    <w:rsid w:val="089E4E3D"/>
    <w:rsid w:val="08D05336"/>
    <w:rsid w:val="08D44158"/>
    <w:rsid w:val="08D73239"/>
    <w:rsid w:val="08F51F25"/>
    <w:rsid w:val="0944019E"/>
    <w:rsid w:val="095E4341"/>
    <w:rsid w:val="09EF4584"/>
    <w:rsid w:val="0A095F75"/>
    <w:rsid w:val="0A3177B0"/>
    <w:rsid w:val="0A51772C"/>
    <w:rsid w:val="0A5C0B70"/>
    <w:rsid w:val="0A96061B"/>
    <w:rsid w:val="0B2129CD"/>
    <w:rsid w:val="0B6111D7"/>
    <w:rsid w:val="0B870169"/>
    <w:rsid w:val="0C16119B"/>
    <w:rsid w:val="0C3F033D"/>
    <w:rsid w:val="0C9678DC"/>
    <w:rsid w:val="0D11231B"/>
    <w:rsid w:val="0D805349"/>
    <w:rsid w:val="0D974C37"/>
    <w:rsid w:val="0DAD6122"/>
    <w:rsid w:val="0DE011E3"/>
    <w:rsid w:val="0E260B59"/>
    <w:rsid w:val="0E36301F"/>
    <w:rsid w:val="0E522B37"/>
    <w:rsid w:val="0E9E11F2"/>
    <w:rsid w:val="0ED33725"/>
    <w:rsid w:val="0EEE1C8C"/>
    <w:rsid w:val="0EFF905A"/>
    <w:rsid w:val="0F567CC7"/>
    <w:rsid w:val="0F912D77"/>
    <w:rsid w:val="0FA0503D"/>
    <w:rsid w:val="0FAA4025"/>
    <w:rsid w:val="10A96308"/>
    <w:rsid w:val="10C74EB5"/>
    <w:rsid w:val="10CC4F4C"/>
    <w:rsid w:val="10D57F53"/>
    <w:rsid w:val="10F92FC2"/>
    <w:rsid w:val="11A074A9"/>
    <w:rsid w:val="11B85B08"/>
    <w:rsid w:val="12192820"/>
    <w:rsid w:val="12B37192"/>
    <w:rsid w:val="12CA3600"/>
    <w:rsid w:val="13174A9C"/>
    <w:rsid w:val="133D1BD6"/>
    <w:rsid w:val="141806CE"/>
    <w:rsid w:val="14AE268B"/>
    <w:rsid w:val="14E6571C"/>
    <w:rsid w:val="15081CAF"/>
    <w:rsid w:val="154214E8"/>
    <w:rsid w:val="15AC59B8"/>
    <w:rsid w:val="15E37E25"/>
    <w:rsid w:val="16007566"/>
    <w:rsid w:val="16020FCA"/>
    <w:rsid w:val="1658184C"/>
    <w:rsid w:val="16662B77"/>
    <w:rsid w:val="167105AF"/>
    <w:rsid w:val="16875E24"/>
    <w:rsid w:val="16F67E8F"/>
    <w:rsid w:val="175A544A"/>
    <w:rsid w:val="17DC2136"/>
    <w:rsid w:val="17DF1149"/>
    <w:rsid w:val="18212C19"/>
    <w:rsid w:val="18EB5F6F"/>
    <w:rsid w:val="18F42ED9"/>
    <w:rsid w:val="19024D8D"/>
    <w:rsid w:val="191028B7"/>
    <w:rsid w:val="19326BF6"/>
    <w:rsid w:val="196F58D1"/>
    <w:rsid w:val="19EF2C27"/>
    <w:rsid w:val="1A2B1B6F"/>
    <w:rsid w:val="1A473E5F"/>
    <w:rsid w:val="1A4B77A0"/>
    <w:rsid w:val="1A555294"/>
    <w:rsid w:val="1AB64312"/>
    <w:rsid w:val="1ADD6866"/>
    <w:rsid w:val="1AE314CA"/>
    <w:rsid w:val="1AEB2A75"/>
    <w:rsid w:val="1AEC1322"/>
    <w:rsid w:val="1AF03547"/>
    <w:rsid w:val="1AF570FB"/>
    <w:rsid w:val="1B291FC1"/>
    <w:rsid w:val="1B512D88"/>
    <w:rsid w:val="1C060756"/>
    <w:rsid w:val="1C951110"/>
    <w:rsid w:val="1C982A4B"/>
    <w:rsid w:val="1CA001A1"/>
    <w:rsid w:val="1CA2700A"/>
    <w:rsid w:val="1D2C0DC3"/>
    <w:rsid w:val="1D4D5A3F"/>
    <w:rsid w:val="1DB86B36"/>
    <w:rsid w:val="1E1A4F9E"/>
    <w:rsid w:val="1E842C65"/>
    <w:rsid w:val="1E8C1E71"/>
    <w:rsid w:val="1E912C74"/>
    <w:rsid w:val="1EE05F70"/>
    <w:rsid w:val="1EE76EF1"/>
    <w:rsid w:val="1F174475"/>
    <w:rsid w:val="1F1D5657"/>
    <w:rsid w:val="1F8D7EC2"/>
    <w:rsid w:val="2005391D"/>
    <w:rsid w:val="20404643"/>
    <w:rsid w:val="205F017A"/>
    <w:rsid w:val="208C5FC9"/>
    <w:rsid w:val="20AC638C"/>
    <w:rsid w:val="20BA7ED4"/>
    <w:rsid w:val="20D7044D"/>
    <w:rsid w:val="20E47C64"/>
    <w:rsid w:val="210F22C5"/>
    <w:rsid w:val="21211468"/>
    <w:rsid w:val="21231873"/>
    <w:rsid w:val="21485CA7"/>
    <w:rsid w:val="21494BAA"/>
    <w:rsid w:val="217B5541"/>
    <w:rsid w:val="218B504F"/>
    <w:rsid w:val="218E7681"/>
    <w:rsid w:val="2194487E"/>
    <w:rsid w:val="21B519F4"/>
    <w:rsid w:val="21CB04C7"/>
    <w:rsid w:val="21E01D62"/>
    <w:rsid w:val="21F3287C"/>
    <w:rsid w:val="2222656A"/>
    <w:rsid w:val="224F1F1F"/>
    <w:rsid w:val="225F006D"/>
    <w:rsid w:val="22736EC0"/>
    <w:rsid w:val="22904445"/>
    <w:rsid w:val="22BE7196"/>
    <w:rsid w:val="22FE172B"/>
    <w:rsid w:val="22FF4B33"/>
    <w:rsid w:val="23090C44"/>
    <w:rsid w:val="231D41B2"/>
    <w:rsid w:val="236F7A9C"/>
    <w:rsid w:val="2372573E"/>
    <w:rsid w:val="23731D80"/>
    <w:rsid w:val="239422C2"/>
    <w:rsid w:val="23E06206"/>
    <w:rsid w:val="23FC6838"/>
    <w:rsid w:val="2406257A"/>
    <w:rsid w:val="24067402"/>
    <w:rsid w:val="24883467"/>
    <w:rsid w:val="24C1257F"/>
    <w:rsid w:val="253936BF"/>
    <w:rsid w:val="25A131FF"/>
    <w:rsid w:val="25AF2274"/>
    <w:rsid w:val="25BD0873"/>
    <w:rsid w:val="25C828BD"/>
    <w:rsid w:val="261B19B5"/>
    <w:rsid w:val="262B61F3"/>
    <w:rsid w:val="26551548"/>
    <w:rsid w:val="26A32E80"/>
    <w:rsid w:val="26C9124A"/>
    <w:rsid w:val="26DB7EAB"/>
    <w:rsid w:val="26E302AC"/>
    <w:rsid w:val="26E716EB"/>
    <w:rsid w:val="26E821F4"/>
    <w:rsid w:val="26F32549"/>
    <w:rsid w:val="27811B2D"/>
    <w:rsid w:val="27F85AB9"/>
    <w:rsid w:val="28007168"/>
    <w:rsid w:val="28032F29"/>
    <w:rsid w:val="28732C56"/>
    <w:rsid w:val="28EF77AE"/>
    <w:rsid w:val="290465B4"/>
    <w:rsid w:val="291A1CD0"/>
    <w:rsid w:val="292345FF"/>
    <w:rsid w:val="29713E9A"/>
    <w:rsid w:val="2988177C"/>
    <w:rsid w:val="29AF2EC1"/>
    <w:rsid w:val="29F379FC"/>
    <w:rsid w:val="29F75FB8"/>
    <w:rsid w:val="2A1B2E51"/>
    <w:rsid w:val="2A4250E7"/>
    <w:rsid w:val="2A470D3B"/>
    <w:rsid w:val="2A63427A"/>
    <w:rsid w:val="2A9A2652"/>
    <w:rsid w:val="2ADD0968"/>
    <w:rsid w:val="2B1B7108"/>
    <w:rsid w:val="2B87285B"/>
    <w:rsid w:val="2B873EF8"/>
    <w:rsid w:val="2BA25686"/>
    <w:rsid w:val="2BBB79B6"/>
    <w:rsid w:val="2BD173A2"/>
    <w:rsid w:val="2C325893"/>
    <w:rsid w:val="2C39073D"/>
    <w:rsid w:val="2C49057B"/>
    <w:rsid w:val="2C6D413B"/>
    <w:rsid w:val="2C6E752F"/>
    <w:rsid w:val="2C8B49F0"/>
    <w:rsid w:val="2CA07FE0"/>
    <w:rsid w:val="2CF73501"/>
    <w:rsid w:val="2CFA1B54"/>
    <w:rsid w:val="2D6A0CD0"/>
    <w:rsid w:val="2D6E47ED"/>
    <w:rsid w:val="2DB839F8"/>
    <w:rsid w:val="2DB93F6F"/>
    <w:rsid w:val="2DBC2EE6"/>
    <w:rsid w:val="2E001FA1"/>
    <w:rsid w:val="2E19735E"/>
    <w:rsid w:val="2E311C70"/>
    <w:rsid w:val="2EC200F1"/>
    <w:rsid w:val="2EEC20C5"/>
    <w:rsid w:val="2F070B32"/>
    <w:rsid w:val="2F5319D5"/>
    <w:rsid w:val="2F6F68DF"/>
    <w:rsid w:val="30006F3F"/>
    <w:rsid w:val="30170C37"/>
    <w:rsid w:val="307E00A8"/>
    <w:rsid w:val="30987FD3"/>
    <w:rsid w:val="309D69CA"/>
    <w:rsid w:val="30B90B35"/>
    <w:rsid w:val="30F10F6B"/>
    <w:rsid w:val="31290D56"/>
    <w:rsid w:val="31A07D10"/>
    <w:rsid w:val="32353CF2"/>
    <w:rsid w:val="32367BE1"/>
    <w:rsid w:val="329747D7"/>
    <w:rsid w:val="32A34D83"/>
    <w:rsid w:val="33460DA3"/>
    <w:rsid w:val="339B40BE"/>
    <w:rsid w:val="33A51F6D"/>
    <w:rsid w:val="33EF767C"/>
    <w:rsid w:val="34031CD9"/>
    <w:rsid w:val="34164660"/>
    <w:rsid w:val="3484654D"/>
    <w:rsid w:val="34C358E4"/>
    <w:rsid w:val="34ED2FD4"/>
    <w:rsid w:val="35193A9B"/>
    <w:rsid w:val="359B67E6"/>
    <w:rsid w:val="35E72C38"/>
    <w:rsid w:val="360B4DA5"/>
    <w:rsid w:val="364F30EB"/>
    <w:rsid w:val="369F7346"/>
    <w:rsid w:val="36A645FC"/>
    <w:rsid w:val="36DE447A"/>
    <w:rsid w:val="36F315F4"/>
    <w:rsid w:val="370F5D79"/>
    <w:rsid w:val="37282ED2"/>
    <w:rsid w:val="38892B9F"/>
    <w:rsid w:val="388C1B47"/>
    <w:rsid w:val="38D163E1"/>
    <w:rsid w:val="38DE5FCC"/>
    <w:rsid w:val="39431FB5"/>
    <w:rsid w:val="394E1A4D"/>
    <w:rsid w:val="395D7B12"/>
    <w:rsid w:val="398B6BF8"/>
    <w:rsid w:val="39D407FB"/>
    <w:rsid w:val="39E061C4"/>
    <w:rsid w:val="3A555B75"/>
    <w:rsid w:val="3AC20DED"/>
    <w:rsid w:val="3AF04F3A"/>
    <w:rsid w:val="3AF962CD"/>
    <w:rsid w:val="3AFA7487"/>
    <w:rsid w:val="3B072224"/>
    <w:rsid w:val="3B4A1EE5"/>
    <w:rsid w:val="3B667025"/>
    <w:rsid w:val="3B954C1E"/>
    <w:rsid w:val="3B990744"/>
    <w:rsid w:val="3B9D7FB8"/>
    <w:rsid w:val="3C776E08"/>
    <w:rsid w:val="3D5A33CC"/>
    <w:rsid w:val="3D62570E"/>
    <w:rsid w:val="3DDF50EC"/>
    <w:rsid w:val="3DE37522"/>
    <w:rsid w:val="3E106008"/>
    <w:rsid w:val="3E444804"/>
    <w:rsid w:val="3E623312"/>
    <w:rsid w:val="3E907212"/>
    <w:rsid w:val="3EB014F1"/>
    <w:rsid w:val="3FCD7387"/>
    <w:rsid w:val="3FE8782C"/>
    <w:rsid w:val="40F03BB3"/>
    <w:rsid w:val="40F811B0"/>
    <w:rsid w:val="41B01923"/>
    <w:rsid w:val="41F16AFC"/>
    <w:rsid w:val="42055244"/>
    <w:rsid w:val="420A7EBF"/>
    <w:rsid w:val="42AE60B2"/>
    <w:rsid w:val="42C65DB9"/>
    <w:rsid w:val="42CB3B33"/>
    <w:rsid w:val="4331430B"/>
    <w:rsid w:val="434B1318"/>
    <w:rsid w:val="435E72D5"/>
    <w:rsid w:val="437159C8"/>
    <w:rsid w:val="437E3642"/>
    <w:rsid w:val="438415F8"/>
    <w:rsid w:val="43885EFC"/>
    <w:rsid w:val="43A2314C"/>
    <w:rsid w:val="43B832ED"/>
    <w:rsid w:val="43E4284F"/>
    <w:rsid w:val="4409139E"/>
    <w:rsid w:val="44235D2F"/>
    <w:rsid w:val="443F0DBF"/>
    <w:rsid w:val="44907E93"/>
    <w:rsid w:val="44AB71BA"/>
    <w:rsid w:val="44BC401A"/>
    <w:rsid w:val="44E53468"/>
    <w:rsid w:val="44E91DF6"/>
    <w:rsid w:val="45203683"/>
    <w:rsid w:val="453244B9"/>
    <w:rsid w:val="45A4152D"/>
    <w:rsid w:val="45A867F1"/>
    <w:rsid w:val="45ED4C8D"/>
    <w:rsid w:val="466729D6"/>
    <w:rsid w:val="47D42FF0"/>
    <w:rsid w:val="48E1676A"/>
    <w:rsid w:val="48E40429"/>
    <w:rsid w:val="49181F09"/>
    <w:rsid w:val="49247934"/>
    <w:rsid w:val="49723E09"/>
    <w:rsid w:val="49B2744B"/>
    <w:rsid w:val="49C155BF"/>
    <w:rsid w:val="4A81167B"/>
    <w:rsid w:val="4AAC7FF4"/>
    <w:rsid w:val="4ACC74A7"/>
    <w:rsid w:val="4B3C05BE"/>
    <w:rsid w:val="4BA86912"/>
    <w:rsid w:val="4BEA0B1C"/>
    <w:rsid w:val="4C2F3911"/>
    <w:rsid w:val="4C9A6C67"/>
    <w:rsid w:val="4CB51270"/>
    <w:rsid w:val="4CC672B1"/>
    <w:rsid w:val="4D3B1B78"/>
    <w:rsid w:val="4DE00542"/>
    <w:rsid w:val="4E321376"/>
    <w:rsid w:val="4E776A0A"/>
    <w:rsid w:val="4EAA7777"/>
    <w:rsid w:val="4EBD7EDB"/>
    <w:rsid w:val="4ECC0D58"/>
    <w:rsid w:val="4EF76621"/>
    <w:rsid w:val="4F17581D"/>
    <w:rsid w:val="4FE20970"/>
    <w:rsid w:val="50066E8B"/>
    <w:rsid w:val="504A4293"/>
    <w:rsid w:val="50500969"/>
    <w:rsid w:val="505638FA"/>
    <w:rsid w:val="508F7B4A"/>
    <w:rsid w:val="509A082B"/>
    <w:rsid w:val="50E847AB"/>
    <w:rsid w:val="51CD169C"/>
    <w:rsid w:val="51CD4EE8"/>
    <w:rsid w:val="525E5D62"/>
    <w:rsid w:val="527B1241"/>
    <w:rsid w:val="529F347E"/>
    <w:rsid w:val="52CB24B4"/>
    <w:rsid w:val="53F542FC"/>
    <w:rsid w:val="53FC1D2A"/>
    <w:rsid w:val="544F51F8"/>
    <w:rsid w:val="54683F4C"/>
    <w:rsid w:val="546911CC"/>
    <w:rsid w:val="54DD506F"/>
    <w:rsid w:val="54FF40F9"/>
    <w:rsid w:val="55293A5A"/>
    <w:rsid w:val="554B2170"/>
    <w:rsid w:val="5550572B"/>
    <w:rsid w:val="55544AF4"/>
    <w:rsid w:val="5595621E"/>
    <w:rsid w:val="55E45084"/>
    <w:rsid w:val="563E1B84"/>
    <w:rsid w:val="567E52FA"/>
    <w:rsid w:val="573B7525"/>
    <w:rsid w:val="57AB0622"/>
    <w:rsid w:val="57BC6DB9"/>
    <w:rsid w:val="586645BB"/>
    <w:rsid w:val="588751F0"/>
    <w:rsid w:val="58E11859"/>
    <w:rsid w:val="58FA1B64"/>
    <w:rsid w:val="591F00FC"/>
    <w:rsid w:val="593B754E"/>
    <w:rsid w:val="597F68B1"/>
    <w:rsid w:val="598658E0"/>
    <w:rsid w:val="59B359C0"/>
    <w:rsid w:val="5A352E07"/>
    <w:rsid w:val="5A70538B"/>
    <w:rsid w:val="5A9666AC"/>
    <w:rsid w:val="5AD00A3C"/>
    <w:rsid w:val="5ADB39B5"/>
    <w:rsid w:val="5AFA4609"/>
    <w:rsid w:val="5B5D5515"/>
    <w:rsid w:val="5BB524B0"/>
    <w:rsid w:val="5BDF6159"/>
    <w:rsid w:val="5C0D5C7B"/>
    <w:rsid w:val="5C1F4663"/>
    <w:rsid w:val="5C2C10F5"/>
    <w:rsid w:val="5C9D5C13"/>
    <w:rsid w:val="5CBE484A"/>
    <w:rsid w:val="5CCD6C15"/>
    <w:rsid w:val="5CDC559C"/>
    <w:rsid w:val="5CFB2A97"/>
    <w:rsid w:val="5D11570E"/>
    <w:rsid w:val="5DA058C2"/>
    <w:rsid w:val="5DC9252F"/>
    <w:rsid w:val="5DE073F8"/>
    <w:rsid w:val="5E102C77"/>
    <w:rsid w:val="5E181AE8"/>
    <w:rsid w:val="5E200FB4"/>
    <w:rsid w:val="5E286A5D"/>
    <w:rsid w:val="5E715CB3"/>
    <w:rsid w:val="5E7721E8"/>
    <w:rsid w:val="5F400E00"/>
    <w:rsid w:val="5F585DDC"/>
    <w:rsid w:val="5FCD49D0"/>
    <w:rsid w:val="5FEE67D5"/>
    <w:rsid w:val="600606E1"/>
    <w:rsid w:val="60A25007"/>
    <w:rsid w:val="60DC08A3"/>
    <w:rsid w:val="61063D04"/>
    <w:rsid w:val="61372C6A"/>
    <w:rsid w:val="61507D62"/>
    <w:rsid w:val="6182198A"/>
    <w:rsid w:val="61B374F7"/>
    <w:rsid w:val="61CA6AF3"/>
    <w:rsid w:val="61CD3BE8"/>
    <w:rsid w:val="620165C0"/>
    <w:rsid w:val="62662701"/>
    <w:rsid w:val="627A3650"/>
    <w:rsid w:val="62A1560C"/>
    <w:rsid w:val="62E005A6"/>
    <w:rsid w:val="62F656EA"/>
    <w:rsid w:val="630A3753"/>
    <w:rsid w:val="63232B02"/>
    <w:rsid w:val="636A1AC0"/>
    <w:rsid w:val="638E2EFC"/>
    <w:rsid w:val="63CD6E9B"/>
    <w:rsid w:val="63DE34EA"/>
    <w:rsid w:val="63FD3D96"/>
    <w:rsid w:val="640E26EA"/>
    <w:rsid w:val="6471083B"/>
    <w:rsid w:val="656808BF"/>
    <w:rsid w:val="657B0DDB"/>
    <w:rsid w:val="658E12F0"/>
    <w:rsid w:val="65B77098"/>
    <w:rsid w:val="65C62867"/>
    <w:rsid w:val="65C7004B"/>
    <w:rsid w:val="661D12A7"/>
    <w:rsid w:val="661E3D1F"/>
    <w:rsid w:val="66624235"/>
    <w:rsid w:val="66857217"/>
    <w:rsid w:val="67FD5BCA"/>
    <w:rsid w:val="68401F2D"/>
    <w:rsid w:val="68425B60"/>
    <w:rsid w:val="684A5B2A"/>
    <w:rsid w:val="687E16C8"/>
    <w:rsid w:val="689C104D"/>
    <w:rsid w:val="68B77D10"/>
    <w:rsid w:val="68C0397C"/>
    <w:rsid w:val="69022D41"/>
    <w:rsid w:val="69425B67"/>
    <w:rsid w:val="695176FB"/>
    <w:rsid w:val="69B61240"/>
    <w:rsid w:val="69FB41BB"/>
    <w:rsid w:val="6A0B6005"/>
    <w:rsid w:val="6A340551"/>
    <w:rsid w:val="6A4709B8"/>
    <w:rsid w:val="6A806C9E"/>
    <w:rsid w:val="6AFC751A"/>
    <w:rsid w:val="6B0C3CD1"/>
    <w:rsid w:val="6B1462EA"/>
    <w:rsid w:val="6B1D2257"/>
    <w:rsid w:val="6B9F6057"/>
    <w:rsid w:val="6BAF510F"/>
    <w:rsid w:val="6BE78CA3"/>
    <w:rsid w:val="6BED4E02"/>
    <w:rsid w:val="6BF3491C"/>
    <w:rsid w:val="6BFA28A1"/>
    <w:rsid w:val="6C0758A4"/>
    <w:rsid w:val="6C6D5B44"/>
    <w:rsid w:val="6C746E90"/>
    <w:rsid w:val="6C9F5465"/>
    <w:rsid w:val="6CA506FA"/>
    <w:rsid w:val="6CD504C6"/>
    <w:rsid w:val="6D126704"/>
    <w:rsid w:val="6D3A5A3C"/>
    <w:rsid w:val="6D6D49D5"/>
    <w:rsid w:val="6E2A40BA"/>
    <w:rsid w:val="6E78248F"/>
    <w:rsid w:val="6E7C42BF"/>
    <w:rsid w:val="6E9470E2"/>
    <w:rsid w:val="6EB646C6"/>
    <w:rsid w:val="6ED1053F"/>
    <w:rsid w:val="6EFF5E89"/>
    <w:rsid w:val="6F2830B0"/>
    <w:rsid w:val="6F330BF1"/>
    <w:rsid w:val="6F44559A"/>
    <w:rsid w:val="6F507BFB"/>
    <w:rsid w:val="6F614322"/>
    <w:rsid w:val="6FA21EBF"/>
    <w:rsid w:val="6FBDCC2D"/>
    <w:rsid w:val="6FE770FD"/>
    <w:rsid w:val="7016782F"/>
    <w:rsid w:val="701A6502"/>
    <w:rsid w:val="704163FD"/>
    <w:rsid w:val="70644DB9"/>
    <w:rsid w:val="708616B2"/>
    <w:rsid w:val="708C3518"/>
    <w:rsid w:val="70AC5C45"/>
    <w:rsid w:val="70C9768C"/>
    <w:rsid w:val="711A53E2"/>
    <w:rsid w:val="7122697F"/>
    <w:rsid w:val="712A376B"/>
    <w:rsid w:val="71446C65"/>
    <w:rsid w:val="71A84B94"/>
    <w:rsid w:val="71D46217"/>
    <w:rsid w:val="71EF717B"/>
    <w:rsid w:val="723C678F"/>
    <w:rsid w:val="723E21E1"/>
    <w:rsid w:val="72760386"/>
    <w:rsid w:val="72C725F2"/>
    <w:rsid w:val="72D7692B"/>
    <w:rsid w:val="737F124C"/>
    <w:rsid w:val="73D78A0C"/>
    <w:rsid w:val="747157DD"/>
    <w:rsid w:val="74746803"/>
    <w:rsid w:val="74855269"/>
    <w:rsid w:val="74FE13D7"/>
    <w:rsid w:val="7590055C"/>
    <w:rsid w:val="75E675A1"/>
    <w:rsid w:val="76DA4A35"/>
    <w:rsid w:val="775942E7"/>
    <w:rsid w:val="77786669"/>
    <w:rsid w:val="77D77E74"/>
    <w:rsid w:val="77EFDA2F"/>
    <w:rsid w:val="780E06BE"/>
    <w:rsid w:val="782A5A14"/>
    <w:rsid w:val="78423926"/>
    <w:rsid w:val="78542BE7"/>
    <w:rsid w:val="787F460C"/>
    <w:rsid w:val="78E43650"/>
    <w:rsid w:val="78F1359A"/>
    <w:rsid w:val="790C6195"/>
    <w:rsid w:val="79197BA3"/>
    <w:rsid w:val="79486D64"/>
    <w:rsid w:val="796C2A54"/>
    <w:rsid w:val="797F9E17"/>
    <w:rsid w:val="79F94C6D"/>
    <w:rsid w:val="79FD4EE1"/>
    <w:rsid w:val="7A1E467C"/>
    <w:rsid w:val="7A840A52"/>
    <w:rsid w:val="7A8D4744"/>
    <w:rsid w:val="7A8D5499"/>
    <w:rsid w:val="7AA028C5"/>
    <w:rsid w:val="7AD95CEC"/>
    <w:rsid w:val="7B482360"/>
    <w:rsid w:val="7B5423EC"/>
    <w:rsid w:val="7B886F65"/>
    <w:rsid w:val="7B991389"/>
    <w:rsid w:val="7CA01B71"/>
    <w:rsid w:val="7CF52723"/>
    <w:rsid w:val="7CF93F8F"/>
    <w:rsid w:val="7CFE370D"/>
    <w:rsid w:val="7D3455C0"/>
    <w:rsid w:val="7D5216BB"/>
    <w:rsid w:val="7DC123FB"/>
    <w:rsid w:val="7DCA4966"/>
    <w:rsid w:val="7DD6636F"/>
    <w:rsid w:val="7E21732F"/>
    <w:rsid w:val="7E2E406D"/>
    <w:rsid w:val="7E391E44"/>
    <w:rsid w:val="7E637FA1"/>
    <w:rsid w:val="7E9D3A96"/>
    <w:rsid w:val="7E9F516C"/>
    <w:rsid w:val="7EBC5951"/>
    <w:rsid w:val="7EC85AD8"/>
    <w:rsid w:val="7EDE5857"/>
    <w:rsid w:val="7F2A6FBC"/>
    <w:rsid w:val="7F4E0757"/>
    <w:rsid w:val="7F6C1599"/>
    <w:rsid w:val="7F6E7B17"/>
    <w:rsid w:val="7F9F8FD7"/>
    <w:rsid w:val="BFFB94F9"/>
    <w:rsid w:val="CBEF7D62"/>
    <w:rsid w:val="DFFEEDAC"/>
    <w:rsid w:val="E67A7A9C"/>
    <w:rsid w:val="EBF53932"/>
    <w:rsid w:val="FD8F9265"/>
    <w:rsid w:val="FFF79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Body Text"/>
    <w:basedOn w:val="1"/>
    <w:qFormat/>
    <w:uiPriority w:val="0"/>
    <w:pPr>
      <w:spacing w:before="93" w:beforeLines="30"/>
    </w:pPr>
    <w:rPr>
      <w:rFonts w:ascii="仿宋_GB2312" w:eastAsia="仿宋_GB2312"/>
      <w:sz w:val="3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paragraph" w:customStyle="1" w:styleId="9">
    <w:name w:val="正文-公1"/>
    <w:basedOn w:val="10"/>
    <w:next w:val="1"/>
    <w:qFormat/>
    <w:uiPriority w:val="0"/>
    <w:pPr>
      <w:ind w:firstLine="200" w:firstLineChars="200"/>
    </w:p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9"/>
    <w:qFormat/>
    <w:uiPriority w:val="0"/>
    <w:pPr>
      <w:widowControl w:val="0"/>
      <w:jc w:val="both"/>
    </w:pPr>
    <w:rPr>
      <w:rFonts w:ascii="Times New Roman" w:hAnsi="Times New Roman" w:eastAsia="宋体" w:cs="Times New Roman"/>
      <w:kern w:val="2"/>
      <w:sz w:val="21"/>
      <w:lang w:val="en-US" w:eastAsia="zh-CN"/>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24037;&#20316;&#31807;2"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24037;&#20316;&#31807;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2025</a:t>
            </a:r>
            <a:r>
              <a:rPr altLang="en-US"/>
              <a:t>年各项收入占总收入的占比分布图</a:t>
            </a:r>
            <a:endParaRPr altLang="en-US"/>
          </a:p>
        </c:rich>
      </c:tx>
      <c:layout>
        <c:manualLayout>
          <c:xMode val="edge"/>
          <c:yMode val="edge"/>
          <c:x val="0.198815789473684"/>
          <c:y val="0.0763888888888889"/>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scene3d>
                <a:camera prst="orthographicFront"/>
                <a:lightRig rig="threePt" dir="t"/>
              </a:scene3d>
              <a:sp3d contourW="9525"/>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scene3d>
                <a:camera prst="orthographicFront"/>
                <a:lightRig rig="threePt" dir="t"/>
              </a:scene3d>
              <a:sp3d contourW="9525"/>
            </c:spPr>
          </c:dPt>
          <c:dLbls>
            <c:dLbl>
              <c:idx val="0"/>
              <c:layout>
                <c:manualLayout>
                  <c:x val="-0.265053143265466"/>
                  <c:y val="-0.0151472837237384"/>
                </c:manualLayout>
              </c:layout>
              <c:tx>
                <c:rich>
                  <a:bodyPr rot="0" spcFirstLastPara="0" vertOverflow="ellipsis" vert="horz" wrap="square" lIns="38100" tIns="19050" rIns="38100" bIns="19050" anchor="ctr" anchorCtr="1" forceAA="0"/>
                  <a:lstStyle/>
                  <a:p>
                    <a:pPr defTabSz="914400">
                      <a:defRPr lang="zh-CN" sz="10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财政拨款收入4</a:t>
                    </a:r>
                    <a:r>
                      <a:rPr lang="en-US" altLang="zh-CN"/>
                      <a:t>7.93</a:t>
                    </a:r>
                    <a:r>
                      <a:t>%</a:t>
                    </a:r>
                  </a:p>
                </c:rich>
              </c:tx>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28724188761803"/>
                  <c:y val="-0.22702578992567"/>
                </c:manualLayout>
              </c:layout>
              <c:tx>
                <c:rich>
                  <a:bodyPr rot="0" spcFirstLastPara="0" vertOverflow="ellipsis" vert="horz" wrap="square" lIns="38100" tIns="19050" rIns="38100" bIns="19050" anchor="ctr" anchorCtr="1" forceAA="0"/>
                  <a:lstStyle/>
                  <a:p>
                    <a:pPr defTabSz="914400">
                      <a:defRPr lang="zh-CN" sz="10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事业收入52</a:t>
                    </a:r>
                    <a:r>
                      <a:rPr lang="en-US" altLang="zh-CN"/>
                      <a:t>.07</a:t>
                    </a:r>
                    <a:r>
                      <a:t>%</a:t>
                    </a:r>
                  </a:p>
                </c:rich>
              </c:tx>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[工作簿2]Sheet1!$A$2:$A$3</c:f>
              <c:strCache>
                <c:ptCount val="2"/>
                <c:pt idx="0">
                  <c:v>财政拨款收入</c:v>
                </c:pt>
                <c:pt idx="1">
                  <c:v>事业收入</c:v>
                </c:pt>
              </c:strCache>
            </c:strRef>
          </c:cat>
          <c:val>
            <c:numRef>
              <c:f>[工作簿2]Sheet1!$B$2:$B$3</c:f>
              <c:numCache>
                <c:formatCode>_ * #,##0.00_ ;_ * \-#,##0.00_ ;_ * "-"??_ ;_ @_ </c:formatCode>
                <c:ptCount val="2"/>
                <c:pt idx="0">
                  <c:v>16485658.47</c:v>
                </c:pt>
                <c:pt idx="1">
                  <c:v>17907631.58</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extLst>
      <c:ext uri="{0b15fc19-7d7d-44ad-8c2d-2c3a37ce22c3}">
        <chartProps xmlns="https://web.wps.cn/et/2018/main" chartId="{abcdc329-99b7-4829-81bc-0e25d6d0ecfc}"/>
      </c:ext>
    </c:extLst>
  </c:chart>
  <c:spPr>
    <a:solidFill>
      <a:schemeClr val="bg1"/>
    </a:solidFill>
    <a:ln w="6350" cap="flat" cmpd="sng" algn="ctr">
      <a:solidFill>
        <a:schemeClr val="tx1">
          <a:lumMod val="50000"/>
          <a:lumOff val="50000"/>
          <a:alpha val="25000"/>
        </a:schemeClr>
      </a:solidFill>
      <a:round/>
    </a:ln>
    <a:effectLst/>
  </c:spPr>
  <c:txPr>
    <a:bodyPr/>
    <a:lstStyle/>
    <a:p>
      <a:pPr>
        <a:defRPr lang="zh-CN" b="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2025</a:t>
            </a:r>
            <a:r>
              <a:rPr altLang="en-US"/>
              <a:t>年基本支出占比分布图</a:t>
            </a:r>
            <a:endParaRPr altLang="en-US"/>
          </a:p>
        </c:rich>
      </c:tx>
      <c:layout/>
      <c:overlay val="0"/>
      <c:spPr>
        <a:noFill/>
        <a:ln>
          <a:noFill/>
        </a:ln>
        <a:effectLst/>
      </c:spPr>
    </c:title>
    <c:autoTitleDeleted val="0"/>
    <c:plotArea>
      <c:layout/>
      <c:pieChart>
        <c:varyColors val="1"/>
        <c:ser>
          <c:idx val="1"/>
          <c:order val="0"/>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Lbls>
            <c:dLbl>
              <c:idx val="0"/>
              <c:layout>
                <c:manualLayout>
                  <c:x val="-0.140023724884234"/>
                  <c:y val="-0.229379166101445"/>
                </c:manualLayout>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mn-lt"/>
                        <a:ea typeface="+mn-ea"/>
                        <a:cs typeface="+mn-cs"/>
                      </a:defRPr>
                    </a:pPr>
                    <a:r>
                      <a:t>      人员经费79</a:t>
                    </a:r>
                    <a:r>
                      <a:rPr lang="en-US" altLang="zh-CN"/>
                      <a:t>.43</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mn-lt"/>
                        <a:ea typeface="+mn-ea"/>
                        <a:cs typeface="+mn-cs"/>
                      </a:defRPr>
                    </a:pPr>
                    <a:r>
                      <a:t>      公用经费2</a:t>
                    </a:r>
                    <a:r>
                      <a:rPr lang="en-US" altLang="zh-CN"/>
                      <a:t>0.57</a:t>
                    </a:r>
                    <a:r>
                      <a:t>%</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[工作簿2]Sheet1!$A$29:$A$30</c:f>
              <c:strCache>
                <c:ptCount val="2"/>
                <c:pt idx="0">
                  <c:v>      人员经费</c:v>
                </c:pt>
                <c:pt idx="1">
                  <c:v>      公用经费</c:v>
                </c:pt>
              </c:strCache>
            </c:strRef>
          </c:cat>
          <c:val>
            <c:numRef>
              <c:f>[工作簿2]Sheet1!$B$29:$B$30</c:f>
              <c:numCache>
                <c:formatCode>_ * #,##0.00_ ;_ * \-#,##0.00_ ;_ * "-"??_ ;_ @_ </c:formatCode>
                <c:ptCount val="2"/>
                <c:pt idx="0">
                  <c:v>10589987.18</c:v>
                </c:pt>
                <c:pt idx="1">
                  <c:v>2741985.66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00453799711248"/>
          <c:y val="0.394805537205426"/>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33f0454d-d670-46c7-bbb7-42f4a18a8739}"/>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20</Pages>
  <Words>8123</Words>
  <Characters>9638</Characters>
  <Lines>0</Lines>
  <Paragraphs>0</Paragraphs>
  <TotalTime>89</TotalTime>
  <ScaleCrop>false</ScaleCrop>
  <LinksUpToDate>false</LinksUpToDate>
  <CharactersWithSpaces>9679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2024-06-05T01:34:00Z</dcterms:created>
  <dc:creator>李瑞婷(拟稿)</dc:creator>
  <cp:lastModifiedBy>βίος</cp:lastModifiedBy>
  <cp:lastPrinted>2024-08-01T06:24:00Z</cp:lastPrinted>
  <dcterms:modified xsi:type="dcterms:W3CDTF">2026-09-17T07:52:00Z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eyJoZGlkIjoiMDE1YjJiYjBlNmU5OWI0NDVjYjEwYWZlMjM5NzI4NjMiLCJ1c2VySWQiOiIyNDMxNTExNjIifQ==</vt:lpwstr>
  </property>
  <property fmtid="{D5CDD505-2E9C-101B-9397-08002B2CF9AE}" pid="4" name="ICV">
    <vt:lpwstr>8412DD7C93B343DAA4E756544EC629C4_12</vt:lpwstr>
  </property>
</Properties>
</file>