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2EB21">
      <w:pPr>
        <w:keepNext w:val="0"/>
        <w:keepLines w:val="0"/>
        <w:pageBreakBefore w:val="0"/>
        <w:kinsoku/>
        <w:wordWrap/>
        <w:overflowPunct/>
        <w:topLinePunct w:val="0"/>
        <w:autoSpaceDE/>
        <w:autoSpaceDN/>
        <w:bidi w:val="0"/>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lang w:val="en-US" w:eastAsia="zh-CN"/>
        </w:rPr>
        <w:t>玉溪市中山医院（玉溪市人民医院抚仙湖院区）</w:t>
      </w:r>
    </w:p>
    <w:p w14:paraId="5796B192">
      <w:pPr>
        <w:keepNext w:val="0"/>
        <w:keepLines w:val="0"/>
        <w:pageBreakBefore w:val="0"/>
        <w:kinsoku/>
        <w:wordWrap/>
        <w:overflowPunct/>
        <w:topLinePunct w:val="0"/>
        <w:autoSpaceDE/>
        <w:autoSpaceDN/>
        <w:bidi w:val="0"/>
        <w:spacing w:line="59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lang w:val="en-US" w:eastAsia="zh-CN"/>
        </w:rPr>
        <w:t>2025</w:t>
      </w:r>
      <w:r>
        <w:rPr>
          <w:rFonts w:hint="eastAsia" w:ascii="方正小标宋简体" w:hAnsi="方正小标宋简体" w:eastAsia="方正小标宋简体" w:cs="方正小标宋简体"/>
          <w:sz w:val="36"/>
          <w:szCs w:val="36"/>
          <w:highlight w:val="none"/>
        </w:rPr>
        <w:t>年度部门决算</w:t>
      </w:r>
    </w:p>
    <w:p w14:paraId="5F6150E0">
      <w:pPr>
        <w:keepNext w:val="0"/>
        <w:keepLines w:val="0"/>
        <w:pageBreakBefore w:val="0"/>
        <w:kinsoku/>
        <w:wordWrap/>
        <w:overflowPunct/>
        <w:topLinePunct w:val="0"/>
        <w:autoSpaceDE/>
        <w:autoSpaceDN/>
        <w:bidi w:val="0"/>
        <w:spacing w:line="590" w:lineRule="exact"/>
        <w:jc w:val="center"/>
        <w:textAlignment w:val="auto"/>
        <w:rPr>
          <w:rFonts w:hint="eastAsia" w:ascii="方正小标宋简体" w:hAnsi="方正小标宋简体" w:eastAsia="方正小标宋简体" w:cs="方正小标宋简体"/>
          <w:sz w:val="36"/>
          <w:szCs w:val="36"/>
          <w:highlight w:val="none"/>
        </w:rPr>
      </w:pPr>
    </w:p>
    <w:p w14:paraId="07FC9FC2">
      <w:pPr>
        <w:keepNext w:val="0"/>
        <w:keepLines w:val="0"/>
        <w:pageBreakBefore w:val="0"/>
        <w:kinsoku/>
        <w:wordWrap/>
        <w:overflowPunct/>
        <w:topLinePunct w:val="0"/>
        <w:autoSpaceDE/>
        <w:autoSpaceDN/>
        <w:bidi w:val="0"/>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621B0C1C">
      <w:pPr>
        <w:keepNext w:val="0"/>
        <w:keepLines w:val="0"/>
        <w:pageBreakBefore w:val="0"/>
        <w:kinsoku/>
        <w:wordWrap/>
        <w:overflowPunct/>
        <w:topLinePunct w:val="0"/>
        <w:autoSpaceDE/>
        <w:autoSpaceDN/>
        <w:bidi w:val="0"/>
        <w:spacing w:line="590" w:lineRule="exact"/>
        <w:jc w:val="left"/>
        <w:textAlignment w:val="auto"/>
        <w:rPr>
          <w:rFonts w:hint="eastAsia" w:ascii="黑体" w:hAnsi="黑体" w:eastAsia="黑体"/>
          <w:sz w:val="30"/>
          <w:szCs w:val="30"/>
          <w:highlight w:val="none"/>
        </w:rPr>
      </w:pPr>
    </w:p>
    <w:p w14:paraId="461C0FA3">
      <w:pPr>
        <w:keepNext w:val="0"/>
        <w:keepLines w:val="0"/>
        <w:pageBreakBefore w:val="0"/>
        <w:kinsoku/>
        <w:wordWrap/>
        <w:overflowPunct/>
        <w:topLinePunct w:val="0"/>
        <w:autoSpaceDE/>
        <w:autoSpaceDN/>
        <w:bidi w:val="0"/>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1C31EBEE">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64E14FB">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A89C9B3">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25A62D0C">
      <w:pPr>
        <w:keepNext w:val="0"/>
        <w:keepLines w:val="0"/>
        <w:pageBreakBefore w:val="0"/>
        <w:kinsoku/>
        <w:wordWrap/>
        <w:overflowPunct/>
        <w:topLinePunct w:val="0"/>
        <w:autoSpaceDE/>
        <w:autoSpaceDN/>
        <w:bidi w:val="0"/>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14:paraId="13267813">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F67EF35">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0DDC67E0">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69E97CF8">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2FF227C9">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3B937B27">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54D57E5E">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BC1A374">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C99399E">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63B3B1D6">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6219E4BA">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63298673">
      <w:pPr>
        <w:keepNext w:val="0"/>
        <w:keepLines w:val="0"/>
        <w:pageBreakBefore w:val="0"/>
        <w:kinsoku/>
        <w:wordWrap/>
        <w:overflowPunct/>
        <w:topLinePunct w:val="0"/>
        <w:autoSpaceDE/>
        <w:autoSpaceDN/>
        <w:bidi w:val="0"/>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14:paraId="1D52D2E2">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2DCFBC9D">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72B9CDB">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6A20E006">
      <w:pPr>
        <w:keepNext w:val="0"/>
        <w:keepLines w:val="0"/>
        <w:pageBreakBefore w:val="0"/>
        <w:widowControl/>
        <w:kinsoku/>
        <w:wordWrap/>
        <w:overflowPunct/>
        <w:topLinePunct w:val="0"/>
        <w:autoSpaceDE/>
        <w:autoSpaceDN/>
        <w:bidi w:val="0"/>
        <w:snapToGrid w:val="0"/>
        <w:spacing w:before="100" w:after="100"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2E6A31C4">
      <w:pPr>
        <w:keepNext w:val="0"/>
        <w:keepLines w:val="0"/>
        <w:pageBreakBefore w:val="0"/>
        <w:widowControl/>
        <w:kinsoku/>
        <w:wordWrap/>
        <w:overflowPunct/>
        <w:topLinePunct w:val="0"/>
        <w:autoSpaceDE/>
        <w:autoSpaceDN/>
        <w:bidi w:val="0"/>
        <w:snapToGrid w:val="0"/>
        <w:spacing w:before="100" w:after="100"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6D496F41">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35FDA99C">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546FCF4A">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5D1CCB2F">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5E53F997">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CCE6129">
      <w:pPr>
        <w:keepNext w:val="0"/>
        <w:keepLines w:val="0"/>
        <w:pageBreakBefore w:val="0"/>
        <w:kinsoku/>
        <w:wordWrap/>
        <w:overflowPunct/>
        <w:topLinePunct w:val="0"/>
        <w:autoSpaceDE/>
        <w:autoSpaceDN/>
        <w:bidi w:val="0"/>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68BA415F">
      <w:pPr>
        <w:keepNext w:val="0"/>
        <w:keepLines w:val="0"/>
        <w:pageBreakBefore w:val="0"/>
        <w:widowControl/>
        <w:kinsoku/>
        <w:wordWrap/>
        <w:overflowPunct/>
        <w:topLinePunct w:val="0"/>
        <w:autoSpaceDE/>
        <w:autoSpaceDN/>
        <w:bidi w:val="0"/>
        <w:snapToGrid w:val="0"/>
        <w:spacing w:before="100" w:after="100"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3BBC965F">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00A9BDDE">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11F51B6A">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44B15C5F">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679131B8">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16B7BD77">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18A034A3">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54AD023F">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sz w:val="32"/>
          <w:szCs w:val="32"/>
          <w:highlight w:val="none"/>
        </w:rPr>
      </w:pPr>
    </w:p>
    <w:p w14:paraId="6E4B3D1B">
      <w:pPr>
        <w:keepNext w:val="0"/>
        <w:keepLines w:val="0"/>
        <w:pageBreakBefore w:val="0"/>
        <w:kinsoku/>
        <w:wordWrap/>
        <w:overflowPunct/>
        <w:topLinePunct w:val="0"/>
        <w:autoSpaceDE/>
        <w:autoSpaceDN/>
        <w:bidi w:val="0"/>
        <w:spacing w:line="590" w:lineRule="exact"/>
        <w:jc w:val="both"/>
        <w:textAlignment w:val="auto"/>
        <w:rPr>
          <w:rFonts w:hint="eastAsia" w:ascii="黑体" w:hAnsi="黑体" w:eastAsia="黑体"/>
          <w:sz w:val="32"/>
          <w:szCs w:val="32"/>
          <w:highlight w:val="none"/>
        </w:rPr>
      </w:pPr>
    </w:p>
    <w:p w14:paraId="5DB90D82">
      <w:pPr>
        <w:keepNext w:val="0"/>
        <w:keepLines w:val="0"/>
        <w:pageBreakBefore w:val="0"/>
        <w:kinsoku/>
        <w:wordWrap/>
        <w:overflowPunct/>
        <w:topLinePunct w:val="0"/>
        <w:autoSpaceDE/>
        <w:autoSpaceDN/>
        <w:bidi w:val="0"/>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43957A3D">
      <w:pPr>
        <w:keepNext w:val="0"/>
        <w:keepLines w:val="0"/>
        <w:pageBreakBefore w:val="0"/>
        <w:kinsoku/>
        <w:wordWrap/>
        <w:overflowPunct/>
        <w:topLinePunct w:val="0"/>
        <w:autoSpaceDE/>
        <w:autoSpaceDN/>
        <w:bidi w:val="0"/>
        <w:spacing w:line="59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2A8C4ABF">
      <w:pPr>
        <w:pStyle w:val="2"/>
        <w:keepNext w:val="0"/>
        <w:keepLines w:val="0"/>
        <w:pageBreakBefore w:val="0"/>
        <w:kinsoku/>
        <w:wordWrap/>
        <w:overflowPunct/>
        <w:topLinePunct w:val="0"/>
        <w:autoSpaceDE/>
        <w:autoSpaceDN/>
        <w:bidi w:val="0"/>
        <w:adjustRightInd w:val="0"/>
        <w:snapToGrid w:val="0"/>
        <w:spacing w:line="590" w:lineRule="exact"/>
        <w:ind w:firstLine="630" w:firstLineChars="210"/>
        <w:textAlignment w:val="auto"/>
        <w:rPr>
          <w:rFonts w:hint="eastAsia"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kern w:val="2"/>
          <w:sz w:val="30"/>
          <w:szCs w:val="30"/>
          <w:highlight w:val="none"/>
          <w:lang w:val="en-US" w:eastAsia="zh-CN" w:bidi="ar-SA"/>
        </w:rPr>
        <w:t>为贯彻落实“一带一路”倡议，深度融入云南建设我国面向南亚、东南亚辐射中心布局。2024年7月20日，玉溪市人民政府与中山大学附属第一医院（以下简称：中大附一院）签署《合作共建云南省级区域医疗中心协议书》，约定按照云南省级区域医疗中心的建设要求，全力支持玉溪市人民医院抚仙湖院区（玉溪市中山医院）建设云南省级区域医疗中心、云南省高水平医疗机构。玉溪市中山医院由广东华方设计院设计，按照“三级甲等”医院标准建设，总规划用地面积196.20亩，总建筑面积22.54万平方米，设置床位1,200张，打造出玉溪特有的公立医院改革与高质量发展示范项目，确立玉溪市人民政府与中山大学附属第一医院合作共建云南省级区域医疗中心。是一所引进中山大学附属第一医院的先进管理理念及优质医疗资源，与市人民医院实行“同一法人、一证两点、三位一体”的一体化融合发展新机制，在澄江市人民医院的基础上建设的新医院，合理优化优质医疗资源结构和布局，不断提高医疗服务质量和效率。医院功能定位为依照相关政府部门规定和要求，医院承担城乡居民常见病、多发病、地方病和疑难疾病诊疗；危急重症病人救治，重大疑难疾病的接诊治疗和转诊；推动“大专科、小综合”发展，以重点学科建设带动学科群建设与发展，从而带动全院业务发展。</w:t>
      </w:r>
    </w:p>
    <w:p w14:paraId="4CFCC54F">
      <w:pPr>
        <w:keepNext w:val="0"/>
        <w:keepLines w:val="0"/>
        <w:pageBreakBefore w:val="0"/>
        <w:kinsoku/>
        <w:wordWrap/>
        <w:overflowPunct/>
        <w:topLinePunct w:val="0"/>
        <w:autoSpaceDE/>
        <w:autoSpaceDN/>
        <w:bidi w:val="0"/>
        <w:spacing w:line="590" w:lineRule="exact"/>
        <w:ind w:firstLine="600" w:firstLineChars="200"/>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1A578275">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1A059A5A">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40个内设机构，包括：肝胆、胃肠外科、消化内科、肿瘤介入科、放射治疗科、耳鼻咽喉（眼）科、重症医学科、急诊内科、感染性疾病科、麻醉科、骨科、急诊外科、心内科、妇产科、儿科、康复中心（中医科）、综合外科、综合内科、血透中心、皮肤科、口腔科、呼吸与危重症医学科、老年医学科（全科医学科）、神经内科（精神科）、神经外科24个临床科室；医学影像科、医学检验科、病理科、药学部、超声科、临床电生理室、健康管理中心、介入医学科、消毒供应中心9个医技科室；党政综合办公室、组织人事部、医疗业务部、护理部、后勤保障部、规划财务部、网络信息部7个行政后勤职能部门。</w:t>
      </w:r>
    </w:p>
    <w:p w14:paraId="0C07979F">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3D720364">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5B8C05E2">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我单位作为玉溪市卫生健康委员会</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13342119">
      <w:pPr>
        <w:keepNext w:val="0"/>
        <w:keepLines w:val="0"/>
        <w:pageBreakBefore w:val="0"/>
        <w:kinsoku/>
        <w:wordWrap/>
        <w:overflowPunct/>
        <w:topLinePunct w:val="0"/>
        <w:autoSpaceDE/>
        <w:autoSpaceDN/>
        <w:bidi w:val="0"/>
        <w:spacing w:line="59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174852F8">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实有人员259</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highlight w:val="none"/>
          <w:lang w:val="en-US" w:eastAsia="zh-CN"/>
        </w:rPr>
        <w:t>254</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highlight w:val="none"/>
          <w:lang w:val="en-US" w:eastAsia="zh-CN"/>
        </w:rPr>
        <w:t>5</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245345E4">
      <w:pPr>
        <w:keepNext w:val="0"/>
        <w:keepLines w:val="0"/>
        <w:pageBreakBefore w:val="0"/>
        <w:kinsoku/>
        <w:wordWrap/>
        <w:overflowPunct/>
        <w:topLinePunct w:val="0"/>
        <w:autoSpaceDE/>
        <w:autoSpaceDN/>
        <w:bidi w:val="0"/>
        <w:spacing w:line="590" w:lineRule="exact"/>
        <w:ind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highlight w:val="none"/>
          <w:lang w:val="en-US" w:eastAsia="zh-CN"/>
        </w:rPr>
        <w:t>307</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highlight w:val="none"/>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highlight w:val="none"/>
          <w:lang w:val="en-US" w:eastAsia="zh-CN"/>
        </w:rPr>
        <w:t>307</w:t>
      </w:r>
      <w:r>
        <w:rPr>
          <w:rFonts w:hint="eastAsia" w:ascii="仿宋_GB2312" w:eastAsia="仿宋_GB2312"/>
          <w:sz w:val="30"/>
          <w:szCs w:val="30"/>
          <w:highlight w:val="none"/>
          <w:lang w:eastAsia="zh-CN"/>
        </w:rPr>
        <w:t>人。</w:t>
      </w:r>
    </w:p>
    <w:p w14:paraId="49C0DCD7">
      <w:pPr>
        <w:keepNext w:val="0"/>
        <w:keepLines w:val="0"/>
        <w:pageBreakBefore w:val="0"/>
        <w:kinsoku/>
        <w:wordWrap/>
        <w:overflowPunct/>
        <w:topLinePunct w:val="0"/>
        <w:autoSpaceDE/>
        <w:autoSpaceDN/>
        <w:bidi w:val="0"/>
        <w:spacing w:line="590" w:lineRule="exact"/>
        <w:ind w:firstLine="600" w:firstLineChars="200"/>
        <w:textAlignment w:val="auto"/>
        <w:rPr>
          <w:rFonts w:hint="default" w:ascii="仿宋_GB2312" w:hAnsi="宋体" w:eastAsia="仿宋_GB2312" w:cs="Arial"/>
          <w:i w:val="0"/>
          <w:iCs w:val="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eastAsia="仿宋_GB2312"/>
          <w:i w:val="0"/>
          <w:iCs w:val="0"/>
          <w:sz w:val="30"/>
          <w:szCs w:val="30"/>
          <w:highlight w:val="none"/>
          <w:lang w:val="en-US" w:eastAsia="zh-CN"/>
        </w:rPr>
        <w:t>0</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strike w:val="0"/>
          <w:dstrike w:val="0"/>
          <w:color w:val="auto"/>
          <w:kern w:val="0"/>
          <w:sz w:val="30"/>
          <w:szCs w:val="30"/>
          <w:highlight w:val="none"/>
        </w:rPr>
        <w:t>离休</w:t>
      </w:r>
      <w:r>
        <w:rPr>
          <w:rFonts w:hint="eastAsia" w:ascii="仿宋_GB2312" w:eastAsia="仿宋_GB2312"/>
          <w:i w:val="0"/>
          <w:iCs w:val="0"/>
          <w:strike w:val="0"/>
          <w:dstrike w:val="0"/>
          <w:color w:val="auto"/>
          <w:sz w:val="30"/>
          <w:szCs w:val="30"/>
          <w:highlight w:val="none"/>
          <w:lang w:val="en-US" w:eastAsia="zh-CN"/>
        </w:rPr>
        <w:t>0</w:t>
      </w:r>
      <w:r>
        <w:rPr>
          <w:rFonts w:hint="eastAsia" w:ascii="仿宋_GB2312" w:hAnsi="宋体" w:eastAsia="仿宋_GB2312" w:cs="Arial"/>
          <w:i w:val="0"/>
          <w:iCs w:val="0"/>
          <w:strike w:val="0"/>
          <w:dstrike w:val="0"/>
          <w:color w:val="auto"/>
          <w:kern w:val="0"/>
          <w:sz w:val="30"/>
          <w:szCs w:val="30"/>
          <w:highlight w:val="none"/>
        </w:rPr>
        <w:t>人，</w:t>
      </w:r>
      <w:r>
        <w:rPr>
          <w:rFonts w:hint="eastAsia" w:ascii="仿宋_GB2312" w:hAnsi="宋体" w:eastAsia="仿宋_GB2312" w:cs="Arial"/>
          <w:i w:val="0"/>
          <w:iCs w:val="0"/>
          <w:kern w:val="0"/>
          <w:sz w:val="30"/>
          <w:szCs w:val="30"/>
          <w:highlight w:val="none"/>
        </w:rPr>
        <w:t>退休</w:t>
      </w:r>
      <w:r>
        <w:rPr>
          <w:rFonts w:hint="eastAsia" w:ascii="仿宋_GB2312" w:eastAsia="仿宋_GB2312"/>
          <w:i w:val="0"/>
          <w:iCs w:val="0"/>
          <w:sz w:val="30"/>
          <w:szCs w:val="30"/>
          <w:highlight w:val="none"/>
          <w:lang w:val="en-US" w:eastAsia="zh-CN"/>
        </w:rPr>
        <w:t>0</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）。年末</w:t>
      </w:r>
      <w:r>
        <w:rPr>
          <w:rFonts w:hint="eastAsia" w:ascii="仿宋_GB2312" w:hAnsi="宋体" w:eastAsia="仿宋_GB2312" w:cs="Arial"/>
          <w:i w:val="0"/>
          <w:iCs w:val="0"/>
          <w:kern w:val="0"/>
          <w:sz w:val="30"/>
          <w:szCs w:val="30"/>
          <w:highlight w:val="none"/>
        </w:rPr>
        <w:t>由养老保险基金发放养老金的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eastAsia="仿宋_GB2312"/>
          <w:i w:val="0"/>
          <w:iCs w:val="0"/>
          <w:sz w:val="30"/>
          <w:szCs w:val="30"/>
          <w:highlight w:val="none"/>
          <w:lang w:val="en-US" w:eastAsia="zh-CN"/>
        </w:rPr>
        <w:t>142</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strike w:val="0"/>
          <w:dstrike w:val="0"/>
          <w:color w:val="auto"/>
          <w:kern w:val="0"/>
          <w:sz w:val="30"/>
          <w:szCs w:val="30"/>
          <w:highlight w:val="none"/>
        </w:rPr>
        <w:t>离休</w:t>
      </w:r>
      <w:r>
        <w:rPr>
          <w:rFonts w:hint="eastAsia" w:ascii="仿宋_GB2312" w:eastAsia="仿宋_GB2312"/>
          <w:i w:val="0"/>
          <w:iCs w:val="0"/>
          <w:strike w:val="0"/>
          <w:dstrike w:val="0"/>
          <w:color w:val="auto"/>
          <w:sz w:val="30"/>
          <w:szCs w:val="30"/>
          <w:highlight w:val="none"/>
          <w:lang w:val="en-US" w:eastAsia="zh-CN"/>
        </w:rPr>
        <w:t>0</w:t>
      </w:r>
      <w:r>
        <w:rPr>
          <w:rFonts w:hint="eastAsia" w:ascii="仿宋_GB2312" w:hAnsi="宋体" w:eastAsia="仿宋_GB2312" w:cs="Arial"/>
          <w:i w:val="0"/>
          <w:iCs w:val="0"/>
          <w:strike w:val="0"/>
          <w:dstrike w:val="0"/>
          <w:color w:val="auto"/>
          <w:kern w:val="0"/>
          <w:sz w:val="30"/>
          <w:szCs w:val="30"/>
          <w:highlight w:val="none"/>
        </w:rPr>
        <w:t>人，</w:t>
      </w:r>
      <w:r>
        <w:rPr>
          <w:rFonts w:hint="eastAsia" w:ascii="仿宋_GB2312" w:hAnsi="宋体" w:eastAsia="仿宋_GB2312" w:cs="Arial"/>
          <w:i w:val="0"/>
          <w:iCs w:val="0"/>
          <w:kern w:val="0"/>
          <w:sz w:val="30"/>
          <w:szCs w:val="30"/>
          <w:highlight w:val="none"/>
        </w:rPr>
        <w:t>退休</w:t>
      </w:r>
      <w:r>
        <w:rPr>
          <w:rFonts w:hint="eastAsia" w:ascii="仿宋_GB2312" w:eastAsia="仿宋_GB2312"/>
          <w:i w:val="0"/>
          <w:iCs w:val="0"/>
          <w:sz w:val="30"/>
          <w:szCs w:val="30"/>
          <w:highlight w:val="none"/>
          <w:lang w:val="en-US" w:eastAsia="zh-CN"/>
        </w:rPr>
        <w:t>142</w:t>
      </w:r>
      <w:r>
        <w:rPr>
          <w:rFonts w:hint="eastAsia" w:ascii="仿宋_GB2312" w:hAnsi="宋体" w:eastAsia="仿宋_GB2312" w:cs="Arial"/>
          <w:i w:val="0"/>
          <w:iCs w:val="0"/>
          <w:kern w:val="0"/>
          <w:sz w:val="30"/>
          <w:szCs w:val="30"/>
          <w:highlight w:val="none"/>
        </w:rPr>
        <w:t>人</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kern w:val="0"/>
          <w:sz w:val="30"/>
          <w:szCs w:val="30"/>
          <w:highlight w:val="none"/>
          <w:lang w:val="en-US" w:eastAsia="zh-CN"/>
        </w:rPr>
        <w:t>年末遗属2人。</w:t>
      </w:r>
    </w:p>
    <w:p w14:paraId="3A360DE4">
      <w:pPr>
        <w:keepNext w:val="0"/>
        <w:keepLines w:val="0"/>
        <w:pageBreakBefore w:val="0"/>
        <w:kinsoku/>
        <w:wordWrap/>
        <w:overflowPunct/>
        <w:topLinePunct w:val="0"/>
        <w:autoSpaceDE/>
        <w:autoSpaceDN/>
        <w:bidi w:val="0"/>
        <w:spacing w:line="590" w:lineRule="exact"/>
        <w:ind w:firstLine="600" w:firstLineChars="200"/>
        <w:jc w:val="left"/>
        <w:textAlignment w:val="auto"/>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车辆编制8辆，在编实有车辆8辆，超编0辆。</w:t>
      </w:r>
    </w:p>
    <w:p w14:paraId="27422372">
      <w:pPr>
        <w:keepNext w:val="0"/>
        <w:keepLines w:val="0"/>
        <w:pageBreakBefore w:val="0"/>
        <w:kinsoku/>
        <w:wordWrap/>
        <w:overflowPunct/>
        <w:topLinePunct w:val="0"/>
        <w:autoSpaceDE/>
        <w:autoSpaceDN/>
        <w:bidi w:val="0"/>
        <w:spacing w:line="59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6F127C64">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default"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b/>
          <w:bCs/>
          <w:kern w:val="2"/>
          <w:sz w:val="30"/>
          <w:szCs w:val="30"/>
          <w:highlight w:val="none"/>
          <w:lang w:val="en-US" w:eastAsia="zh-CN" w:bidi="ar-SA"/>
        </w:rPr>
        <w:t>1.中心建设成效显著，诊疗能力全面跃升。</w:t>
      </w:r>
      <w:r>
        <w:rPr>
          <w:rFonts w:hint="default" w:ascii="仿宋_GB2312" w:hAnsi="Times New Roman" w:eastAsia="仿宋_GB2312" w:cs="Times New Roman"/>
          <w:kern w:val="2"/>
          <w:sz w:val="30"/>
          <w:szCs w:val="30"/>
          <w:highlight w:val="none"/>
          <w:lang w:val="en-US" w:eastAsia="zh-CN" w:bidi="ar-SA"/>
        </w:rPr>
        <w:t>牵头成立玉溪市重症医学专科联盟，与中山一院共同搭建远程学术交流平台，实现重症疑难患者救治远程指导、市域医疗资源共享，危急重症诊疗水平显著跃升，重症医学科CMI值提升至3.85。累计开展新技术新业务160余项，填补了澄江在肿瘤全周期治疗、心脏介入、眼科、胃肠外科等多个领域的技术空白。新院区启用后，出院患者人次、医疗业务收入、三四级手术量分别较老院区增长16.01%、19.83%、45.61%，公立医院绩效考核在9家县级综合公立医院中从第8名跃升至第3名。患者满意度持续提升，全院各科室收到患者感谢信7封、锦旗36幅，收治玉溪市外、云南省外患者占比逐步提高。</w:t>
      </w:r>
    </w:p>
    <w:p w14:paraId="3EA5EF42">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default"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b/>
          <w:bCs/>
          <w:kern w:val="2"/>
          <w:sz w:val="30"/>
          <w:szCs w:val="30"/>
          <w:highlight w:val="none"/>
          <w:lang w:val="en-US" w:eastAsia="zh-CN" w:bidi="ar-SA"/>
        </w:rPr>
        <w:t>2.医疗资源下沉，分级诊疗落地见效。</w:t>
      </w:r>
      <w:r>
        <w:rPr>
          <w:rFonts w:hint="default" w:ascii="仿宋_GB2312" w:hAnsi="Times New Roman" w:eastAsia="仿宋_GB2312" w:cs="Times New Roman"/>
          <w:kern w:val="2"/>
          <w:sz w:val="30"/>
          <w:szCs w:val="30"/>
          <w:highlight w:val="none"/>
          <w:lang w:val="en-US" w:eastAsia="zh-CN" w:bidi="ar-SA"/>
        </w:rPr>
        <w:t>深化“科包院”帮扶机制，选派10名骨干医师下沉基层挂职副院长，举办急诊急救、规范病历书写等主题业务培训20余场，覆盖基层医务人员500余人次，建立“师带徒”结对18对，指导基层开展新技术项目20余项，助力右所卫生院实现手术“零的突破”，成功开展大隐静脉曲张高位结扎剥脱术等多例基层适宜手术。规范双向转诊流程，推行“三个一”模式，2025年1—11月上转病人378人次，下转病人28人次，基层医疗机构门诊及住院人次分别较上年同期增长5.18%和15.20%，县域内就诊率明显提升。依托“中山益佰分，医共体基层行”等载体开展下乡义诊40余次，服务群众5,000余人，发放健康宣传材料1,000余册。</w:t>
      </w:r>
    </w:p>
    <w:p w14:paraId="1B1C0128">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default"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b/>
          <w:bCs/>
          <w:kern w:val="2"/>
          <w:sz w:val="30"/>
          <w:szCs w:val="30"/>
          <w:highlight w:val="none"/>
          <w:lang w:val="en-US" w:eastAsia="zh-CN" w:bidi="ar-SA"/>
        </w:rPr>
        <w:t>3.医疗质量严控，核心指标稳步优化。</w:t>
      </w:r>
      <w:r>
        <w:rPr>
          <w:rFonts w:hint="default" w:ascii="仿宋_GB2312" w:hAnsi="Times New Roman" w:eastAsia="仿宋_GB2312" w:cs="Times New Roman"/>
          <w:kern w:val="2"/>
          <w:sz w:val="30"/>
          <w:szCs w:val="30"/>
          <w:highlight w:val="none"/>
          <w:lang w:val="en-US" w:eastAsia="zh-CN" w:bidi="ar-SA"/>
        </w:rPr>
        <w:t>建立院、科两级质量监控网络，修订完善《科室质量考核标准》《科室质量与安全持续改进活动记录本》等制度，每月抽查运行病历4,100份、归档病历4,620份，病历甲级率达92.3%，较上年同期提高27.3%。手术安全核查执行率、危急值报告及处理率均达100%。开展首届医疗不良事件根本原因分析（RCA）案例评选大赛，征集案例18个，涵盖标本异常、感染防控等多种场景。全年组织9次质量分析会，收到各委员会优先改进指标8项，各科室申报质量改进项目20项，筛选确定21项重点推进项目。</w:t>
      </w:r>
    </w:p>
    <w:p w14:paraId="98A56A14">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default"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b/>
          <w:bCs/>
          <w:kern w:val="2"/>
          <w:sz w:val="30"/>
          <w:szCs w:val="30"/>
          <w:highlight w:val="none"/>
          <w:lang w:val="en-US" w:eastAsia="zh-CN" w:bidi="ar-SA"/>
        </w:rPr>
        <w:t>4.科研教学协同，创新能力持续增强。</w:t>
      </w:r>
      <w:r>
        <w:rPr>
          <w:rFonts w:hint="default" w:ascii="仿宋_GB2312" w:hAnsi="Times New Roman" w:eastAsia="仿宋_GB2312" w:cs="Times New Roman"/>
          <w:kern w:val="2"/>
          <w:sz w:val="30"/>
          <w:szCs w:val="30"/>
          <w:highlight w:val="none"/>
          <w:lang w:val="en-US" w:eastAsia="zh-CN" w:bidi="ar-SA"/>
        </w:rPr>
        <w:t>教学平台建设实现历史性突破，4月29日挂牌“中山大学中山医学院临床实训基地”，9月获批昆明理工大学教学医院，完成云南大学教学医院、玉溪市职业技术学校教学医院现场评审，获授“玉溪职业技术学院医养健康产教融合校外实训基地”。接收来自7所院校10多个专业的实习生223人，开办5个医教协同班，承接189名学生，其中临床医学29人、护理学86人等。科研项目申报成果丰硕，申报省级项目9项、市级项目17项，计划立项9项市科技计划自筹项目，省级重点项目稳步推进。成立GCP伦理委员会，开展首次IIT项目伦理审查，审议通过3项药物临床研究项目。发表SCI文章7篇，玉溪市科技计划自筹经费项目9个立项。</w:t>
      </w:r>
    </w:p>
    <w:p w14:paraId="19529E9D">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default"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b/>
          <w:bCs/>
          <w:kern w:val="2"/>
          <w:sz w:val="30"/>
          <w:szCs w:val="30"/>
          <w:highlight w:val="none"/>
          <w:lang w:val="en-US" w:eastAsia="zh-CN" w:bidi="ar-SA"/>
        </w:rPr>
        <w:t>5.公卫工作扎实，健康保障全面覆盖。</w:t>
      </w:r>
      <w:r>
        <w:rPr>
          <w:rFonts w:hint="default" w:ascii="仿宋_GB2312" w:hAnsi="Times New Roman" w:eastAsia="仿宋_GB2312" w:cs="Times New Roman"/>
          <w:kern w:val="2"/>
          <w:sz w:val="30"/>
          <w:szCs w:val="30"/>
          <w:highlight w:val="none"/>
          <w:lang w:val="en-US" w:eastAsia="zh-CN" w:bidi="ar-SA"/>
        </w:rPr>
        <w:t>严格落实传染病24小时网络直报，2025年1—10月直报法定传染病20种1,104例，其中乙类335例、丙类673例、其他类96例，开展4次传染病防控培训。1-10月接诊上报腹泻患者315人次，疑似肺结核疫情上报59例，管理在治患者37例，食源性疾病上报事件48起、病例231例。计划免疫工作规范落实，新生儿乙肝24小时及时接种率100%，卡介苗接种率98.09%，乙肝免疫球蛋白接种率100%，抗病毒治疗现坚持治疗405例，CD4检测率95.7%。慢性病管理全面覆盖，门诊首诊测血压率100%，上报高血压、糖尿病诊断信息468人次，肿瘤发病登记973人次，心脑血管疾病368人次。妇幼卫生工作提质增效，孕产妇免费产前检查1,818人次，筛查高危孕产妇66人，新生儿听力初筛率99.6%，住院分娩471例，5岁以下儿童死亡、婴儿死亡、孕产妇死亡均为0例。成功承办全市老年群体免费肠癌筛查公益行动，完成6个县（市、区）近2,000名老年人筛查，粪便隐血检测阳性245人（阳性率12.25%），直肠指检阳性3人（阳性率0.15%）。</w:t>
      </w:r>
    </w:p>
    <w:p w14:paraId="1B343898">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default"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b/>
          <w:bCs/>
          <w:kern w:val="2"/>
          <w:sz w:val="30"/>
          <w:szCs w:val="30"/>
          <w:highlight w:val="none"/>
          <w:lang w:val="en-US" w:eastAsia="zh-CN" w:bidi="ar-SA"/>
        </w:rPr>
        <w:t>6.医保管理规范，基金效能不断提升。</w:t>
      </w:r>
      <w:r>
        <w:rPr>
          <w:rFonts w:hint="default" w:ascii="仿宋_GB2312" w:hAnsi="Times New Roman" w:eastAsia="仿宋_GB2312" w:cs="Times New Roman"/>
          <w:kern w:val="2"/>
          <w:sz w:val="30"/>
          <w:szCs w:val="30"/>
          <w:highlight w:val="none"/>
          <w:lang w:val="en-US" w:eastAsia="zh-CN" w:bidi="ar-SA"/>
        </w:rPr>
        <w:t>2025年1—10月，医保门诊214,181人次，门诊总收入3,732.34万元，统筹合计1,530.68万元；医保住院结算10,101人次，住院总收入5,869.59万元，统筹合计3,988.82万元。积极推进医保电子凭证使用，使用率达65.94%。全年评审特慢病1,317人次，通过1,259人次，受理双向转诊患者250人次，意外伤害备案764人次。医保智能审核1-9月拟扣款金额473,118.09元，申诉回收率88.15%，最终扣款52,922.28元。澄江市2025年1—9月城乡居民市内医保基金支出6,144.73万元，同比增长14.07%，市外支出同比下降5.55%；城镇职工市内支出1,498.5万元，同比增长12.46%，市外支出同比下降9.34%，医保资金出现回流。</w:t>
      </w:r>
    </w:p>
    <w:p w14:paraId="7B242493">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default" w:ascii="仿宋_GB2312" w:hAnsi="Times New Roman" w:eastAsia="仿宋_GB2312" w:cs="Times New Roman"/>
          <w:kern w:val="2"/>
          <w:sz w:val="30"/>
          <w:szCs w:val="30"/>
          <w:highlight w:val="none"/>
          <w:lang w:val="en-US" w:eastAsia="zh-CN" w:bidi="ar-SA"/>
        </w:rPr>
      </w:pPr>
      <w:r>
        <w:rPr>
          <w:rFonts w:hint="default" w:ascii="仿宋_GB2312" w:hAnsi="Times New Roman" w:eastAsia="仿宋_GB2312" w:cs="Times New Roman"/>
          <w:b/>
          <w:bCs/>
          <w:kern w:val="2"/>
          <w:sz w:val="30"/>
          <w:szCs w:val="30"/>
          <w:highlight w:val="none"/>
          <w:lang w:val="en-US" w:eastAsia="zh-CN" w:bidi="ar-SA"/>
        </w:rPr>
        <w:t>7.聚焦护理创优，打造温情专业服务。</w:t>
      </w:r>
      <w:r>
        <w:rPr>
          <w:rFonts w:hint="default" w:ascii="仿宋_GB2312" w:hAnsi="Times New Roman" w:eastAsia="仿宋_GB2312" w:cs="Times New Roman"/>
          <w:kern w:val="2"/>
          <w:sz w:val="30"/>
          <w:szCs w:val="30"/>
          <w:highlight w:val="none"/>
          <w:lang w:val="en-US" w:eastAsia="zh-CN" w:bidi="ar-SA"/>
        </w:rPr>
        <w:t>护理质控体系不断完善，修订护理工作制度32项、新增专科流程20项，建立“三级质控+PDCA”循环督查机制，开展现场督查90余次、护士长夜查房88次等，管道非计划拔管率和跌倒发生率同比分别下降0.13‰、0.02‰，主动上报护理不良事件71例；院感防控扎实，全年无感染暴发事件，住院患者感染率0.72%，手术部位感染率0.18%。组织技能培训考核22场次，“三基三严”理论合格率99.16%、操作合格率100%，完成67人层级晋升、19人轮岗定科，选派12人进修，获省市级竞赛多项奖项，开展多次联合查房并引进14名护理专家。实现优质护理全覆盖，PICC门诊完成置管95例、维护1,560例次，伤口造口门诊接诊518人，门诊满意度超96%；拓展15项新技术，推出多项特色服务，出院患者随访率超90%，护理满意度达98%以上，优化护理服务价格合计增收470,781元。</w:t>
      </w:r>
    </w:p>
    <w:p w14:paraId="2AA2D0A0">
      <w:pPr>
        <w:keepNext w:val="0"/>
        <w:keepLines w:val="0"/>
        <w:pageBreakBefore w:val="0"/>
        <w:widowControl w:val="0"/>
        <w:kinsoku/>
        <w:wordWrap/>
        <w:overflowPunct/>
        <w:topLinePunct w:val="0"/>
        <w:autoSpaceDE/>
        <w:autoSpaceDN/>
        <w:bidi w:val="0"/>
        <w:adjustRightInd/>
        <w:snapToGrid/>
        <w:spacing w:line="590" w:lineRule="exact"/>
        <w:ind w:firstLineChars="200"/>
        <w:textAlignment w:val="auto"/>
        <w:rPr>
          <w:rFonts w:hint="eastAsia" w:ascii="仿宋_GB2312" w:hAnsi="Times New Roman" w:eastAsia="仿宋_GB2312" w:cs="Times New Roman"/>
          <w:kern w:val="2"/>
          <w:sz w:val="30"/>
          <w:szCs w:val="30"/>
          <w:highlight w:val="none"/>
          <w:lang w:val="en-US" w:eastAsia="zh-CN" w:bidi="ar-SA"/>
        </w:rPr>
      </w:pPr>
    </w:p>
    <w:p w14:paraId="5EF8C5F9">
      <w:pPr>
        <w:keepNext w:val="0"/>
        <w:keepLines w:val="0"/>
        <w:pageBreakBefore w:val="0"/>
        <w:kinsoku/>
        <w:wordWrap/>
        <w:overflowPunct/>
        <w:topLinePunct w:val="0"/>
        <w:autoSpaceDE/>
        <w:autoSpaceDN/>
        <w:bidi w:val="0"/>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14:paraId="3F120A4E">
      <w:pPr>
        <w:keepNext w:val="0"/>
        <w:keepLines w:val="0"/>
        <w:pageBreakBefore w:val="0"/>
        <w:kinsoku/>
        <w:wordWrap/>
        <w:overflowPunct/>
        <w:topLinePunct w:val="0"/>
        <w:autoSpaceDE/>
        <w:autoSpaceDN/>
        <w:bidi w:val="0"/>
        <w:spacing w:line="590" w:lineRule="exact"/>
        <w:ind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12AA7F6">
      <w:pPr>
        <w:pStyle w:val="8"/>
        <w:keepNext w:val="0"/>
        <w:keepLines w:val="0"/>
        <w:pageBreakBefore w:val="0"/>
        <w:numPr>
          <w:ilvl w:val="0"/>
          <w:numId w:val="1"/>
        </w:numPr>
        <w:kinsoku/>
        <w:wordWrap/>
        <w:overflowPunct/>
        <w:topLinePunct w:val="0"/>
        <w:autoSpaceDE/>
        <w:autoSpaceDN/>
        <w:bidi w:val="0"/>
        <w:adjustRightInd/>
        <w:spacing w:line="590" w:lineRule="exact"/>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玉溪市中山医院2025年度没有</w:t>
      </w:r>
      <w:r>
        <w:rPr>
          <w:rFonts w:hint="eastAsia" w:ascii="仿宋_GB2312" w:eastAsia="仿宋_GB2312"/>
          <w:color w:val="auto"/>
          <w:sz w:val="30"/>
          <w:szCs w:val="30"/>
          <w:highlight w:val="none"/>
          <w:lang w:eastAsia="zh-CN"/>
        </w:rPr>
        <w:t>政府性基金预算财政拨款收入</w:t>
      </w:r>
      <w:r>
        <w:rPr>
          <w:rFonts w:hint="eastAsia" w:ascii="仿宋" w:hAnsi="仿宋" w:eastAsia="仿宋" w:cs="仿宋"/>
          <w:color w:val="auto"/>
          <w:kern w:val="2"/>
          <w:sz w:val="32"/>
          <w:szCs w:val="32"/>
          <w:lang w:val="en-US" w:eastAsia="zh-CN" w:bidi="ar-SA"/>
        </w:rPr>
        <w:t>，也没有使用</w:t>
      </w:r>
      <w:r>
        <w:rPr>
          <w:rFonts w:hint="eastAsia" w:ascii="仿宋_GB2312" w:eastAsia="仿宋_GB2312"/>
          <w:color w:val="auto"/>
          <w:sz w:val="30"/>
          <w:szCs w:val="30"/>
          <w:highlight w:val="none"/>
          <w:lang w:eastAsia="zh-CN"/>
        </w:rPr>
        <w:t>政府性基金预算财政拨款</w:t>
      </w:r>
      <w:r>
        <w:rPr>
          <w:rFonts w:hint="eastAsia" w:ascii="仿宋" w:hAnsi="仿宋" w:eastAsia="仿宋" w:cs="仿宋"/>
          <w:color w:val="auto"/>
          <w:kern w:val="2"/>
          <w:sz w:val="32"/>
          <w:szCs w:val="32"/>
          <w:lang w:val="en-US" w:eastAsia="zh-CN" w:bidi="ar-SA"/>
        </w:rPr>
        <w:t>安排的支出，《</w:t>
      </w:r>
      <w:r>
        <w:rPr>
          <w:rFonts w:hint="eastAsia" w:ascii="仿宋_GB2312" w:eastAsia="仿宋_GB2312"/>
          <w:color w:val="auto"/>
          <w:sz w:val="30"/>
          <w:szCs w:val="30"/>
          <w:highlight w:val="none"/>
          <w:lang w:eastAsia="zh-CN"/>
        </w:rPr>
        <w:t>政府性基金预算财政拨款收入</w:t>
      </w:r>
      <w:r>
        <w:rPr>
          <w:rFonts w:hint="eastAsia" w:ascii="仿宋" w:hAnsi="仿宋" w:eastAsia="仿宋" w:cs="仿宋"/>
          <w:color w:val="auto"/>
          <w:kern w:val="2"/>
          <w:sz w:val="32"/>
          <w:szCs w:val="32"/>
          <w:lang w:val="en-US" w:eastAsia="zh-CN" w:bidi="ar-SA"/>
        </w:rPr>
        <w:t>支出决算表》为空表。</w:t>
      </w:r>
    </w:p>
    <w:p w14:paraId="5B84D89F">
      <w:pPr>
        <w:pStyle w:val="8"/>
        <w:keepNext w:val="0"/>
        <w:keepLines w:val="0"/>
        <w:pageBreakBefore w:val="0"/>
        <w:numPr>
          <w:ilvl w:val="0"/>
          <w:numId w:val="1"/>
        </w:numPr>
        <w:kinsoku/>
        <w:wordWrap/>
        <w:overflowPunct/>
        <w:topLinePunct w:val="0"/>
        <w:autoSpaceDE/>
        <w:autoSpaceDN/>
        <w:bidi w:val="0"/>
        <w:adjustRightInd/>
        <w:spacing w:line="590" w:lineRule="exact"/>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玉溪市中山医院2025年度没有国有资本经营预算财政拨款收入，也没有使用国有资本经营预算财政拨款安排的支出，《国有资本经营预算财政拨款收入支出决算表》为空表。</w:t>
      </w:r>
    </w:p>
    <w:p w14:paraId="1578F42B">
      <w:pPr>
        <w:keepNext w:val="0"/>
        <w:keepLines w:val="0"/>
        <w:pageBreakBefore w:val="0"/>
        <w:kinsoku/>
        <w:wordWrap/>
        <w:overflowPunct/>
        <w:topLinePunct w:val="0"/>
        <w:autoSpaceDE/>
        <w:autoSpaceDN/>
        <w:bidi w:val="0"/>
        <w:spacing w:line="590" w:lineRule="exact"/>
        <w:ind w:firstLine="640" w:firstLineChars="200"/>
        <w:textAlignment w:val="auto"/>
        <w:rPr>
          <w:rFonts w:hint="default"/>
          <w:lang w:val="en-US" w:eastAsia="zh-CN"/>
        </w:rPr>
      </w:pPr>
      <w:r>
        <w:rPr>
          <w:rFonts w:hint="eastAsia" w:ascii="仿宋" w:hAnsi="仿宋" w:eastAsia="仿宋" w:cs="仿宋"/>
          <w:color w:val="auto"/>
          <w:kern w:val="2"/>
          <w:sz w:val="32"/>
          <w:szCs w:val="32"/>
          <w:lang w:val="en-US" w:eastAsia="zh-CN" w:bidi="ar-SA"/>
        </w:rPr>
        <w:t>3.玉溪市中山医院2025年度没有一般公共预算财政拨款“三公”经费，《一般公共预算财政拨款“三公”经费情况表》为空表。</w:t>
      </w:r>
    </w:p>
    <w:p w14:paraId="3A2F00D4">
      <w:pPr>
        <w:keepNext w:val="0"/>
        <w:keepLines w:val="0"/>
        <w:pageBreakBefore w:val="0"/>
        <w:kinsoku/>
        <w:wordWrap/>
        <w:overflowPunct/>
        <w:topLinePunct w:val="0"/>
        <w:autoSpaceDE/>
        <w:autoSpaceDN/>
        <w:bidi w:val="0"/>
        <w:spacing w:line="590" w:lineRule="exact"/>
        <w:jc w:val="left"/>
        <w:textAlignment w:val="auto"/>
        <w:rPr>
          <w:rFonts w:hint="eastAsia" w:ascii="仿宋_GB2312" w:eastAsia="仿宋_GB2312"/>
          <w:sz w:val="30"/>
          <w:szCs w:val="30"/>
          <w:highlight w:val="none"/>
          <w:lang w:eastAsia="zh-CN"/>
        </w:rPr>
      </w:pPr>
    </w:p>
    <w:p w14:paraId="11DA5FC7">
      <w:pPr>
        <w:keepNext w:val="0"/>
        <w:keepLines w:val="0"/>
        <w:pageBreakBefore w:val="0"/>
        <w:kinsoku/>
        <w:wordWrap/>
        <w:overflowPunct/>
        <w:topLinePunct w:val="0"/>
        <w:autoSpaceDE/>
        <w:autoSpaceDN/>
        <w:bidi w:val="0"/>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14:paraId="5ACC5819">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045F3AB8">
      <w:pPr>
        <w:keepNext w:val="0"/>
        <w:keepLines w:val="0"/>
        <w:pageBreakBefore w:val="0"/>
        <w:widowControl/>
        <w:kinsoku/>
        <w:wordWrap/>
        <w:overflowPunct/>
        <w:topLinePunct w:val="0"/>
        <w:autoSpaceDE/>
        <w:autoSpaceDN/>
        <w:bidi w:val="0"/>
        <w:snapToGrid w:val="0"/>
        <w:spacing w:before="100" w:after="100" w:line="590" w:lineRule="exact"/>
        <w:ind w:firstLine="538"/>
        <w:jc w:val="left"/>
        <w:textAlignment w:val="auto"/>
        <w:rPr>
          <w:rFonts w:hint="eastAsia" w:ascii="仿宋_GB2312" w:eastAsia="仿宋_GB2312"/>
          <w:sz w:val="30"/>
          <w:szCs w:val="30"/>
          <w:highlight w:val="none"/>
          <w:lang w:eastAsia="zh-CN"/>
        </w:rPr>
      </w:pPr>
      <w:r>
        <w:rPr>
          <w:rFonts w:hint="eastAsia" w:ascii="仿宋" w:hAnsi="仿宋" w:eastAsia="仿宋" w:cs="仿宋"/>
          <w:color w:val="auto"/>
          <w:kern w:val="2"/>
          <w:sz w:val="32"/>
          <w:szCs w:val="32"/>
          <w:lang w:val="en-US" w:eastAsia="zh-CN" w:bidi="ar-SA"/>
        </w:rPr>
        <w:t>玉溪市中山</w:t>
      </w:r>
      <w:r>
        <w:rPr>
          <w:rFonts w:hint="default" w:ascii="Times New Roman" w:hAnsi="Times New Roman" w:eastAsia="仿宋" w:cs="Times New Roman"/>
          <w:color w:val="auto"/>
          <w:kern w:val="2"/>
          <w:sz w:val="32"/>
          <w:szCs w:val="32"/>
          <w:lang w:val="en-US" w:eastAsia="zh-CN" w:bidi="ar-SA"/>
        </w:rPr>
        <w:t>医院</w:t>
      </w:r>
      <w:r>
        <w:rPr>
          <w:rFonts w:hint="default" w:ascii="Times New Roman" w:hAnsi="Times New Roman" w:eastAsia="仿宋_GB2312" w:cs="Times New Roman"/>
          <w:sz w:val="30"/>
          <w:szCs w:val="30"/>
          <w:highlight w:val="none"/>
          <w:lang w:val="en-US" w:eastAsia="zh-CN"/>
        </w:rPr>
        <w:t>2025</w:t>
      </w:r>
      <w:r>
        <w:rPr>
          <w:rFonts w:hint="default" w:ascii="Times New Roman" w:hAnsi="Times New Roman" w:eastAsia="仿宋_GB2312" w:cs="Times New Roman"/>
          <w:sz w:val="30"/>
          <w:szCs w:val="30"/>
          <w:highlight w:val="none"/>
        </w:rPr>
        <w:t>年度收入</w:t>
      </w:r>
      <w:r>
        <w:rPr>
          <w:rFonts w:hint="eastAsia" w:ascii="仿宋_GB2312" w:eastAsia="仿宋_GB2312"/>
          <w:sz w:val="30"/>
          <w:szCs w:val="30"/>
          <w:highlight w:val="none"/>
        </w:rPr>
        <w:t>合计</w:t>
      </w:r>
      <w:r>
        <w:rPr>
          <w:rFonts w:hint="default" w:ascii="Times New Roman" w:hAnsi="Times New Roman" w:eastAsia="方正仿宋_GBK" w:cs="Times New Roman"/>
          <w:color w:val="auto"/>
          <w:sz w:val="32"/>
          <w:szCs w:val="32"/>
          <w:highlight w:val="none"/>
          <w:lang w:val="en-US" w:eastAsia="zh-CN"/>
        </w:rPr>
        <w:t>222</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729</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117.09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default" w:ascii="Times New Roman" w:hAnsi="Times New Roman" w:eastAsia="方正仿宋_GBK" w:cs="Times New Roman"/>
          <w:color w:val="auto"/>
          <w:sz w:val="32"/>
          <w:szCs w:val="32"/>
          <w:highlight w:val="none"/>
          <w:lang w:val="en-US" w:eastAsia="zh-CN"/>
        </w:rPr>
        <w:t>63,202,849.00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highlight w:val="none"/>
          <w:lang w:val="en-US" w:eastAsia="zh-CN"/>
        </w:rPr>
        <w:t>28.38</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上级补助收入；事业收入</w:t>
      </w:r>
      <w:r>
        <w:rPr>
          <w:rFonts w:hint="default" w:ascii="Times New Roman" w:hAnsi="Times New Roman" w:eastAsia="方正仿宋_GBK" w:cs="Times New Roman"/>
          <w:color w:val="auto"/>
          <w:sz w:val="32"/>
          <w:szCs w:val="32"/>
          <w:highlight w:val="none"/>
          <w:lang w:val="en-US" w:eastAsia="zh-CN"/>
        </w:rPr>
        <w:t>138,681,965.58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highlight w:val="none"/>
          <w:lang w:val="en-US" w:eastAsia="zh-CN"/>
        </w:rPr>
        <w:t>62.26</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default" w:ascii="Times New Roman" w:hAnsi="Times New Roman" w:eastAsia="方正仿宋_GBK" w:cs="Times New Roman"/>
          <w:color w:val="auto"/>
          <w:sz w:val="32"/>
          <w:szCs w:val="32"/>
          <w:highlight w:val="none"/>
          <w:lang w:val="en-US" w:eastAsia="zh-CN"/>
        </w:rPr>
        <w:t>20,844,302.51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highlight w:val="none"/>
          <w:lang w:val="en-US" w:eastAsia="zh-CN"/>
        </w:rPr>
        <w:t>9.36</w:t>
      </w:r>
      <w:r>
        <w:rPr>
          <w:rFonts w:hint="eastAsia" w:ascii="仿宋_GB2312" w:eastAsia="仿宋_GB2312"/>
          <w:sz w:val="30"/>
          <w:szCs w:val="30"/>
          <w:highlight w:val="none"/>
        </w:rPr>
        <w:t>%。</w:t>
      </w:r>
    </w:p>
    <w:p w14:paraId="74D4BEFF">
      <w:pPr>
        <w:keepNext w:val="0"/>
        <w:keepLines w:val="0"/>
        <w:pageBreakBefore w:val="0"/>
        <w:widowControl/>
        <w:kinsoku/>
        <w:wordWrap/>
        <w:overflowPunct/>
        <w:topLinePunct w:val="0"/>
        <w:autoSpaceDE/>
        <w:autoSpaceDN/>
        <w:bidi w:val="0"/>
        <w:snapToGrid w:val="0"/>
        <w:spacing w:before="100" w:after="100" w:line="590" w:lineRule="exact"/>
        <w:ind w:firstLine="538"/>
        <w:jc w:val="left"/>
        <w:textAlignment w:val="auto"/>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与上年相比，收入合计增加53,872,980.59元，增长31.90%，主要是因为2025年运营资金紧张向银行借款2,000万元、医疗收入增加2,510万、项目收入增加826万。其中：财政拨款收入增加8,261,206.28元，增长15.60%，主要是因为2025年收到财政缺口补助、运营补助374万；项目款也增加了400多万元；事业收入增加25,097,140.09元，增长22.10%，主要是因为玉溪市中山医院因中大附一院、市医院专家常驻，广纳人才，提升医疗水平后，医疗收入增加；其他收入增加20,514,634.22元，增长6,222.81%，主要是因为2025年运营资金紧张向银行借款2,000万元，同时院内其他收入也有所增加。</w:t>
      </w:r>
    </w:p>
    <w:p w14:paraId="66FC0862">
      <w:pPr>
        <w:keepNext w:val="0"/>
        <w:keepLines w:val="0"/>
        <w:pageBreakBefore w:val="0"/>
        <w:widowControl/>
        <w:kinsoku/>
        <w:wordWrap/>
        <w:overflowPunct/>
        <w:topLinePunct w:val="0"/>
        <w:autoSpaceDE/>
        <w:autoSpaceDN/>
        <w:bidi w:val="0"/>
        <w:snapToGrid w:val="0"/>
        <w:spacing w:before="100" w:after="100" w:line="590" w:lineRule="exact"/>
        <w:ind w:firstLine="538"/>
        <w:jc w:val="left"/>
        <w:textAlignment w:val="auto"/>
        <w:rPr>
          <w:rFonts w:hint="default" w:ascii="Times New Roman" w:hAnsi="Times New Roman" w:eastAsia="仿宋" w:cs="Times New Roman"/>
          <w:color w:val="auto"/>
          <w:kern w:val="2"/>
          <w:sz w:val="32"/>
          <w:szCs w:val="32"/>
          <w:lang w:val="en-US" w:eastAsia="zh-CN" w:bidi="ar-SA"/>
        </w:rPr>
      </w:pPr>
    </w:p>
    <w:p w14:paraId="39CDEC3E">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4853CA05">
      <w:pPr>
        <w:keepNext w:val="0"/>
        <w:keepLines w:val="0"/>
        <w:pageBreakBefore w:val="0"/>
        <w:widowControl/>
        <w:kinsoku/>
        <w:wordWrap/>
        <w:overflowPunct/>
        <w:topLinePunct w:val="0"/>
        <w:autoSpaceDE/>
        <w:autoSpaceDN/>
        <w:bidi w:val="0"/>
        <w:snapToGrid w:val="0"/>
        <w:spacing w:before="100" w:after="100" w:line="590" w:lineRule="exact"/>
        <w:ind w:firstLine="538"/>
        <w:jc w:val="left"/>
        <w:textAlignment w:val="auto"/>
        <w:rPr>
          <w:rFonts w:hint="default" w:ascii="Times New Roman" w:hAnsi="Times New Roman" w:eastAsia="仿宋" w:cs="Times New Roman"/>
          <w:color w:val="auto"/>
          <w:kern w:val="2"/>
          <w:sz w:val="32"/>
          <w:szCs w:val="32"/>
          <w:lang w:val="zh-CN" w:eastAsia="zh-CN" w:bidi="ar-SA"/>
        </w:rPr>
      </w:pPr>
      <w:r>
        <w:rPr>
          <w:rFonts w:hint="default" w:ascii="Times New Roman" w:hAnsi="Times New Roman" w:eastAsia="仿宋" w:cs="Times New Roman"/>
          <w:color w:val="auto"/>
          <w:kern w:val="2"/>
          <w:sz w:val="32"/>
          <w:szCs w:val="32"/>
          <w:lang w:val="en-US" w:eastAsia="zh-CN" w:bidi="ar-SA"/>
        </w:rPr>
        <w:t>玉溪市中山医院2025年度支出合计</w:t>
      </w:r>
      <w:r>
        <w:rPr>
          <w:rFonts w:hint="default" w:ascii="Times New Roman" w:hAnsi="Times New Roman" w:eastAsia="仿宋" w:cs="Times New Roman"/>
          <w:color w:val="auto"/>
          <w:kern w:val="2"/>
          <w:sz w:val="32"/>
          <w:szCs w:val="32"/>
          <w:lang w:val="zh-CN" w:eastAsia="zh-CN" w:bidi="ar-SA"/>
        </w:rPr>
        <w:t>221</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zh-CN" w:eastAsia="zh-CN" w:bidi="ar-SA"/>
        </w:rPr>
        <w:t>182</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zh-CN" w:eastAsia="zh-CN" w:bidi="ar-SA"/>
        </w:rPr>
        <w:t>037.45</w:t>
      </w:r>
      <w:r>
        <w:rPr>
          <w:rFonts w:hint="default" w:ascii="Times New Roman" w:hAnsi="Times New Roman" w:eastAsia="仿宋" w:cs="Times New Roman"/>
          <w:color w:val="auto"/>
          <w:kern w:val="2"/>
          <w:sz w:val="32"/>
          <w:szCs w:val="32"/>
          <w:lang w:val="en-US" w:eastAsia="zh-CN" w:bidi="ar-SA"/>
        </w:rPr>
        <w:t>元。其中：基本支出</w:t>
      </w:r>
      <w:r>
        <w:rPr>
          <w:rFonts w:hint="default" w:ascii="Times New Roman" w:hAnsi="Times New Roman" w:eastAsia="仿宋" w:cs="Times New Roman"/>
          <w:color w:val="auto"/>
          <w:kern w:val="2"/>
          <w:sz w:val="32"/>
          <w:szCs w:val="32"/>
          <w:lang w:val="zh-CN" w:eastAsia="zh-CN" w:bidi="ar-SA"/>
        </w:rPr>
        <w:t>186</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zh-CN" w:eastAsia="zh-CN" w:bidi="ar-SA"/>
        </w:rPr>
        <w:t>391</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zh-CN" w:eastAsia="zh-CN" w:bidi="ar-SA"/>
        </w:rPr>
        <w:t>488.45</w:t>
      </w:r>
      <w:r>
        <w:rPr>
          <w:rFonts w:hint="default" w:ascii="Times New Roman" w:hAnsi="Times New Roman" w:eastAsia="仿宋" w:cs="Times New Roman"/>
          <w:color w:val="auto"/>
          <w:kern w:val="2"/>
          <w:sz w:val="32"/>
          <w:szCs w:val="32"/>
          <w:lang w:val="en-US" w:eastAsia="zh-CN" w:bidi="ar-SA"/>
        </w:rPr>
        <w:t>元，占总支出的84.27％；项目支出</w:t>
      </w:r>
      <w:r>
        <w:rPr>
          <w:rFonts w:hint="eastAsia" w:ascii="Times New Roman" w:hAnsi="Times New Roman" w:eastAsia="仿宋" w:cs="Times New Roman"/>
          <w:color w:val="auto"/>
          <w:kern w:val="2"/>
          <w:sz w:val="32"/>
          <w:szCs w:val="32"/>
          <w:lang w:val="en-US" w:eastAsia="zh-CN" w:bidi="ar-SA"/>
        </w:rPr>
        <w:t>项目支出34</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en-US" w:eastAsia="zh-CN" w:bidi="ar-SA"/>
        </w:rPr>
        <w:t>790</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en-US" w:eastAsia="zh-CN" w:bidi="ar-SA"/>
        </w:rPr>
        <w:t>549</w:t>
      </w:r>
      <w:r>
        <w:rPr>
          <w:rFonts w:hint="eastAsia" w:eastAsia="仿宋" w:cs="Times New Roman"/>
          <w:color w:val="auto"/>
          <w:kern w:val="2"/>
          <w:sz w:val="32"/>
          <w:szCs w:val="32"/>
          <w:lang w:val="en-US" w:eastAsia="zh-CN" w:bidi="ar-SA"/>
        </w:rPr>
        <w:t>.00</w:t>
      </w:r>
      <w:r>
        <w:rPr>
          <w:rFonts w:hint="eastAsia" w:ascii="Times New Roman" w:hAnsi="Times New Roman" w:eastAsia="仿宋" w:cs="Times New Roman"/>
          <w:color w:val="auto"/>
          <w:kern w:val="2"/>
          <w:sz w:val="32"/>
          <w:szCs w:val="32"/>
          <w:lang w:val="en-US" w:eastAsia="zh-CN" w:bidi="ar-SA"/>
        </w:rPr>
        <w:t>元，</w:t>
      </w:r>
      <w:r>
        <w:rPr>
          <w:rFonts w:hint="default" w:ascii="Times New Roman" w:hAnsi="Times New Roman" w:eastAsia="仿宋" w:cs="Times New Roman"/>
          <w:color w:val="auto"/>
          <w:kern w:val="2"/>
          <w:sz w:val="32"/>
          <w:szCs w:val="32"/>
          <w:lang w:val="en-US" w:eastAsia="zh-CN" w:bidi="ar-SA"/>
        </w:rPr>
        <w:t>占总支出的15.73％；无</w:t>
      </w:r>
      <w:r>
        <w:rPr>
          <w:rFonts w:hint="default" w:ascii="Times New Roman" w:hAnsi="Times New Roman" w:eastAsia="仿宋" w:cs="Times New Roman"/>
          <w:color w:val="auto"/>
          <w:kern w:val="2"/>
          <w:sz w:val="32"/>
          <w:szCs w:val="32"/>
          <w:lang w:val="zh-CN" w:eastAsia="zh-CN" w:bidi="ar-SA"/>
        </w:rPr>
        <w:t>上缴上级支出；</w:t>
      </w:r>
      <w:r>
        <w:rPr>
          <w:rFonts w:hint="default" w:ascii="Times New Roman" w:hAnsi="Times New Roman" w:eastAsia="仿宋" w:cs="Times New Roman"/>
          <w:color w:val="auto"/>
          <w:kern w:val="2"/>
          <w:sz w:val="32"/>
          <w:szCs w:val="32"/>
          <w:lang w:val="en-US" w:eastAsia="zh-CN" w:bidi="ar-SA"/>
        </w:rPr>
        <w:t>无</w:t>
      </w:r>
      <w:r>
        <w:rPr>
          <w:rFonts w:hint="default" w:ascii="Times New Roman" w:hAnsi="Times New Roman" w:eastAsia="仿宋" w:cs="Times New Roman"/>
          <w:color w:val="auto"/>
          <w:kern w:val="2"/>
          <w:sz w:val="32"/>
          <w:szCs w:val="32"/>
          <w:lang w:val="zh-CN" w:eastAsia="zh-CN" w:bidi="ar-SA"/>
        </w:rPr>
        <w:t>经营支出；</w:t>
      </w:r>
      <w:r>
        <w:rPr>
          <w:rFonts w:hint="default" w:ascii="Times New Roman" w:hAnsi="Times New Roman" w:eastAsia="仿宋" w:cs="Times New Roman"/>
          <w:color w:val="auto"/>
          <w:kern w:val="2"/>
          <w:sz w:val="32"/>
          <w:szCs w:val="32"/>
          <w:lang w:val="en-US" w:eastAsia="zh-CN" w:bidi="ar-SA"/>
        </w:rPr>
        <w:t>无</w:t>
      </w:r>
      <w:r>
        <w:rPr>
          <w:rFonts w:hint="default" w:ascii="Times New Roman" w:hAnsi="Times New Roman" w:eastAsia="仿宋" w:cs="Times New Roman"/>
          <w:color w:val="auto"/>
          <w:kern w:val="2"/>
          <w:sz w:val="32"/>
          <w:szCs w:val="32"/>
          <w:lang w:val="zh-CN" w:eastAsia="zh-CN" w:bidi="ar-SA"/>
        </w:rPr>
        <w:t>对附属单位补助支出。</w:t>
      </w:r>
    </w:p>
    <w:p w14:paraId="5AA2CD67">
      <w:pPr>
        <w:keepNext w:val="0"/>
        <w:keepLines w:val="0"/>
        <w:pageBreakBefore w:val="0"/>
        <w:widowControl/>
        <w:kinsoku/>
        <w:wordWrap/>
        <w:overflowPunct/>
        <w:topLinePunct w:val="0"/>
        <w:autoSpaceDE/>
        <w:autoSpaceDN/>
        <w:bidi w:val="0"/>
        <w:snapToGrid w:val="0"/>
        <w:spacing w:before="100" w:after="100" w:line="590" w:lineRule="exact"/>
        <w:ind w:firstLine="538"/>
        <w:jc w:val="left"/>
        <w:textAlignment w:val="auto"/>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与上年相比，支出合计增加52</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325</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900.95元，增长30.99%，主要是因为住院因为玉溪市中山医院搬迁后，园区扩大10倍，导致第三方服务费及水电等开支成倍增长，运维成本大。其中：基本支出增加49</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224</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780.83元，增长35.89%，主要是因为玉溪市中山医院搬迁后，</w:t>
      </w:r>
      <w:r>
        <w:rPr>
          <w:rFonts w:hint="eastAsia" w:eastAsia="仿宋" w:cs="Times New Roman"/>
          <w:color w:val="auto"/>
          <w:kern w:val="2"/>
          <w:sz w:val="32"/>
          <w:szCs w:val="32"/>
          <w:lang w:val="en-US" w:eastAsia="zh-CN" w:bidi="ar-SA"/>
        </w:rPr>
        <w:t>人员增加，人员经费增长，卫生材料等耗用也增长较大，</w:t>
      </w:r>
      <w:r>
        <w:rPr>
          <w:rFonts w:hint="default" w:ascii="Times New Roman" w:hAnsi="Times New Roman" w:eastAsia="仿宋" w:cs="Times New Roman"/>
          <w:color w:val="auto"/>
          <w:kern w:val="2"/>
          <w:sz w:val="32"/>
          <w:szCs w:val="32"/>
          <w:lang w:val="en-US" w:eastAsia="zh-CN" w:bidi="ar-SA"/>
        </w:rPr>
        <w:t>园区扩大10倍，导致第三方服务费及水电等开支成倍增长，运维成本大；项目支出增加3</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101</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120.12元，增长9.79%，主要是因为2025年项目拨款较上年有所增加。</w:t>
      </w:r>
    </w:p>
    <w:p w14:paraId="4ADECFC3">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6E15290A">
      <w:pPr>
        <w:keepNext w:val="0"/>
        <w:keepLines w:val="0"/>
        <w:pageBreakBefore w:val="0"/>
        <w:widowControl/>
        <w:kinsoku/>
        <w:wordWrap/>
        <w:overflowPunct/>
        <w:topLinePunct w:val="0"/>
        <w:autoSpaceDE/>
        <w:autoSpaceDN/>
        <w:bidi w:val="0"/>
        <w:snapToGrid w:val="0"/>
        <w:spacing w:before="100" w:after="100" w:line="590" w:lineRule="exact"/>
        <w:ind w:firstLine="640" w:firstLineChars="200"/>
        <w:jc w:val="left"/>
        <w:textAlignment w:val="auto"/>
        <w:rPr>
          <w:rFonts w:hint="eastAsia" w:ascii="仿宋_GB2312" w:hAnsi="仿宋_GB2312" w:eastAsia="仿宋_GB2312" w:cs="仿宋_GB2312"/>
          <w:color w:val="FF0000"/>
          <w:sz w:val="30"/>
          <w:szCs w:val="30"/>
          <w:highlight w:val="none"/>
        </w:rPr>
      </w:pPr>
      <w:r>
        <w:rPr>
          <w:rFonts w:hint="eastAsia" w:ascii="仿宋" w:hAnsi="仿宋" w:eastAsia="仿宋" w:cs="仿宋"/>
          <w:color w:val="auto"/>
          <w:sz w:val="32"/>
          <w:szCs w:val="32"/>
          <w:lang w:val="en-US" w:eastAsia="zh-CN"/>
        </w:rPr>
        <w:t>2025</w:t>
      </w:r>
      <w:r>
        <w:rPr>
          <w:rFonts w:hint="eastAsia" w:ascii="仿宋" w:hAnsi="仿宋" w:eastAsia="仿宋" w:cs="仿宋"/>
          <w:color w:val="auto"/>
          <w:sz w:val="32"/>
          <w:szCs w:val="32"/>
          <w:lang w:val="zh-CN" w:eastAsia="zh-CN"/>
        </w:rPr>
        <w:t>年度用于保障玉溪市中山医院（玉溪市人民医院抚仙湖院区）机构正常运转的日常支出</w:t>
      </w:r>
      <w:r>
        <w:rPr>
          <w:rFonts w:hint="default" w:ascii="Times New Roman" w:hAnsi="Times New Roman" w:eastAsia="仿宋" w:cs="Times New Roman"/>
          <w:color w:val="auto"/>
          <w:kern w:val="2"/>
          <w:sz w:val="32"/>
          <w:szCs w:val="32"/>
          <w:lang w:val="zh-CN" w:eastAsia="zh-CN" w:bidi="ar-SA"/>
        </w:rPr>
        <w:t>186</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zh-CN" w:eastAsia="zh-CN" w:bidi="ar-SA"/>
        </w:rPr>
        <w:t>391</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zh-CN" w:eastAsia="zh-CN" w:bidi="ar-SA"/>
        </w:rPr>
        <w:t>488.45</w:t>
      </w:r>
      <w:r>
        <w:rPr>
          <w:rFonts w:hint="eastAsia" w:ascii="仿宋" w:hAnsi="仿宋" w:eastAsia="仿宋" w:cs="仿宋"/>
          <w:color w:val="auto"/>
          <w:sz w:val="32"/>
          <w:szCs w:val="32"/>
          <w:lang w:val="zh-CN" w:eastAsia="zh-CN"/>
        </w:rPr>
        <w:t>元。</w:t>
      </w:r>
      <w:r>
        <w:rPr>
          <w:rFonts w:hint="eastAsia" w:ascii="Times New Roman" w:hAnsi="Times New Roman" w:eastAsia="仿宋" w:cs="Times New Roman"/>
          <w:color w:val="auto"/>
          <w:kern w:val="2"/>
          <w:sz w:val="32"/>
          <w:szCs w:val="32"/>
          <w:lang w:val="en-US" w:eastAsia="zh-CN" w:bidi="ar-SA"/>
        </w:rPr>
        <w:t>其中：基本工资、津贴补贴等人员经费支出</w:t>
      </w:r>
      <w:r>
        <w:rPr>
          <w:rFonts w:hint="eastAsia" w:eastAsia="仿宋" w:cs="Times New Roman"/>
          <w:color w:val="auto"/>
          <w:kern w:val="2"/>
          <w:sz w:val="32"/>
          <w:szCs w:val="32"/>
          <w:lang w:val="en-US" w:eastAsia="zh-CN" w:bidi="ar-SA"/>
        </w:rPr>
        <w:t>91,486,704.01</w:t>
      </w:r>
      <w:r>
        <w:rPr>
          <w:rFonts w:hint="eastAsia" w:ascii="Times New Roman" w:hAnsi="Times New Roman" w:eastAsia="仿宋" w:cs="Times New Roman"/>
          <w:color w:val="auto"/>
          <w:kern w:val="2"/>
          <w:sz w:val="32"/>
          <w:szCs w:val="32"/>
          <w:lang w:val="en-US" w:eastAsia="zh-CN" w:bidi="ar-SA"/>
        </w:rPr>
        <w:t>元，占基本支出的</w:t>
      </w:r>
      <w:r>
        <w:rPr>
          <w:rFonts w:hint="eastAsia" w:eastAsia="仿宋" w:cs="Times New Roman"/>
          <w:color w:val="auto"/>
          <w:kern w:val="2"/>
          <w:sz w:val="32"/>
          <w:szCs w:val="32"/>
          <w:lang w:val="en-US" w:eastAsia="zh-CN" w:bidi="ar-SA"/>
        </w:rPr>
        <w:t>49.08</w:t>
      </w:r>
      <w:r>
        <w:rPr>
          <w:rFonts w:hint="eastAsia" w:ascii="Times New Roman" w:hAnsi="Times New Roman" w:eastAsia="仿宋" w:cs="Times New Roman"/>
          <w:color w:val="auto"/>
          <w:kern w:val="2"/>
          <w:sz w:val="32"/>
          <w:szCs w:val="32"/>
          <w:lang w:val="en-US" w:eastAsia="zh-CN" w:bidi="ar-SA"/>
        </w:rPr>
        <w:t>％；</w:t>
      </w:r>
      <w:r>
        <w:rPr>
          <w:rFonts w:hint="eastAsia" w:eastAsia="仿宋" w:cs="Times New Roman"/>
          <w:color w:val="auto"/>
          <w:kern w:val="2"/>
          <w:sz w:val="32"/>
          <w:szCs w:val="32"/>
          <w:lang w:val="en-US" w:eastAsia="zh-CN" w:bidi="ar-SA"/>
        </w:rPr>
        <w:t>药品卫材等</w:t>
      </w:r>
      <w:r>
        <w:rPr>
          <w:rFonts w:hint="eastAsia" w:ascii="Times New Roman" w:hAnsi="Times New Roman" w:eastAsia="仿宋" w:cs="Times New Roman"/>
          <w:color w:val="auto"/>
          <w:kern w:val="2"/>
          <w:sz w:val="32"/>
          <w:szCs w:val="32"/>
          <w:lang w:val="en-US" w:eastAsia="zh-CN" w:bidi="ar-SA"/>
        </w:rPr>
        <w:t>专用材料费63</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en-US" w:eastAsia="zh-CN" w:bidi="ar-SA"/>
        </w:rPr>
        <w:t>471</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en-US" w:eastAsia="zh-CN" w:bidi="ar-SA"/>
        </w:rPr>
        <w:t>782.67</w:t>
      </w:r>
      <w:r>
        <w:rPr>
          <w:rFonts w:hint="eastAsia" w:eastAsia="仿宋" w:cs="Times New Roman"/>
          <w:color w:val="auto"/>
          <w:kern w:val="2"/>
          <w:sz w:val="32"/>
          <w:szCs w:val="32"/>
          <w:lang w:val="en-US" w:eastAsia="zh-CN" w:bidi="ar-SA"/>
        </w:rPr>
        <w:t>元，</w:t>
      </w:r>
      <w:r>
        <w:rPr>
          <w:rFonts w:hint="eastAsia" w:ascii="Times New Roman" w:hAnsi="Times New Roman" w:eastAsia="仿宋" w:cs="Times New Roman"/>
          <w:color w:val="auto"/>
          <w:kern w:val="2"/>
          <w:sz w:val="32"/>
          <w:szCs w:val="32"/>
          <w:lang w:val="en-US" w:eastAsia="zh-CN" w:bidi="ar-SA"/>
        </w:rPr>
        <w:t>占基本支出的</w:t>
      </w:r>
      <w:r>
        <w:rPr>
          <w:rFonts w:hint="eastAsia" w:eastAsia="仿宋" w:cs="Times New Roman"/>
          <w:color w:val="auto"/>
          <w:kern w:val="2"/>
          <w:sz w:val="32"/>
          <w:szCs w:val="32"/>
          <w:lang w:val="en-US" w:eastAsia="zh-CN" w:bidi="ar-SA"/>
        </w:rPr>
        <w:t>434.05</w:t>
      </w:r>
      <w:r>
        <w:rPr>
          <w:rFonts w:hint="eastAsia" w:ascii="Times New Roman" w:hAnsi="Times New Roman" w:eastAsia="仿宋" w:cs="Times New Roman"/>
          <w:color w:val="auto"/>
          <w:kern w:val="2"/>
          <w:sz w:val="32"/>
          <w:szCs w:val="32"/>
          <w:lang w:val="en-US" w:eastAsia="zh-CN" w:bidi="ar-SA"/>
        </w:rPr>
        <w:t>％</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en-US" w:eastAsia="zh-CN" w:bidi="ar-SA"/>
        </w:rPr>
        <w:t>办公费、印刷费、水电费、办公设备购置等公用经费</w:t>
      </w:r>
      <w:r>
        <w:rPr>
          <w:rFonts w:hint="eastAsia" w:ascii="Times New Roman" w:hAnsi="Times New Roman" w:eastAsia="仿宋" w:cs="Times New Roman"/>
          <w:color w:val="auto"/>
          <w:kern w:val="2"/>
          <w:sz w:val="32"/>
          <w:szCs w:val="32"/>
          <w:lang w:val="zh-CN" w:eastAsia="zh-CN" w:bidi="ar-SA"/>
        </w:rPr>
        <w:t>31</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zh-CN" w:eastAsia="zh-CN" w:bidi="ar-SA"/>
        </w:rPr>
        <w:t>433</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zh-CN" w:eastAsia="zh-CN" w:bidi="ar-SA"/>
        </w:rPr>
        <w:t>001.77</w:t>
      </w:r>
      <w:r>
        <w:rPr>
          <w:rFonts w:hint="eastAsia" w:ascii="Times New Roman" w:hAnsi="Times New Roman" w:eastAsia="仿宋" w:cs="Times New Roman"/>
          <w:color w:val="auto"/>
          <w:kern w:val="2"/>
          <w:sz w:val="32"/>
          <w:szCs w:val="32"/>
          <w:lang w:val="en-US" w:eastAsia="zh-CN" w:bidi="ar-SA"/>
        </w:rPr>
        <w:t>元，占基本支出的</w:t>
      </w:r>
      <w:r>
        <w:rPr>
          <w:rFonts w:hint="eastAsia" w:eastAsia="仿宋" w:cs="Times New Roman"/>
          <w:color w:val="auto"/>
          <w:kern w:val="2"/>
          <w:sz w:val="32"/>
          <w:szCs w:val="32"/>
          <w:lang w:val="en-US" w:eastAsia="zh-CN" w:bidi="ar-SA"/>
        </w:rPr>
        <w:t>16.86</w:t>
      </w:r>
      <w:r>
        <w:rPr>
          <w:rFonts w:hint="eastAsia" w:ascii="Times New Roman" w:hAnsi="Times New Roman" w:eastAsia="仿宋" w:cs="Times New Roman"/>
          <w:color w:val="auto"/>
          <w:kern w:val="2"/>
          <w:sz w:val="32"/>
          <w:szCs w:val="32"/>
          <w:lang w:val="en-US" w:eastAsia="zh-CN" w:bidi="ar-SA"/>
        </w:rPr>
        <w:t>％。</w:t>
      </w:r>
    </w:p>
    <w:p w14:paraId="46F9072D">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6015F79D">
      <w:pPr>
        <w:keepNext w:val="0"/>
        <w:keepLines w:val="0"/>
        <w:pageBreakBefore w:val="0"/>
        <w:widowControl/>
        <w:kinsoku/>
        <w:wordWrap/>
        <w:overflowPunct/>
        <w:topLinePunct w:val="0"/>
        <w:autoSpaceDE/>
        <w:autoSpaceDN/>
        <w:bidi w:val="0"/>
        <w:snapToGrid w:val="0"/>
        <w:spacing w:before="100" w:after="100" w:line="590" w:lineRule="exact"/>
        <w:ind w:firstLine="640" w:firstLineChars="200"/>
        <w:jc w:val="left"/>
        <w:textAlignment w:val="auto"/>
        <w:rPr>
          <w:rFonts w:hint="eastAsia" w:ascii="Times New Roman" w:hAnsi="Times New Roman" w:eastAsia="仿宋" w:cs="Times New Roman"/>
          <w:color w:val="auto"/>
          <w:kern w:val="2"/>
          <w:sz w:val="32"/>
          <w:szCs w:val="32"/>
          <w:lang w:val="en-US" w:eastAsia="zh-CN" w:bidi="ar-SA"/>
        </w:rPr>
      </w:pPr>
      <w:r>
        <w:rPr>
          <w:rFonts w:hint="eastAsia" w:ascii="Times New Roman" w:hAnsi="Times New Roman" w:eastAsia="仿宋" w:cs="Times New Roman"/>
          <w:color w:val="auto"/>
          <w:kern w:val="2"/>
          <w:sz w:val="32"/>
          <w:szCs w:val="32"/>
          <w:lang w:val="en-US" w:eastAsia="zh-CN" w:bidi="ar-SA"/>
        </w:rPr>
        <w:t>2025年度用于保障</w:t>
      </w:r>
      <w:r>
        <w:rPr>
          <w:rFonts w:hint="eastAsia" w:ascii="仿宋" w:hAnsi="仿宋" w:eastAsia="仿宋" w:cs="仿宋"/>
          <w:color w:val="auto"/>
          <w:sz w:val="32"/>
          <w:szCs w:val="32"/>
          <w:lang w:val="zh-CN" w:eastAsia="zh-CN"/>
        </w:rPr>
        <w:t>玉溪市中山医院（玉溪市人民医院抚仙湖院区）</w:t>
      </w:r>
      <w:r>
        <w:rPr>
          <w:rFonts w:hint="eastAsia" w:ascii="Times New Roman" w:hAnsi="Times New Roman" w:eastAsia="仿宋" w:cs="Times New Roman"/>
          <w:color w:val="auto"/>
          <w:kern w:val="2"/>
          <w:sz w:val="32"/>
          <w:szCs w:val="32"/>
          <w:lang w:val="en-US" w:eastAsia="zh-CN" w:bidi="ar-SA"/>
        </w:rPr>
        <w:t>为完成特定的行政工作任务或事业发展目标，用于专项业务工作的经费支出34</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en-US" w:eastAsia="zh-CN" w:bidi="ar-SA"/>
        </w:rPr>
        <w:t>790</w:t>
      </w:r>
      <w:r>
        <w:rPr>
          <w:rFonts w:hint="eastAsia" w:eastAsia="仿宋" w:cs="Times New Roman"/>
          <w:color w:val="auto"/>
          <w:kern w:val="2"/>
          <w:sz w:val="32"/>
          <w:szCs w:val="32"/>
          <w:lang w:val="en-US" w:eastAsia="zh-CN" w:bidi="ar-SA"/>
        </w:rPr>
        <w:t>,</w:t>
      </w:r>
      <w:r>
        <w:rPr>
          <w:rFonts w:hint="eastAsia" w:ascii="Times New Roman" w:hAnsi="Times New Roman" w:eastAsia="仿宋" w:cs="Times New Roman"/>
          <w:color w:val="auto"/>
          <w:kern w:val="2"/>
          <w:sz w:val="32"/>
          <w:szCs w:val="32"/>
          <w:lang w:val="en-US" w:eastAsia="zh-CN" w:bidi="ar-SA"/>
        </w:rPr>
        <w:t>549</w:t>
      </w:r>
      <w:r>
        <w:rPr>
          <w:rFonts w:hint="eastAsia" w:eastAsia="仿宋" w:cs="Times New Roman"/>
          <w:color w:val="auto"/>
          <w:kern w:val="2"/>
          <w:sz w:val="32"/>
          <w:szCs w:val="32"/>
          <w:lang w:val="en-US" w:eastAsia="zh-CN" w:bidi="ar-SA"/>
        </w:rPr>
        <w:t>.00</w:t>
      </w:r>
      <w:r>
        <w:rPr>
          <w:rFonts w:hint="eastAsia" w:ascii="Times New Roman" w:hAnsi="Times New Roman" w:eastAsia="仿宋" w:cs="Times New Roman"/>
          <w:color w:val="auto"/>
          <w:kern w:val="2"/>
          <w:sz w:val="32"/>
          <w:szCs w:val="32"/>
          <w:lang w:val="en-US" w:eastAsia="zh-CN" w:bidi="ar-SA"/>
        </w:rPr>
        <w:t>元。其中：基本建设类项目支出</w:t>
      </w:r>
      <w:r>
        <w:rPr>
          <w:rFonts w:hint="eastAsia" w:eastAsia="仿宋" w:cs="Times New Roman"/>
          <w:color w:val="auto"/>
          <w:kern w:val="2"/>
          <w:sz w:val="32"/>
          <w:szCs w:val="32"/>
          <w:lang w:val="en-US" w:eastAsia="zh-CN" w:bidi="ar-SA"/>
        </w:rPr>
        <w:t>0.00</w:t>
      </w:r>
      <w:r>
        <w:rPr>
          <w:rFonts w:hint="eastAsia" w:ascii="Times New Roman" w:hAnsi="Times New Roman" w:eastAsia="仿宋" w:cs="Times New Roman"/>
          <w:color w:val="auto"/>
          <w:kern w:val="2"/>
          <w:sz w:val="32"/>
          <w:szCs w:val="32"/>
          <w:lang w:val="en-US" w:eastAsia="zh-CN" w:bidi="ar-SA"/>
        </w:rPr>
        <w:t>元。</w:t>
      </w:r>
    </w:p>
    <w:p w14:paraId="024754E3">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其他卫生健康管理事务支出项目资金566,400.00元，主要是玉财社〔2024〕60号玉溪市公立医院改革与高质量发展示范项目资金，用于商品和服务支出及资本性支出。</w:t>
      </w:r>
    </w:p>
    <w:p w14:paraId="457FA1DE">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其他公立医院支出项目资金30,800,000.00元，主要是玉财社〔2025〕107号公立医院改革与高质量发展示范项目上级补助（大玉医城市医疗集团项目）资金20,800,000.00元以及玉财社〔2025〕81号智慧医院业务流程改造及数据中心硬件补充项目经费10,000,000.00元，用于商品和服务支出及资本性支出。</w:t>
      </w:r>
    </w:p>
    <w:p w14:paraId="6A2F8C6E">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基本公共卫生服务项目资金3,000.00元，主要是玉财社〔2025〕163号基本公共卫生服务项目中央补助资金，用于材料费支付。</w:t>
      </w:r>
    </w:p>
    <w:p w14:paraId="0885DBB2">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其他卫生健康支出项目资金3,421,149.00元,主要是玉财社〔2025〕112号2025年第二批医疗卫生事业高质量发展三年行动计划资金3,332,630元，玉财社〔2025〕140号2025年传染病监测预警及应急指挥能力提升（传染病四大症候群监测）项目经费33,200.00元以及玉财行〔2025〕132号“兴玉英才支持计划”项目专项资金55,319.00元,用于委托业务费及专用设备购置费。</w:t>
      </w:r>
    </w:p>
    <w:p w14:paraId="689917A7">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p>
    <w:p w14:paraId="56FF3410">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3202333">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5776B199">
      <w:pPr>
        <w:keepNext w:val="0"/>
        <w:keepLines w:val="0"/>
        <w:pageBreakBefore w:val="0"/>
        <w:widowControl/>
        <w:kinsoku/>
        <w:wordWrap/>
        <w:overflowPunct/>
        <w:topLinePunct w:val="0"/>
        <w:autoSpaceDE/>
        <w:autoSpaceDN/>
        <w:bidi w:val="0"/>
        <w:snapToGrid w:val="0"/>
        <w:spacing w:before="100" w:after="100" w:line="590" w:lineRule="exact"/>
        <w:ind w:firstLine="640" w:firstLineChars="200"/>
        <w:jc w:val="left"/>
        <w:textAlignment w:val="auto"/>
        <w:outlineLvl w:val="2"/>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zh-CN" w:eastAsia="zh-CN"/>
        </w:rPr>
        <w:t>玉溪市中山医院（玉溪市人民医院抚仙湖院区）</w:t>
      </w:r>
      <w:r>
        <w:rPr>
          <w:rFonts w:hint="eastAsia" w:ascii="仿宋" w:hAnsi="仿宋" w:eastAsia="仿宋" w:cs="仿宋"/>
          <w:color w:val="auto"/>
          <w:sz w:val="32"/>
          <w:szCs w:val="32"/>
          <w:lang w:val="en-US" w:eastAsia="zh-CN"/>
        </w:rPr>
        <w:t>2024年度一般公共预算财政拨款支出</w:t>
      </w:r>
      <w:r>
        <w:rPr>
          <w:rFonts w:hint="eastAsia" w:ascii="仿宋" w:hAnsi="仿宋" w:eastAsia="仿宋" w:cs="仿宋"/>
          <w:color w:val="auto"/>
          <w:sz w:val="32"/>
          <w:szCs w:val="32"/>
          <w:lang w:val="zh-CN" w:eastAsia="zh-CN"/>
        </w:rPr>
        <w:t>63</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202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849</w:t>
      </w:r>
      <w:r>
        <w:rPr>
          <w:rFonts w:hint="eastAsia" w:ascii="仿宋" w:hAnsi="仿宋" w:eastAsia="仿宋" w:cs="仿宋"/>
          <w:color w:val="auto"/>
          <w:sz w:val="32"/>
          <w:szCs w:val="32"/>
          <w:lang w:val="en-US" w:eastAsia="zh-CN"/>
        </w:rPr>
        <w:t>.00元,占本年支出合计的28.56%。与上年相比增加10,261,206.28元，增长19.38%,完成年初预算的256.19%。</w:t>
      </w:r>
    </w:p>
    <w:p w14:paraId="40B37158">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FDA1C39">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zh-CN" w:eastAsia="zh-CN"/>
        </w:rPr>
        <w:t>1.一般公共服务（类）</w:t>
      </w:r>
      <w:r>
        <w:rPr>
          <w:rFonts w:hint="eastAsia" w:ascii="仿宋" w:hAnsi="仿宋" w:eastAsia="仿宋" w:cs="仿宋"/>
          <w:color w:val="auto"/>
          <w:sz w:val="32"/>
          <w:szCs w:val="32"/>
          <w:lang w:val="en-US" w:eastAsia="zh-CN"/>
        </w:rPr>
        <w:t>无</w:t>
      </w:r>
      <w:r>
        <w:rPr>
          <w:rFonts w:hint="eastAsia" w:ascii="仿宋" w:hAnsi="仿宋" w:eastAsia="仿宋" w:cs="仿宋"/>
          <w:color w:val="auto"/>
          <w:sz w:val="32"/>
          <w:szCs w:val="32"/>
          <w:lang w:val="zh-CN" w:eastAsia="zh-CN"/>
        </w:rPr>
        <w:t>支出，</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4C97A200">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zh-CN" w:eastAsia="zh-CN"/>
        </w:rPr>
        <w:t>2.外交（类）</w:t>
      </w:r>
      <w:r>
        <w:rPr>
          <w:rFonts w:hint="eastAsia" w:ascii="仿宋" w:hAnsi="仿宋" w:eastAsia="仿宋" w:cs="仿宋"/>
          <w:color w:val="auto"/>
          <w:sz w:val="32"/>
          <w:szCs w:val="32"/>
          <w:lang w:val="en-US" w:eastAsia="zh-CN"/>
        </w:rPr>
        <w:t>无</w:t>
      </w:r>
      <w:r>
        <w:rPr>
          <w:rFonts w:hint="eastAsia" w:ascii="仿宋" w:hAnsi="仿宋" w:eastAsia="仿宋" w:cs="仿宋"/>
          <w:color w:val="auto"/>
          <w:sz w:val="32"/>
          <w:szCs w:val="32"/>
          <w:lang w:val="zh-CN" w:eastAsia="zh-CN"/>
        </w:rPr>
        <w:t>支出，</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28752B50">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zh-CN" w:eastAsia="zh-CN"/>
        </w:rPr>
        <w:t>3.国防（类）</w:t>
      </w:r>
      <w:r>
        <w:rPr>
          <w:rFonts w:hint="eastAsia" w:ascii="仿宋" w:hAnsi="仿宋" w:eastAsia="仿宋" w:cs="仿宋"/>
          <w:color w:val="auto"/>
          <w:sz w:val="32"/>
          <w:szCs w:val="32"/>
          <w:lang w:val="en-US" w:eastAsia="zh-CN"/>
        </w:rPr>
        <w:t>无</w:t>
      </w:r>
      <w:r>
        <w:rPr>
          <w:rFonts w:hint="eastAsia" w:ascii="仿宋" w:hAnsi="仿宋" w:eastAsia="仿宋" w:cs="仿宋"/>
          <w:color w:val="auto"/>
          <w:sz w:val="32"/>
          <w:szCs w:val="32"/>
          <w:lang w:val="zh-CN" w:eastAsia="zh-CN"/>
        </w:rPr>
        <w:t>支出，</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6CCF5BF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zh-CN" w:eastAsia="zh-CN"/>
        </w:rPr>
        <w:t>4.公共安全（类）</w:t>
      </w:r>
      <w:r>
        <w:rPr>
          <w:rFonts w:hint="eastAsia" w:ascii="仿宋" w:hAnsi="仿宋" w:eastAsia="仿宋" w:cs="仿宋"/>
          <w:color w:val="auto"/>
          <w:sz w:val="32"/>
          <w:szCs w:val="32"/>
          <w:lang w:val="en-US" w:eastAsia="zh-CN"/>
        </w:rPr>
        <w:t>无</w:t>
      </w:r>
      <w:r>
        <w:rPr>
          <w:rFonts w:hint="eastAsia" w:ascii="仿宋" w:hAnsi="仿宋" w:eastAsia="仿宋" w:cs="仿宋"/>
          <w:color w:val="auto"/>
          <w:sz w:val="32"/>
          <w:szCs w:val="32"/>
          <w:lang w:val="zh-CN" w:eastAsia="zh-CN"/>
        </w:rPr>
        <w:t>支出，</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3071938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5.教育（类）无</w:t>
      </w:r>
      <w:r>
        <w:rPr>
          <w:rFonts w:hint="eastAsia" w:ascii="仿宋" w:hAnsi="仿宋" w:eastAsia="仿宋" w:cs="仿宋"/>
          <w:color w:val="auto"/>
          <w:sz w:val="32"/>
          <w:szCs w:val="32"/>
          <w:lang w:val="zh-CN" w:eastAsia="zh-CN"/>
        </w:rPr>
        <w:t>支出，</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4EA2D225">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6.科学技术（类）无</w:t>
      </w:r>
      <w:r>
        <w:rPr>
          <w:rFonts w:hint="eastAsia" w:ascii="仿宋" w:hAnsi="仿宋" w:eastAsia="仿宋" w:cs="仿宋"/>
          <w:color w:val="auto"/>
          <w:sz w:val="32"/>
          <w:szCs w:val="32"/>
          <w:lang w:val="zh-CN" w:eastAsia="zh-CN"/>
        </w:rPr>
        <w:t>支出，</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6EA42B10">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7.文化旅游体育与传媒（类）无</w:t>
      </w:r>
      <w:r>
        <w:rPr>
          <w:rFonts w:hint="eastAsia" w:ascii="仿宋" w:hAnsi="仿宋" w:eastAsia="仿宋" w:cs="仿宋"/>
          <w:color w:val="auto"/>
          <w:sz w:val="32"/>
          <w:szCs w:val="32"/>
          <w:lang w:val="zh-CN" w:eastAsia="zh-CN"/>
        </w:rPr>
        <w:t>支出，</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0DE025F2">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8.社会保障和就业（类）支出7,614,553.6元，占一般公共预算财政拨款总支出的12.05%</w:t>
      </w:r>
      <w:r>
        <w:rPr>
          <w:rFonts w:hint="eastAsia" w:ascii="仿宋" w:hAnsi="仿宋" w:eastAsia="仿宋" w:cs="仿宋"/>
          <w:color w:val="auto"/>
          <w:sz w:val="32"/>
          <w:szCs w:val="32"/>
          <w:lang w:val="zh-CN" w:eastAsia="zh-CN"/>
        </w:rPr>
        <w:t>,完成年初预算的</w:t>
      </w:r>
      <w:r>
        <w:rPr>
          <w:rFonts w:hint="eastAsia" w:ascii="仿宋" w:hAnsi="仿宋" w:eastAsia="仿宋" w:cs="仿宋"/>
          <w:color w:val="auto"/>
          <w:sz w:val="32"/>
          <w:szCs w:val="32"/>
          <w:lang w:val="en-US" w:eastAsia="zh-CN"/>
        </w:rPr>
        <w:t>95.63%</w:t>
      </w:r>
      <w:r>
        <w:rPr>
          <w:rFonts w:hint="eastAsia" w:ascii="仿宋" w:hAnsi="仿宋" w:eastAsia="仿宋" w:cs="仿宋"/>
          <w:color w:val="auto"/>
          <w:sz w:val="32"/>
          <w:szCs w:val="32"/>
          <w:lang w:val="zh-CN" w:eastAsia="zh-CN"/>
        </w:rPr>
        <w:t>。主要用于事业单位离退休、机关事业单位基本养老保险缴费支出、死亡抚恤；造成预决算差异的主要原因是年</w:t>
      </w:r>
      <w:r>
        <w:rPr>
          <w:rFonts w:hint="eastAsia" w:ascii="仿宋" w:hAnsi="仿宋" w:eastAsia="仿宋" w:cs="仿宋"/>
          <w:color w:val="auto"/>
          <w:sz w:val="32"/>
          <w:szCs w:val="32"/>
          <w:lang w:val="en-US" w:eastAsia="zh-CN"/>
        </w:rPr>
        <w:t>初</w:t>
      </w:r>
      <w:r>
        <w:rPr>
          <w:rFonts w:hint="eastAsia" w:ascii="仿宋" w:hAnsi="仿宋" w:eastAsia="仿宋" w:cs="仿宋"/>
          <w:color w:val="auto"/>
          <w:sz w:val="32"/>
          <w:szCs w:val="32"/>
          <w:lang w:val="zh-CN" w:eastAsia="zh-CN"/>
        </w:rPr>
        <w:t>预算编制时</w:t>
      </w:r>
      <w:r>
        <w:rPr>
          <w:rFonts w:hint="eastAsia" w:ascii="仿宋" w:hAnsi="仿宋" w:eastAsia="仿宋" w:cs="仿宋"/>
          <w:color w:val="auto"/>
          <w:sz w:val="32"/>
          <w:szCs w:val="32"/>
          <w:lang w:val="en-US" w:eastAsia="zh-CN"/>
        </w:rPr>
        <w:t>预留了</w:t>
      </w:r>
      <w:r>
        <w:rPr>
          <w:rFonts w:hint="eastAsia" w:ascii="仿宋" w:hAnsi="仿宋" w:eastAsia="仿宋" w:cs="仿宋"/>
          <w:color w:val="auto"/>
          <w:sz w:val="32"/>
          <w:szCs w:val="32"/>
          <w:lang w:val="zh-CN" w:eastAsia="zh-CN"/>
        </w:rPr>
        <w:t>职工死亡抚恤支出，</w:t>
      </w:r>
      <w:r>
        <w:rPr>
          <w:rFonts w:hint="eastAsia" w:ascii="仿宋" w:hAnsi="仿宋" w:eastAsia="仿宋" w:cs="仿宋"/>
          <w:color w:val="auto"/>
          <w:sz w:val="32"/>
          <w:szCs w:val="32"/>
          <w:lang w:val="en-US" w:eastAsia="zh-CN"/>
        </w:rPr>
        <w:t>而本年未产生此类支出，年末做了预算调整</w:t>
      </w:r>
      <w:r>
        <w:rPr>
          <w:rFonts w:hint="eastAsia" w:ascii="仿宋" w:hAnsi="仿宋" w:eastAsia="仿宋" w:cs="仿宋"/>
          <w:color w:val="auto"/>
          <w:sz w:val="32"/>
          <w:szCs w:val="32"/>
          <w:lang w:val="zh-CN" w:eastAsia="zh-CN"/>
        </w:rPr>
        <w:t>。</w:t>
      </w:r>
    </w:p>
    <w:p w14:paraId="6A62C33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9.卫生健康（类）支出</w:t>
      </w:r>
      <w:r>
        <w:rPr>
          <w:rFonts w:hint="eastAsia" w:ascii="仿宋" w:hAnsi="仿宋" w:eastAsia="仿宋" w:cs="仿宋"/>
          <w:color w:val="auto"/>
          <w:sz w:val="32"/>
          <w:szCs w:val="32"/>
          <w:lang w:val="zh-CN" w:eastAsia="zh-CN"/>
        </w:rPr>
        <w:t>50</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169</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735.4元，占一般公共预算财政拨款总支出的</w:t>
      </w:r>
      <w:r>
        <w:rPr>
          <w:rFonts w:hint="eastAsia" w:ascii="仿宋" w:hAnsi="仿宋" w:eastAsia="仿宋" w:cs="仿宋"/>
          <w:color w:val="auto"/>
          <w:sz w:val="32"/>
          <w:szCs w:val="32"/>
          <w:lang w:val="en-US" w:eastAsia="zh-CN"/>
        </w:rPr>
        <w:t>79.38</w:t>
      </w:r>
      <w:r>
        <w:rPr>
          <w:rFonts w:hint="eastAsia" w:ascii="仿宋" w:hAnsi="仿宋" w:eastAsia="仿宋" w:cs="仿宋"/>
          <w:color w:val="auto"/>
          <w:sz w:val="32"/>
          <w:szCs w:val="32"/>
          <w:lang w:val="zh-CN" w:eastAsia="zh-CN"/>
        </w:rPr>
        <w:t>%,完成年初预算的</w:t>
      </w:r>
      <w:r>
        <w:rPr>
          <w:rFonts w:hint="eastAsia" w:ascii="仿宋" w:hAnsi="仿宋" w:eastAsia="仿宋" w:cs="仿宋"/>
          <w:color w:val="auto"/>
          <w:sz w:val="32"/>
          <w:szCs w:val="32"/>
          <w:lang w:val="en-US" w:eastAsia="zh-CN"/>
        </w:rPr>
        <w:t>444.42%</w:t>
      </w:r>
      <w:r>
        <w:rPr>
          <w:rFonts w:hint="eastAsia" w:ascii="仿宋" w:hAnsi="仿宋" w:eastAsia="仿宋" w:cs="仿宋"/>
          <w:color w:val="auto"/>
          <w:sz w:val="32"/>
          <w:szCs w:val="32"/>
          <w:lang w:val="zh-CN" w:eastAsia="zh-CN"/>
        </w:rPr>
        <w:t>。主要用于工资福利支出、商品和服务支出、资本性支出；造成预决算差异的主要原因是医院实际取得的</w:t>
      </w:r>
      <w:r>
        <w:rPr>
          <w:rFonts w:hint="eastAsia" w:ascii="仿宋" w:hAnsi="仿宋" w:eastAsia="仿宋" w:cs="仿宋"/>
          <w:color w:val="auto"/>
          <w:sz w:val="32"/>
          <w:szCs w:val="32"/>
          <w:lang w:val="en-US" w:eastAsia="zh-CN"/>
        </w:rPr>
        <w:t>财政项目</w:t>
      </w:r>
      <w:r>
        <w:rPr>
          <w:rFonts w:hint="eastAsia" w:ascii="仿宋" w:hAnsi="仿宋" w:eastAsia="仿宋" w:cs="仿宋"/>
          <w:color w:val="auto"/>
          <w:sz w:val="32"/>
          <w:szCs w:val="32"/>
          <w:lang w:val="zh-CN" w:eastAsia="zh-CN"/>
        </w:rPr>
        <w:t>收入远超年初预期，从而保障了更大的支出规模。同时，年初预算为谨慎起见通常编制偏紧，而决算体现了全年的实际发展需求和必要的资本性投入，导致差异较大。</w:t>
      </w:r>
    </w:p>
    <w:p w14:paraId="031B3F38">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10.节能环保（类）无支出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7B68D371">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11.城乡社区（类）无支出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273504B4">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12.农林水（类）无支出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3B7718B8">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13.交通运输（类）无支出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513AC394">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14.资源勘探工业信息等（类）无支出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21F843D9">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15.商业服务业等（类）无支出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4DC6C51B">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16.金融（类）无支出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24AD950A">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17.援助其他地区（类）无支出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55C34217">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18.自然资源海洋气象等（类）无支出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2A1FD8F1">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19.住房保障（类）支出</w:t>
      </w:r>
      <w:r>
        <w:rPr>
          <w:rFonts w:hint="eastAsia" w:ascii="仿宋" w:hAnsi="仿宋" w:eastAsia="仿宋" w:cs="仿宋"/>
          <w:color w:val="auto"/>
          <w:sz w:val="32"/>
          <w:szCs w:val="32"/>
          <w:lang w:val="zh-CN" w:eastAsia="zh-CN"/>
        </w:rPr>
        <w:t>5</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418</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560</w:t>
      </w:r>
      <w:r>
        <w:rPr>
          <w:rFonts w:hint="eastAsia" w:ascii="仿宋" w:hAnsi="仿宋" w:eastAsia="仿宋" w:cs="仿宋"/>
          <w:color w:val="auto"/>
          <w:sz w:val="32"/>
          <w:szCs w:val="32"/>
          <w:lang w:val="en-US" w:eastAsia="zh-CN"/>
        </w:rPr>
        <w:t>.00</w:t>
      </w:r>
      <w:r>
        <w:rPr>
          <w:rFonts w:hint="eastAsia" w:ascii="仿宋" w:hAnsi="仿宋" w:eastAsia="仿宋" w:cs="仿宋"/>
          <w:color w:val="auto"/>
          <w:sz w:val="32"/>
          <w:szCs w:val="32"/>
          <w:lang w:val="zh-CN" w:eastAsia="zh-CN"/>
        </w:rPr>
        <w:t>元，占一般公共预算财政拨款总支出的</w:t>
      </w:r>
      <w:r>
        <w:rPr>
          <w:rFonts w:hint="eastAsia" w:ascii="仿宋" w:hAnsi="仿宋" w:eastAsia="仿宋" w:cs="仿宋"/>
          <w:color w:val="auto"/>
          <w:sz w:val="32"/>
          <w:szCs w:val="32"/>
          <w:lang w:val="en-US" w:eastAsia="zh-CN"/>
        </w:rPr>
        <w:t>8.57</w:t>
      </w:r>
      <w:r>
        <w:rPr>
          <w:rFonts w:hint="eastAsia" w:ascii="仿宋" w:hAnsi="仿宋" w:eastAsia="仿宋" w:cs="仿宋"/>
          <w:color w:val="auto"/>
          <w:sz w:val="32"/>
          <w:szCs w:val="32"/>
          <w:lang w:val="zh-CN" w:eastAsia="zh-CN"/>
        </w:rPr>
        <w:t>%,完成年初预算的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lang w:val="zh-CN" w:eastAsia="zh-CN"/>
        </w:rPr>
        <w:t>主要用于工资福利支出（</w:t>
      </w:r>
      <w:r>
        <w:rPr>
          <w:rFonts w:hint="eastAsia" w:ascii="仿宋" w:hAnsi="仿宋" w:eastAsia="仿宋" w:cs="仿宋"/>
          <w:color w:val="auto"/>
          <w:sz w:val="32"/>
          <w:szCs w:val="32"/>
          <w:lang w:val="en-US" w:eastAsia="zh-CN"/>
        </w:rPr>
        <w:t>住房公积金</w:t>
      </w:r>
      <w:r>
        <w:rPr>
          <w:rFonts w:hint="eastAsia" w:ascii="仿宋" w:hAnsi="仿宋" w:eastAsia="仿宋" w:cs="仿宋"/>
          <w:color w:val="auto"/>
          <w:sz w:val="32"/>
          <w:szCs w:val="32"/>
          <w:lang w:val="zh-CN" w:eastAsia="zh-CN"/>
        </w:rPr>
        <w:t>）。</w:t>
      </w:r>
    </w:p>
    <w:p w14:paraId="4FBCEFDB">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20.粮油物资储备（类）无支出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3476D15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21.国有资本经营预算（类）无支出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5466FAE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22.灾害防治及应急管理（类）无支出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56B7B3D3">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23.其他（类）无支出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48C13541">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24.债务还本（类）无支出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2EE1B2BA">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25.债务付息（类）无支出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0E76A6BD">
      <w:pPr>
        <w:keepNext w:val="0"/>
        <w:keepLines w:val="0"/>
        <w:pageBreakBefore w:val="0"/>
        <w:widowControl/>
        <w:numPr>
          <w:ilvl w:val="0"/>
          <w:numId w:val="0"/>
        </w:numPr>
        <w:kinsoku/>
        <w:wordWrap/>
        <w:overflowPunct/>
        <w:topLinePunct w:val="0"/>
        <w:autoSpaceDE/>
        <w:autoSpaceDN/>
        <w:bidi w:val="0"/>
        <w:snapToGrid w:val="0"/>
        <w:spacing w:before="100" w:after="100" w:line="590" w:lineRule="exact"/>
        <w:ind w:firstLine="640" w:firstLineChars="200"/>
        <w:jc w:val="left"/>
        <w:textAlignment w:val="auto"/>
        <w:outlineLvl w:val="1"/>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26.抗疫特别国债安排（类）无支出</w:t>
      </w:r>
      <w:r>
        <w:rPr>
          <w:rFonts w:hint="eastAsia" w:ascii="仿宋" w:hAnsi="仿宋" w:eastAsia="仿宋" w:cs="仿宋"/>
          <w:color w:val="auto"/>
          <w:sz w:val="32"/>
          <w:szCs w:val="32"/>
          <w:lang w:val="zh-CN" w:eastAsia="zh-CN"/>
        </w:rPr>
        <w:t>，</w:t>
      </w:r>
      <w:r>
        <w:rPr>
          <w:rFonts w:hint="eastAsia" w:ascii="仿宋" w:hAnsi="仿宋" w:eastAsia="仿宋" w:cs="仿宋"/>
          <w:sz w:val="32"/>
          <w:szCs w:val="32"/>
          <w:highlight w:val="none"/>
          <w:lang w:val="en-US" w:eastAsia="zh-CN"/>
        </w:rPr>
        <w:t>年初无此项预算</w:t>
      </w:r>
      <w:r>
        <w:rPr>
          <w:rFonts w:hint="eastAsia" w:ascii="仿宋" w:hAnsi="仿宋" w:eastAsia="仿宋" w:cs="仿宋"/>
          <w:color w:val="auto"/>
          <w:sz w:val="32"/>
          <w:szCs w:val="32"/>
          <w:lang w:val="zh-CN" w:eastAsia="zh-CN"/>
        </w:rPr>
        <w:t>。</w:t>
      </w:r>
    </w:p>
    <w:p w14:paraId="4232F08D">
      <w:pPr>
        <w:keepNext w:val="0"/>
        <w:keepLines w:val="0"/>
        <w:pageBreakBefore w:val="0"/>
        <w:widowControl/>
        <w:numPr>
          <w:ilvl w:val="0"/>
          <w:numId w:val="0"/>
        </w:numPr>
        <w:kinsoku/>
        <w:wordWrap/>
        <w:overflowPunct/>
        <w:topLinePunct w:val="0"/>
        <w:autoSpaceDE/>
        <w:autoSpaceDN/>
        <w:bidi w:val="0"/>
        <w:snapToGrid w:val="0"/>
        <w:spacing w:before="100" w:after="100"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lang w:val="en-US" w:eastAsia="zh-CN"/>
        </w:rPr>
        <w:t>四、</w:t>
      </w:r>
      <w:r>
        <w:rPr>
          <w:rFonts w:hint="eastAsia" w:ascii="黑体" w:hAnsi="黑体" w:eastAsia="黑体"/>
          <w:sz w:val="30"/>
          <w:szCs w:val="30"/>
          <w:highlight w:val="none"/>
        </w:rPr>
        <w:t>财政拨款“三公”经费支出决算情况说明</w:t>
      </w:r>
    </w:p>
    <w:p w14:paraId="0B8F37D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22D187E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hAnsi="宋体" w:eastAsia="仿宋_GB2312" w:cs="Arial"/>
          <w:kern w:val="0"/>
          <w:sz w:val="30"/>
          <w:szCs w:val="30"/>
          <w:highlight w:val="none"/>
          <w:lang w:val="en-US" w:eastAsia="zh-CN"/>
        </w:rPr>
        <w:t>2025</w:t>
      </w:r>
      <w:r>
        <w:rPr>
          <w:rFonts w:hint="eastAsia" w:ascii="仿宋_GB2312" w:hAnsi="宋体" w:eastAsia="仿宋_GB2312" w:cs="Arial"/>
          <w:kern w:val="0"/>
          <w:sz w:val="30"/>
          <w:szCs w:val="30"/>
          <w:highlight w:val="none"/>
        </w:rPr>
        <w:t>年度财政拨款“三公”经费支出决算中，财政拨款“三公”经费支出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 w:hAnsi="仿宋" w:eastAsia="仿宋" w:cs="仿宋"/>
          <w:color w:val="auto"/>
          <w:sz w:val="32"/>
          <w:szCs w:val="32"/>
          <w:lang w:val="zh-CN" w:eastAsia="zh-CN"/>
        </w:rPr>
        <w:t>34,158.38</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sz w:val="30"/>
          <w:szCs w:val="30"/>
          <w:highlight w:val="none"/>
          <w:lang w:val="en-US" w:eastAsia="zh-CN"/>
        </w:rPr>
        <w:t>100</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highlight w:val="none"/>
          <w:lang w:eastAsia="zh-CN"/>
        </w:rPr>
        <w:t>。</w:t>
      </w:r>
    </w:p>
    <w:p w14:paraId="132D4F8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eastAsia="仿宋_GB2312"/>
          <w:color w:val="FF0000"/>
          <w:sz w:val="30"/>
          <w:szCs w:val="30"/>
          <w:highlight w:val="none"/>
          <w:lang w:eastAsia="zh-CN"/>
        </w:rPr>
      </w:pPr>
      <w:r>
        <w:rPr>
          <w:rFonts w:hint="eastAsia" w:ascii="仿宋_GB2312" w:hAnsi="宋体" w:eastAsia="仿宋_GB2312" w:cs="Arial"/>
          <w:kern w:val="0"/>
          <w:sz w:val="30"/>
          <w:szCs w:val="30"/>
          <w:highlight w:val="none"/>
          <w:lang w:eastAsia="zh-CN"/>
        </w:rPr>
        <w:t>因公出国（境）费用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val="en-US" w:eastAsia="zh-CN"/>
        </w:rPr>
        <w:t>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p>
    <w:p w14:paraId="0F4C4A1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楷体_GB2312" w:hAnsi="楷体_GB2312" w:eastAsia="楷体_GB2312" w:cs="楷体_GB2312"/>
          <w:color w:val="000000" w:themeColor="text1"/>
          <w:kern w:val="0"/>
          <w:sz w:val="30"/>
          <w:szCs w:val="30"/>
          <w:highlight w:val="none"/>
          <w:lang w:val="en-US" w:eastAsia="zh-CN"/>
          <w14:textFill>
            <w14:solidFill>
              <w14:schemeClr w14:val="tx1"/>
            </w14:solidFill>
          </w14:textFill>
        </w:rPr>
      </w:pPr>
      <w:r>
        <w:rPr>
          <w:rFonts w:hint="eastAsia" w:ascii="仿宋_GB2312" w:eastAsia="仿宋_GB2312"/>
          <w:sz w:val="30"/>
          <w:szCs w:val="30"/>
          <w:highlight w:val="none"/>
          <w:lang w:eastAsia="zh-CN"/>
        </w:rPr>
        <w:t>因</w:t>
      </w:r>
      <w:r>
        <w:rPr>
          <w:rFonts w:hint="eastAsia" w:ascii="仿宋_GB2312" w:eastAsia="仿宋_GB2312"/>
          <w:color w:val="000000" w:themeColor="text1"/>
          <w:sz w:val="30"/>
          <w:szCs w:val="30"/>
          <w:highlight w:val="none"/>
          <w:lang w:eastAsia="zh-CN"/>
          <w14:textFill>
            <w14:solidFill>
              <w14:schemeClr w14:val="tx1"/>
            </w14:solidFill>
          </w14:textFill>
        </w:rPr>
        <w:t>公出国（境）费用</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公务用车购置费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34158.38</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元，下降</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100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公务接待费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0.00元，</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2CDFCC0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楷体_GB2312" w:hAnsi="楷体_GB2312" w:eastAsia="楷体_GB2312" w:cs="楷体_GB2312"/>
          <w:color w:val="000000" w:themeColor="text1"/>
          <w:kern w:val="0"/>
          <w:sz w:val="30"/>
          <w:szCs w:val="30"/>
          <w:highlight w:val="none"/>
          <w:lang w:val="en-US" w:eastAsia="zh-CN"/>
          <w14:textFill>
            <w14:solidFill>
              <w14:schemeClr w14:val="tx1"/>
            </w14:solidFill>
          </w14:textFill>
        </w:rPr>
      </w:pPr>
      <w:r>
        <w:rPr>
          <w:rFonts w:hint="eastAsia" w:ascii="楷体_GB2312" w:hAnsi="楷体_GB2312" w:eastAsia="楷体_GB2312" w:cs="楷体_GB2312"/>
          <w:color w:val="000000" w:themeColor="text1"/>
          <w:kern w:val="0"/>
          <w:sz w:val="30"/>
          <w:szCs w:val="30"/>
          <w:highlight w:val="none"/>
          <w:lang w:val="en-US" w:eastAsia="zh-CN"/>
          <w14:textFill>
            <w14:solidFill>
              <w14:schemeClr w14:val="tx1"/>
            </w14:solidFill>
          </w14:textFill>
        </w:rPr>
        <w:t>（二）一般公共预算财政拨款“三公”经费支出决算情况说明</w:t>
      </w:r>
    </w:p>
    <w:p w14:paraId="5E79AC1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lang w:val="en-US" w:eastAsia="zh-CN"/>
          <w14:textFill>
            <w14:solidFill>
              <w14:schemeClr w14:val="tx1"/>
            </w14:solidFill>
          </w14:textFill>
        </w:rPr>
        <w:t>2025</w:t>
      </w:r>
      <w:r>
        <w:rPr>
          <w:rFonts w:hint="eastAsia" w:ascii="仿宋_GB2312" w:eastAsia="仿宋_GB2312"/>
          <w:color w:val="000000" w:themeColor="text1"/>
          <w:sz w:val="30"/>
          <w:szCs w:val="30"/>
          <w:highlight w:val="none"/>
          <w14:textFill>
            <w14:solidFill>
              <w14:schemeClr w14:val="tx1"/>
            </w14:solidFill>
          </w14:textFill>
        </w:rPr>
        <w:t>年度一般公共预算财政拨款“三公”经费支出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，支出决算为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34158.38</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元，下降</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100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78D294E9">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中：因公出国（境）费用</w:t>
      </w:r>
      <w:r>
        <w:rPr>
          <w:rFonts w:hint="eastAsia" w:ascii="仿宋_GB2312" w:eastAsia="仿宋_GB2312"/>
          <w:color w:val="000000" w:themeColor="text1"/>
          <w:sz w:val="30"/>
          <w:szCs w:val="30"/>
          <w:highlight w:val="none"/>
          <w14:textFill>
            <w14:solidFill>
              <w14:schemeClr w14:val="tx1"/>
            </w14:solidFill>
          </w14:textFill>
        </w:rPr>
        <w:t>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；公务用车购置费支出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eastAsia="仿宋_GB2312"/>
          <w:color w:val="000000" w:themeColor="text1"/>
          <w:sz w:val="30"/>
          <w:szCs w:val="30"/>
          <w:highlight w:val="none"/>
          <w14:textFill>
            <w14:solidFill>
              <w14:schemeClr w14:val="tx1"/>
            </w14:solidFill>
          </w14:textFill>
        </w:rPr>
        <w:t>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；公务接待费支出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p>
    <w:p w14:paraId="15C552C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hAnsi="宋体" w:eastAsia="仿宋_GB2312" w:cs="Arial"/>
          <w:color w:val="000000" w:themeColor="text1"/>
          <w:kern w:val="0"/>
          <w:sz w:val="30"/>
          <w:szCs w:val="30"/>
          <w:highlight w:val="none"/>
          <w:lang w:val="en-US" w:eastAsia="zh-CN" w:bidi="ar-SA"/>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中：因公出国（境）费用</w:t>
      </w:r>
      <w:r>
        <w:rPr>
          <w:rFonts w:hint="eastAsia" w:ascii="仿宋_GB2312" w:eastAsia="仿宋_GB2312"/>
          <w:color w:val="000000" w:themeColor="text1"/>
          <w:sz w:val="30"/>
          <w:szCs w:val="30"/>
          <w:highlight w:val="none"/>
          <w14:textFill>
            <w14:solidFill>
              <w14:schemeClr w14:val="tx1"/>
            </w14:solidFill>
          </w14:textFill>
        </w:rPr>
        <w:t>支出决算增加</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；公务用车购置费支出决算增加</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eastAsia="仿宋_GB2312"/>
          <w:color w:val="000000" w:themeColor="text1"/>
          <w:sz w:val="30"/>
          <w:szCs w:val="30"/>
          <w:highlight w:val="none"/>
          <w14:textFill>
            <w14:solidFill>
              <w14:schemeClr w14:val="tx1"/>
            </w14:solidFill>
          </w14:textFill>
        </w:rPr>
        <w:t>支出决算减少</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34158.38</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，下降</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100</w:t>
      </w:r>
      <w:r>
        <w:rPr>
          <w:rFonts w:hint="eastAsia" w:ascii="仿宋_GB2312" w:eastAsia="仿宋_GB2312"/>
          <w:color w:val="000000" w:themeColor="text1"/>
          <w:sz w:val="30"/>
          <w:szCs w:val="30"/>
          <w:highlight w:val="none"/>
          <w14:textFill>
            <w14:solidFill>
              <w14:schemeClr w14:val="tx1"/>
            </w14:solidFill>
          </w14:textFill>
        </w:rPr>
        <w:t>%；公务接待费支出决算增加</w:t>
      </w:r>
      <w:r>
        <w:rPr>
          <w:rFonts w:hint="eastAsia" w:ascii="仿宋_GB2312" w:eastAsia="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eastAsia="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eastAsia="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eastAsia="仿宋_GB2312"/>
          <w:color w:val="000000" w:themeColor="text1"/>
          <w:sz w:val="30"/>
          <w:szCs w:val="30"/>
          <w:highlight w:val="none"/>
          <w:lang w:val="en-US" w:eastAsia="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val="en-US" w:eastAsia="zh-CN" w:bidi="ar-SA"/>
          <w14:textFill>
            <w14:solidFill>
              <w14:schemeClr w14:val="tx1"/>
            </w14:solidFill>
          </w14:textFill>
        </w:rPr>
        <w:t>2025年度一般公共预算财政拨款“三公”经费支出决算减少的主要原因是：公务用车运行维护费支出决算减少34,158.38元。具体为：2024年我单位获得开办费，并将其用于公务用车油费支出；2025年无相关财政资金支持，公务用车运行维护相关支出均由自有资金支付，因此2025年度财政拨款公务用车运行维护费无决算支出。</w:t>
      </w:r>
    </w:p>
    <w:p w14:paraId="540C7A2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实物量的</w:t>
      </w:r>
      <w:r>
        <w:rPr>
          <w:rFonts w:hint="eastAsia" w:ascii="仿宋_GB2312" w:eastAsia="仿宋_GB2312"/>
          <w:color w:val="000000" w:themeColor="text1"/>
          <w:sz w:val="30"/>
          <w:szCs w:val="30"/>
          <w:highlight w:val="none"/>
          <w14:textFill>
            <w14:solidFill>
              <w14:schemeClr w14:val="tx1"/>
            </w14:solidFill>
          </w14:textFill>
        </w:rPr>
        <w:t>具体情况</w:t>
      </w:r>
      <w:r>
        <w:rPr>
          <w:rFonts w:hint="eastAsia" w:ascii="仿宋_GB2312" w:eastAsia="仿宋_GB2312"/>
          <w:color w:val="000000" w:themeColor="text1"/>
          <w:sz w:val="30"/>
          <w:szCs w:val="30"/>
          <w:highlight w:val="none"/>
          <w:lang w:eastAsia="zh-CN"/>
          <w14:textFill>
            <w14:solidFill>
              <w14:schemeClr w14:val="tx1"/>
            </w14:solidFill>
          </w14:textFill>
        </w:rPr>
        <w:t>：</w:t>
      </w:r>
    </w:p>
    <w:p w14:paraId="6282BA1F">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1.安排因公出国（境）团组</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个，累计</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人次。</w:t>
      </w:r>
    </w:p>
    <w:p w14:paraId="51C1411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2.购置车辆</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辆。开支一般公共预算财政拨款的公务用车保有量为</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辆。</w:t>
      </w:r>
    </w:p>
    <w:p w14:paraId="2EA15603">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_GB2312" w:eastAsia="仿宋_GB2312"/>
          <w:b w:val="0"/>
          <w:bCs/>
          <w:color w:val="000000" w:themeColor="text1"/>
          <w:sz w:val="30"/>
          <w:szCs w:val="30"/>
          <w:highlight w:val="none"/>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3.安排国内公务接待</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批次（其中：外事接待</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批次），接待人次</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人（其中：外事接待人次</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人）。安排国（境）外公务接待</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批次，接待人次</w:t>
      </w:r>
      <w:r>
        <w:rPr>
          <w:rFonts w:hint="eastAsia" w:ascii="仿宋" w:hAnsi="仿宋" w:eastAsia="仿宋" w:cs="仿宋"/>
          <w:color w:val="000000" w:themeColor="text1"/>
          <w:sz w:val="32"/>
          <w:szCs w:val="32"/>
          <w:lang w:val="zh-CN" w:eastAsia="zh-CN"/>
          <w14:textFill>
            <w14:solidFill>
              <w14:schemeClr w14:val="tx1"/>
            </w14:solidFill>
          </w14:textFill>
        </w:rPr>
        <w:t>0</w:t>
      </w:r>
      <w:r>
        <w:rPr>
          <w:rFonts w:hint="eastAsia" w:ascii="仿宋" w:hAnsi="仿宋" w:eastAsia="仿宋" w:cs="仿宋"/>
          <w:color w:val="000000" w:themeColor="text1"/>
          <w:sz w:val="32"/>
          <w:szCs w:val="32"/>
          <w:lang w:val="en-US" w:eastAsia="zh-CN"/>
          <w14:textFill>
            <w14:solidFill>
              <w14:schemeClr w14:val="tx1"/>
            </w14:solidFill>
          </w14:textFill>
        </w:rPr>
        <w:t>人。</w:t>
      </w:r>
    </w:p>
    <w:p w14:paraId="56456BC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（三）需要说明的事项</w:t>
      </w:r>
    </w:p>
    <w:p w14:paraId="22CCC2F0">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不存在需要说明的事项。</w:t>
      </w:r>
    </w:p>
    <w:p w14:paraId="58ED255A">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rPr>
          <w:rFonts w:hint="eastAsia" w:ascii="仿宋_GB2312" w:eastAsia="仿宋_GB2312"/>
          <w:sz w:val="30"/>
          <w:szCs w:val="30"/>
          <w:highlight w:val="none"/>
          <w:lang w:eastAsia="zh-CN"/>
        </w:rPr>
      </w:pPr>
    </w:p>
    <w:p w14:paraId="0A16375F">
      <w:pPr>
        <w:keepNext w:val="0"/>
        <w:keepLines w:val="0"/>
        <w:pageBreakBefore w:val="0"/>
        <w:widowControl/>
        <w:kinsoku/>
        <w:wordWrap/>
        <w:overflowPunct/>
        <w:topLinePunct w:val="0"/>
        <w:autoSpaceDE/>
        <w:autoSpaceDN/>
        <w:bidi w:val="0"/>
        <w:snapToGrid w:val="0"/>
        <w:spacing w:before="100" w:after="100" w:line="590" w:lineRule="exact"/>
        <w:ind w:firstLine="640" w:firstLineChars="200"/>
        <w:jc w:val="left"/>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74330107">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0DA55252">
      <w:pPr>
        <w:keepNext w:val="0"/>
        <w:keepLines w:val="0"/>
        <w:pageBreakBefore w:val="0"/>
        <w:kinsoku/>
        <w:wordWrap/>
        <w:overflowPunct/>
        <w:topLinePunct w:val="0"/>
        <w:autoSpaceDE/>
        <w:autoSpaceDN/>
        <w:bidi w:val="0"/>
        <w:spacing w:line="590" w:lineRule="exact"/>
        <w:ind w:firstLine="640" w:firstLineChars="200"/>
        <w:jc w:val="left"/>
        <w:textAlignment w:val="auto"/>
        <w:rPr>
          <w:rFonts w:hint="eastAsia" w:ascii="仿宋_GB2312" w:hAnsi="黑体" w:eastAsia="仿宋_GB2312" w:cs="方正小标宋简体"/>
          <w:sz w:val="30"/>
          <w:szCs w:val="30"/>
          <w:highlight w:val="none"/>
        </w:rPr>
      </w:pPr>
      <w:r>
        <w:rPr>
          <w:rFonts w:hint="eastAsia" w:ascii="仿宋" w:hAnsi="仿宋" w:eastAsia="仿宋" w:cs="仿宋"/>
          <w:color w:val="auto"/>
          <w:sz w:val="32"/>
          <w:szCs w:val="32"/>
          <w:lang w:val="zh-CN" w:eastAsia="zh-CN"/>
        </w:rPr>
        <w:t>玉溪市中山医院（玉溪市人民医院抚仙湖院区）</w:t>
      </w:r>
      <w:r>
        <w:rPr>
          <w:rFonts w:hint="eastAsia" w:ascii="仿宋" w:hAnsi="仿宋" w:eastAsia="仿宋" w:cs="仿宋"/>
          <w:color w:val="auto"/>
          <w:sz w:val="32"/>
          <w:szCs w:val="32"/>
          <w:lang w:val="en-US" w:eastAsia="zh-CN"/>
        </w:rPr>
        <w:t>2025年机关运行经费支出0.00元，比上年增加0.00元，上年无此项支出，主要原因是玉溪市中山医院为事业单位，无机关运行经费安排</w:t>
      </w:r>
      <w:r>
        <w:rPr>
          <w:rFonts w:hint="eastAsia" w:ascii="仿宋_GB2312" w:hAnsi="黑体" w:eastAsia="仿宋_GB2312" w:cs="方正小标宋简体"/>
          <w:sz w:val="30"/>
          <w:szCs w:val="30"/>
          <w:highlight w:val="none"/>
        </w:rPr>
        <w:t>。</w:t>
      </w:r>
    </w:p>
    <w:p w14:paraId="5154ED35">
      <w:pPr>
        <w:keepNext w:val="0"/>
        <w:keepLines w:val="0"/>
        <w:pageBreakBefore w:val="0"/>
        <w:widowControl/>
        <w:kinsoku/>
        <w:wordWrap/>
        <w:overflowPunct/>
        <w:topLinePunct w:val="0"/>
        <w:autoSpaceDE/>
        <w:autoSpaceDN/>
        <w:bidi w:val="0"/>
        <w:spacing w:line="590" w:lineRule="exact"/>
        <w:ind w:firstLine="600" w:firstLineChars="200"/>
        <w:textAlignment w:val="auto"/>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434846E9">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_GB2312" w:hAnsi="黑体" w:eastAsia="仿宋_GB2312" w:cs="方正小标宋简体"/>
          <w:color w:val="000000"/>
          <w:kern w:val="0"/>
          <w:sz w:val="30"/>
          <w:szCs w:val="30"/>
          <w:highlight w:val="none"/>
        </w:rPr>
      </w:pPr>
      <w:r>
        <w:rPr>
          <w:rFonts w:hint="eastAsia" w:ascii="仿宋" w:hAnsi="仿宋" w:eastAsia="仿宋" w:cs="仿宋"/>
          <w:color w:val="auto"/>
          <w:sz w:val="32"/>
          <w:szCs w:val="32"/>
          <w:lang w:val="zh-CN" w:eastAsia="zh-CN"/>
        </w:rPr>
        <w:t>截至202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val="zh-CN" w:eastAsia="zh-CN"/>
        </w:rPr>
        <w:t>年末，玉溪市中山医院（玉溪市人民医院抚仙湖院区）资产总额101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964</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936.5元，其中，流动资产42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068</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519.5元，固定资产51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548</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343.7元（净值），对外投资及有价证券</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元，在建工程</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元，无形资产6</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700</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505.46元（净值），其他资产1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647</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567.84元（净值）（具体内容详见附表）。与上年相比，本年资产总额增加21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209</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955.21元，其中固定资产增加3</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830</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377.26元。处置房屋建筑物</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平方米，账面原值</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元；处置车辆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lang w:val="zh-CN" w:eastAsia="zh-CN"/>
        </w:rPr>
        <w:t>辆，账面原值</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元；报废报损资产</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lang w:val="zh-CN" w:eastAsia="zh-CN"/>
        </w:rPr>
        <w:t>项，账面原值</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元，实现资产处置收入</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元；出租房屋</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lang w:val="zh-CN" w:eastAsia="zh-CN"/>
        </w:rPr>
        <w:t>平方米，账面原值</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元，实现资产使用收入</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lang w:val="zh-CN" w:eastAsia="zh-CN"/>
        </w:rPr>
        <w:t>元。</w:t>
      </w:r>
    </w:p>
    <w:p w14:paraId="009678B7">
      <w:pPr>
        <w:keepNext w:val="0"/>
        <w:keepLines w:val="0"/>
        <w:pageBreakBefore w:val="0"/>
        <w:widowControl/>
        <w:kinsoku/>
        <w:wordWrap/>
        <w:overflowPunct/>
        <w:topLinePunct w:val="0"/>
        <w:autoSpaceDE/>
        <w:autoSpaceDN/>
        <w:bidi w:val="0"/>
        <w:spacing w:line="590" w:lineRule="exact"/>
        <w:ind w:firstLine="600" w:firstLineChars="200"/>
        <w:textAlignment w:val="auto"/>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4FF9EAD2">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1CC669DB">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2025年度，单位政府采购支出总额</w:t>
      </w:r>
      <w:r>
        <w:rPr>
          <w:rFonts w:hint="eastAsia" w:ascii="仿宋" w:hAnsi="仿宋" w:eastAsia="仿宋" w:cs="仿宋"/>
          <w:color w:val="auto"/>
          <w:sz w:val="32"/>
          <w:szCs w:val="32"/>
          <w:lang w:val="zh-CN" w:eastAsia="zh-CN"/>
        </w:rPr>
        <w:t>12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151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650</w:t>
      </w:r>
      <w:r>
        <w:rPr>
          <w:rFonts w:hint="eastAsia" w:ascii="仿宋" w:hAnsi="仿宋" w:eastAsia="仿宋" w:cs="仿宋"/>
          <w:color w:val="auto"/>
          <w:sz w:val="32"/>
          <w:szCs w:val="32"/>
          <w:lang w:val="en-US" w:eastAsia="zh-CN"/>
        </w:rPr>
        <w:t>.00元，其中：政府采购货物支出</w:t>
      </w:r>
      <w:r>
        <w:rPr>
          <w:rFonts w:hint="eastAsia" w:ascii="仿宋" w:hAnsi="仿宋" w:eastAsia="仿宋" w:cs="仿宋"/>
          <w:color w:val="auto"/>
          <w:sz w:val="32"/>
          <w:szCs w:val="32"/>
          <w:lang w:val="zh-CN" w:eastAsia="zh-CN"/>
        </w:rPr>
        <w:t>12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056</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650</w:t>
      </w:r>
      <w:r>
        <w:rPr>
          <w:rFonts w:hint="eastAsia" w:ascii="仿宋" w:hAnsi="仿宋" w:eastAsia="仿宋" w:cs="仿宋"/>
          <w:color w:val="auto"/>
          <w:sz w:val="32"/>
          <w:szCs w:val="32"/>
          <w:lang w:val="en-US" w:eastAsia="zh-CN"/>
        </w:rPr>
        <w:t>.00元；政府采购工程支出</w:t>
      </w:r>
      <w:r>
        <w:rPr>
          <w:rFonts w:hint="eastAsia" w:ascii="仿宋" w:hAnsi="仿宋" w:eastAsia="仿宋" w:cs="仿宋"/>
          <w:color w:val="auto"/>
          <w:sz w:val="32"/>
          <w:szCs w:val="32"/>
          <w:lang w:val="zh-CN" w:eastAsia="zh-CN"/>
        </w:rPr>
        <w:t>0.00</w:t>
      </w:r>
      <w:r>
        <w:rPr>
          <w:rFonts w:hint="eastAsia" w:ascii="仿宋" w:hAnsi="仿宋" w:eastAsia="仿宋" w:cs="仿宋"/>
          <w:color w:val="auto"/>
          <w:sz w:val="32"/>
          <w:szCs w:val="32"/>
          <w:lang w:val="en-US" w:eastAsia="zh-CN"/>
        </w:rPr>
        <w:t>元；政府采购服务支出</w:t>
      </w:r>
      <w:r>
        <w:rPr>
          <w:rFonts w:hint="eastAsia" w:ascii="仿宋" w:hAnsi="仿宋" w:eastAsia="仿宋" w:cs="仿宋"/>
          <w:color w:val="auto"/>
          <w:sz w:val="32"/>
          <w:szCs w:val="32"/>
          <w:lang w:val="zh-CN" w:eastAsia="zh-CN"/>
        </w:rPr>
        <w:t>95</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000</w:t>
      </w:r>
      <w:r>
        <w:rPr>
          <w:rFonts w:hint="eastAsia" w:ascii="仿宋" w:hAnsi="仿宋" w:eastAsia="仿宋" w:cs="仿宋"/>
          <w:color w:val="auto"/>
          <w:sz w:val="32"/>
          <w:szCs w:val="32"/>
          <w:lang w:val="en-US" w:eastAsia="zh-CN"/>
        </w:rPr>
        <w:t>.00元。授予中小企业合同金额</w:t>
      </w:r>
      <w:r>
        <w:rPr>
          <w:rFonts w:hint="eastAsia" w:ascii="仿宋" w:hAnsi="仿宋" w:eastAsia="仿宋" w:cs="仿宋"/>
          <w:color w:val="auto"/>
          <w:sz w:val="32"/>
          <w:szCs w:val="32"/>
          <w:lang w:val="zh-CN" w:eastAsia="zh-CN"/>
        </w:rPr>
        <w:t>40</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000</w:t>
      </w:r>
      <w:r>
        <w:rPr>
          <w:rFonts w:hint="eastAsia" w:ascii="仿宋" w:hAnsi="仿宋" w:eastAsia="仿宋" w:cs="仿宋"/>
          <w:color w:val="auto"/>
          <w:sz w:val="32"/>
          <w:szCs w:val="32"/>
          <w:lang w:val="en-US" w:eastAsia="zh-CN"/>
        </w:rPr>
        <w:t>.00元，其中：授予小微企业合同金额</w:t>
      </w:r>
      <w:r>
        <w:rPr>
          <w:rFonts w:hint="eastAsia" w:ascii="仿宋" w:hAnsi="仿宋" w:eastAsia="仿宋" w:cs="仿宋"/>
          <w:color w:val="auto"/>
          <w:sz w:val="32"/>
          <w:szCs w:val="32"/>
          <w:lang w:val="zh-CN" w:eastAsia="zh-CN"/>
        </w:rPr>
        <w:t>40</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zh-CN" w:eastAsia="zh-CN"/>
        </w:rPr>
        <w:t>000</w:t>
      </w:r>
      <w:r>
        <w:rPr>
          <w:rFonts w:hint="eastAsia" w:ascii="仿宋" w:hAnsi="仿宋" w:eastAsia="仿宋" w:cs="仿宋"/>
          <w:color w:val="auto"/>
          <w:sz w:val="32"/>
          <w:szCs w:val="32"/>
          <w:lang w:val="en-US" w:eastAsia="zh-CN"/>
        </w:rPr>
        <w:t>.00元。</w:t>
      </w:r>
    </w:p>
    <w:p w14:paraId="08E02E8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p>
    <w:p w14:paraId="507136CF">
      <w:pPr>
        <w:keepNext w:val="0"/>
        <w:keepLines w:val="0"/>
        <w:pageBreakBefore w:val="0"/>
        <w:kinsoku/>
        <w:wordWrap/>
        <w:overflowPunct/>
        <w:topLinePunct w:val="0"/>
        <w:autoSpaceDE/>
        <w:autoSpaceDN/>
        <w:bidi w:val="0"/>
        <w:spacing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75367B10">
      <w:pPr>
        <w:keepNext w:val="0"/>
        <w:keepLines w:val="0"/>
        <w:pageBreakBefore w:val="0"/>
        <w:widowControl/>
        <w:kinsoku/>
        <w:wordWrap/>
        <w:overflowPunct/>
        <w:topLinePunct w:val="0"/>
        <w:autoSpaceDE/>
        <w:autoSpaceDN/>
        <w:bidi w:val="0"/>
        <w:snapToGrid w:val="0"/>
        <w:spacing w:before="100" w:after="100" w:line="590" w:lineRule="exact"/>
        <w:ind w:firstLine="600"/>
        <w:jc w:val="left"/>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4C2432EB">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64B0462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不存在需要说明的事项。</w:t>
      </w:r>
    </w:p>
    <w:p w14:paraId="1EABFA32">
      <w:pPr>
        <w:keepNext w:val="0"/>
        <w:keepLines w:val="0"/>
        <w:pageBreakBefore w:val="0"/>
        <w:widowControl/>
        <w:kinsoku/>
        <w:wordWrap/>
        <w:overflowPunct/>
        <w:topLinePunct w:val="0"/>
        <w:autoSpaceDE/>
        <w:autoSpaceDN/>
        <w:bidi w:val="0"/>
        <w:snapToGrid w:val="0"/>
        <w:spacing w:before="100" w:after="100"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8F2734A">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（一）基本支出中人员经费包括工资福利支出和对个人和家庭的补助，公用经费包括商品和服务支出、资本性支出等人员经费以外的支出。</w:t>
      </w:r>
    </w:p>
    <w:p w14:paraId="2BB3CD2E">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（二）机关运行经费指行政单位和参照公务员法管理的事业单位使用一般公共预算财政拨款安排的基本支出中的公用经费支出。</w:t>
      </w:r>
    </w:p>
    <w:p w14:paraId="217C0424">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w:t>
      </w:r>
      <w:bookmarkStart w:id="0" w:name="_GoBack"/>
      <w:bookmarkEnd w:id="0"/>
      <w:r>
        <w:rPr>
          <w:rFonts w:hint="eastAsia" w:ascii="仿宋" w:hAnsi="仿宋" w:eastAsia="仿宋" w:cs="仿宋"/>
          <w:color w:val="auto"/>
          <w:sz w:val="32"/>
          <w:szCs w:val="32"/>
          <w:lang w:val="en-US" w:eastAsia="zh-CN"/>
        </w:rPr>
        <w:t>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6D3C4386">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四）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5AC78C15">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p>
    <w:p w14:paraId="29E738CD">
      <w:pPr>
        <w:keepNext w:val="0"/>
        <w:keepLines w:val="0"/>
        <w:pageBreakBefore w:val="0"/>
        <w:kinsoku/>
        <w:wordWrap/>
        <w:overflowPunct/>
        <w:topLinePunct w:val="0"/>
        <w:autoSpaceDE/>
        <w:autoSpaceDN/>
        <w:bidi w:val="0"/>
        <w:spacing w:line="59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27DC1C2B">
      <w:pPr>
        <w:keepNext w:val="0"/>
        <w:keepLines w:val="0"/>
        <w:pageBreakBefore w:val="0"/>
        <w:kinsoku/>
        <w:wordWrap/>
        <w:overflowPunct/>
        <w:topLinePunct w:val="0"/>
        <w:autoSpaceDE/>
        <w:autoSpaceDN/>
        <w:bidi w:val="0"/>
        <w:adjustRightInd/>
        <w:spacing w:line="59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77B7A959">
      <w:pPr>
        <w:keepNext w:val="0"/>
        <w:keepLines w:val="0"/>
        <w:pageBreakBefore w:val="0"/>
        <w:kinsoku/>
        <w:wordWrap/>
        <w:overflowPunct/>
        <w:topLinePunct w:val="0"/>
        <w:autoSpaceDE/>
        <w:autoSpaceDN/>
        <w:bidi w:val="0"/>
        <w:spacing w:line="590" w:lineRule="exact"/>
        <w:textAlignment w:val="auto"/>
        <w:rPr>
          <w:highlight w:val="none"/>
        </w:rPr>
      </w:pPr>
    </w:p>
    <w:p w14:paraId="30466D39">
      <w:pPr>
        <w:keepNext w:val="0"/>
        <w:keepLines w:val="0"/>
        <w:pageBreakBefore w:val="0"/>
        <w:kinsoku/>
        <w:wordWrap/>
        <w:overflowPunct/>
        <w:topLinePunct w:val="0"/>
        <w:autoSpaceDE/>
        <w:autoSpaceDN/>
        <w:bidi w:val="0"/>
        <w:spacing w:line="590" w:lineRule="exact"/>
        <w:textAlignment w:val="auto"/>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D12D692-538A-4ED0-8301-A6FF32D0A55C}"/>
  </w:font>
  <w:font w:name="黑体">
    <w:panose1 w:val="02010609060101010101"/>
    <w:charset w:val="86"/>
    <w:family w:val="auto"/>
    <w:pitch w:val="default"/>
    <w:sig w:usb0="800002BF" w:usb1="38CF7CFA" w:usb2="00000016" w:usb3="00000000" w:csb0="00040001" w:csb1="00000000"/>
    <w:embedRegular r:id="rId2" w:fontKey="{54C68D2B-3E14-47D0-8617-BAB6265B17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579820A8-FAFB-4F98-A48E-5E1E3CCBE397}"/>
  </w:font>
  <w:font w:name="仿宋">
    <w:panose1 w:val="02010609060101010101"/>
    <w:charset w:val="86"/>
    <w:family w:val="auto"/>
    <w:pitch w:val="default"/>
    <w:sig w:usb0="800002BF" w:usb1="38CF7CFA" w:usb2="00000016" w:usb3="00000000" w:csb0="00040001" w:csb1="00000000"/>
    <w:embedRegular r:id="rId4" w:fontKey="{1C8F2851-38E5-488C-92DC-54273344E3B4}"/>
  </w:font>
  <w:font w:name="方正小标宋简体">
    <w:panose1 w:val="02000000000000000000"/>
    <w:charset w:val="86"/>
    <w:family w:val="script"/>
    <w:pitch w:val="default"/>
    <w:sig w:usb0="00000001" w:usb1="08000000" w:usb2="00000000" w:usb3="00000000" w:csb0="00040000" w:csb1="00000000"/>
    <w:embedRegular r:id="rId5" w:fontKey="{56BB2173-DEB5-449D-A121-3EB808D33D68}"/>
  </w:font>
  <w:font w:name="楷体">
    <w:panose1 w:val="02010609060101010101"/>
    <w:charset w:val="86"/>
    <w:family w:val="modern"/>
    <w:pitch w:val="default"/>
    <w:sig w:usb0="800002BF" w:usb1="38CF7CFA" w:usb2="00000016" w:usb3="00000000" w:csb0="00040001" w:csb1="00000000"/>
    <w:embedRegular r:id="rId6" w:fontKey="{070BBCDE-C1A9-41AF-B4DB-6BAB34E58A04}"/>
  </w:font>
  <w:font w:name="方正仿宋_GBK">
    <w:panose1 w:val="02000000000000000000"/>
    <w:charset w:val="86"/>
    <w:family w:val="script"/>
    <w:pitch w:val="default"/>
    <w:sig w:usb0="A00002BF" w:usb1="38CF7CFA" w:usb2="00082016" w:usb3="00000000" w:csb0="00040001" w:csb1="00000000"/>
    <w:embedRegular r:id="rId7" w:fontKey="{30434F1B-28FF-47CD-82CA-AD7CF227D078}"/>
  </w:font>
  <w:font w:name="楷体_GB2312">
    <w:altName w:val="楷体"/>
    <w:panose1 w:val="02010609030101010101"/>
    <w:charset w:val="86"/>
    <w:family w:val="auto"/>
    <w:pitch w:val="default"/>
    <w:sig w:usb0="00000000" w:usb1="00000000" w:usb2="00000000" w:usb3="00000000" w:csb0="00040000" w:csb1="00000000"/>
    <w:embedRegular r:id="rId8" w:fontKey="{D3EF7BD3-55A3-4F5A-B618-500242FF0648}"/>
  </w:font>
  <w:font w:name="WPSEMBED1">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0A76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B6000BA">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5B6000BA">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73345">
    <w:pPr>
      <w:pStyle w:val="3"/>
      <w:framePr w:wrap="around" w:vAnchor="text" w:hAnchor="margin" w:xAlign="center" w:y="1"/>
      <w:rPr>
        <w:rStyle w:val="7"/>
      </w:rPr>
    </w:pPr>
    <w:r>
      <w:fldChar w:fldCharType="begin"/>
    </w:r>
    <w:r>
      <w:rPr>
        <w:rStyle w:val="7"/>
      </w:rPr>
      <w:instrText xml:space="preserve">PAGE  </w:instrText>
    </w:r>
    <w:r>
      <w:fldChar w:fldCharType="separate"/>
    </w:r>
    <w:r>
      <w:fldChar w:fldCharType="end"/>
    </w:r>
  </w:p>
  <w:p w14:paraId="33EBF70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6AF3">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3BD952"/>
    <w:multiLevelType w:val="singleLevel"/>
    <w:tmpl w:val="3B3BD95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4ZDQwOTU0YjFmNTA5OTAzYzhkMmIwNDA3YWE0ZGUifQ=="/>
  </w:docVars>
  <w:rsids>
    <w:rsidRoot w:val="6C6D5B44"/>
    <w:rsid w:val="00295221"/>
    <w:rsid w:val="004428D7"/>
    <w:rsid w:val="007769FD"/>
    <w:rsid w:val="009D25BF"/>
    <w:rsid w:val="01207E49"/>
    <w:rsid w:val="01ED26C2"/>
    <w:rsid w:val="025811C6"/>
    <w:rsid w:val="02896555"/>
    <w:rsid w:val="029B292C"/>
    <w:rsid w:val="02B75F93"/>
    <w:rsid w:val="02B871BB"/>
    <w:rsid w:val="02E24634"/>
    <w:rsid w:val="02FB33E1"/>
    <w:rsid w:val="03305DE9"/>
    <w:rsid w:val="034D0487"/>
    <w:rsid w:val="03B11286"/>
    <w:rsid w:val="03CA58FE"/>
    <w:rsid w:val="041A7827"/>
    <w:rsid w:val="04271BFA"/>
    <w:rsid w:val="04BC11CE"/>
    <w:rsid w:val="04C10576"/>
    <w:rsid w:val="04DE21B6"/>
    <w:rsid w:val="05174717"/>
    <w:rsid w:val="0574646B"/>
    <w:rsid w:val="058F13D8"/>
    <w:rsid w:val="059C5753"/>
    <w:rsid w:val="05DC7F46"/>
    <w:rsid w:val="05E97883"/>
    <w:rsid w:val="060B1C24"/>
    <w:rsid w:val="062A0404"/>
    <w:rsid w:val="06444EBA"/>
    <w:rsid w:val="065D0EEB"/>
    <w:rsid w:val="067D4F13"/>
    <w:rsid w:val="07405F45"/>
    <w:rsid w:val="074E4226"/>
    <w:rsid w:val="075C4FC8"/>
    <w:rsid w:val="07B029A5"/>
    <w:rsid w:val="07BB3ECB"/>
    <w:rsid w:val="089E4E3D"/>
    <w:rsid w:val="08D05336"/>
    <w:rsid w:val="08D44158"/>
    <w:rsid w:val="08D73239"/>
    <w:rsid w:val="08F51F25"/>
    <w:rsid w:val="0944019E"/>
    <w:rsid w:val="095E4341"/>
    <w:rsid w:val="09EF4584"/>
    <w:rsid w:val="0A095F75"/>
    <w:rsid w:val="0A3177B0"/>
    <w:rsid w:val="0A51772C"/>
    <w:rsid w:val="0A5C0B70"/>
    <w:rsid w:val="0A96061B"/>
    <w:rsid w:val="0B2129CD"/>
    <w:rsid w:val="0B6111D7"/>
    <w:rsid w:val="0B870169"/>
    <w:rsid w:val="0C16119B"/>
    <w:rsid w:val="0C3F033D"/>
    <w:rsid w:val="0C9678DC"/>
    <w:rsid w:val="0D11231B"/>
    <w:rsid w:val="0D805349"/>
    <w:rsid w:val="0D974C37"/>
    <w:rsid w:val="0DAD6122"/>
    <w:rsid w:val="0DE011E3"/>
    <w:rsid w:val="0E260B59"/>
    <w:rsid w:val="0E36301F"/>
    <w:rsid w:val="0E522B37"/>
    <w:rsid w:val="0E9E11F2"/>
    <w:rsid w:val="0ED33725"/>
    <w:rsid w:val="0EEE1C8C"/>
    <w:rsid w:val="0EFF905A"/>
    <w:rsid w:val="0F567CC7"/>
    <w:rsid w:val="0F912D77"/>
    <w:rsid w:val="0FA0503D"/>
    <w:rsid w:val="0FAA4025"/>
    <w:rsid w:val="10A96308"/>
    <w:rsid w:val="10C74EB5"/>
    <w:rsid w:val="10CC4F4C"/>
    <w:rsid w:val="10D57F53"/>
    <w:rsid w:val="10F92FC2"/>
    <w:rsid w:val="11A074A9"/>
    <w:rsid w:val="11B85B08"/>
    <w:rsid w:val="12192820"/>
    <w:rsid w:val="12B37192"/>
    <w:rsid w:val="12CA3600"/>
    <w:rsid w:val="13174A9C"/>
    <w:rsid w:val="133D1BD6"/>
    <w:rsid w:val="141806CE"/>
    <w:rsid w:val="14AE268B"/>
    <w:rsid w:val="14E6571C"/>
    <w:rsid w:val="15081CAF"/>
    <w:rsid w:val="154214E8"/>
    <w:rsid w:val="15E37E25"/>
    <w:rsid w:val="16007566"/>
    <w:rsid w:val="16020FCA"/>
    <w:rsid w:val="1658184C"/>
    <w:rsid w:val="16662B77"/>
    <w:rsid w:val="167105AF"/>
    <w:rsid w:val="16875E24"/>
    <w:rsid w:val="16F67E8F"/>
    <w:rsid w:val="175A544A"/>
    <w:rsid w:val="17DC2136"/>
    <w:rsid w:val="17DF1149"/>
    <w:rsid w:val="18212C19"/>
    <w:rsid w:val="18EB5F6F"/>
    <w:rsid w:val="18F42ED9"/>
    <w:rsid w:val="19024D8D"/>
    <w:rsid w:val="191028B7"/>
    <w:rsid w:val="19326BF6"/>
    <w:rsid w:val="196F58D1"/>
    <w:rsid w:val="19EF2C27"/>
    <w:rsid w:val="1A2B1B6F"/>
    <w:rsid w:val="1A473E5F"/>
    <w:rsid w:val="1A4B77A0"/>
    <w:rsid w:val="1A555294"/>
    <w:rsid w:val="1AB64312"/>
    <w:rsid w:val="1ADD6866"/>
    <w:rsid w:val="1AE314CA"/>
    <w:rsid w:val="1AEB2A75"/>
    <w:rsid w:val="1AEC1322"/>
    <w:rsid w:val="1AF03547"/>
    <w:rsid w:val="1AF570FB"/>
    <w:rsid w:val="1B291FC1"/>
    <w:rsid w:val="1B512D88"/>
    <w:rsid w:val="1C060756"/>
    <w:rsid w:val="1C951110"/>
    <w:rsid w:val="1C982A4B"/>
    <w:rsid w:val="1CA001A1"/>
    <w:rsid w:val="1CA2700A"/>
    <w:rsid w:val="1D2C0DC3"/>
    <w:rsid w:val="1D4D5A3F"/>
    <w:rsid w:val="1DB86B36"/>
    <w:rsid w:val="1E1A4F9E"/>
    <w:rsid w:val="1E842C65"/>
    <w:rsid w:val="1E8C1E71"/>
    <w:rsid w:val="1E912C74"/>
    <w:rsid w:val="1EE05F70"/>
    <w:rsid w:val="1EE76EF1"/>
    <w:rsid w:val="1F174475"/>
    <w:rsid w:val="1F1D5657"/>
    <w:rsid w:val="1F6C52C3"/>
    <w:rsid w:val="1F8D7EC2"/>
    <w:rsid w:val="2005391D"/>
    <w:rsid w:val="20404643"/>
    <w:rsid w:val="205F017A"/>
    <w:rsid w:val="208C5FC9"/>
    <w:rsid w:val="20AC638C"/>
    <w:rsid w:val="20BA7ED4"/>
    <w:rsid w:val="20D7044D"/>
    <w:rsid w:val="20E47C64"/>
    <w:rsid w:val="210F22C5"/>
    <w:rsid w:val="21211468"/>
    <w:rsid w:val="21231873"/>
    <w:rsid w:val="21485CA7"/>
    <w:rsid w:val="21494BAA"/>
    <w:rsid w:val="217B5541"/>
    <w:rsid w:val="218B504F"/>
    <w:rsid w:val="218E7681"/>
    <w:rsid w:val="2194487E"/>
    <w:rsid w:val="21B519F4"/>
    <w:rsid w:val="21CB04C7"/>
    <w:rsid w:val="21E01D62"/>
    <w:rsid w:val="21F3287C"/>
    <w:rsid w:val="2222656A"/>
    <w:rsid w:val="224F1F1F"/>
    <w:rsid w:val="225F006D"/>
    <w:rsid w:val="22736EC0"/>
    <w:rsid w:val="22904445"/>
    <w:rsid w:val="22BE7196"/>
    <w:rsid w:val="22FE172B"/>
    <w:rsid w:val="22FF4B33"/>
    <w:rsid w:val="23090C44"/>
    <w:rsid w:val="231D41B2"/>
    <w:rsid w:val="236F7A9C"/>
    <w:rsid w:val="2372573E"/>
    <w:rsid w:val="23731D80"/>
    <w:rsid w:val="239422C2"/>
    <w:rsid w:val="23E06206"/>
    <w:rsid w:val="23FC6838"/>
    <w:rsid w:val="2406257A"/>
    <w:rsid w:val="24067402"/>
    <w:rsid w:val="24883467"/>
    <w:rsid w:val="24C1257F"/>
    <w:rsid w:val="253936BF"/>
    <w:rsid w:val="25A131FF"/>
    <w:rsid w:val="25AF2274"/>
    <w:rsid w:val="25B20DC9"/>
    <w:rsid w:val="25BD0873"/>
    <w:rsid w:val="25C828BD"/>
    <w:rsid w:val="261B19B5"/>
    <w:rsid w:val="262B61F3"/>
    <w:rsid w:val="26551548"/>
    <w:rsid w:val="26A32E80"/>
    <w:rsid w:val="26C9124A"/>
    <w:rsid w:val="26D86A2F"/>
    <w:rsid w:val="26E302AC"/>
    <w:rsid w:val="26E716EB"/>
    <w:rsid w:val="26E821F4"/>
    <w:rsid w:val="26EE4833"/>
    <w:rsid w:val="26F32549"/>
    <w:rsid w:val="27811B2D"/>
    <w:rsid w:val="27F85AB9"/>
    <w:rsid w:val="28007168"/>
    <w:rsid w:val="28032F29"/>
    <w:rsid w:val="28732C56"/>
    <w:rsid w:val="28EF77AE"/>
    <w:rsid w:val="290465B4"/>
    <w:rsid w:val="291A1CD0"/>
    <w:rsid w:val="292345FF"/>
    <w:rsid w:val="29713E9A"/>
    <w:rsid w:val="2988177C"/>
    <w:rsid w:val="29AF2EC1"/>
    <w:rsid w:val="29F379FC"/>
    <w:rsid w:val="29F75FB8"/>
    <w:rsid w:val="2A1B2E51"/>
    <w:rsid w:val="2A4250E7"/>
    <w:rsid w:val="2A470D3B"/>
    <w:rsid w:val="2A632572"/>
    <w:rsid w:val="2A63427A"/>
    <w:rsid w:val="2A9A2652"/>
    <w:rsid w:val="2ADD0968"/>
    <w:rsid w:val="2B1B7108"/>
    <w:rsid w:val="2B87285B"/>
    <w:rsid w:val="2BA25686"/>
    <w:rsid w:val="2BBB79B6"/>
    <w:rsid w:val="2BD173A2"/>
    <w:rsid w:val="2C325893"/>
    <w:rsid w:val="2C39073D"/>
    <w:rsid w:val="2C49057B"/>
    <w:rsid w:val="2C6D413B"/>
    <w:rsid w:val="2C6E752F"/>
    <w:rsid w:val="2C8B49F0"/>
    <w:rsid w:val="2CA07FE0"/>
    <w:rsid w:val="2CF73501"/>
    <w:rsid w:val="2CFA1B54"/>
    <w:rsid w:val="2D6A0CD0"/>
    <w:rsid w:val="2D6E47ED"/>
    <w:rsid w:val="2DB839F8"/>
    <w:rsid w:val="2DB93F6F"/>
    <w:rsid w:val="2DBC2EE6"/>
    <w:rsid w:val="2E001FA1"/>
    <w:rsid w:val="2E19735E"/>
    <w:rsid w:val="2E311C70"/>
    <w:rsid w:val="2EC200F1"/>
    <w:rsid w:val="2EEC20C5"/>
    <w:rsid w:val="2F070B32"/>
    <w:rsid w:val="2F5319D5"/>
    <w:rsid w:val="2F6F68DF"/>
    <w:rsid w:val="30006F3F"/>
    <w:rsid w:val="30170C37"/>
    <w:rsid w:val="307E00A8"/>
    <w:rsid w:val="30987FD3"/>
    <w:rsid w:val="309D69CA"/>
    <w:rsid w:val="30B90B35"/>
    <w:rsid w:val="30F10F6B"/>
    <w:rsid w:val="31290D56"/>
    <w:rsid w:val="31A07D10"/>
    <w:rsid w:val="32353CF2"/>
    <w:rsid w:val="32367BE1"/>
    <w:rsid w:val="329747D7"/>
    <w:rsid w:val="32A34D83"/>
    <w:rsid w:val="339B40BE"/>
    <w:rsid w:val="33EF767C"/>
    <w:rsid w:val="34031CD9"/>
    <w:rsid w:val="34164660"/>
    <w:rsid w:val="3484654D"/>
    <w:rsid w:val="34C358E4"/>
    <w:rsid w:val="34ED2FD4"/>
    <w:rsid w:val="35193A9B"/>
    <w:rsid w:val="359B67E6"/>
    <w:rsid w:val="35E72C38"/>
    <w:rsid w:val="360B4DA5"/>
    <w:rsid w:val="364F30EB"/>
    <w:rsid w:val="369F7346"/>
    <w:rsid w:val="36A645FC"/>
    <w:rsid w:val="36DE447A"/>
    <w:rsid w:val="36F315F4"/>
    <w:rsid w:val="37282ED2"/>
    <w:rsid w:val="38892B9F"/>
    <w:rsid w:val="388C1B47"/>
    <w:rsid w:val="38D163E1"/>
    <w:rsid w:val="38DE5FCC"/>
    <w:rsid w:val="39431FB5"/>
    <w:rsid w:val="394E1A4D"/>
    <w:rsid w:val="395D7B12"/>
    <w:rsid w:val="398B6BF8"/>
    <w:rsid w:val="39D407FB"/>
    <w:rsid w:val="39E061C4"/>
    <w:rsid w:val="3A0967D0"/>
    <w:rsid w:val="3A8671D7"/>
    <w:rsid w:val="3AC20DED"/>
    <w:rsid w:val="3AF04F3A"/>
    <w:rsid w:val="3AF962CD"/>
    <w:rsid w:val="3AFA7487"/>
    <w:rsid w:val="3B072224"/>
    <w:rsid w:val="3B4A1EE5"/>
    <w:rsid w:val="3B667025"/>
    <w:rsid w:val="3B954C1E"/>
    <w:rsid w:val="3B990744"/>
    <w:rsid w:val="3B9D7FB8"/>
    <w:rsid w:val="3C776E08"/>
    <w:rsid w:val="3D5A33CC"/>
    <w:rsid w:val="3D62570E"/>
    <w:rsid w:val="3DDF50EC"/>
    <w:rsid w:val="3DE37522"/>
    <w:rsid w:val="3E106008"/>
    <w:rsid w:val="3E444804"/>
    <w:rsid w:val="3E623312"/>
    <w:rsid w:val="3E907212"/>
    <w:rsid w:val="3EB014F1"/>
    <w:rsid w:val="3FCD7387"/>
    <w:rsid w:val="3FE8782C"/>
    <w:rsid w:val="40F03BB3"/>
    <w:rsid w:val="40F811B0"/>
    <w:rsid w:val="41B01923"/>
    <w:rsid w:val="41F16AFC"/>
    <w:rsid w:val="42055244"/>
    <w:rsid w:val="420A7EBF"/>
    <w:rsid w:val="42AE60B2"/>
    <w:rsid w:val="42C65DB9"/>
    <w:rsid w:val="42CB3B33"/>
    <w:rsid w:val="4331430B"/>
    <w:rsid w:val="434B1318"/>
    <w:rsid w:val="435E72D5"/>
    <w:rsid w:val="437E3642"/>
    <w:rsid w:val="438415F8"/>
    <w:rsid w:val="43885EFC"/>
    <w:rsid w:val="43A2314C"/>
    <w:rsid w:val="43B832ED"/>
    <w:rsid w:val="43E4284F"/>
    <w:rsid w:val="4409139E"/>
    <w:rsid w:val="44235D2F"/>
    <w:rsid w:val="443F0DBF"/>
    <w:rsid w:val="44907E93"/>
    <w:rsid w:val="44AB71BA"/>
    <w:rsid w:val="44BC401A"/>
    <w:rsid w:val="44E53468"/>
    <w:rsid w:val="44E91DF6"/>
    <w:rsid w:val="45203683"/>
    <w:rsid w:val="453244B9"/>
    <w:rsid w:val="45A4152D"/>
    <w:rsid w:val="45A867F1"/>
    <w:rsid w:val="45ED4C8D"/>
    <w:rsid w:val="466729D6"/>
    <w:rsid w:val="47D42FF0"/>
    <w:rsid w:val="48E1676A"/>
    <w:rsid w:val="48E40429"/>
    <w:rsid w:val="49181F09"/>
    <w:rsid w:val="49247934"/>
    <w:rsid w:val="49723E09"/>
    <w:rsid w:val="49B2744B"/>
    <w:rsid w:val="49C155BF"/>
    <w:rsid w:val="4A81167B"/>
    <w:rsid w:val="4AAC7FF4"/>
    <w:rsid w:val="4ACC74A7"/>
    <w:rsid w:val="4B3C05BE"/>
    <w:rsid w:val="4BA86912"/>
    <w:rsid w:val="4BEA0B1C"/>
    <w:rsid w:val="4C2F3911"/>
    <w:rsid w:val="4C9A6C67"/>
    <w:rsid w:val="4CB51270"/>
    <w:rsid w:val="4CC672B1"/>
    <w:rsid w:val="4D3B1B78"/>
    <w:rsid w:val="4DE00542"/>
    <w:rsid w:val="4E321376"/>
    <w:rsid w:val="4E776A0A"/>
    <w:rsid w:val="4EAA7777"/>
    <w:rsid w:val="4EBD7EDB"/>
    <w:rsid w:val="4ECC0D58"/>
    <w:rsid w:val="4EF76621"/>
    <w:rsid w:val="4F17581D"/>
    <w:rsid w:val="4FE20970"/>
    <w:rsid w:val="50066E8B"/>
    <w:rsid w:val="504A4293"/>
    <w:rsid w:val="50500969"/>
    <w:rsid w:val="505638FA"/>
    <w:rsid w:val="505D6D62"/>
    <w:rsid w:val="508F7B4A"/>
    <w:rsid w:val="509A082B"/>
    <w:rsid w:val="50E847AB"/>
    <w:rsid w:val="51CD169C"/>
    <w:rsid w:val="51CD4EE8"/>
    <w:rsid w:val="525E5D62"/>
    <w:rsid w:val="527B1241"/>
    <w:rsid w:val="529F347E"/>
    <w:rsid w:val="52CB24B4"/>
    <w:rsid w:val="53F542FC"/>
    <w:rsid w:val="53FC1D2A"/>
    <w:rsid w:val="544F51F8"/>
    <w:rsid w:val="54683F4C"/>
    <w:rsid w:val="546911CC"/>
    <w:rsid w:val="54DD506F"/>
    <w:rsid w:val="54FF40F9"/>
    <w:rsid w:val="55293A5A"/>
    <w:rsid w:val="554B2170"/>
    <w:rsid w:val="5550572B"/>
    <w:rsid w:val="55544AF4"/>
    <w:rsid w:val="5595621E"/>
    <w:rsid w:val="55E45084"/>
    <w:rsid w:val="563E1B84"/>
    <w:rsid w:val="567E52FA"/>
    <w:rsid w:val="573B7525"/>
    <w:rsid w:val="57AB0622"/>
    <w:rsid w:val="57BC6DB9"/>
    <w:rsid w:val="586645BB"/>
    <w:rsid w:val="588751F0"/>
    <w:rsid w:val="58E11859"/>
    <w:rsid w:val="591F00FC"/>
    <w:rsid w:val="593B754E"/>
    <w:rsid w:val="597F68B1"/>
    <w:rsid w:val="598658E0"/>
    <w:rsid w:val="59B359C0"/>
    <w:rsid w:val="5A352E07"/>
    <w:rsid w:val="5A70538B"/>
    <w:rsid w:val="5A9666AC"/>
    <w:rsid w:val="5AD00A3C"/>
    <w:rsid w:val="5ADB39B5"/>
    <w:rsid w:val="5AFA4609"/>
    <w:rsid w:val="5B5D5515"/>
    <w:rsid w:val="5BB524B0"/>
    <w:rsid w:val="5BDF6159"/>
    <w:rsid w:val="5C0D5C7B"/>
    <w:rsid w:val="5C1F4663"/>
    <w:rsid w:val="5C2A6828"/>
    <w:rsid w:val="5C2C10F5"/>
    <w:rsid w:val="5C9D5C13"/>
    <w:rsid w:val="5CBE484A"/>
    <w:rsid w:val="5CCD6C15"/>
    <w:rsid w:val="5CDC559C"/>
    <w:rsid w:val="5CFB2A97"/>
    <w:rsid w:val="5D11570E"/>
    <w:rsid w:val="5DA058C2"/>
    <w:rsid w:val="5DC9252F"/>
    <w:rsid w:val="5DE073F8"/>
    <w:rsid w:val="5E102C77"/>
    <w:rsid w:val="5E181AE8"/>
    <w:rsid w:val="5E200FB4"/>
    <w:rsid w:val="5E286A5D"/>
    <w:rsid w:val="5E715CB3"/>
    <w:rsid w:val="5E7721E8"/>
    <w:rsid w:val="5F400E00"/>
    <w:rsid w:val="5F585DDC"/>
    <w:rsid w:val="5FCD49D0"/>
    <w:rsid w:val="5FEE67D5"/>
    <w:rsid w:val="600606E1"/>
    <w:rsid w:val="60A25007"/>
    <w:rsid w:val="60DC08A3"/>
    <w:rsid w:val="61063D04"/>
    <w:rsid w:val="61372C6A"/>
    <w:rsid w:val="61507D62"/>
    <w:rsid w:val="6182198A"/>
    <w:rsid w:val="61B374F7"/>
    <w:rsid w:val="61CA6AF3"/>
    <w:rsid w:val="61CD3BE8"/>
    <w:rsid w:val="620165C0"/>
    <w:rsid w:val="62662701"/>
    <w:rsid w:val="627A3650"/>
    <w:rsid w:val="62A1560C"/>
    <w:rsid w:val="62E005A6"/>
    <w:rsid w:val="62F656EA"/>
    <w:rsid w:val="630A3753"/>
    <w:rsid w:val="63232B02"/>
    <w:rsid w:val="636A1AC0"/>
    <w:rsid w:val="638E2EFC"/>
    <w:rsid w:val="63CD6E9B"/>
    <w:rsid w:val="63DE34EA"/>
    <w:rsid w:val="63FD3D96"/>
    <w:rsid w:val="640E26EA"/>
    <w:rsid w:val="6471083B"/>
    <w:rsid w:val="656808BF"/>
    <w:rsid w:val="657B0DDB"/>
    <w:rsid w:val="658E12F0"/>
    <w:rsid w:val="65B77098"/>
    <w:rsid w:val="65C62867"/>
    <w:rsid w:val="65C7004B"/>
    <w:rsid w:val="661D12A7"/>
    <w:rsid w:val="661E3D1F"/>
    <w:rsid w:val="66624235"/>
    <w:rsid w:val="66857217"/>
    <w:rsid w:val="67FD5BCA"/>
    <w:rsid w:val="68401F2D"/>
    <w:rsid w:val="68425B60"/>
    <w:rsid w:val="684A5B2A"/>
    <w:rsid w:val="687E16C8"/>
    <w:rsid w:val="689C104D"/>
    <w:rsid w:val="68B77D10"/>
    <w:rsid w:val="68C0397C"/>
    <w:rsid w:val="69022D41"/>
    <w:rsid w:val="69425B67"/>
    <w:rsid w:val="695176FB"/>
    <w:rsid w:val="69B61240"/>
    <w:rsid w:val="69FB41BB"/>
    <w:rsid w:val="6A340551"/>
    <w:rsid w:val="6A3D3FA6"/>
    <w:rsid w:val="6A4709B8"/>
    <w:rsid w:val="6A806C9E"/>
    <w:rsid w:val="6A9A0475"/>
    <w:rsid w:val="6AFC751A"/>
    <w:rsid w:val="6B0C3CD1"/>
    <w:rsid w:val="6B1462EA"/>
    <w:rsid w:val="6B1D2257"/>
    <w:rsid w:val="6B9F6057"/>
    <w:rsid w:val="6BAF510F"/>
    <w:rsid w:val="6BE78CA3"/>
    <w:rsid w:val="6BED4E02"/>
    <w:rsid w:val="6BFA28A1"/>
    <w:rsid w:val="6C0758A4"/>
    <w:rsid w:val="6C6D5B44"/>
    <w:rsid w:val="6C746E90"/>
    <w:rsid w:val="6C9F5465"/>
    <w:rsid w:val="6CA506FA"/>
    <w:rsid w:val="6D126704"/>
    <w:rsid w:val="6D3A5A3C"/>
    <w:rsid w:val="6D6D49D5"/>
    <w:rsid w:val="6E2A40BA"/>
    <w:rsid w:val="6E78248F"/>
    <w:rsid w:val="6E7C42BF"/>
    <w:rsid w:val="6E9470E2"/>
    <w:rsid w:val="6EB646C6"/>
    <w:rsid w:val="6ED1053F"/>
    <w:rsid w:val="6EFF5E89"/>
    <w:rsid w:val="6F2830B0"/>
    <w:rsid w:val="6F330BF1"/>
    <w:rsid w:val="6F44559A"/>
    <w:rsid w:val="6F507BFB"/>
    <w:rsid w:val="6F614322"/>
    <w:rsid w:val="6FA21EBF"/>
    <w:rsid w:val="6FBDCC2D"/>
    <w:rsid w:val="6FE770FD"/>
    <w:rsid w:val="7016782F"/>
    <w:rsid w:val="701A6502"/>
    <w:rsid w:val="701D52C9"/>
    <w:rsid w:val="704163FD"/>
    <w:rsid w:val="70644DB9"/>
    <w:rsid w:val="708616B2"/>
    <w:rsid w:val="708C3518"/>
    <w:rsid w:val="70AC5C45"/>
    <w:rsid w:val="70C9768C"/>
    <w:rsid w:val="711A53E2"/>
    <w:rsid w:val="7122697F"/>
    <w:rsid w:val="712A376B"/>
    <w:rsid w:val="71446C65"/>
    <w:rsid w:val="71A84B94"/>
    <w:rsid w:val="71D46217"/>
    <w:rsid w:val="71EF717B"/>
    <w:rsid w:val="723C678F"/>
    <w:rsid w:val="723E21E1"/>
    <w:rsid w:val="72760386"/>
    <w:rsid w:val="72C725F2"/>
    <w:rsid w:val="72D7692B"/>
    <w:rsid w:val="737F124C"/>
    <w:rsid w:val="73D78A0C"/>
    <w:rsid w:val="747157DD"/>
    <w:rsid w:val="74746803"/>
    <w:rsid w:val="74855269"/>
    <w:rsid w:val="74FE13D7"/>
    <w:rsid w:val="7590055C"/>
    <w:rsid w:val="75E675A1"/>
    <w:rsid w:val="76DA4A35"/>
    <w:rsid w:val="775942E7"/>
    <w:rsid w:val="77786669"/>
    <w:rsid w:val="77D77E74"/>
    <w:rsid w:val="77EFDA2F"/>
    <w:rsid w:val="780E06BE"/>
    <w:rsid w:val="782A5A14"/>
    <w:rsid w:val="78423926"/>
    <w:rsid w:val="787F460C"/>
    <w:rsid w:val="78E43650"/>
    <w:rsid w:val="78F1359A"/>
    <w:rsid w:val="79003F6B"/>
    <w:rsid w:val="790C6195"/>
    <w:rsid w:val="79197BA3"/>
    <w:rsid w:val="79486D64"/>
    <w:rsid w:val="796C2A54"/>
    <w:rsid w:val="797F9E17"/>
    <w:rsid w:val="79F94C6D"/>
    <w:rsid w:val="79FD4EE1"/>
    <w:rsid w:val="7A1E467C"/>
    <w:rsid w:val="7A840A52"/>
    <w:rsid w:val="7A8D4744"/>
    <w:rsid w:val="7A8D5499"/>
    <w:rsid w:val="7AA028C5"/>
    <w:rsid w:val="7AD95CEC"/>
    <w:rsid w:val="7B482360"/>
    <w:rsid w:val="7B5423EC"/>
    <w:rsid w:val="7B886F65"/>
    <w:rsid w:val="7B991389"/>
    <w:rsid w:val="7CA01B71"/>
    <w:rsid w:val="7CF52723"/>
    <w:rsid w:val="7CF93F8F"/>
    <w:rsid w:val="7CFE370D"/>
    <w:rsid w:val="7D3455C0"/>
    <w:rsid w:val="7D5216BB"/>
    <w:rsid w:val="7DC123FB"/>
    <w:rsid w:val="7DCA4966"/>
    <w:rsid w:val="7DD6636F"/>
    <w:rsid w:val="7E21732F"/>
    <w:rsid w:val="7E2E406D"/>
    <w:rsid w:val="7E391E44"/>
    <w:rsid w:val="7E637FA1"/>
    <w:rsid w:val="7E9D3A96"/>
    <w:rsid w:val="7E9F516C"/>
    <w:rsid w:val="7EBC5951"/>
    <w:rsid w:val="7EC85AD8"/>
    <w:rsid w:val="7EDE5857"/>
    <w:rsid w:val="7F2A6FBC"/>
    <w:rsid w:val="7F4E0757"/>
    <w:rsid w:val="7F6C1599"/>
    <w:rsid w:val="7F6E7B17"/>
    <w:rsid w:val="7F9F8FD7"/>
    <w:rsid w:val="BFFB94F9"/>
    <w:rsid w:val="CBEF7D62"/>
    <w:rsid w:val="DFFEEDAC"/>
    <w:rsid w:val="E67A7A9C"/>
    <w:rsid w:val="EBF53932"/>
    <w:rsid w:val="FD8F9265"/>
    <w:rsid w:val="FFF79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paragraph" w:customStyle="1" w:styleId="8">
    <w:name w:val="正文-公1"/>
    <w:basedOn w:val="9"/>
    <w:next w:val="1"/>
    <w:qFormat/>
    <w:uiPriority w:val="0"/>
    <w:pPr>
      <w:ind w:firstLine="200" w:firstLineChars="200"/>
    </w:pPr>
  </w:style>
  <w:style w:type="paragraph" w:customStyle="1" w:styleId="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19</Pages>
  <Words>6259</Words>
  <Characters>7379</Characters>
  <Lines>0</Lines>
  <Paragraphs>0</Paragraphs>
  <TotalTime>2</TotalTime>
  <ScaleCrop>false</ScaleCrop>
  <LinksUpToDate>false</LinksUpToDate>
  <CharactersWithSpaces>7397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2024-06-05T01:34:00Z</dcterms:created>
  <dc:creator>李瑞婷(拟稿)</dc:creator>
  <cp:lastModifiedBy>加菲</cp:lastModifiedBy>
  <cp:lastPrinted>2024-08-01T06:24:00Z</cp:lastPrinted>
  <dcterms:modified xsi:type="dcterms:W3CDTF">2026-09-16T03:01:17Z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eyJoZGlkIjoiZGExY2Y0NGU4ZjZkMjE0OGE4ZjEzYzIzOGI0ODYxOTEiLCJ1c2VySWQiOiIzNTY1NTgxOTUifQ==</vt:lpwstr>
  </property>
  <property fmtid="{D5CDD505-2E9C-101B-9397-08002B2CF9AE}" pid="4" name="ICV">
    <vt:lpwstr>6FBF8BBE599B48D19FD7CC3B9C67F6EB_13</vt:lpwstr>
  </property>
</Properties>
</file>