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013F01">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方正小标宋简体" w:hAnsi="方正小标宋简体" w:eastAsia="方正小标宋简体"/>
          <w:sz w:val="36"/>
          <w:lang w:val="zh-CN"/>
        </w:rPr>
      </w:pPr>
      <w:r>
        <w:rPr>
          <w:rFonts w:hint="eastAsia" w:ascii="方正小标宋简体" w:hAnsi="方正小标宋简体" w:eastAsia="方正小标宋简体"/>
          <w:sz w:val="36"/>
          <w:lang w:val="zh-CN"/>
        </w:rPr>
        <w:t>玉溪市卫生健康委员会卫生监督局</w:t>
      </w:r>
    </w:p>
    <w:p w14:paraId="61F5C81E">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eastAsia" w:ascii="方正小标宋简体" w:hAnsi="方正小标宋简体" w:eastAsia="方正小标宋简体" w:cs="方正小标宋简体"/>
          <w:sz w:val="36"/>
          <w:szCs w:val="36"/>
          <w:highlight w:val="none"/>
          <w:lang w:eastAsia="zh-CN"/>
        </w:rPr>
      </w:pPr>
      <w:r>
        <w:rPr>
          <w:rFonts w:hint="eastAsia" w:ascii="方正小标宋简体" w:hAnsi="方正小标宋简体" w:eastAsia="方正小标宋简体" w:cs="方正小标宋简体"/>
          <w:sz w:val="36"/>
          <w:szCs w:val="36"/>
          <w:highlight w:val="none"/>
          <w:lang w:val="en-US" w:eastAsia="zh-CN"/>
        </w:rPr>
        <w:t>2025年度</w:t>
      </w:r>
      <w:r>
        <w:rPr>
          <w:rFonts w:hint="eastAsia" w:ascii="方正小标宋简体" w:hAnsi="方正小标宋简体" w:eastAsia="方正小标宋简体" w:cs="方正小标宋简体"/>
          <w:sz w:val="36"/>
          <w:szCs w:val="36"/>
          <w:highlight w:val="none"/>
        </w:rPr>
        <w:t>部门决算</w:t>
      </w:r>
      <w:r>
        <w:rPr>
          <w:rFonts w:hint="eastAsia" w:ascii="方正小标宋简体" w:hAnsi="方正小标宋简体" w:eastAsia="方正小标宋简体" w:cs="方正小标宋简体"/>
          <w:sz w:val="36"/>
          <w:szCs w:val="36"/>
          <w:highlight w:val="none"/>
          <w:lang w:eastAsia="zh-CN"/>
        </w:rPr>
        <w:t>目录</w:t>
      </w:r>
    </w:p>
    <w:p w14:paraId="644D5C30">
      <w:pPr>
        <w:jc w:val="left"/>
        <w:rPr>
          <w:rFonts w:hint="eastAsia" w:ascii="黑体" w:hAnsi="黑体" w:eastAsia="黑体"/>
          <w:sz w:val="30"/>
          <w:szCs w:val="30"/>
          <w:highlight w:val="none"/>
        </w:rPr>
      </w:pPr>
    </w:p>
    <w:p w14:paraId="217D17E9">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 xml:space="preserve">第一部分  </w:t>
      </w:r>
      <w:r>
        <w:rPr>
          <w:rFonts w:hint="eastAsia" w:ascii="黑体" w:hAnsi="黑体" w:eastAsia="黑体"/>
          <w:sz w:val="30"/>
          <w:szCs w:val="30"/>
          <w:highlight w:val="none"/>
          <w:lang w:eastAsia="zh-CN"/>
        </w:rPr>
        <w:t>单位</w:t>
      </w:r>
      <w:r>
        <w:rPr>
          <w:rFonts w:hint="eastAsia" w:ascii="黑体" w:hAnsi="黑体" w:eastAsia="黑体"/>
          <w:sz w:val="30"/>
          <w:szCs w:val="30"/>
          <w:highlight w:val="none"/>
        </w:rPr>
        <w:t>概况</w:t>
      </w:r>
    </w:p>
    <w:p w14:paraId="1DD31FBA">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一、主要职</w:t>
      </w:r>
      <w:r>
        <w:rPr>
          <w:rFonts w:hint="eastAsia" w:ascii="楷体" w:hAnsi="楷体" w:eastAsia="楷体"/>
          <w:sz w:val="30"/>
          <w:szCs w:val="30"/>
          <w:highlight w:val="none"/>
          <w:lang w:eastAsia="zh-CN"/>
        </w:rPr>
        <w:t>责</w:t>
      </w:r>
    </w:p>
    <w:p w14:paraId="221615EB">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二、</w:t>
      </w:r>
      <w:r>
        <w:rPr>
          <w:rFonts w:hint="eastAsia" w:ascii="楷体" w:hAnsi="楷体" w:eastAsia="楷体"/>
          <w:sz w:val="30"/>
          <w:szCs w:val="30"/>
          <w:highlight w:val="none"/>
          <w:lang w:eastAsia="zh-CN"/>
        </w:rPr>
        <w:t>基本情况</w:t>
      </w:r>
    </w:p>
    <w:p w14:paraId="2BADB722">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三、重点工作概述</w:t>
      </w:r>
    </w:p>
    <w:p w14:paraId="3DBDC5C8">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 xml:space="preserve">第二部分  </w:t>
      </w:r>
      <w:r>
        <w:rPr>
          <w:rFonts w:hint="eastAsia" w:ascii="黑体" w:hAnsi="黑体" w:eastAsia="黑体"/>
          <w:sz w:val="30"/>
          <w:szCs w:val="30"/>
          <w:highlight w:val="none"/>
          <w:lang w:val="en-US" w:eastAsia="zh-CN"/>
        </w:rPr>
        <w:t>2025年度</w:t>
      </w:r>
      <w:r>
        <w:rPr>
          <w:rFonts w:hint="eastAsia" w:ascii="黑体" w:hAnsi="黑体" w:eastAsia="黑体"/>
          <w:sz w:val="30"/>
          <w:szCs w:val="30"/>
          <w:highlight w:val="none"/>
        </w:rPr>
        <w:t>部门决算表</w:t>
      </w:r>
    </w:p>
    <w:p w14:paraId="074E26AF">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一、收入支出决算表</w:t>
      </w:r>
    </w:p>
    <w:p w14:paraId="5271B75C">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二、收入决算表</w:t>
      </w:r>
    </w:p>
    <w:p w14:paraId="3A80B646">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三、支出决算表</w:t>
      </w:r>
    </w:p>
    <w:p w14:paraId="31869F6B">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四、财政拨款收入支出决算表</w:t>
      </w:r>
    </w:p>
    <w:p w14:paraId="516BB056">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五、一般公共预算财政拨款收入支出决算表</w:t>
      </w:r>
    </w:p>
    <w:p w14:paraId="64B3FBE6">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六、一般公共预算财政拨款基本支出决算表</w:t>
      </w:r>
    </w:p>
    <w:p w14:paraId="5B1A8427">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七、</w:t>
      </w:r>
      <w:r>
        <w:rPr>
          <w:rFonts w:hint="eastAsia" w:ascii="楷体" w:hAnsi="楷体" w:eastAsia="楷体"/>
          <w:sz w:val="30"/>
          <w:szCs w:val="30"/>
          <w:highlight w:val="none"/>
          <w:lang w:eastAsia="zh-CN"/>
        </w:rPr>
        <w:t>一般公共预算财政拨款项目支出决算表</w:t>
      </w:r>
    </w:p>
    <w:p w14:paraId="28AD0223">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eastAsia="zh-CN"/>
        </w:rPr>
        <w:t>八</w:t>
      </w:r>
      <w:r>
        <w:rPr>
          <w:rFonts w:hint="eastAsia" w:ascii="楷体" w:hAnsi="楷体" w:eastAsia="楷体"/>
          <w:sz w:val="30"/>
          <w:szCs w:val="30"/>
          <w:highlight w:val="none"/>
        </w:rPr>
        <w:t>、政府性基金预算财政拨款收入支出决算表</w:t>
      </w:r>
    </w:p>
    <w:p w14:paraId="547514C9">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九、国有资本经营预算财政拨款收入支出决算表</w:t>
      </w:r>
    </w:p>
    <w:p w14:paraId="304DCC31">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eastAsia="zh-CN"/>
        </w:rPr>
        <w:t>十</w:t>
      </w:r>
      <w:r>
        <w:rPr>
          <w:rFonts w:hint="eastAsia" w:ascii="楷体" w:hAnsi="楷体" w:eastAsia="楷体"/>
          <w:sz w:val="30"/>
          <w:szCs w:val="30"/>
          <w:highlight w:val="none"/>
        </w:rPr>
        <w:t>、</w:t>
      </w:r>
      <w:r>
        <w:rPr>
          <w:rFonts w:hint="eastAsia" w:ascii="楷体" w:hAnsi="楷体" w:eastAsia="楷体"/>
          <w:sz w:val="30"/>
          <w:szCs w:val="30"/>
          <w:highlight w:val="none"/>
          <w:lang w:eastAsia="zh-CN"/>
        </w:rPr>
        <w:t>财政拨款</w:t>
      </w:r>
      <w:r>
        <w:rPr>
          <w:rFonts w:hint="eastAsia" w:ascii="楷体" w:hAnsi="楷体" w:eastAsia="楷体"/>
          <w:sz w:val="30"/>
          <w:szCs w:val="30"/>
          <w:highlight w:val="none"/>
        </w:rPr>
        <w:t>“三公”经费、行政参公单位机关运行经费情况表</w:t>
      </w:r>
    </w:p>
    <w:p w14:paraId="3CBD4487">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val="en-US" w:eastAsia="zh-CN"/>
        </w:rPr>
        <w:t>十一、一般公共预算财政拨款“三公”经费情况表</w:t>
      </w:r>
    </w:p>
    <w:p w14:paraId="70C78A69">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第三部</w:t>
      </w:r>
      <w:r>
        <w:rPr>
          <w:rFonts w:hint="eastAsia" w:ascii="黑体" w:hAnsi="黑体" w:eastAsia="黑体"/>
          <w:sz w:val="30"/>
          <w:szCs w:val="30"/>
          <w:highlight w:val="none"/>
          <w:lang w:eastAsia="zh-CN"/>
        </w:rPr>
        <w:t>分</w:t>
      </w:r>
      <w:r>
        <w:rPr>
          <w:rFonts w:hint="eastAsia" w:ascii="黑体" w:hAnsi="黑体" w:eastAsia="黑体"/>
          <w:sz w:val="30"/>
          <w:szCs w:val="30"/>
          <w:highlight w:val="none"/>
        </w:rPr>
        <w:t xml:space="preserve">  </w:t>
      </w:r>
      <w:r>
        <w:rPr>
          <w:rFonts w:hint="eastAsia" w:ascii="黑体" w:hAnsi="黑体" w:eastAsia="黑体"/>
          <w:sz w:val="30"/>
          <w:szCs w:val="30"/>
          <w:highlight w:val="none"/>
          <w:lang w:val="en-US" w:eastAsia="zh-CN"/>
        </w:rPr>
        <w:t>2025年度</w:t>
      </w:r>
      <w:r>
        <w:rPr>
          <w:rFonts w:hint="eastAsia" w:ascii="黑体" w:hAnsi="黑体" w:eastAsia="黑体"/>
          <w:sz w:val="30"/>
          <w:szCs w:val="30"/>
          <w:highlight w:val="none"/>
        </w:rPr>
        <w:t>部门决算情况说明</w:t>
      </w:r>
    </w:p>
    <w:p w14:paraId="302D6EC4">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一、收入决算情况说明</w:t>
      </w:r>
    </w:p>
    <w:p w14:paraId="71252ACA">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二、支出决算情况说明</w:t>
      </w:r>
    </w:p>
    <w:p w14:paraId="3AC15153">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三、一般公共预算财政拨款支出决算情况说明</w:t>
      </w:r>
    </w:p>
    <w:p w14:paraId="0FA01F59">
      <w:pPr>
        <w:widowControl/>
        <w:snapToGrid w:val="0"/>
        <w:spacing w:before="100" w:after="100" w:line="360" w:lineRule="auto"/>
        <w:jc w:val="left"/>
        <w:outlineLvl w:val="1"/>
        <w:rPr>
          <w:rFonts w:hint="eastAsia" w:ascii="楷体" w:hAnsi="楷体" w:eastAsia="楷体"/>
          <w:sz w:val="30"/>
          <w:szCs w:val="30"/>
          <w:highlight w:val="none"/>
        </w:rPr>
      </w:pPr>
      <w:r>
        <w:rPr>
          <w:rFonts w:hint="eastAsia" w:ascii="楷体" w:hAnsi="楷体" w:eastAsia="楷体"/>
          <w:sz w:val="30"/>
          <w:szCs w:val="30"/>
          <w:highlight w:val="none"/>
        </w:rPr>
        <w:t>四、财政拨款“三公”经费支出决算情况说明</w:t>
      </w:r>
    </w:p>
    <w:p w14:paraId="4847F4C1">
      <w:pPr>
        <w:widowControl/>
        <w:snapToGrid w:val="0"/>
        <w:spacing w:before="100" w:after="100" w:line="360" w:lineRule="auto"/>
        <w:jc w:val="left"/>
        <w:outlineLvl w:val="0"/>
        <w:rPr>
          <w:rFonts w:hint="eastAsia" w:ascii="黑体" w:hAnsi="黑体" w:eastAsia="黑体"/>
          <w:sz w:val="30"/>
          <w:szCs w:val="30"/>
          <w:highlight w:val="none"/>
        </w:rPr>
      </w:pPr>
      <w:r>
        <w:rPr>
          <w:rFonts w:hint="eastAsia" w:ascii="黑体" w:hAnsi="黑体" w:eastAsia="黑体"/>
          <w:sz w:val="30"/>
          <w:szCs w:val="30"/>
          <w:highlight w:val="none"/>
          <w:lang w:eastAsia="zh-CN"/>
        </w:rPr>
        <w:t>第四部分</w:t>
      </w:r>
      <w:r>
        <w:rPr>
          <w:rFonts w:hint="eastAsia" w:ascii="楷体" w:hAnsi="楷体" w:eastAsia="楷体"/>
          <w:sz w:val="30"/>
          <w:szCs w:val="30"/>
          <w:highlight w:val="none"/>
          <w:lang w:val="en-US" w:eastAsia="zh-CN"/>
        </w:rPr>
        <w:t xml:space="preserve">  </w:t>
      </w:r>
      <w:r>
        <w:rPr>
          <w:rFonts w:hint="eastAsia" w:ascii="黑体" w:hAnsi="黑体" w:eastAsia="黑体"/>
          <w:sz w:val="30"/>
          <w:szCs w:val="30"/>
          <w:highlight w:val="none"/>
        </w:rPr>
        <w:t>其他重要事项及相关口径情况说明</w:t>
      </w:r>
    </w:p>
    <w:p w14:paraId="289D8C76">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一、</w:t>
      </w:r>
      <w:r>
        <w:rPr>
          <w:rFonts w:hint="eastAsia" w:ascii="楷体" w:hAnsi="楷体" w:eastAsia="楷体"/>
          <w:sz w:val="30"/>
          <w:szCs w:val="30"/>
          <w:highlight w:val="none"/>
        </w:rPr>
        <w:t>机关运行经费支出情况</w:t>
      </w:r>
    </w:p>
    <w:p w14:paraId="60E195C9">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二、</w:t>
      </w:r>
      <w:r>
        <w:rPr>
          <w:rFonts w:hint="eastAsia" w:ascii="楷体" w:hAnsi="楷体" w:eastAsia="楷体"/>
          <w:sz w:val="30"/>
          <w:szCs w:val="30"/>
          <w:highlight w:val="none"/>
        </w:rPr>
        <w:t>国有资产占用情况</w:t>
      </w:r>
    </w:p>
    <w:p w14:paraId="3C28C7DD">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w:t>
      </w:r>
      <w:r>
        <w:rPr>
          <w:rFonts w:hint="eastAsia" w:ascii="楷体" w:hAnsi="楷体" w:eastAsia="楷体"/>
          <w:sz w:val="30"/>
          <w:szCs w:val="30"/>
          <w:highlight w:val="none"/>
        </w:rPr>
        <w:t>政府采购支出情况</w:t>
      </w:r>
    </w:p>
    <w:p w14:paraId="29F54F15">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四、</w:t>
      </w:r>
      <w:r>
        <w:rPr>
          <w:rFonts w:hint="eastAsia" w:ascii="楷体" w:hAnsi="楷体" w:eastAsia="楷体"/>
          <w:sz w:val="30"/>
          <w:szCs w:val="30"/>
          <w:highlight w:val="none"/>
          <w:lang w:val="en-US" w:eastAsia="zh-CN"/>
        </w:rPr>
        <w:t>单位绩效自评情况</w:t>
      </w:r>
    </w:p>
    <w:p w14:paraId="1BF12914">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五、</w:t>
      </w:r>
      <w:r>
        <w:rPr>
          <w:rFonts w:hint="eastAsia" w:ascii="楷体" w:hAnsi="楷体" w:eastAsia="楷体"/>
          <w:sz w:val="30"/>
          <w:szCs w:val="30"/>
          <w:highlight w:val="none"/>
          <w:lang w:val="en-US" w:eastAsia="zh-CN"/>
        </w:rPr>
        <w:t>其他重要事项情况说明</w:t>
      </w:r>
    </w:p>
    <w:p w14:paraId="7DD23BBB">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六、相关口径说明</w:t>
      </w:r>
    </w:p>
    <w:p w14:paraId="575D38AA">
      <w:pPr>
        <w:widowControl/>
        <w:snapToGrid w:val="0"/>
        <w:spacing w:before="100" w:after="100" w:line="360" w:lineRule="auto"/>
        <w:jc w:val="left"/>
        <w:outlineLvl w:val="0"/>
        <w:rPr>
          <w:rFonts w:hint="eastAsia" w:ascii="黑体" w:hAnsi="黑体" w:eastAsia="黑体"/>
          <w:sz w:val="30"/>
          <w:szCs w:val="30"/>
          <w:highlight w:val="none"/>
        </w:rPr>
      </w:pPr>
      <w:r>
        <w:rPr>
          <w:rFonts w:hint="eastAsia" w:ascii="黑体" w:hAnsi="黑体" w:eastAsia="黑体"/>
          <w:sz w:val="30"/>
          <w:szCs w:val="30"/>
          <w:highlight w:val="none"/>
        </w:rPr>
        <w:t>第</w:t>
      </w:r>
      <w:r>
        <w:rPr>
          <w:rFonts w:hint="eastAsia" w:ascii="黑体" w:hAnsi="黑体" w:eastAsia="黑体"/>
          <w:sz w:val="30"/>
          <w:szCs w:val="30"/>
          <w:highlight w:val="none"/>
          <w:lang w:eastAsia="zh-CN"/>
        </w:rPr>
        <w:t>五</w:t>
      </w:r>
      <w:r>
        <w:rPr>
          <w:rFonts w:hint="eastAsia" w:ascii="黑体" w:hAnsi="黑体" w:eastAsia="黑体"/>
          <w:sz w:val="30"/>
          <w:szCs w:val="30"/>
          <w:highlight w:val="none"/>
        </w:rPr>
        <w:t>部分  名词解释</w:t>
      </w:r>
    </w:p>
    <w:p w14:paraId="20120320">
      <w:pPr>
        <w:rPr>
          <w:rFonts w:hint="eastAsia" w:ascii="黑体" w:hAnsi="黑体" w:eastAsia="黑体"/>
          <w:sz w:val="32"/>
          <w:szCs w:val="32"/>
          <w:highlight w:val="none"/>
        </w:rPr>
      </w:pPr>
      <w:r>
        <w:rPr>
          <w:rFonts w:hint="eastAsia" w:ascii="黑体" w:hAnsi="黑体" w:eastAsia="黑体"/>
          <w:sz w:val="32"/>
          <w:szCs w:val="32"/>
          <w:highlight w:val="none"/>
        </w:rPr>
        <w:br w:type="page"/>
      </w:r>
    </w:p>
    <w:p w14:paraId="54CAB678">
      <w:pPr>
        <w:keepNext w:val="0"/>
        <w:keepLines w:val="0"/>
        <w:pageBreakBefore w:val="0"/>
        <w:kinsoku/>
        <w:wordWrap/>
        <w:overflowPunct/>
        <w:topLinePunct w:val="0"/>
        <w:autoSpaceDE/>
        <w:autoSpaceDN/>
        <w:bidi w:val="0"/>
        <w:adjustRightInd/>
        <w:spacing w:line="600" w:lineRule="exact"/>
        <w:jc w:val="center"/>
        <w:textAlignment w:val="auto"/>
        <w:outlineLvl w:val="0"/>
        <w:rPr>
          <w:rFonts w:hint="eastAsia" w:ascii="黑体" w:hAnsi="黑体" w:eastAsia="黑体"/>
          <w:sz w:val="32"/>
          <w:szCs w:val="32"/>
          <w:highlight w:val="none"/>
        </w:rPr>
      </w:pPr>
      <w:r>
        <w:rPr>
          <w:rFonts w:hint="eastAsia" w:ascii="黑体" w:hAnsi="黑体" w:eastAsia="黑体"/>
          <w:sz w:val="32"/>
          <w:szCs w:val="32"/>
          <w:highlight w:val="none"/>
        </w:rPr>
        <w:t xml:space="preserve">第一部分  </w:t>
      </w:r>
      <w:r>
        <w:rPr>
          <w:rFonts w:hint="eastAsia" w:ascii="黑体" w:hAnsi="黑体" w:eastAsia="黑体"/>
          <w:sz w:val="32"/>
          <w:szCs w:val="32"/>
          <w:highlight w:val="none"/>
          <w:lang w:eastAsia="zh-CN"/>
        </w:rPr>
        <w:t>单位</w:t>
      </w:r>
      <w:r>
        <w:rPr>
          <w:rFonts w:hint="eastAsia" w:ascii="黑体" w:hAnsi="黑体" w:eastAsia="黑体"/>
          <w:sz w:val="32"/>
          <w:szCs w:val="32"/>
          <w:highlight w:val="none"/>
        </w:rPr>
        <w:t>概况</w:t>
      </w:r>
    </w:p>
    <w:p w14:paraId="1E904BDC">
      <w:pPr>
        <w:keepNext w:val="0"/>
        <w:keepLines w:val="0"/>
        <w:pageBreakBefore w:val="0"/>
        <w:kinsoku/>
        <w:wordWrap/>
        <w:overflowPunct/>
        <w:topLinePunct w:val="0"/>
        <w:autoSpaceDE/>
        <w:autoSpaceDN/>
        <w:bidi w:val="0"/>
        <w:adjustRightInd/>
        <w:spacing w:line="600" w:lineRule="exact"/>
        <w:ind w:firstLine="600" w:firstLineChars="200"/>
        <w:textAlignment w:val="auto"/>
        <w:outlineLvl w:val="1"/>
        <w:rPr>
          <w:rFonts w:hint="eastAsia" w:ascii="黑体" w:hAnsi="黑体" w:eastAsia="黑体"/>
          <w:sz w:val="30"/>
          <w:szCs w:val="30"/>
          <w:highlight w:val="none"/>
          <w:lang w:eastAsia="zh-CN"/>
        </w:rPr>
      </w:pPr>
      <w:r>
        <w:rPr>
          <w:rFonts w:hint="eastAsia" w:ascii="黑体" w:hAnsi="黑体" w:eastAsia="黑体"/>
          <w:sz w:val="30"/>
          <w:szCs w:val="30"/>
          <w:highlight w:val="none"/>
        </w:rPr>
        <w:t>一、主要</w:t>
      </w:r>
      <w:r>
        <w:rPr>
          <w:rFonts w:hint="eastAsia" w:ascii="黑体" w:hAnsi="黑体" w:eastAsia="黑体"/>
          <w:sz w:val="30"/>
          <w:szCs w:val="30"/>
          <w:highlight w:val="none"/>
          <w:lang w:eastAsia="zh-CN"/>
        </w:rPr>
        <w:t>职责</w:t>
      </w:r>
    </w:p>
    <w:p w14:paraId="786D9589">
      <w:pPr>
        <w:keepNext w:val="0"/>
        <w:keepLines w:val="0"/>
        <w:pageBreakBefore w:val="0"/>
        <w:kinsoku/>
        <w:wordWrap/>
        <w:overflowPunct/>
        <w:topLinePunct w:val="0"/>
        <w:autoSpaceDE/>
        <w:autoSpaceDN/>
        <w:bidi w:val="0"/>
        <w:adjustRightInd/>
        <w:spacing w:line="600" w:lineRule="exact"/>
        <w:ind w:firstLine="600" w:firstLineChars="200"/>
        <w:textAlignment w:val="auto"/>
        <w:rPr>
          <w:rFonts w:hint="eastAsia" w:ascii="仿宋_GB2312" w:hAnsi="Times New Roman" w:eastAsia="仿宋_GB2312" w:cs="Times New Roman"/>
          <w:sz w:val="30"/>
          <w:szCs w:val="30"/>
          <w:highlight w:val="none"/>
          <w:lang w:val="en-US" w:eastAsia="zh-CN"/>
        </w:rPr>
      </w:pPr>
      <w:r>
        <w:rPr>
          <w:rFonts w:hint="eastAsia" w:ascii="仿宋_GB2312" w:hAnsi="Times New Roman" w:eastAsia="仿宋_GB2312" w:cs="Times New Roman"/>
          <w:sz w:val="30"/>
          <w:szCs w:val="30"/>
          <w:highlight w:val="none"/>
          <w:lang w:val="en-US" w:eastAsia="zh-CN"/>
        </w:rPr>
        <w:t>玉溪市卫生健康委员会卫生监督局为玉溪市卫生健康委员会直属参照公务员法管理事业单位，为独立编制机构、独立核算机构；机构规格：副处级；单位类别：公益一类；经费形式：财政全额拨款。主要职责：</w:t>
      </w:r>
    </w:p>
    <w:p w14:paraId="2BF86E35">
      <w:pPr>
        <w:keepNext w:val="0"/>
        <w:keepLines w:val="0"/>
        <w:pageBreakBefore w:val="0"/>
        <w:kinsoku/>
        <w:wordWrap/>
        <w:overflowPunct/>
        <w:topLinePunct w:val="0"/>
        <w:autoSpaceDE/>
        <w:autoSpaceDN/>
        <w:bidi w:val="0"/>
        <w:adjustRightInd/>
        <w:spacing w:line="600" w:lineRule="exact"/>
        <w:ind w:firstLine="600" w:firstLineChars="200"/>
        <w:textAlignment w:val="auto"/>
        <w:rPr>
          <w:rFonts w:hint="eastAsia" w:ascii="仿宋_GB2312" w:hAnsi="Times New Roman" w:eastAsia="仿宋_GB2312" w:cs="Times New Roman"/>
          <w:sz w:val="30"/>
          <w:szCs w:val="30"/>
          <w:highlight w:val="none"/>
          <w:lang w:val="en-US" w:eastAsia="zh-CN"/>
        </w:rPr>
      </w:pPr>
      <w:r>
        <w:rPr>
          <w:rFonts w:hint="eastAsia" w:ascii="仿宋_GB2312" w:hAnsi="Times New Roman" w:eastAsia="仿宋_GB2312" w:cs="Times New Roman"/>
          <w:sz w:val="30"/>
          <w:szCs w:val="30"/>
          <w:highlight w:val="none"/>
          <w:lang w:val="en-US" w:eastAsia="zh-CN"/>
        </w:rPr>
        <w:t>一是在市委、市政府和市卫生和计划生育委员会的领导下，在省卫生监督机构的指导下，受市卫生和计划生育委员会委托，依照国家法律、法规，行使全市卫生和计划生育监督执法职责；组织实施全市卫生和计划生育监督工作计划，并对下级卫生和计划生育监督工作进行监督、检查和指导。</w:t>
      </w:r>
    </w:p>
    <w:p w14:paraId="5B00F122">
      <w:pPr>
        <w:keepNext w:val="0"/>
        <w:keepLines w:val="0"/>
        <w:pageBreakBefore w:val="0"/>
        <w:kinsoku/>
        <w:wordWrap/>
        <w:overflowPunct/>
        <w:topLinePunct w:val="0"/>
        <w:autoSpaceDE/>
        <w:autoSpaceDN/>
        <w:bidi w:val="0"/>
        <w:adjustRightInd/>
        <w:spacing w:line="600" w:lineRule="exact"/>
        <w:ind w:firstLine="600" w:firstLineChars="200"/>
        <w:textAlignment w:val="auto"/>
        <w:rPr>
          <w:rFonts w:hint="eastAsia" w:ascii="仿宋_GB2312" w:hAnsi="Times New Roman" w:eastAsia="仿宋_GB2312" w:cs="Times New Roman"/>
          <w:sz w:val="30"/>
          <w:szCs w:val="30"/>
          <w:highlight w:val="none"/>
          <w:lang w:val="en-US" w:eastAsia="zh-CN"/>
        </w:rPr>
      </w:pPr>
      <w:r>
        <w:rPr>
          <w:rFonts w:hint="eastAsia" w:ascii="仿宋_GB2312" w:hAnsi="Times New Roman" w:eastAsia="仿宋_GB2312" w:cs="Times New Roman"/>
          <w:sz w:val="30"/>
          <w:szCs w:val="30"/>
          <w:highlight w:val="none"/>
          <w:lang w:val="en-US" w:eastAsia="zh-CN"/>
        </w:rPr>
        <w:t>二是依法开展公共场所卫生、饮用水卫生、消毒产品卫生、学校卫生、放射卫生、医疗卫生和传染病防治的日常监督管理。</w:t>
      </w:r>
    </w:p>
    <w:p w14:paraId="33869529">
      <w:pPr>
        <w:keepNext w:val="0"/>
        <w:keepLines w:val="0"/>
        <w:pageBreakBefore w:val="0"/>
        <w:kinsoku/>
        <w:wordWrap/>
        <w:overflowPunct/>
        <w:topLinePunct w:val="0"/>
        <w:autoSpaceDE/>
        <w:autoSpaceDN/>
        <w:bidi w:val="0"/>
        <w:adjustRightInd/>
        <w:spacing w:line="600" w:lineRule="exact"/>
        <w:ind w:firstLine="600" w:firstLineChars="200"/>
        <w:textAlignment w:val="auto"/>
        <w:rPr>
          <w:rFonts w:hint="eastAsia" w:ascii="仿宋_GB2312" w:hAnsi="Times New Roman" w:eastAsia="仿宋_GB2312" w:cs="Times New Roman"/>
          <w:sz w:val="30"/>
          <w:szCs w:val="30"/>
          <w:highlight w:val="none"/>
          <w:lang w:val="en-US" w:eastAsia="zh-CN"/>
        </w:rPr>
      </w:pPr>
      <w:r>
        <w:rPr>
          <w:rFonts w:hint="eastAsia" w:ascii="仿宋_GB2312" w:hAnsi="Times New Roman" w:eastAsia="仿宋_GB2312" w:cs="Times New Roman"/>
          <w:sz w:val="30"/>
          <w:szCs w:val="30"/>
          <w:highlight w:val="none"/>
          <w:lang w:val="en-US" w:eastAsia="zh-CN"/>
        </w:rPr>
        <w:t>三是依法受理和审核涉水产品、消毒产品等与健康相关的产品及其生产、加工、经营场所和公共场所、放射工作场所、供水单位、医疗机构、母婴保健技术服务机构设置以及相关从业人员的卫生行政许可申请。</w:t>
      </w:r>
    </w:p>
    <w:p w14:paraId="2F0D166F">
      <w:pPr>
        <w:keepNext w:val="0"/>
        <w:keepLines w:val="0"/>
        <w:pageBreakBefore w:val="0"/>
        <w:kinsoku/>
        <w:wordWrap/>
        <w:overflowPunct/>
        <w:topLinePunct w:val="0"/>
        <w:autoSpaceDE/>
        <w:autoSpaceDN/>
        <w:bidi w:val="0"/>
        <w:adjustRightInd/>
        <w:spacing w:line="600" w:lineRule="exact"/>
        <w:ind w:firstLine="600" w:firstLineChars="200"/>
        <w:textAlignment w:val="auto"/>
        <w:rPr>
          <w:rFonts w:hint="eastAsia" w:ascii="仿宋_GB2312" w:hAnsi="Times New Roman" w:eastAsia="仿宋_GB2312" w:cs="Times New Roman"/>
          <w:sz w:val="30"/>
          <w:szCs w:val="30"/>
          <w:highlight w:val="none"/>
          <w:lang w:val="en-US" w:eastAsia="zh-CN"/>
        </w:rPr>
      </w:pPr>
      <w:r>
        <w:rPr>
          <w:rFonts w:hint="eastAsia" w:ascii="仿宋_GB2312" w:hAnsi="Times New Roman" w:eastAsia="仿宋_GB2312" w:cs="Times New Roman"/>
          <w:sz w:val="30"/>
          <w:szCs w:val="30"/>
          <w:highlight w:val="none"/>
          <w:lang w:val="en-US" w:eastAsia="zh-CN"/>
        </w:rPr>
        <w:t>四是依法对新建、改建、扩建工程建设项目的选址、设计进行卫生审查、预防性评价、控制效果评价和工程竣工验收。</w:t>
      </w:r>
    </w:p>
    <w:p w14:paraId="6E21ACED">
      <w:pPr>
        <w:keepNext w:val="0"/>
        <w:keepLines w:val="0"/>
        <w:pageBreakBefore w:val="0"/>
        <w:kinsoku/>
        <w:wordWrap/>
        <w:overflowPunct/>
        <w:topLinePunct w:val="0"/>
        <w:autoSpaceDE/>
        <w:autoSpaceDN/>
        <w:bidi w:val="0"/>
        <w:adjustRightInd/>
        <w:spacing w:line="600" w:lineRule="exact"/>
        <w:ind w:firstLine="600" w:firstLineChars="200"/>
        <w:textAlignment w:val="auto"/>
        <w:rPr>
          <w:rFonts w:hint="eastAsia" w:ascii="仿宋_GB2312" w:hAnsi="Times New Roman" w:eastAsia="仿宋_GB2312" w:cs="Times New Roman"/>
          <w:sz w:val="30"/>
          <w:szCs w:val="30"/>
          <w:highlight w:val="none"/>
          <w:lang w:val="en-US" w:eastAsia="zh-CN"/>
        </w:rPr>
      </w:pPr>
      <w:r>
        <w:rPr>
          <w:rFonts w:hint="eastAsia" w:ascii="仿宋_GB2312" w:hAnsi="Times New Roman" w:eastAsia="仿宋_GB2312" w:cs="Times New Roman"/>
          <w:sz w:val="30"/>
          <w:szCs w:val="30"/>
          <w:highlight w:val="none"/>
          <w:lang w:val="en-US" w:eastAsia="zh-CN"/>
        </w:rPr>
        <w:t>五是依法查处各种违反卫生法律、法规的行为，开展健康相关产品的抽检和公告，打击假冒伪劣产品。</w:t>
      </w:r>
    </w:p>
    <w:p w14:paraId="1145BC71">
      <w:pPr>
        <w:keepNext w:val="0"/>
        <w:keepLines w:val="0"/>
        <w:pageBreakBefore w:val="0"/>
        <w:kinsoku/>
        <w:wordWrap/>
        <w:overflowPunct/>
        <w:topLinePunct w:val="0"/>
        <w:autoSpaceDE/>
        <w:autoSpaceDN/>
        <w:bidi w:val="0"/>
        <w:adjustRightInd/>
        <w:spacing w:line="600" w:lineRule="exact"/>
        <w:ind w:firstLine="600" w:firstLineChars="200"/>
        <w:textAlignment w:val="auto"/>
        <w:rPr>
          <w:rFonts w:hint="eastAsia" w:ascii="仿宋_GB2312" w:hAnsi="Times New Roman" w:eastAsia="仿宋_GB2312" w:cs="Times New Roman"/>
          <w:sz w:val="30"/>
          <w:szCs w:val="30"/>
          <w:highlight w:val="none"/>
          <w:lang w:val="en-US" w:eastAsia="zh-CN"/>
        </w:rPr>
      </w:pPr>
      <w:r>
        <w:rPr>
          <w:rFonts w:hint="eastAsia" w:ascii="仿宋_GB2312" w:hAnsi="Times New Roman" w:eastAsia="仿宋_GB2312" w:cs="Times New Roman"/>
          <w:sz w:val="30"/>
          <w:szCs w:val="30"/>
          <w:highlight w:val="none"/>
          <w:lang w:val="en-US" w:eastAsia="zh-CN"/>
        </w:rPr>
        <w:t>六是依法对饮用水污染事故、医院感染事故等突发性卫生事件进行调查处理，对餐饮具集中消毒单位进行监督管理。</w:t>
      </w:r>
    </w:p>
    <w:p w14:paraId="5B29D014">
      <w:pPr>
        <w:keepNext w:val="0"/>
        <w:keepLines w:val="0"/>
        <w:pageBreakBefore w:val="0"/>
        <w:kinsoku/>
        <w:wordWrap/>
        <w:overflowPunct/>
        <w:topLinePunct w:val="0"/>
        <w:autoSpaceDE/>
        <w:autoSpaceDN/>
        <w:bidi w:val="0"/>
        <w:adjustRightInd/>
        <w:spacing w:line="600" w:lineRule="exact"/>
        <w:ind w:firstLine="600" w:firstLineChars="200"/>
        <w:textAlignment w:val="auto"/>
        <w:rPr>
          <w:rFonts w:hint="eastAsia" w:ascii="仿宋_GB2312" w:hAnsi="Times New Roman" w:eastAsia="仿宋_GB2312" w:cs="Times New Roman"/>
          <w:sz w:val="30"/>
          <w:szCs w:val="30"/>
          <w:highlight w:val="none"/>
          <w:lang w:val="en-US" w:eastAsia="zh-CN"/>
        </w:rPr>
      </w:pPr>
      <w:r>
        <w:rPr>
          <w:rFonts w:hint="eastAsia" w:ascii="仿宋_GB2312" w:hAnsi="Times New Roman" w:eastAsia="仿宋_GB2312" w:cs="Times New Roman"/>
          <w:sz w:val="30"/>
          <w:szCs w:val="30"/>
          <w:highlight w:val="none"/>
          <w:lang w:val="en-US" w:eastAsia="zh-CN"/>
        </w:rPr>
        <w:t>七是负责辖区内职业健康检查机构、职业病诊断机构的监督检查工作。</w:t>
      </w:r>
    </w:p>
    <w:p w14:paraId="3F01D6CB">
      <w:pPr>
        <w:keepNext w:val="0"/>
        <w:keepLines w:val="0"/>
        <w:pageBreakBefore w:val="0"/>
        <w:kinsoku/>
        <w:wordWrap/>
        <w:overflowPunct/>
        <w:topLinePunct w:val="0"/>
        <w:autoSpaceDE/>
        <w:autoSpaceDN/>
        <w:bidi w:val="0"/>
        <w:adjustRightInd/>
        <w:spacing w:line="600" w:lineRule="exact"/>
        <w:ind w:firstLine="600" w:firstLineChars="200"/>
        <w:textAlignment w:val="auto"/>
        <w:rPr>
          <w:rFonts w:hint="eastAsia" w:ascii="仿宋_GB2312" w:hAnsi="Times New Roman" w:eastAsia="仿宋_GB2312" w:cs="Times New Roman"/>
          <w:sz w:val="30"/>
          <w:szCs w:val="30"/>
          <w:highlight w:val="none"/>
          <w:lang w:val="en-US" w:eastAsia="zh-CN"/>
        </w:rPr>
      </w:pPr>
      <w:r>
        <w:rPr>
          <w:rFonts w:hint="eastAsia" w:ascii="仿宋_GB2312" w:hAnsi="Times New Roman" w:eastAsia="仿宋_GB2312" w:cs="Times New Roman"/>
          <w:sz w:val="30"/>
          <w:szCs w:val="30"/>
          <w:highlight w:val="none"/>
          <w:lang w:val="en-US" w:eastAsia="zh-CN"/>
        </w:rPr>
        <w:t>八是负责食品安全国家标准跟踪评价和食品安全风险监测评估，组织开展本行政区域综合监督机构食品安全工作的督导、检查和考核。</w:t>
      </w:r>
    </w:p>
    <w:p w14:paraId="04BA3411">
      <w:pPr>
        <w:keepNext w:val="0"/>
        <w:keepLines w:val="0"/>
        <w:pageBreakBefore w:val="0"/>
        <w:kinsoku/>
        <w:wordWrap/>
        <w:overflowPunct/>
        <w:topLinePunct w:val="0"/>
        <w:autoSpaceDE/>
        <w:autoSpaceDN/>
        <w:bidi w:val="0"/>
        <w:adjustRightInd/>
        <w:spacing w:line="600" w:lineRule="exact"/>
        <w:ind w:firstLine="600" w:firstLineChars="200"/>
        <w:textAlignment w:val="auto"/>
        <w:rPr>
          <w:rFonts w:hint="eastAsia" w:ascii="仿宋_GB2312" w:hAnsi="Times New Roman" w:eastAsia="仿宋_GB2312" w:cs="Times New Roman"/>
          <w:sz w:val="30"/>
          <w:szCs w:val="30"/>
          <w:highlight w:val="none"/>
          <w:lang w:val="en-US" w:eastAsia="zh-CN"/>
        </w:rPr>
      </w:pPr>
      <w:r>
        <w:rPr>
          <w:rFonts w:hint="eastAsia" w:ascii="仿宋_GB2312" w:hAnsi="Times New Roman" w:eastAsia="仿宋_GB2312" w:cs="Times New Roman"/>
          <w:sz w:val="30"/>
          <w:szCs w:val="30"/>
          <w:highlight w:val="none"/>
          <w:lang w:val="en-US" w:eastAsia="zh-CN"/>
        </w:rPr>
        <w:t>九是负责各类医疗机构的校验，执业医师和执业护士的注册登记和变更；依法对发放《出生医学证明》的机构进行监督管理。</w:t>
      </w:r>
    </w:p>
    <w:p w14:paraId="6CA253B0">
      <w:pPr>
        <w:keepNext w:val="0"/>
        <w:keepLines w:val="0"/>
        <w:pageBreakBefore w:val="0"/>
        <w:kinsoku/>
        <w:wordWrap/>
        <w:overflowPunct/>
        <w:topLinePunct w:val="0"/>
        <w:autoSpaceDE/>
        <w:autoSpaceDN/>
        <w:bidi w:val="0"/>
        <w:adjustRightInd/>
        <w:spacing w:line="600" w:lineRule="exact"/>
        <w:ind w:firstLine="600" w:firstLineChars="200"/>
        <w:textAlignment w:val="auto"/>
        <w:rPr>
          <w:rFonts w:hint="eastAsia" w:ascii="仿宋_GB2312" w:hAnsi="Times New Roman" w:eastAsia="仿宋_GB2312" w:cs="Times New Roman"/>
          <w:sz w:val="30"/>
          <w:szCs w:val="30"/>
          <w:highlight w:val="none"/>
          <w:lang w:val="en-US" w:eastAsia="zh-CN"/>
        </w:rPr>
      </w:pPr>
      <w:r>
        <w:rPr>
          <w:rFonts w:hint="eastAsia" w:ascii="仿宋_GB2312" w:hAnsi="Times New Roman" w:eastAsia="仿宋_GB2312" w:cs="Times New Roman"/>
          <w:sz w:val="30"/>
          <w:szCs w:val="30"/>
          <w:highlight w:val="none"/>
          <w:lang w:val="en-US" w:eastAsia="zh-CN"/>
        </w:rPr>
        <w:t>十是负责卫生执法稽查工作；组织和开展全市经营性和预防性的卫生监督检查，定期公告监督检查结果；收集、整理卫生监督信息，为有关部门决策提供依据。</w:t>
      </w:r>
    </w:p>
    <w:p w14:paraId="79909625">
      <w:pPr>
        <w:keepNext w:val="0"/>
        <w:keepLines w:val="0"/>
        <w:pageBreakBefore w:val="0"/>
        <w:kinsoku/>
        <w:wordWrap/>
        <w:overflowPunct/>
        <w:topLinePunct w:val="0"/>
        <w:autoSpaceDE/>
        <w:autoSpaceDN/>
        <w:bidi w:val="0"/>
        <w:adjustRightInd/>
        <w:spacing w:line="600" w:lineRule="exact"/>
        <w:ind w:firstLine="600" w:firstLineChars="200"/>
        <w:textAlignment w:val="auto"/>
        <w:rPr>
          <w:rFonts w:hint="eastAsia" w:ascii="仿宋_GB2312" w:hAnsi="Times New Roman" w:eastAsia="仿宋_GB2312" w:cs="Times New Roman"/>
          <w:sz w:val="30"/>
          <w:szCs w:val="30"/>
          <w:highlight w:val="none"/>
          <w:lang w:val="en-US" w:eastAsia="zh-CN"/>
        </w:rPr>
      </w:pPr>
      <w:r>
        <w:rPr>
          <w:rFonts w:hint="eastAsia" w:ascii="仿宋_GB2312" w:hAnsi="Times New Roman" w:eastAsia="仿宋_GB2312" w:cs="Times New Roman"/>
          <w:sz w:val="30"/>
          <w:szCs w:val="30"/>
          <w:highlight w:val="none"/>
          <w:lang w:val="en-US" w:eastAsia="zh-CN"/>
        </w:rPr>
        <w:t>十一是负责卫生监督员的业务培训和管理相对人的卫生知识、法律法规培训工作；开展卫生法律、法规知识的宣传和咨询；负责卫生违法行为投诉、举报的受理和查处。</w:t>
      </w:r>
    </w:p>
    <w:p w14:paraId="6BBE39C3">
      <w:pPr>
        <w:keepNext w:val="0"/>
        <w:keepLines w:val="0"/>
        <w:pageBreakBefore w:val="0"/>
        <w:kinsoku/>
        <w:wordWrap/>
        <w:overflowPunct/>
        <w:topLinePunct w:val="0"/>
        <w:autoSpaceDE/>
        <w:autoSpaceDN/>
        <w:bidi w:val="0"/>
        <w:adjustRightInd/>
        <w:spacing w:line="600" w:lineRule="exact"/>
        <w:ind w:firstLine="600" w:firstLineChars="200"/>
        <w:textAlignment w:val="auto"/>
        <w:rPr>
          <w:rFonts w:hint="eastAsia" w:ascii="仿宋_GB2312" w:hAnsi="Times New Roman" w:eastAsia="仿宋_GB2312" w:cs="Times New Roman"/>
          <w:sz w:val="30"/>
          <w:szCs w:val="30"/>
          <w:highlight w:val="none"/>
          <w:lang w:val="en-US" w:eastAsia="zh-CN"/>
        </w:rPr>
      </w:pPr>
      <w:r>
        <w:rPr>
          <w:rFonts w:hint="eastAsia" w:ascii="仿宋_GB2312" w:hAnsi="Times New Roman" w:eastAsia="仿宋_GB2312" w:cs="Times New Roman"/>
          <w:sz w:val="30"/>
          <w:szCs w:val="30"/>
          <w:highlight w:val="none"/>
          <w:lang w:val="en-US" w:eastAsia="zh-CN"/>
        </w:rPr>
        <w:t>十二是贯彻执行国家人口和计划生育的政策和法律法规，对流动人口家庭执行计划生育政策和法律法规情况进行监督检查。</w:t>
      </w:r>
    </w:p>
    <w:p w14:paraId="31020B25">
      <w:pPr>
        <w:keepNext w:val="0"/>
        <w:keepLines w:val="0"/>
        <w:pageBreakBefore w:val="0"/>
        <w:kinsoku/>
        <w:wordWrap/>
        <w:overflowPunct/>
        <w:topLinePunct w:val="0"/>
        <w:autoSpaceDE/>
        <w:autoSpaceDN/>
        <w:bidi w:val="0"/>
        <w:adjustRightInd/>
        <w:spacing w:line="600" w:lineRule="exact"/>
        <w:ind w:firstLine="600" w:firstLineChars="200"/>
        <w:textAlignment w:val="auto"/>
        <w:rPr>
          <w:rFonts w:hint="eastAsia" w:ascii="仿宋_GB2312" w:hAnsi="Times New Roman" w:eastAsia="仿宋_GB2312" w:cs="Times New Roman"/>
          <w:sz w:val="30"/>
          <w:szCs w:val="30"/>
          <w:highlight w:val="none"/>
          <w:lang w:val="en-US" w:eastAsia="zh-CN"/>
        </w:rPr>
      </w:pPr>
      <w:r>
        <w:rPr>
          <w:rFonts w:hint="eastAsia" w:ascii="仿宋_GB2312" w:hAnsi="Times New Roman" w:eastAsia="仿宋_GB2312" w:cs="Times New Roman"/>
          <w:sz w:val="30"/>
          <w:szCs w:val="30"/>
          <w:highlight w:val="none"/>
          <w:lang w:val="en-US" w:eastAsia="zh-CN"/>
        </w:rPr>
        <w:t>十三是督促指导基层及时查处流动人口计划生育违法生育案件，依法征收社会抚养费。</w:t>
      </w:r>
    </w:p>
    <w:p w14:paraId="31159007">
      <w:pPr>
        <w:keepNext w:val="0"/>
        <w:keepLines w:val="0"/>
        <w:pageBreakBefore w:val="0"/>
        <w:kinsoku/>
        <w:wordWrap/>
        <w:overflowPunct/>
        <w:topLinePunct w:val="0"/>
        <w:autoSpaceDE/>
        <w:autoSpaceDN/>
        <w:bidi w:val="0"/>
        <w:adjustRightInd/>
        <w:spacing w:line="600" w:lineRule="exact"/>
        <w:ind w:firstLine="600" w:firstLineChars="200"/>
        <w:textAlignment w:val="auto"/>
        <w:rPr>
          <w:rFonts w:hint="eastAsia" w:ascii="仿宋_GB2312" w:hAnsi="Times New Roman" w:eastAsia="仿宋_GB2312" w:cs="Times New Roman"/>
          <w:sz w:val="30"/>
          <w:szCs w:val="30"/>
          <w:highlight w:val="none"/>
          <w:lang w:val="en-US" w:eastAsia="zh-CN"/>
        </w:rPr>
      </w:pPr>
      <w:r>
        <w:rPr>
          <w:rFonts w:hint="eastAsia" w:ascii="仿宋_GB2312" w:hAnsi="Times New Roman" w:eastAsia="仿宋_GB2312" w:cs="Times New Roman"/>
          <w:sz w:val="30"/>
          <w:szCs w:val="30"/>
          <w:highlight w:val="none"/>
          <w:lang w:val="en-US" w:eastAsia="zh-CN"/>
        </w:rPr>
        <w:t>十四是完成玉溪市卫生和计划生育委员会交办的其他工作。</w:t>
      </w:r>
    </w:p>
    <w:p w14:paraId="0280C5DA">
      <w:pPr>
        <w:keepNext w:val="0"/>
        <w:keepLines w:val="0"/>
        <w:pageBreakBefore w:val="0"/>
        <w:kinsoku/>
        <w:wordWrap/>
        <w:overflowPunct/>
        <w:topLinePunct w:val="0"/>
        <w:autoSpaceDE/>
        <w:autoSpaceDN/>
        <w:bidi w:val="0"/>
        <w:adjustRightInd/>
        <w:spacing w:line="600" w:lineRule="exact"/>
        <w:ind w:firstLine="600" w:firstLineChars="200"/>
        <w:textAlignment w:val="auto"/>
        <w:outlineLvl w:val="1"/>
        <w:rPr>
          <w:rFonts w:hint="eastAsia" w:ascii="黑体" w:hAnsi="黑体" w:eastAsia="黑体"/>
          <w:sz w:val="30"/>
          <w:szCs w:val="30"/>
          <w:highlight w:val="none"/>
        </w:rPr>
      </w:pPr>
      <w:r>
        <w:rPr>
          <w:rFonts w:hint="eastAsia" w:ascii="黑体" w:hAnsi="黑体" w:eastAsia="黑体"/>
          <w:sz w:val="30"/>
          <w:szCs w:val="30"/>
          <w:highlight w:val="none"/>
        </w:rPr>
        <w:t>二、基本情况</w:t>
      </w:r>
    </w:p>
    <w:p w14:paraId="7C8840E2">
      <w:pPr>
        <w:keepNext w:val="0"/>
        <w:keepLines w:val="0"/>
        <w:pageBreakBefore w:val="0"/>
        <w:kinsoku/>
        <w:wordWrap/>
        <w:overflowPunct/>
        <w:topLinePunct w:val="0"/>
        <w:autoSpaceDE/>
        <w:autoSpaceDN/>
        <w:bidi w:val="0"/>
        <w:adjustRightInd/>
        <w:spacing w:line="600" w:lineRule="exact"/>
        <w:ind w:firstLine="600" w:firstLineChars="200"/>
        <w:textAlignment w:val="auto"/>
        <w:outlineLvl w:val="2"/>
        <w:rPr>
          <w:rFonts w:hint="eastAsia" w:ascii="楷体" w:hAnsi="楷体" w:eastAsia="楷体"/>
          <w:sz w:val="30"/>
          <w:szCs w:val="30"/>
          <w:highlight w:val="none"/>
        </w:rPr>
      </w:pPr>
      <w:r>
        <w:rPr>
          <w:rFonts w:hint="eastAsia" w:ascii="楷体" w:hAnsi="楷体" w:eastAsia="楷体"/>
          <w:sz w:val="30"/>
          <w:szCs w:val="30"/>
          <w:highlight w:val="none"/>
        </w:rPr>
        <w:t>（一）机构设置情况</w:t>
      </w:r>
    </w:p>
    <w:p w14:paraId="04F407E0">
      <w:pPr>
        <w:keepNext w:val="0"/>
        <w:keepLines w:val="0"/>
        <w:pageBreakBefore w:val="0"/>
        <w:kinsoku/>
        <w:wordWrap/>
        <w:overflowPunct/>
        <w:topLinePunct w:val="0"/>
        <w:autoSpaceDE/>
        <w:autoSpaceDN/>
        <w:bidi w:val="0"/>
        <w:adjustRightInd/>
        <w:spacing w:line="600" w:lineRule="exact"/>
        <w:ind w:firstLine="600" w:firstLineChars="200"/>
        <w:textAlignment w:val="auto"/>
        <w:rPr>
          <w:rFonts w:hint="eastAsia" w:ascii="仿宋_GB2312" w:hAnsi="Times New Roman" w:eastAsia="仿宋_GB2312" w:cs="Times New Roman"/>
          <w:sz w:val="30"/>
          <w:szCs w:val="30"/>
          <w:highlight w:val="none"/>
          <w:lang w:val="en-US" w:eastAsia="zh-CN"/>
        </w:rPr>
      </w:pPr>
      <w:r>
        <w:rPr>
          <w:rFonts w:hint="eastAsia" w:ascii="仿宋_GB2312" w:hAnsi="Times New Roman" w:eastAsia="仿宋_GB2312" w:cs="Times New Roman"/>
          <w:sz w:val="30"/>
          <w:szCs w:val="30"/>
          <w:highlight w:val="none"/>
          <w:lang w:val="en-US" w:eastAsia="zh-CN"/>
        </w:rPr>
        <w:t>我单位</w:t>
      </w:r>
      <w:r>
        <w:rPr>
          <w:rFonts w:hint="default" w:ascii="仿宋_GB2312" w:hAnsi="Times New Roman" w:eastAsia="仿宋_GB2312" w:cs="Times New Roman"/>
          <w:sz w:val="30"/>
          <w:szCs w:val="30"/>
          <w:highlight w:val="none"/>
          <w:lang w:val="en-US" w:eastAsia="zh-CN"/>
        </w:rPr>
        <w:t>共设置7个内设机构，包括：办公室、信息许可受理科、法制稽查科、医疗卫生监督科、生活饮用水与食品卫生监督科、职业与放射卫生监督科、学校与公共场所卫生监督科</w:t>
      </w:r>
      <w:r>
        <w:rPr>
          <w:rFonts w:hint="eastAsia" w:ascii="仿宋_GB2312" w:hAnsi="Times New Roman" w:eastAsia="仿宋_GB2312" w:cs="Times New Roman"/>
          <w:sz w:val="30"/>
          <w:szCs w:val="30"/>
          <w:highlight w:val="none"/>
          <w:lang w:val="en-US" w:eastAsia="zh-CN"/>
        </w:rPr>
        <w:t>。</w:t>
      </w:r>
    </w:p>
    <w:p w14:paraId="6089988E">
      <w:pPr>
        <w:keepNext w:val="0"/>
        <w:keepLines w:val="0"/>
        <w:pageBreakBefore w:val="0"/>
        <w:kinsoku/>
        <w:wordWrap/>
        <w:overflowPunct/>
        <w:topLinePunct w:val="0"/>
        <w:autoSpaceDE/>
        <w:autoSpaceDN/>
        <w:bidi w:val="0"/>
        <w:adjustRightInd/>
        <w:spacing w:line="600" w:lineRule="exact"/>
        <w:ind w:firstLine="600" w:firstLineChars="200"/>
        <w:textAlignment w:val="auto"/>
        <w:rPr>
          <w:rFonts w:hint="eastAsia" w:ascii="仿宋_GB2312" w:hAnsi="Times New Roman" w:eastAsia="仿宋_GB2312" w:cs="Times New Roman"/>
          <w:sz w:val="30"/>
          <w:szCs w:val="30"/>
          <w:highlight w:val="none"/>
          <w:lang w:val="en-US" w:eastAsia="zh-CN"/>
        </w:rPr>
      </w:pPr>
      <w:r>
        <w:rPr>
          <w:rFonts w:hint="eastAsia" w:ascii="仿宋_GB2312" w:hAnsi="Times New Roman" w:eastAsia="仿宋_GB2312" w:cs="Times New Roman"/>
          <w:sz w:val="30"/>
          <w:szCs w:val="30"/>
          <w:highlight w:val="none"/>
          <w:lang w:val="en-US" w:eastAsia="zh-CN"/>
        </w:rPr>
        <w:t>我单位为基层预算单位，无下属单位。</w:t>
      </w:r>
    </w:p>
    <w:p w14:paraId="7DD6DBB9">
      <w:pPr>
        <w:keepNext w:val="0"/>
        <w:keepLines w:val="0"/>
        <w:pageBreakBefore w:val="0"/>
        <w:kinsoku/>
        <w:wordWrap/>
        <w:overflowPunct/>
        <w:topLinePunct w:val="0"/>
        <w:autoSpaceDE/>
        <w:autoSpaceDN/>
        <w:bidi w:val="0"/>
        <w:adjustRightInd/>
        <w:spacing w:line="600" w:lineRule="exact"/>
        <w:ind w:firstLine="600" w:firstLineChars="200"/>
        <w:textAlignment w:val="auto"/>
        <w:outlineLvl w:val="2"/>
        <w:rPr>
          <w:rFonts w:hint="eastAsia" w:ascii="楷体" w:hAnsi="楷体" w:eastAsia="楷体"/>
          <w:sz w:val="30"/>
          <w:szCs w:val="30"/>
          <w:highlight w:val="none"/>
        </w:rPr>
      </w:pPr>
      <w:r>
        <w:rPr>
          <w:rFonts w:hint="eastAsia" w:ascii="楷体" w:hAnsi="楷体" w:eastAsia="楷体"/>
          <w:sz w:val="30"/>
          <w:szCs w:val="30"/>
          <w:highlight w:val="none"/>
          <w:lang w:eastAsia="zh-CN"/>
        </w:rPr>
        <w:t>（二）</w:t>
      </w:r>
      <w:r>
        <w:rPr>
          <w:rFonts w:hint="eastAsia" w:ascii="楷体" w:hAnsi="楷体" w:eastAsia="楷体"/>
          <w:sz w:val="30"/>
          <w:szCs w:val="30"/>
          <w:highlight w:val="none"/>
        </w:rPr>
        <w:t>决算单位构成</w:t>
      </w:r>
    </w:p>
    <w:p w14:paraId="1C9271EB">
      <w:pPr>
        <w:keepNext w:val="0"/>
        <w:keepLines w:val="0"/>
        <w:pageBreakBefore w:val="0"/>
        <w:kinsoku/>
        <w:wordWrap/>
        <w:overflowPunct/>
        <w:topLinePunct w:val="0"/>
        <w:autoSpaceDE/>
        <w:autoSpaceDN/>
        <w:bidi w:val="0"/>
        <w:adjustRightInd/>
        <w:spacing w:line="600" w:lineRule="exact"/>
        <w:ind w:firstLine="600" w:firstLineChars="200"/>
        <w:textAlignment w:val="auto"/>
        <w:rPr>
          <w:rFonts w:hint="eastAsia" w:ascii="仿宋_GB2312" w:hAnsi="Times New Roman" w:eastAsia="仿宋_GB2312" w:cs="Times New Roman"/>
          <w:sz w:val="30"/>
          <w:szCs w:val="30"/>
          <w:highlight w:val="none"/>
          <w:lang w:val="en-US" w:eastAsia="zh-CN"/>
        </w:rPr>
      </w:pPr>
      <w:r>
        <w:rPr>
          <w:rFonts w:hint="eastAsia" w:ascii="仿宋_GB2312" w:hAnsi="Times New Roman" w:eastAsia="仿宋_GB2312" w:cs="Times New Roman"/>
          <w:sz w:val="30"/>
          <w:szCs w:val="30"/>
          <w:highlight w:val="none"/>
          <w:lang w:val="en-US" w:eastAsia="zh-CN"/>
        </w:rPr>
        <w:t>我单位作为玉溪市卫生健康委员会的二级预算单位纳入2025年度部门决算编报范围。</w:t>
      </w:r>
    </w:p>
    <w:p w14:paraId="49B4D232">
      <w:pPr>
        <w:keepNext w:val="0"/>
        <w:keepLines w:val="0"/>
        <w:pageBreakBefore w:val="0"/>
        <w:kinsoku/>
        <w:wordWrap/>
        <w:overflowPunct/>
        <w:topLinePunct w:val="0"/>
        <w:autoSpaceDE/>
        <w:autoSpaceDN/>
        <w:bidi w:val="0"/>
        <w:adjustRightInd/>
        <w:spacing w:line="600" w:lineRule="exact"/>
        <w:ind w:firstLine="600" w:firstLineChars="200"/>
        <w:textAlignment w:val="auto"/>
        <w:outlineLvl w:val="2"/>
        <w:rPr>
          <w:rFonts w:hint="eastAsia" w:ascii="楷体" w:hAnsi="楷体" w:eastAsia="楷体"/>
          <w:sz w:val="30"/>
          <w:szCs w:val="30"/>
          <w:highlight w:val="none"/>
        </w:rPr>
      </w:pPr>
      <w:r>
        <w:rPr>
          <w:rFonts w:hint="eastAsia" w:ascii="楷体" w:hAnsi="楷体" w:eastAsia="楷体"/>
          <w:sz w:val="30"/>
          <w:szCs w:val="30"/>
          <w:highlight w:val="none"/>
        </w:rPr>
        <w:t>（</w:t>
      </w:r>
      <w:r>
        <w:rPr>
          <w:rFonts w:hint="eastAsia" w:ascii="楷体" w:hAnsi="楷体" w:eastAsia="楷体"/>
          <w:sz w:val="30"/>
          <w:szCs w:val="30"/>
          <w:highlight w:val="none"/>
          <w:lang w:eastAsia="zh-CN"/>
        </w:rPr>
        <w:t>三</w:t>
      </w:r>
      <w:r>
        <w:rPr>
          <w:rFonts w:hint="eastAsia" w:ascii="楷体" w:hAnsi="楷体" w:eastAsia="楷体"/>
          <w:sz w:val="30"/>
          <w:szCs w:val="30"/>
          <w:highlight w:val="none"/>
        </w:rPr>
        <w:t>）</w:t>
      </w:r>
      <w:r>
        <w:rPr>
          <w:rFonts w:hint="eastAsia" w:ascii="楷体" w:hAnsi="楷体" w:eastAsia="楷体"/>
          <w:sz w:val="30"/>
          <w:szCs w:val="30"/>
          <w:highlight w:val="none"/>
          <w:lang w:eastAsia="zh-CN"/>
        </w:rPr>
        <w:t>单位</w:t>
      </w:r>
      <w:r>
        <w:rPr>
          <w:rFonts w:hint="eastAsia" w:ascii="楷体" w:hAnsi="楷体" w:eastAsia="楷体"/>
          <w:sz w:val="30"/>
          <w:szCs w:val="30"/>
          <w:highlight w:val="none"/>
        </w:rPr>
        <w:t xml:space="preserve">人员和车辆的编制及实有情况 </w:t>
      </w:r>
    </w:p>
    <w:p w14:paraId="23E5C731">
      <w:pPr>
        <w:keepNext w:val="0"/>
        <w:keepLines w:val="0"/>
        <w:pageBreakBefore w:val="0"/>
        <w:kinsoku/>
        <w:wordWrap/>
        <w:overflowPunct/>
        <w:topLinePunct w:val="0"/>
        <w:autoSpaceDE/>
        <w:autoSpaceDN/>
        <w:bidi w:val="0"/>
        <w:adjustRightInd/>
        <w:spacing w:line="600" w:lineRule="exact"/>
        <w:ind w:firstLine="600" w:firstLineChars="200"/>
        <w:textAlignment w:val="auto"/>
        <w:rPr>
          <w:rFonts w:hint="eastAsia" w:ascii="仿宋_GB2312" w:hAnsi="宋体" w:eastAsia="仿宋_GB2312" w:cs="Arial"/>
          <w:kern w:val="0"/>
          <w:sz w:val="30"/>
          <w:szCs w:val="30"/>
          <w:highlight w:val="none"/>
          <w:lang w:eastAsia="zh-CN"/>
        </w:rPr>
      </w:pPr>
      <w:r>
        <w:rPr>
          <w:rFonts w:hint="eastAsia" w:ascii="仿宋_GB2312" w:eastAsia="仿宋_GB2312"/>
          <w:sz w:val="30"/>
          <w:szCs w:val="30"/>
          <w:highlight w:val="none"/>
          <w:lang w:eastAsia="zh-CN"/>
        </w:rPr>
        <w:t>我单位</w:t>
      </w: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rPr>
        <w:t>年末</w:t>
      </w:r>
      <w:r>
        <w:rPr>
          <w:rFonts w:hint="eastAsia" w:ascii="仿宋_GB2312" w:eastAsia="仿宋_GB2312"/>
          <w:sz w:val="30"/>
          <w:szCs w:val="30"/>
          <w:highlight w:val="none"/>
          <w:lang w:eastAsia="zh-CN"/>
        </w:rPr>
        <w:t>编制内</w:t>
      </w:r>
      <w:r>
        <w:rPr>
          <w:rFonts w:hint="eastAsia" w:ascii="仿宋_GB2312" w:eastAsia="仿宋_GB2312"/>
          <w:sz w:val="30"/>
          <w:szCs w:val="30"/>
          <w:highlight w:val="none"/>
        </w:rPr>
        <w:t>实有人员</w:t>
      </w:r>
      <w:r>
        <w:rPr>
          <w:rFonts w:hint="eastAsia" w:ascii="仿宋_GB2312" w:hAnsi="仿宋_GB2312" w:eastAsia="仿宋_GB2312" w:cs="仿宋_GB2312"/>
          <w:color w:val="auto"/>
          <w:sz w:val="30"/>
          <w:szCs w:val="30"/>
          <w:lang w:val="en-US" w:eastAsia="zh-CN"/>
        </w:rPr>
        <w:t>26</w:t>
      </w:r>
      <w:r>
        <w:rPr>
          <w:rFonts w:hint="eastAsia" w:ascii="仿宋_GB2312" w:hAnsi="宋体" w:eastAsia="仿宋_GB2312" w:cs="Arial"/>
          <w:kern w:val="0"/>
          <w:sz w:val="30"/>
          <w:szCs w:val="30"/>
          <w:highlight w:val="none"/>
        </w:rPr>
        <w:t>人。</w:t>
      </w:r>
      <w:r>
        <w:rPr>
          <w:rFonts w:hint="eastAsia" w:ascii="仿宋_GB2312" w:hAnsi="宋体" w:eastAsia="仿宋_GB2312" w:cs="Arial"/>
          <w:b w:val="0"/>
          <w:bCs w:val="0"/>
          <w:kern w:val="0"/>
          <w:sz w:val="30"/>
          <w:szCs w:val="30"/>
          <w:highlight w:val="none"/>
          <w:lang w:eastAsia="zh-CN"/>
        </w:rPr>
        <w:t>包括</w:t>
      </w:r>
      <w:r>
        <w:rPr>
          <w:rFonts w:hint="eastAsia" w:ascii="仿宋_GB2312" w:hAnsi="宋体" w:eastAsia="仿宋_GB2312" w:cs="Arial"/>
          <w:kern w:val="0"/>
          <w:sz w:val="30"/>
          <w:szCs w:val="30"/>
          <w:highlight w:val="none"/>
          <w:lang w:eastAsia="zh-CN"/>
        </w:rPr>
        <w:t>财政拨款开支经费的</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公务员</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参照公务员法管理人员</w:t>
      </w:r>
      <w:r>
        <w:rPr>
          <w:rFonts w:hint="eastAsia" w:ascii="仿宋_GB2312" w:hAnsi="仿宋_GB2312" w:eastAsia="仿宋_GB2312" w:cs="仿宋_GB2312"/>
          <w:color w:val="auto"/>
          <w:sz w:val="30"/>
          <w:szCs w:val="30"/>
          <w:lang w:val="en-US" w:eastAsia="zh-CN"/>
        </w:rPr>
        <w:t>24</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事业管理人员和专业技术人员</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人，机关和事业工人</w:t>
      </w:r>
      <w:r>
        <w:rPr>
          <w:rFonts w:hint="eastAsia" w:ascii="仿宋_GB2312" w:hAnsi="仿宋_GB2312" w:eastAsia="仿宋_GB2312" w:cs="仿宋_GB2312"/>
          <w:color w:val="auto"/>
          <w:sz w:val="30"/>
          <w:szCs w:val="30"/>
          <w:lang w:val="en-US" w:eastAsia="zh-CN"/>
        </w:rPr>
        <w:t>2</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；经费自理人员</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p>
    <w:p w14:paraId="00FC61AB">
      <w:pPr>
        <w:keepNext w:val="0"/>
        <w:keepLines w:val="0"/>
        <w:pageBreakBefore w:val="0"/>
        <w:kinsoku/>
        <w:wordWrap/>
        <w:overflowPunct/>
        <w:topLinePunct w:val="0"/>
        <w:autoSpaceDE/>
        <w:autoSpaceDN/>
        <w:bidi w:val="0"/>
        <w:adjustRightInd/>
        <w:spacing w:line="600" w:lineRule="exact"/>
        <w:ind w:firstLine="600" w:firstLineChars="200"/>
        <w:textAlignment w:val="auto"/>
        <w:rPr>
          <w:rFonts w:hint="eastAsia" w:ascii="仿宋_GB2312" w:hAnsi="宋体" w:eastAsia="仿宋_GB2312" w:cs="Arial"/>
          <w:kern w:val="0"/>
          <w:sz w:val="30"/>
          <w:szCs w:val="30"/>
          <w:highlight w:val="none"/>
          <w:lang w:val="en-US" w:eastAsia="zh-CN"/>
        </w:rPr>
      </w:pPr>
      <w:r>
        <w:rPr>
          <w:rFonts w:hint="eastAsia" w:ascii="仿宋_GB2312" w:eastAsia="仿宋_GB2312"/>
          <w:sz w:val="30"/>
          <w:szCs w:val="30"/>
          <w:highlight w:val="none"/>
          <w:lang w:eastAsia="zh-CN"/>
        </w:rPr>
        <w:t>我单位</w:t>
      </w: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rPr>
        <w:t>年末</w:t>
      </w:r>
      <w:r>
        <w:rPr>
          <w:rFonts w:hint="eastAsia" w:ascii="仿宋_GB2312" w:eastAsia="仿宋_GB2312"/>
          <w:sz w:val="30"/>
          <w:szCs w:val="30"/>
          <w:highlight w:val="none"/>
          <w:lang w:eastAsia="zh-CN"/>
        </w:rPr>
        <w:t>其他人员</w:t>
      </w:r>
      <w:r>
        <w:rPr>
          <w:rFonts w:hint="eastAsia" w:ascii="仿宋_GB2312" w:hAnsi="仿宋_GB2312" w:eastAsia="仿宋_GB2312" w:cs="仿宋_GB2312"/>
          <w:color w:val="auto"/>
          <w:sz w:val="30"/>
          <w:szCs w:val="30"/>
          <w:lang w:val="en-US" w:eastAsia="zh-CN"/>
        </w:rPr>
        <w:t>0</w:t>
      </w:r>
      <w:r>
        <w:rPr>
          <w:rFonts w:hint="eastAsia" w:ascii="仿宋_GB2312" w:eastAsia="仿宋_GB2312"/>
          <w:sz w:val="30"/>
          <w:szCs w:val="30"/>
          <w:highlight w:val="none"/>
          <w:lang w:val="en-US" w:eastAsia="zh-CN"/>
        </w:rPr>
        <w:t>人。包括财政拨款开支经费的人员</w:t>
      </w:r>
      <w:r>
        <w:rPr>
          <w:rFonts w:hint="eastAsia" w:ascii="仿宋_GB2312" w:hAnsi="仿宋_GB2312" w:eastAsia="仿宋_GB2312" w:cs="仿宋_GB2312"/>
          <w:color w:val="auto"/>
          <w:sz w:val="30"/>
          <w:szCs w:val="30"/>
          <w:lang w:val="en-US" w:eastAsia="zh-CN"/>
        </w:rPr>
        <w:t>0</w:t>
      </w:r>
      <w:r>
        <w:rPr>
          <w:rFonts w:hint="eastAsia" w:ascii="仿宋_GB2312" w:eastAsia="仿宋_GB2312"/>
          <w:sz w:val="30"/>
          <w:szCs w:val="30"/>
          <w:highlight w:val="none"/>
          <w:lang w:eastAsia="zh-CN"/>
        </w:rPr>
        <w:t>人；经费自理人员</w:t>
      </w:r>
      <w:r>
        <w:rPr>
          <w:rFonts w:hint="eastAsia" w:ascii="仿宋_GB2312" w:hAnsi="仿宋_GB2312" w:eastAsia="仿宋_GB2312" w:cs="仿宋_GB2312"/>
          <w:color w:val="auto"/>
          <w:sz w:val="30"/>
          <w:szCs w:val="30"/>
          <w:lang w:val="en-US" w:eastAsia="zh-CN"/>
        </w:rPr>
        <w:t>0</w:t>
      </w:r>
      <w:r>
        <w:rPr>
          <w:rFonts w:hint="eastAsia" w:ascii="仿宋_GB2312" w:eastAsia="仿宋_GB2312"/>
          <w:sz w:val="30"/>
          <w:szCs w:val="30"/>
          <w:highlight w:val="none"/>
          <w:lang w:eastAsia="zh-CN"/>
        </w:rPr>
        <w:t>人。</w:t>
      </w:r>
    </w:p>
    <w:p w14:paraId="134665D2">
      <w:pPr>
        <w:keepNext w:val="0"/>
        <w:keepLines w:val="0"/>
        <w:pageBreakBefore w:val="0"/>
        <w:kinsoku/>
        <w:wordWrap/>
        <w:overflowPunct/>
        <w:topLinePunct w:val="0"/>
        <w:autoSpaceDE/>
        <w:autoSpaceDN/>
        <w:bidi w:val="0"/>
        <w:adjustRightInd/>
        <w:spacing w:line="600" w:lineRule="exact"/>
        <w:ind w:firstLine="600" w:firstLineChars="200"/>
        <w:textAlignment w:val="auto"/>
        <w:rPr>
          <w:rFonts w:hint="eastAsia" w:ascii="仿宋_GB2312" w:hAnsi="宋体" w:eastAsia="仿宋_GB2312" w:cs="Arial"/>
          <w:kern w:val="0"/>
          <w:sz w:val="30"/>
          <w:szCs w:val="30"/>
          <w:highlight w:val="none"/>
          <w:lang w:val="en-US" w:eastAsia="zh-CN"/>
        </w:rPr>
      </w:pPr>
      <w:r>
        <w:rPr>
          <w:rFonts w:hint="eastAsia" w:ascii="仿宋_GB2312" w:hAnsi="宋体" w:eastAsia="仿宋_GB2312" w:cs="Arial"/>
          <w:i w:val="0"/>
          <w:iCs w:val="0"/>
          <w:kern w:val="0"/>
          <w:sz w:val="30"/>
          <w:szCs w:val="30"/>
          <w:highlight w:val="none"/>
          <w:lang w:eastAsia="zh-CN"/>
        </w:rPr>
        <w:t>年末单位发放离退休费的</w:t>
      </w:r>
      <w:r>
        <w:rPr>
          <w:rFonts w:hint="eastAsia" w:ascii="仿宋_GB2312" w:hAnsi="宋体" w:eastAsia="仿宋_GB2312" w:cs="Arial"/>
          <w:i w:val="0"/>
          <w:iCs w:val="0"/>
          <w:strike w:val="0"/>
          <w:dstrike w:val="0"/>
          <w:color w:val="auto"/>
          <w:kern w:val="0"/>
          <w:sz w:val="30"/>
          <w:szCs w:val="30"/>
          <w:highlight w:val="none"/>
        </w:rPr>
        <w:t>离</w:t>
      </w:r>
      <w:r>
        <w:rPr>
          <w:rFonts w:hint="eastAsia" w:ascii="仿宋_GB2312" w:hAnsi="宋体" w:eastAsia="仿宋_GB2312" w:cs="Arial"/>
          <w:i w:val="0"/>
          <w:iCs w:val="0"/>
          <w:kern w:val="0"/>
          <w:sz w:val="30"/>
          <w:szCs w:val="30"/>
          <w:highlight w:val="none"/>
        </w:rPr>
        <w:t>退休人员</w:t>
      </w:r>
      <w:r>
        <w:rPr>
          <w:rFonts w:hint="eastAsia" w:ascii="仿宋_GB2312" w:hAnsi="宋体" w:eastAsia="仿宋_GB2312" w:cs="Arial"/>
          <w:i w:val="0"/>
          <w:iCs w:val="0"/>
          <w:kern w:val="0"/>
          <w:sz w:val="30"/>
          <w:szCs w:val="30"/>
          <w:highlight w:val="none"/>
          <w:lang w:eastAsia="zh-CN"/>
        </w:rPr>
        <w:t>共计</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离休</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人，退休</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）。年末</w:t>
      </w:r>
      <w:r>
        <w:rPr>
          <w:rFonts w:hint="eastAsia" w:ascii="仿宋_GB2312" w:hAnsi="宋体" w:eastAsia="仿宋_GB2312" w:cs="Arial"/>
          <w:kern w:val="0"/>
          <w:sz w:val="30"/>
          <w:szCs w:val="30"/>
          <w:highlight w:val="none"/>
        </w:rPr>
        <w:t>由养老保险基金发放养老金的离退休人员</w:t>
      </w:r>
      <w:r>
        <w:rPr>
          <w:rFonts w:hint="eastAsia" w:ascii="仿宋_GB2312" w:hAnsi="仿宋_GB2312" w:eastAsia="仿宋_GB2312" w:cs="仿宋_GB2312"/>
          <w:color w:val="auto"/>
          <w:sz w:val="30"/>
          <w:szCs w:val="30"/>
          <w:lang w:val="en-US" w:eastAsia="zh-CN"/>
        </w:rPr>
        <w:t>19</w:t>
      </w:r>
      <w:r>
        <w:rPr>
          <w:rFonts w:hint="eastAsia" w:ascii="仿宋_GB2312" w:hAnsi="宋体" w:eastAsia="仿宋_GB2312" w:cs="Arial"/>
          <w:kern w:val="0"/>
          <w:sz w:val="30"/>
          <w:szCs w:val="30"/>
          <w:highlight w:val="none"/>
          <w:lang w:val="en-US" w:eastAsia="zh-CN"/>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离休</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人，退休</w:t>
      </w:r>
      <w:r>
        <w:rPr>
          <w:rFonts w:hint="eastAsia" w:ascii="仿宋_GB2312" w:hAnsi="仿宋_GB2312" w:eastAsia="仿宋_GB2312" w:cs="仿宋_GB2312"/>
          <w:color w:val="auto"/>
          <w:sz w:val="30"/>
          <w:szCs w:val="30"/>
          <w:lang w:val="en-US" w:eastAsia="zh-CN"/>
        </w:rPr>
        <w:t>19</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val="en-US" w:eastAsia="zh-CN"/>
        </w:rPr>
        <w:t>年末学生</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lang w:val="en-US" w:eastAsia="zh-CN"/>
        </w:rPr>
        <w:t>人。年末遗属</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lang w:val="en-US" w:eastAsia="zh-CN"/>
        </w:rPr>
        <w:t>人。</w:t>
      </w:r>
    </w:p>
    <w:p w14:paraId="401F8E96">
      <w:pPr>
        <w:keepNext w:val="0"/>
        <w:keepLines w:val="0"/>
        <w:pageBreakBefore w:val="0"/>
        <w:kinsoku/>
        <w:wordWrap/>
        <w:overflowPunct/>
        <w:topLinePunct w:val="0"/>
        <w:autoSpaceDE/>
        <w:autoSpaceDN/>
        <w:bidi w:val="0"/>
        <w:adjustRightInd/>
        <w:spacing w:line="600" w:lineRule="exact"/>
        <w:ind w:firstLine="600" w:firstLineChars="200"/>
        <w:textAlignment w:val="auto"/>
        <w:rPr>
          <w:rFonts w:hint="eastAsia" w:ascii="仿宋_GB2312" w:hAnsi="宋体" w:eastAsia="仿宋_GB2312" w:cs="Arial"/>
          <w:color w:val="FF0000"/>
          <w:kern w:val="0"/>
          <w:sz w:val="30"/>
          <w:szCs w:val="30"/>
          <w:highlight w:val="none"/>
        </w:rPr>
      </w:pPr>
      <w:r>
        <w:rPr>
          <w:rFonts w:hint="eastAsia" w:ascii="仿宋_GB2312" w:hAnsi="仿宋_GB2312" w:eastAsia="仿宋_GB2312" w:cs="仿宋_GB2312"/>
          <w:b w:val="0"/>
          <w:bCs w:val="0"/>
          <w:sz w:val="30"/>
          <w:szCs w:val="30"/>
          <w:highlight w:val="none"/>
          <w:u w:val="none"/>
          <w:lang w:val="en-US" w:eastAsia="zh-CN"/>
        </w:rPr>
        <w:t>车辆编制1辆，在编实有车辆1辆，超编0辆。</w:t>
      </w:r>
    </w:p>
    <w:p w14:paraId="76F88DA8">
      <w:pPr>
        <w:keepNext w:val="0"/>
        <w:keepLines w:val="0"/>
        <w:pageBreakBefore w:val="0"/>
        <w:kinsoku/>
        <w:wordWrap/>
        <w:overflowPunct/>
        <w:topLinePunct w:val="0"/>
        <w:autoSpaceDE/>
        <w:autoSpaceDN/>
        <w:bidi w:val="0"/>
        <w:adjustRightInd/>
        <w:spacing w:line="600" w:lineRule="exact"/>
        <w:ind w:firstLine="600" w:firstLineChars="200"/>
        <w:textAlignment w:val="auto"/>
        <w:outlineLvl w:val="1"/>
        <w:rPr>
          <w:rFonts w:hint="eastAsia" w:ascii="黑体" w:hAnsi="黑体" w:eastAsia="黑体"/>
          <w:sz w:val="30"/>
          <w:szCs w:val="30"/>
          <w:highlight w:val="none"/>
          <w:lang w:eastAsia="zh-CN"/>
        </w:rPr>
      </w:pPr>
      <w:r>
        <w:rPr>
          <w:rFonts w:hint="eastAsia" w:ascii="黑体" w:hAnsi="黑体" w:eastAsia="黑体"/>
          <w:sz w:val="30"/>
          <w:szCs w:val="30"/>
          <w:highlight w:val="none"/>
          <w:lang w:eastAsia="zh-CN"/>
        </w:rPr>
        <w:t>三、重点工作概述</w:t>
      </w:r>
    </w:p>
    <w:p w14:paraId="6DB5B6DF">
      <w:pPr>
        <w:keepNext w:val="0"/>
        <w:keepLines w:val="0"/>
        <w:pageBreakBefore w:val="0"/>
        <w:kinsoku/>
        <w:wordWrap/>
        <w:overflowPunct/>
        <w:topLinePunct w:val="0"/>
        <w:autoSpaceDE/>
        <w:autoSpaceDN/>
        <w:bidi w:val="0"/>
        <w:adjustRightInd/>
        <w:spacing w:line="600" w:lineRule="exact"/>
        <w:ind w:firstLine="600" w:firstLineChars="200"/>
        <w:jc w:val="left"/>
        <w:textAlignment w:val="auto"/>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2025年聚焦主责主业，全市共查处卫生行政案件263件，罚没金额106.06万元；严打非法行医，查处9件，罚款38.42万元等；全市卫生监督管理对象共有12596户；卫生监督各专业年度监督率均达到95%以上；完成医疗卫生机构新改扩建工程医疗流程的预防性审查238余家；审查并发布各类食品安全企业标准63个；双随机监督完结率均达到98%以上；医疗废物监管集中处置率达100%。此外，统筹推进综合监管，在生活饮用水、食品卫生、学校卫生等多个领域开展监督检查，全市共受理办结各类卫生行政许可事项5957件，办结率达100%。</w:t>
      </w:r>
    </w:p>
    <w:p w14:paraId="1823278F">
      <w:pPr>
        <w:pStyle w:val="2"/>
        <w:keepNext w:val="0"/>
        <w:keepLines w:val="0"/>
        <w:pageBreakBefore w:val="0"/>
        <w:kinsoku/>
        <w:wordWrap/>
        <w:overflowPunct/>
        <w:topLinePunct w:val="0"/>
        <w:autoSpaceDE/>
        <w:autoSpaceDN/>
        <w:bidi w:val="0"/>
        <w:adjustRightInd/>
        <w:spacing w:line="600" w:lineRule="exact"/>
        <w:textAlignment w:val="auto"/>
        <w:rPr>
          <w:rFonts w:hint="eastAsia"/>
        </w:rPr>
      </w:pPr>
    </w:p>
    <w:p w14:paraId="7D1BEF07">
      <w:pPr>
        <w:keepNext w:val="0"/>
        <w:keepLines w:val="0"/>
        <w:pageBreakBefore w:val="0"/>
        <w:kinsoku/>
        <w:wordWrap/>
        <w:overflowPunct/>
        <w:topLinePunct w:val="0"/>
        <w:autoSpaceDE/>
        <w:autoSpaceDN/>
        <w:bidi w:val="0"/>
        <w:adjustRightInd/>
        <w:spacing w:line="600" w:lineRule="exact"/>
        <w:jc w:val="center"/>
        <w:textAlignment w:val="auto"/>
        <w:outlineLvl w:val="0"/>
        <w:rPr>
          <w:rFonts w:hint="eastAsia" w:ascii="黑体" w:hAnsi="黑体" w:eastAsia="黑体"/>
          <w:sz w:val="32"/>
          <w:szCs w:val="32"/>
          <w:highlight w:val="none"/>
        </w:rPr>
      </w:pPr>
      <w:r>
        <w:rPr>
          <w:rFonts w:hint="eastAsia" w:ascii="黑体" w:hAnsi="黑体" w:eastAsia="黑体"/>
          <w:sz w:val="32"/>
          <w:szCs w:val="32"/>
          <w:highlight w:val="none"/>
        </w:rPr>
        <w:t xml:space="preserve">第二部分  </w:t>
      </w:r>
      <w:r>
        <w:rPr>
          <w:rFonts w:hint="eastAsia" w:ascii="黑体" w:hAnsi="黑体" w:eastAsia="黑体"/>
          <w:sz w:val="32"/>
          <w:szCs w:val="32"/>
          <w:highlight w:val="none"/>
          <w:lang w:val="en-US" w:eastAsia="zh-CN"/>
        </w:rPr>
        <w:t>2025年度</w:t>
      </w:r>
      <w:r>
        <w:rPr>
          <w:rFonts w:hint="eastAsia" w:ascii="黑体" w:hAnsi="黑体" w:eastAsia="黑体"/>
          <w:sz w:val="32"/>
          <w:szCs w:val="32"/>
          <w:highlight w:val="none"/>
        </w:rPr>
        <w:t>部门决算表</w:t>
      </w:r>
    </w:p>
    <w:p w14:paraId="22EC54F9">
      <w:pPr>
        <w:keepNext w:val="0"/>
        <w:keepLines w:val="0"/>
        <w:pageBreakBefore w:val="0"/>
        <w:kinsoku/>
        <w:wordWrap/>
        <w:overflowPunct/>
        <w:topLinePunct w:val="0"/>
        <w:autoSpaceDE/>
        <w:autoSpaceDN/>
        <w:bidi w:val="0"/>
        <w:adjustRightInd/>
        <w:spacing w:line="600" w:lineRule="exact"/>
        <w:ind w:firstLine="600" w:firstLineChars="200"/>
        <w:jc w:val="center"/>
        <w:textAlignment w:val="auto"/>
        <w:outlineLvl w:val="1"/>
        <w:rPr>
          <w:rFonts w:hint="eastAsia" w:ascii="仿宋_GB2312" w:eastAsia="仿宋_GB2312"/>
          <w:sz w:val="30"/>
          <w:szCs w:val="30"/>
          <w:highlight w:val="none"/>
        </w:rPr>
      </w:pPr>
      <w:r>
        <w:rPr>
          <w:rFonts w:hint="eastAsia" w:ascii="仿宋_GB2312" w:eastAsia="仿宋_GB2312"/>
          <w:sz w:val="30"/>
          <w:szCs w:val="30"/>
          <w:highlight w:val="none"/>
        </w:rPr>
        <w:t>（详见附件）</w:t>
      </w:r>
    </w:p>
    <w:p w14:paraId="2D21E3E8">
      <w:pPr>
        <w:keepNext w:val="0"/>
        <w:keepLines w:val="0"/>
        <w:pageBreakBefore w:val="0"/>
        <w:kinsoku/>
        <w:wordWrap/>
        <w:overflowPunct/>
        <w:topLinePunct w:val="0"/>
        <w:autoSpaceDE/>
        <w:autoSpaceDN/>
        <w:bidi w:val="0"/>
        <w:adjustRightInd/>
        <w:spacing w:line="600" w:lineRule="exact"/>
        <w:ind w:firstLine="600" w:firstLineChars="200"/>
        <w:jc w:val="left"/>
        <w:textAlignment w:val="auto"/>
        <w:rPr>
          <w:rFonts w:hint="eastAsia" w:ascii="仿宋_GB2312" w:eastAsia="仿宋_GB2312"/>
          <w:sz w:val="30"/>
          <w:szCs w:val="30"/>
          <w:highlight w:val="none"/>
          <w:lang w:eastAsia="zh-CN"/>
        </w:rPr>
      </w:pPr>
      <w:r>
        <w:rPr>
          <w:rFonts w:hint="eastAsia" w:ascii="仿宋_GB2312" w:eastAsia="仿宋_GB2312"/>
          <w:sz w:val="30"/>
          <w:szCs w:val="30"/>
          <w:highlight w:val="none"/>
          <w:lang w:eastAsia="zh-CN"/>
        </w:rPr>
        <w:t>本单位202</w:t>
      </w:r>
      <w:r>
        <w:rPr>
          <w:rFonts w:hint="eastAsia" w:ascii="仿宋_GB2312" w:eastAsia="仿宋_GB2312"/>
          <w:sz w:val="30"/>
          <w:szCs w:val="30"/>
          <w:highlight w:val="none"/>
          <w:lang w:val="en-US" w:eastAsia="zh-CN"/>
        </w:rPr>
        <w:t>5</w:t>
      </w:r>
      <w:r>
        <w:rPr>
          <w:rFonts w:hint="eastAsia" w:ascii="仿宋_GB2312" w:eastAsia="仿宋_GB2312"/>
          <w:sz w:val="30"/>
          <w:szCs w:val="30"/>
          <w:highlight w:val="none"/>
          <w:lang w:eastAsia="zh-CN"/>
        </w:rPr>
        <w:t>年度无政府性基金预算财政拨款收入，《政府性基金预算财政拨款收入支出决算表》为空表。</w:t>
      </w:r>
    </w:p>
    <w:p w14:paraId="2EE14C38">
      <w:pPr>
        <w:keepNext w:val="0"/>
        <w:keepLines w:val="0"/>
        <w:pageBreakBefore w:val="0"/>
        <w:kinsoku/>
        <w:wordWrap/>
        <w:overflowPunct/>
        <w:topLinePunct w:val="0"/>
        <w:autoSpaceDE/>
        <w:autoSpaceDN/>
        <w:bidi w:val="0"/>
        <w:adjustRightInd/>
        <w:spacing w:line="600" w:lineRule="exact"/>
        <w:ind w:firstLine="600" w:firstLineChars="200"/>
        <w:jc w:val="left"/>
        <w:textAlignment w:val="auto"/>
        <w:rPr>
          <w:rFonts w:hint="eastAsia" w:ascii="仿宋_GB2312" w:eastAsia="仿宋_GB2312"/>
          <w:sz w:val="30"/>
          <w:szCs w:val="30"/>
          <w:highlight w:val="none"/>
          <w:lang w:eastAsia="zh-CN"/>
        </w:rPr>
      </w:pPr>
      <w:r>
        <w:rPr>
          <w:rFonts w:hint="eastAsia" w:ascii="仿宋_GB2312" w:eastAsia="仿宋_GB2312"/>
          <w:sz w:val="30"/>
          <w:szCs w:val="30"/>
          <w:highlight w:val="none"/>
          <w:lang w:eastAsia="zh-CN"/>
        </w:rPr>
        <w:t>本单位202</w:t>
      </w:r>
      <w:r>
        <w:rPr>
          <w:rFonts w:hint="eastAsia" w:ascii="仿宋_GB2312" w:eastAsia="仿宋_GB2312"/>
          <w:sz w:val="30"/>
          <w:szCs w:val="30"/>
          <w:highlight w:val="none"/>
          <w:lang w:val="en-US" w:eastAsia="zh-CN"/>
        </w:rPr>
        <w:t>5</w:t>
      </w:r>
      <w:r>
        <w:rPr>
          <w:rFonts w:hint="eastAsia" w:ascii="仿宋_GB2312" w:eastAsia="仿宋_GB2312"/>
          <w:sz w:val="30"/>
          <w:szCs w:val="30"/>
          <w:highlight w:val="none"/>
          <w:lang w:eastAsia="zh-CN"/>
        </w:rPr>
        <w:t>年度无国有资本经营预算财政拨款收入，《国有资本经营预算财政拨款收入支出决算表》为空表。</w:t>
      </w:r>
    </w:p>
    <w:p w14:paraId="1A4EECF0">
      <w:pPr>
        <w:pStyle w:val="2"/>
        <w:keepNext w:val="0"/>
        <w:keepLines w:val="0"/>
        <w:pageBreakBefore w:val="0"/>
        <w:kinsoku/>
        <w:wordWrap/>
        <w:overflowPunct/>
        <w:topLinePunct w:val="0"/>
        <w:autoSpaceDE/>
        <w:autoSpaceDN/>
        <w:bidi w:val="0"/>
        <w:adjustRightInd/>
        <w:spacing w:line="600" w:lineRule="exact"/>
        <w:textAlignment w:val="auto"/>
        <w:rPr>
          <w:rFonts w:hint="eastAsia"/>
          <w:lang w:eastAsia="zh-CN"/>
        </w:rPr>
      </w:pPr>
    </w:p>
    <w:p w14:paraId="17686885">
      <w:pPr>
        <w:keepNext w:val="0"/>
        <w:keepLines w:val="0"/>
        <w:pageBreakBefore w:val="0"/>
        <w:kinsoku/>
        <w:wordWrap/>
        <w:overflowPunct/>
        <w:topLinePunct w:val="0"/>
        <w:autoSpaceDE/>
        <w:autoSpaceDN/>
        <w:bidi w:val="0"/>
        <w:adjustRightInd/>
        <w:spacing w:line="600" w:lineRule="exact"/>
        <w:jc w:val="center"/>
        <w:textAlignment w:val="auto"/>
        <w:outlineLvl w:val="0"/>
        <w:rPr>
          <w:rFonts w:hint="eastAsia" w:ascii="黑体" w:hAnsi="黑体" w:eastAsia="黑体"/>
          <w:sz w:val="32"/>
          <w:szCs w:val="32"/>
          <w:highlight w:val="none"/>
        </w:rPr>
      </w:pPr>
      <w:r>
        <w:rPr>
          <w:rFonts w:hint="eastAsia" w:ascii="黑体" w:hAnsi="黑体" w:eastAsia="黑体"/>
          <w:sz w:val="32"/>
          <w:szCs w:val="32"/>
          <w:highlight w:val="none"/>
        </w:rPr>
        <w:t>第三部</w:t>
      </w:r>
      <w:r>
        <w:rPr>
          <w:rFonts w:hint="eastAsia" w:ascii="黑体" w:hAnsi="黑体" w:eastAsia="黑体"/>
          <w:sz w:val="32"/>
          <w:szCs w:val="32"/>
          <w:highlight w:val="none"/>
          <w:lang w:eastAsia="zh-CN"/>
        </w:rPr>
        <w:t>分</w:t>
      </w:r>
      <w:r>
        <w:rPr>
          <w:rFonts w:hint="eastAsia" w:ascii="黑体" w:hAnsi="黑体" w:eastAsia="黑体"/>
          <w:sz w:val="32"/>
          <w:szCs w:val="32"/>
          <w:highlight w:val="none"/>
        </w:rPr>
        <w:t xml:space="preserve">  </w:t>
      </w:r>
      <w:r>
        <w:rPr>
          <w:rFonts w:hint="eastAsia" w:ascii="黑体" w:hAnsi="黑体" w:eastAsia="黑体"/>
          <w:sz w:val="32"/>
          <w:szCs w:val="32"/>
          <w:highlight w:val="none"/>
          <w:lang w:val="en-US" w:eastAsia="zh-CN"/>
        </w:rPr>
        <w:t>2025年度</w:t>
      </w:r>
      <w:r>
        <w:rPr>
          <w:rFonts w:hint="eastAsia" w:ascii="黑体" w:hAnsi="黑体" w:eastAsia="黑体"/>
          <w:sz w:val="32"/>
          <w:szCs w:val="32"/>
          <w:highlight w:val="none"/>
        </w:rPr>
        <w:t>部门决算情况说明</w:t>
      </w:r>
    </w:p>
    <w:p w14:paraId="50B4530F">
      <w:pPr>
        <w:keepNext w:val="0"/>
        <w:keepLines w:val="0"/>
        <w:pageBreakBefore w:val="0"/>
        <w:kinsoku/>
        <w:wordWrap/>
        <w:overflowPunct/>
        <w:topLinePunct w:val="0"/>
        <w:autoSpaceDE/>
        <w:autoSpaceDN/>
        <w:bidi w:val="0"/>
        <w:adjustRightInd/>
        <w:spacing w:line="600" w:lineRule="exact"/>
        <w:ind w:firstLine="600" w:firstLineChars="200"/>
        <w:jc w:val="left"/>
        <w:textAlignment w:val="auto"/>
        <w:outlineLvl w:val="1"/>
        <w:rPr>
          <w:rFonts w:hint="eastAsia" w:ascii="黑体" w:hAnsi="黑体" w:eastAsia="黑体"/>
          <w:sz w:val="30"/>
          <w:szCs w:val="30"/>
          <w:highlight w:val="none"/>
        </w:rPr>
      </w:pPr>
      <w:r>
        <w:rPr>
          <w:rFonts w:hint="eastAsia" w:ascii="黑体" w:hAnsi="黑体" w:eastAsia="黑体"/>
          <w:sz w:val="30"/>
          <w:szCs w:val="30"/>
          <w:highlight w:val="none"/>
        </w:rPr>
        <w:t>一、收入决算情况说明</w:t>
      </w:r>
    </w:p>
    <w:p w14:paraId="0BEEB5FB">
      <w:pPr>
        <w:keepNext w:val="0"/>
        <w:keepLines w:val="0"/>
        <w:pageBreakBefore w:val="0"/>
        <w:widowControl/>
        <w:kinsoku/>
        <w:wordWrap/>
        <w:overflowPunct/>
        <w:topLinePunct w:val="0"/>
        <w:autoSpaceDE/>
        <w:autoSpaceDN/>
        <w:bidi w:val="0"/>
        <w:adjustRightInd/>
        <w:snapToGrid w:val="0"/>
        <w:spacing w:before="100" w:after="100" w:line="600" w:lineRule="exact"/>
        <w:ind w:firstLine="538"/>
        <w:jc w:val="both"/>
        <w:textAlignment w:val="auto"/>
        <w:rPr>
          <w:rFonts w:hint="eastAsia" w:ascii="仿宋_GB2312" w:eastAsia="仿宋_GB2312"/>
          <w:sz w:val="30"/>
          <w:szCs w:val="30"/>
          <w:highlight w:val="none"/>
          <w:lang w:eastAsia="zh-CN"/>
        </w:rPr>
      </w:pPr>
      <w:r>
        <w:rPr>
          <w:rFonts w:hint="eastAsia" w:ascii="仿宋_GB2312" w:hAnsi="Times New Roman" w:eastAsia="仿宋_GB2312" w:cs="Times New Roman"/>
          <w:sz w:val="30"/>
          <w:szCs w:val="30"/>
          <w:highlight w:val="none"/>
          <w:lang w:val="zh-CN" w:eastAsia="zh-CN"/>
        </w:rPr>
        <w:t>玉溪市卫生健康委员会卫生监督局</w:t>
      </w:r>
      <w:r>
        <w:rPr>
          <w:rFonts w:hint="eastAsia" w:ascii="仿宋_GB2312" w:hAnsi="Times New Roman" w:eastAsia="仿宋_GB2312" w:cs="Times New Roman"/>
          <w:sz w:val="30"/>
          <w:szCs w:val="30"/>
          <w:highlight w:val="none"/>
          <w:lang w:val="en-US" w:eastAsia="zh-CN"/>
        </w:rPr>
        <w:t>2025年度</w:t>
      </w:r>
      <w:r>
        <w:rPr>
          <w:rFonts w:hint="eastAsia" w:ascii="仿宋_GB2312" w:hAnsi="Times New Roman" w:eastAsia="仿宋_GB2312" w:cs="Times New Roman"/>
          <w:sz w:val="30"/>
          <w:szCs w:val="30"/>
          <w:highlight w:val="none"/>
          <w:lang w:eastAsia="zh-CN"/>
        </w:rPr>
        <w:t>收入合计</w:t>
      </w:r>
      <w:r>
        <w:rPr>
          <w:rFonts w:hint="eastAsia" w:ascii="仿宋_GB2312" w:hAnsi="Times New Roman" w:eastAsia="仿宋_GB2312" w:cs="Times New Roman"/>
          <w:sz w:val="30"/>
          <w:szCs w:val="30"/>
          <w:highlight w:val="none"/>
          <w:lang w:val="zh-CN" w:eastAsia="zh-CN"/>
        </w:rPr>
        <w:t>7</w:t>
      </w:r>
      <w:r>
        <w:rPr>
          <w:rFonts w:hint="eastAsia" w:ascii="仿宋_GB2312" w:hAnsi="Times New Roman" w:eastAsia="仿宋_GB2312" w:cs="Times New Roman"/>
          <w:sz w:val="30"/>
          <w:szCs w:val="30"/>
          <w:highlight w:val="none"/>
          <w:lang w:val="en-US" w:eastAsia="zh-CN"/>
        </w:rPr>
        <w:t>,</w:t>
      </w:r>
      <w:r>
        <w:rPr>
          <w:rFonts w:hint="eastAsia" w:ascii="仿宋_GB2312" w:hAnsi="Times New Roman" w:eastAsia="仿宋_GB2312" w:cs="Times New Roman"/>
          <w:sz w:val="30"/>
          <w:szCs w:val="30"/>
          <w:highlight w:val="none"/>
          <w:lang w:val="zh-CN" w:eastAsia="zh-CN"/>
        </w:rPr>
        <w:t>813</w:t>
      </w:r>
      <w:r>
        <w:rPr>
          <w:rFonts w:hint="eastAsia" w:ascii="仿宋_GB2312" w:hAnsi="Times New Roman" w:eastAsia="仿宋_GB2312" w:cs="Times New Roman"/>
          <w:sz w:val="30"/>
          <w:szCs w:val="30"/>
          <w:highlight w:val="none"/>
          <w:lang w:val="en-US" w:eastAsia="zh-CN"/>
        </w:rPr>
        <w:t>,</w:t>
      </w:r>
      <w:r>
        <w:rPr>
          <w:rFonts w:hint="eastAsia" w:ascii="仿宋_GB2312" w:hAnsi="Times New Roman" w:eastAsia="仿宋_GB2312" w:cs="Times New Roman"/>
          <w:sz w:val="30"/>
          <w:szCs w:val="30"/>
          <w:highlight w:val="none"/>
          <w:lang w:val="zh-CN" w:eastAsia="zh-CN"/>
        </w:rPr>
        <w:t>708.16</w:t>
      </w:r>
      <w:r>
        <w:rPr>
          <w:rFonts w:hint="eastAsia" w:ascii="仿宋_GB2312" w:hAnsi="Times New Roman" w:eastAsia="仿宋_GB2312" w:cs="Times New Roman"/>
          <w:sz w:val="30"/>
          <w:szCs w:val="30"/>
          <w:highlight w:val="none"/>
          <w:lang w:eastAsia="zh-CN"/>
        </w:rPr>
        <w:t>元。其中：财政拨款收入</w:t>
      </w:r>
      <w:r>
        <w:rPr>
          <w:rFonts w:hint="eastAsia" w:ascii="仿宋_GB2312" w:hAnsi="Times New Roman" w:eastAsia="仿宋_GB2312" w:cs="Times New Roman"/>
          <w:sz w:val="30"/>
          <w:szCs w:val="30"/>
          <w:highlight w:val="none"/>
          <w:lang w:val="zh-CN" w:eastAsia="zh-CN"/>
        </w:rPr>
        <w:t>7</w:t>
      </w:r>
      <w:r>
        <w:rPr>
          <w:rFonts w:hint="eastAsia" w:ascii="仿宋_GB2312" w:hAnsi="Times New Roman" w:eastAsia="仿宋_GB2312" w:cs="Times New Roman"/>
          <w:sz w:val="30"/>
          <w:szCs w:val="30"/>
          <w:highlight w:val="none"/>
          <w:lang w:val="en-US" w:eastAsia="zh-CN"/>
        </w:rPr>
        <w:t>,</w:t>
      </w:r>
      <w:r>
        <w:rPr>
          <w:rFonts w:hint="eastAsia" w:ascii="仿宋_GB2312" w:hAnsi="Times New Roman" w:eastAsia="仿宋_GB2312" w:cs="Times New Roman"/>
          <w:sz w:val="30"/>
          <w:szCs w:val="30"/>
          <w:highlight w:val="none"/>
          <w:lang w:val="zh-CN" w:eastAsia="zh-CN"/>
        </w:rPr>
        <w:t>809</w:t>
      </w:r>
      <w:r>
        <w:rPr>
          <w:rFonts w:hint="eastAsia" w:ascii="仿宋_GB2312" w:hAnsi="Times New Roman" w:eastAsia="仿宋_GB2312" w:cs="Times New Roman"/>
          <w:sz w:val="30"/>
          <w:szCs w:val="30"/>
          <w:highlight w:val="none"/>
          <w:lang w:val="en-US" w:eastAsia="zh-CN"/>
        </w:rPr>
        <w:t>,</w:t>
      </w:r>
      <w:r>
        <w:rPr>
          <w:rFonts w:hint="eastAsia" w:ascii="仿宋_GB2312" w:hAnsi="Times New Roman" w:eastAsia="仿宋_GB2312" w:cs="Times New Roman"/>
          <w:sz w:val="30"/>
          <w:szCs w:val="30"/>
          <w:highlight w:val="none"/>
          <w:lang w:val="zh-CN" w:eastAsia="zh-CN"/>
        </w:rPr>
        <w:t>308.16</w:t>
      </w:r>
      <w:r>
        <w:rPr>
          <w:rFonts w:hint="eastAsia" w:ascii="仿宋_GB2312" w:hAnsi="Times New Roman" w:eastAsia="仿宋_GB2312" w:cs="Times New Roman"/>
          <w:sz w:val="30"/>
          <w:szCs w:val="30"/>
          <w:highlight w:val="none"/>
          <w:lang w:eastAsia="zh-CN"/>
        </w:rPr>
        <w:t>元，占总收入的</w:t>
      </w:r>
      <w:r>
        <w:rPr>
          <w:rFonts w:hint="eastAsia" w:ascii="仿宋_GB2312" w:hAnsi="Times New Roman" w:eastAsia="仿宋_GB2312" w:cs="Times New Roman"/>
          <w:sz w:val="30"/>
          <w:szCs w:val="30"/>
          <w:highlight w:val="none"/>
          <w:lang w:val="zh-CN" w:eastAsia="zh-CN"/>
        </w:rPr>
        <w:t>99.94</w:t>
      </w:r>
      <w:r>
        <w:rPr>
          <w:rFonts w:hint="eastAsia" w:ascii="仿宋_GB2312" w:hAnsi="Times New Roman" w:eastAsia="仿宋_GB2312" w:cs="Times New Roman"/>
          <w:sz w:val="30"/>
          <w:szCs w:val="30"/>
          <w:highlight w:val="none"/>
          <w:lang w:eastAsia="zh-CN"/>
        </w:rPr>
        <w:t>%；无上级补助收入</w:t>
      </w:r>
      <w:r>
        <w:rPr>
          <w:rFonts w:hint="eastAsia" w:ascii="仿宋_GB2312" w:hAnsi="Times New Roman" w:eastAsia="仿宋_GB2312" w:cs="Times New Roman"/>
          <w:sz w:val="30"/>
          <w:szCs w:val="30"/>
          <w:highlight w:val="none"/>
          <w:lang w:val="zh-CN" w:eastAsia="zh-CN"/>
        </w:rPr>
        <w:t>、</w:t>
      </w:r>
      <w:r>
        <w:rPr>
          <w:rFonts w:hint="eastAsia" w:ascii="仿宋_GB2312" w:hAnsi="Times New Roman" w:eastAsia="仿宋_GB2312" w:cs="Times New Roman"/>
          <w:sz w:val="30"/>
          <w:szCs w:val="30"/>
          <w:highlight w:val="none"/>
          <w:lang w:eastAsia="zh-CN"/>
        </w:rPr>
        <w:t>事业收入、</w:t>
      </w:r>
      <w:r>
        <w:rPr>
          <w:rFonts w:hint="eastAsia" w:ascii="仿宋_GB2312" w:eastAsia="仿宋_GB2312"/>
          <w:sz w:val="30"/>
          <w:szCs w:val="30"/>
          <w:highlight w:val="none"/>
        </w:rPr>
        <w:t>经营收入</w:t>
      </w:r>
      <w:r>
        <w:rPr>
          <w:rFonts w:hint="eastAsia" w:ascii="仿宋_GB2312" w:hAnsi="仿宋_GB2312" w:eastAsia="仿宋_GB2312" w:cs="仿宋_GB2312"/>
          <w:color w:val="auto"/>
          <w:sz w:val="30"/>
          <w:lang w:val="zh-CN"/>
        </w:rPr>
        <w:t>、</w:t>
      </w:r>
      <w:r>
        <w:rPr>
          <w:rFonts w:hint="eastAsia" w:ascii="仿宋_GB2312" w:eastAsia="仿宋_GB2312"/>
          <w:sz w:val="30"/>
          <w:szCs w:val="30"/>
          <w:highlight w:val="none"/>
        </w:rPr>
        <w:t>附属单位</w:t>
      </w:r>
      <w:r>
        <w:rPr>
          <w:rFonts w:hint="eastAsia" w:ascii="仿宋_GB2312" w:eastAsia="仿宋_GB2312"/>
          <w:sz w:val="30"/>
          <w:szCs w:val="30"/>
          <w:highlight w:val="none"/>
          <w:lang w:eastAsia="zh-CN"/>
        </w:rPr>
        <w:t>上缴</w:t>
      </w:r>
      <w:r>
        <w:rPr>
          <w:rFonts w:hint="eastAsia" w:ascii="仿宋_GB2312" w:eastAsia="仿宋_GB2312"/>
          <w:sz w:val="30"/>
          <w:szCs w:val="30"/>
          <w:highlight w:val="none"/>
        </w:rPr>
        <w:t>收入；其他收入</w:t>
      </w:r>
      <w:r>
        <w:rPr>
          <w:rFonts w:hint="eastAsia" w:ascii="仿宋_GB2312" w:hAnsi="仿宋_GB2312" w:eastAsia="仿宋_GB2312" w:cs="仿宋_GB2312"/>
          <w:color w:val="auto"/>
          <w:sz w:val="30"/>
          <w:lang w:val="zh-CN"/>
        </w:rPr>
        <w:t>4</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400.00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0.06</w:t>
      </w:r>
      <w:r>
        <w:rPr>
          <w:rFonts w:hint="eastAsia" w:ascii="仿宋_GB2312" w:eastAsia="仿宋_GB2312"/>
          <w:sz w:val="30"/>
          <w:szCs w:val="30"/>
          <w:highlight w:val="none"/>
        </w:rPr>
        <w:t>%。</w:t>
      </w:r>
    </w:p>
    <w:p w14:paraId="4B4E1297">
      <w:pPr>
        <w:keepNext w:val="0"/>
        <w:keepLines w:val="0"/>
        <w:pageBreakBefore w:val="0"/>
        <w:widowControl/>
        <w:kinsoku/>
        <w:wordWrap/>
        <w:overflowPunct/>
        <w:topLinePunct w:val="0"/>
        <w:autoSpaceDE/>
        <w:autoSpaceDN/>
        <w:bidi w:val="0"/>
        <w:adjustRightInd/>
        <w:snapToGrid w:val="0"/>
        <w:spacing w:before="100" w:after="100" w:line="600" w:lineRule="exact"/>
        <w:ind w:firstLine="538"/>
        <w:jc w:val="left"/>
        <w:textAlignment w:val="auto"/>
        <w:rPr>
          <w:rFonts w:hint="eastAsia" w:ascii="仿宋_GB2312" w:hAnsi="宋体" w:eastAsia="仿宋_GB2312" w:cs="Arial"/>
          <w:color w:val="FF0000"/>
          <w:kern w:val="0"/>
          <w:sz w:val="30"/>
          <w:szCs w:val="30"/>
          <w:highlight w:val="none"/>
        </w:rPr>
      </w:pPr>
      <w:r>
        <w:rPr>
          <w:rFonts w:hint="eastAsia" w:ascii="仿宋_GB2312" w:eastAsia="仿宋_GB2312"/>
          <w:sz w:val="30"/>
          <w:szCs w:val="30"/>
          <w:highlight w:val="none"/>
        </w:rPr>
        <w:t>与上年</w:t>
      </w:r>
      <w:r>
        <w:rPr>
          <w:rFonts w:hint="eastAsia" w:ascii="仿宋_GB2312" w:eastAsia="仿宋_GB2312"/>
          <w:sz w:val="30"/>
          <w:szCs w:val="30"/>
          <w:highlight w:val="none"/>
          <w:lang w:eastAsia="zh-CN"/>
        </w:rPr>
        <w:t>相比，</w:t>
      </w:r>
      <w:r>
        <w:rPr>
          <w:rFonts w:hint="eastAsia" w:ascii="仿宋_GB2312" w:eastAsia="仿宋_GB2312"/>
          <w:sz w:val="30"/>
          <w:szCs w:val="30"/>
          <w:highlight w:val="none"/>
        </w:rPr>
        <w:t>收入合计</w:t>
      </w:r>
      <w:r>
        <w:rPr>
          <w:rFonts w:hint="eastAsia" w:ascii="仿宋_GB2312" w:eastAsia="仿宋_GB2312"/>
          <w:sz w:val="30"/>
          <w:szCs w:val="30"/>
          <w:highlight w:val="none"/>
          <w:lang w:eastAsia="zh-CN"/>
        </w:rPr>
        <w:t>减少</w:t>
      </w:r>
      <w:r>
        <w:rPr>
          <w:rFonts w:hint="eastAsia" w:ascii="仿宋_GB2312" w:hAnsi="仿宋_GB2312" w:eastAsia="仿宋_GB2312" w:cs="仿宋_GB2312"/>
          <w:color w:val="auto"/>
          <w:sz w:val="30"/>
          <w:lang w:val="zh-CN"/>
        </w:rPr>
        <w:t>1</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305</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397.30</w:t>
      </w:r>
      <w:r>
        <w:rPr>
          <w:rFonts w:hint="eastAsia" w:ascii="仿宋_GB2312" w:eastAsia="仿宋_GB2312"/>
          <w:sz w:val="30"/>
          <w:szCs w:val="30"/>
          <w:highlight w:val="none"/>
          <w:lang w:eastAsia="zh-CN"/>
        </w:rPr>
        <w:t>元，下降</w:t>
      </w:r>
      <w:r>
        <w:rPr>
          <w:rFonts w:hint="eastAsia" w:ascii="仿宋_GB2312" w:hAnsi="仿宋_GB2312" w:eastAsia="仿宋_GB2312" w:cs="仿宋_GB2312"/>
          <w:color w:val="auto"/>
          <w:sz w:val="30"/>
          <w:lang w:val="zh-CN"/>
        </w:rPr>
        <w:t>14.31</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w:t>
      </w:r>
      <w:r>
        <w:rPr>
          <w:rFonts w:hint="eastAsia" w:ascii="仿宋_GB2312" w:eastAsia="仿宋_GB2312"/>
          <w:sz w:val="30"/>
          <w:szCs w:val="30"/>
          <w:highlight w:val="none"/>
        </w:rPr>
        <w:t>财政拨款收入</w:t>
      </w:r>
      <w:r>
        <w:rPr>
          <w:rFonts w:hint="eastAsia" w:ascii="仿宋_GB2312" w:eastAsia="仿宋_GB2312"/>
          <w:sz w:val="30"/>
          <w:szCs w:val="30"/>
          <w:highlight w:val="none"/>
          <w:lang w:eastAsia="zh-CN"/>
        </w:rPr>
        <w:t>减少</w:t>
      </w:r>
      <w:r>
        <w:rPr>
          <w:rFonts w:hint="eastAsia" w:ascii="仿宋_GB2312" w:hAnsi="仿宋_GB2312" w:eastAsia="仿宋_GB2312" w:cs="仿宋_GB2312"/>
          <w:color w:val="auto"/>
          <w:sz w:val="30"/>
          <w:lang w:val="zh-CN"/>
        </w:rPr>
        <w:t>1</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304</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797.30</w:t>
      </w:r>
      <w:r>
        <w:rPr>
          <w:rFonts w:hint="eastAsia" w:ascii="仿宋_GB2312" w:eastAsia="仿宋_GB2312"/>
          <w:sz w:val="30"/>
          <w:szCs w:val="30"/>
          <w:highlight w:val="none"/>
          <w:lang w:eastAsia="zh-CN"/>
        </w:rPr>
        <w:t>元，下降</w:t>
      </w:r>
      <w:r>
        <w:rPr>
          <w:rFonts w:hint="eastAsia" w:ascii="仿宋_GB2312" w:hAnsi="仿宋_GB2312" w:eastAsia="仿宋_GB2312" w:cs="仿宋_GB2312"/>
          <w:color w:val="auto"/>
          <w:sz w:val="30"/>
          <w:lang w:val="zh-CN"/>
        </w:rPr>
        <w:t>14.32</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；上下年度均无</w:t>
      </w:r>
      <w:r>
        <w:rPr>
          <w:rFonts w:hint="eastAsia" w:ascii="仿宋_GB2312" w:eastAsia="仿宋_GB2312"/>
          <w:sz w:val="30"/>
          <w:szCs w:val="30"/>
          <w:highlight w:val="none"/>
        </w:rPr>
        <w:t>上级补助收入</w:t>
      </w:r>
      <w:r>
        <w:rPr>
          <w:rFonts w:hint="eastAsia" w:ascii="仿宋_GB2312" w:eastAsia="仿宋_GB2312"/>
          <w:sz w:val="30"/>
          <w:szCs w:val="30"/>
          <w:highlight w:val="none"/>
          <w:lang w:eastAsia="zh-CN"/>
        </w:rPr>
        <w:t>、事业收入、经营收入、附属单位上缴收入；其他收入减少</w:t>
      </w:r>
      <w:r>
        <w:rPr>
          <w:rFonts w:hint="eastAsia" w:ascii="仿宋_GB2312" w:hAnsi="仿宋_GB2312" w:eastAsia="仿宋_GB2312" w:cs="仿宋_GB2312"/>
          <w:color w:val="auto"/>
          <w:sz w:val="30"/>
          <w:lang w:val="zh-CN"/>
        </w:rPr>
        <w:t>600.00</w:t>
      </w:r>
      <w:r>
        <w:rPr>
          <w:rFonts w:hint="eastAsia" w:ascii="仿宋_GB2312" w:eastAsia="仿宋_GB2312"/>
          <w:sz w:val="30"/>
          <w:szCs w:val="30"/>
          <w:highlight w:val="none"/>
          <w:lang w:eastAsia="zh-CN"/>
        </w:rPr>
        <w:t>元，下降</w:t>
      </w:r>
      <w:r>
        <w:rPr>
          <w:rFonts w:hint="eastAsia" w:ascii="仿宋_GB2312" w:hAnsi="仿宋_GB2312" w:eastAsia="仿宋_GB2312" w:cs="仿宋_GB2312"/>
          <w:color w:val="auto"/>
          <w:sz w:val="30"/>
          <w:lang w:val="zh-CN"/>
        </w:rPr>
        <w:t>12.00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r>
        <w:rPr>
          <w:rFonts w:hint="eastAsia" w:ascii="仿宋_GB2312" w:eastAsia="仿宋_GB2312"/>
          <w:sz w:val="30"/>
          <w:szCs w:val="30"/>
          <w:highlight w:val="none"/>
        </w:rPr>
        <w:t>主要原因</w:t>
      </w:r>
      <w:r>
        <w:rPr>
          <w:rFonts w:hint="eastAsia" w:ascii="仿宋_GB2312" w:eastAsia="仿宋_GB2312"/>
          <w:sz w:val="30"/>
          <w:szCs w:val="30"/>
          <w:highlight w:val="none"/>
          <w:lang w:eastAsia="zh-CN"/>
        </w:rPr>
        <w:t>是</w:t>
      </w:r>
      <w:r>
        <w:rPr>
          <w:rFonts w:hint="eastAsia" w:ascii="仿宋_GB2312" w:eastAsia="仿宋_GB2312"/>
          <w:color w:val="auto"/>
          <w:sz w:val="30"/>
          <w:szCs w:val="30"/>
          <w:highlight w:val="none"/>
        </w:rPr>
        <w:t>主要原因是在职人员调出2人和退休2人。</w:t>
      </w:r>
    </w:p>
    <w:p w14:paraId="6238E3FB">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outlineLvl w:val="1"/>
        <w:rPr>
          <w:rFonts w:hint="eastAsia" w:ascii="黑体" w:hAnsi="黑体" w:eastAsia="黑体"/>
          <w:sz w:val="30"/>
          <w:szCs w:val="30"/>
          <w:highlight w:val="none"/>
        </w:rPr>
      </w:pPr>
      <w:r>
        <w:rPr>
          <w:rFonts w:hint="eastAsia" w:ascii="黑体" w:hAnsi="黑体" w:eastAsia="黑体" w:cs="Times New Roman"/>
          <w:sz w:val="28"/>
          <w:szCs w:val="28"/>
          <w:highlight w:val="none"/>
        </w:rPr>
        <w:drawing>
          <wp:anchor distT="0" distB="0" distL="114300" distR="114300" simplePos="0" relativeHeight="251661312" behindDoc="0" locked="0" layoutInCell="1" allowOverlap="1">
            <wp:simplePos x="0" y="0"/>
            <wp:positionH relativeFrom="column">
              <wp:posOffset>5080</wp:posOffset>
            </wp:positionH>
            <wp:positionV relativeFrom="paragraph">
              <wp:posOffset>4445</wp:posOffset>
            </wp:positionV>
            <wp:extent cx="5935345" cy="1956435"/>
            <wp:effectExtent l="5080" t="4445" r="22225" b="20320"/>
            <wp:wrapTopAndBottom/>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r>
        <w:rPr>
          <w:rFonts w:hint="eastAsia" w:ascii="黑体" w:hAnsi="黑体" w:eastAsia="黑体" w:cs="Times New Roman"/>
          <w:sz w:val="30"/>
          <w:szCs w:val="30"/>
          <w:highlight w:val="none"/>
        </w:rPr>
        <w:t>二、支出决算情况说明</w:t>
      </w:r>
    </w:p>
    <w:p w14:paraId="1239DC4F">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lang w:val="en-US" w:eastAsia="zh-CN"/>
        </w:rPr>
      </w:pPr>
      <w:r>
        <w:rPr>
          <w:rFonts w:hint="eastAsia" w:ascii="仿宋_GB2312" w:hAnsi="仿宋_GB2312" w:eastAsia="仿宋_GB2312" w:cs="仿宋_GB2312"/>
          <w:color w:val="auto"/>
          <w:sz w:val="30"/>
          <w:lang w:val="zh-CN"/>
        </w:rPr>
        <w:t>玉溪市卫生健康委员会卫生监督局</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支出合计</w:t>
      </w:r>
      <w:r>
        <w:rPr>
          <w:rFonts w:hint="eastAsia" w:ascii="仿宋_GB2312" w:hAnsi="仿宋_GB2312" w:eastAsia="仿宋_GB2312" w:cs="仿宋_GB2312"/>
          <w:color w:val="auto"/>
          <w:sz w:val="30"/>
          <w:lang w:val="zh-CN"/>
        </w:rPr>
        <w:t>7</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809</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308.16</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。其中：</w:t>
      </w:r>
      <w:r>
        <w:rPr>
          <w:rFonts w:hint="eastAsia" w:ascii="仿宋_GB2312" w:hAnsi="宋体" w:eastAsia="仿宋_GB2312" w:cs="Arial"/>
          <w:kern w:val="0"/>
          <w:sz w:val="30"/>
          <w:szCs w:val="30"/>
          <w:highlight w:val="none"/>
        </w:rPr>
        <w:t>基本支出</w:t>
      </w:r>
      <w:r>
        <w:rPr>
          <w:rFonts w:hint="eastAsia" w:ascii="仿宋_GB2312" w:hAnsi="仿宋_GB2312" w:eastAsia="仿宋_GB2312" w:cs="仿宋_GB2312"/>
          <w:color w:val="auto"/>
          <w:sz w:val="30"/>
          <w:lang w:val="zh-CN"/>
        </w:rPr>
        <w:t>7</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619</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482.36</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97.57</w:t>
      </w:r>
      <w:r>
        <w:rPr>
          <w:rFonts w:hint="eastAsia" w:ascii="仿宋_GB2312" w:hAnsi="宋体" w:eastAsia="仿宋_GB2312" w:cs="Arial"/>
          <w:kern w:val="0"/>
          <w:sz w:val="30"/>
          <w:szCs w:val="30"/>
          <w:highlight w:val="none"/>
        </w:rPr>
        <w:t>％；项目支出</w:t>
      </w:r>
      <w:r>
        <w:rPr>
          <w:rFonts w:hint="eastAsia" w:ascii="仿宋_GB2312" w:hAnsi="仿宋_GB2312" w:eastAsia="仿宋_GB2312" w:cs="仿宋_GB2312"/>
          <w:color w:val="auto"/>
          <w:sz w:val="30"/>
          <w:lang w:val="zh-CN"/>
        </w:rPr>
        <w:t>189</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825.80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2.43</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val="en-US" w:eastAsia="zh-CN"/>
        </w:rPr>
        <w:t>无</w:t>
      </w:r>
      <w:r>
        <w:rPr>
          <w:rFonts w:hint="eastAsia" w:ascii="仿宋_GB2312" w:hAnsi="宋体" w:eastAsia="仿宋_GB2312" w:cs="Arial"/>
          <w:kern w:val="0"/>
          <w:sz w:val="30"/>
          <w:szCs w:val="30"/>
          <w:highlight w:val="none"/>
        </w:rPr>
        <w:t>上缴上级支出</w:t>
      </w:r>
      <w:r>
        <w:rPr>
          <w:rFonts w:hint="eastAsia" w:ascii="仿宋_GB2312" w:hAnsi="仿宋_GB2312" w:eastAsia="仿宋_GB2312" w:cs="仿宋_GB2312"/>
          <w:color w:val="auto"/>
          <w:sz w:val="30"/>
          <w:lang w:val="zh-CN"/>
        </w:rPr>
        <w:t>、</w:t>
      </w:r>
      <w:r>
        <w:rPr>
          <w:rFonts w:hint="eastAsia" w:ascii="仿宋_GB2312" w:hAnsi="宋体" w:eastAsia="仿宋_GB2312" w:cs="Arial"/>
          <w:kern w:val="0"/>
          <w:sz w:val="30"/>
          <w:szCs w:val="30"/>
          <w:highlight w:val="none"/>
        </w:rPr>
        <w:t>经营</w:t>
      </w:r>
      <w:r>
        <w:rPr>
          <w:rFonts w:hint="eastAsia" w:ascii="仿宋_GB2312" w:hAnsi="仿宋_GB2312" w:eastAsia="仿宋_GB2312" w:cs="仿宋_GB2312"/>
          <w:color w:val="auto"/>
          <w:sz w:val="30"/>
          <w:lang w:val="en-US" w:eastAsia="zh-CN"/>
        </w:rPr>
        <w:t>支出</w:t>
      </w:r>
      <w:r>
        <w:rPr>
          <w:rFonts w:hint="eastAsia" w:ascii="仿宋_GB2312" w:hAnsi="仿宋_GB2312" w:eastAsia="仿宋_GB2312" w:cs="仿宋_GB2312"/>
          <w:color w:val="auto"/>
          <w:sz w:val="30"/>
          <w:lang w:val="zh-CN" w:eastAsia="zh-CN"/>
        </w:rPr>
        <w:t>、</w:t>
      </w:r>
      <w:r>
        <w:rPr>
          <w:rFonts w:hint="eastAsia" w:ascii="仿宋_GB2312" w:hAnsi="仿宋_GB2312" w:eastAsia="仿宋_GB2312" w:cs="仿宋_GB2312"/>
          <w:color w:val="auto"/>
          <w:sz w:val="30"/>
          <w:lang w:val="en-US" w:eastAsia="zh-CN"/>
        </w:rPr>
        <w:t>对附属单位补助支出。</w:t>
      </w:r>
    </w:p>
    <w:p w14:paraId="4E892BAF">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lang w:val="en-US" w:eastAsia="zh-CN"/>
        </w:rPr>
      </w:pPr>
      <w:r>
        <w:rPr>
          <w:rFonts w:hint="eastAsia" w:ascii="仿宋_GB2312" w:hAnsi="仿宋_GB2312" w:eastAsia="仿宋_GB2312" w:cs="仿宋_GB2312"/>
          <w:color w:val="auto"/>
          <w:sz w:val="30"/>
          <w:lang w:val="en-US" w:eastAsia="zh-CN"/>
        </w:rPr>
        <w:t>与上年相比，支出合计减少</w:t>
      </w:r>
      <w:r>
        <w:rPr>
          <w:rFonts w:hint="eastAsia" w:ascii="仿宋_GB2312" w:hAnsi="仿宋_GB2312" w:eastAsia="仿宋_GB2312" w:cs="仿宋_GB2312"/>
          <w:color w:val="auto"/>
          <w:sz w:val="30"/>
          <w:lang w:val="zh-CN" w:eastAsia="zh-CN"/>
        </w:rPr>
        <w:t>1</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eastAsia="zh-CN"/>
        </w:rPr>
        <w:t>313</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eastAsia="zh-CN"/>
        </w:rPr>
        <w:t>402.30</w:t>
      </w:r>
      <w:r>
        <w:rPr>
          <w:rFonts w:hint="eastAsia" w:ascii="仿宋_GB2312" w:hAnsi="仿宋_GB2312" w:eastAsia="仿宋_GB2312" w:cs="仿宋_GB2312"/>
          <w:color w:val="auto"/>
          <w:sz w:val="30"/>
          <w:lang w:val="en-US" w:eastAsia="zh-CN"/>
        </w:rPr>
        <w:t>元，下降</w:t>
      </w:r>
      <w:r>
        <w:rPr>
          <w:rFonts w:hint="eastAsia" w:ascii="仿宋_GB2312" w:hAnsi="仿宋_GB2312" w:eastAsia="仿宋_GB2312" w:cs="仿宋_GB2312"/>
          <w:color w:val="auto"/>
          <w:sz w:val="30"/>
          <w:lang w:val="zh-CN" w:eastAsia="zh-CN"/>
        </w:rPr>
        <w:t>14.40</w:t>
      </w:r>
      <w:r>
        <w:rPr>
          <w:rFonts w:hint="eastAsia" w:ascii="仿宋_GB2312" w:hAnsi="仿宋_GB2312" w:eastAsia="仿宋_GB2312" w:cs="仿宋_GB2312"/>
          <w:color w:val="auto"/>
          <w:sz w:val="30"/>
          <w:lang w:val="en-US" w:eastAsia="zh-CN"/>
        </w:rPr>
        <w:t>%。其中：基本支出减少</w:t>
      </w:r>
      <w:r>
        <w:rPr>
          <w:rFonts w:hint="eastAsia" w:ascii="仿宋_GB2312" w:hAnsi="仿宋_GB2312" w:eastAsia="仿宋_GB2312" w:cs="仿宋_GB2312"/>
          <w:color w:val="auto"/>
          <w:sz w:val="30"/>
          <w:lang w:val="zh-CN" w:eastAsia="zh-CN"/>
        </w:rPr>
        <w:t>696</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eastAsia="zh-CN"/>
        </w:rPr>
        <w:t>492.10</w:t>
      </w:r>
      <w:r>
        <w:rPr>
          <w:rFonts w:hint="eastAsia" w:ascii="仿宋_GB2312" w:hAnsi="仿宋_GB2312" w:eastAsia="仿宋_GB2312" w:cs="仿宋_GB2312"/>
          <w:color w:val="auto"/>
          <w:sz w:val="30"/>
          <w:lang w:val="en-US" w:eastAsia="zh-CN"/>
        </w:rPr>
        <w:t>元，下降</w:t>
      </w:r>
      <w:r>
        <w:rPr>
          <w:rFonts w:hint="eastAsia" w:ascii="仿宋_GB2312" w:hAnsi="仿宋_GB2312" w:eastAsia="仿宋_GB2312" w:cs="仿宋_GB2312"/>
          <w:color w:val="auto"/>
          <w:sz w:val="30"/>
          <w:lang w:val="zh-CN" w:eastAsia="zh-CN"/>
        </w:rPr>
        <w:t>8.38</w:t>
      </w:r>
      <w:r>
        <w:rPr>
          <w:rFonts w:hint="eastAsia" w:ascii="仿宋_GB2312" w:hAnsi="仿宋_GB2312" w:eastAsia="仿宋_GB2312" w:cs="仿宋_GB2312"/>
          <w:color w:val="auto"/>
          <w:sz w:val="30"/>
          <w:lang w:val="en-US" w:eastAsia="zh-CN"/>
        </w:rPr>
        <w:t>%；项目支出减少</w:t>
      </w:r>
      <w:r>
        <w:rPr>
          <w:rFonts w:hint="eastAsia" w:ascii="仿宋_GB2312" w:hAnsi="仿宋_GB2312" w:eastAsia="仿宋_GB2312" w:cs="仿宋_GB2312"/>
          <w:color w:val="auto"/>
          <w:sz w:val="30"/>
          <w:lang w:val="zh-CN" w:eastAsia="zh-CN"/>
        </w:rPr>
        <w:t>616</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eastAsia="zh-CN"/>
        </w:rPr>
        <w:t>910.20</w:t>
      </w:r>
      <w:r>
        <w:rPr>
          <w:rFonts w:hint="eastAsia" w:ascii="仿宋_GB2312" w:hAnsi="仿宋_GB2312" w:eastAsia="仿宋_GB2312" w:cs="仿宋_GB2312"/>
          <w:color w:val="auto"/>
          <w:sz w:val="30"/>
          <w:lang w:val="en-US" w:eastAsia="zh-CN"/>
        </w:rPr>
        <w:t>元，下降</w:t>
      </w:r>
      <w:r>
        <w:rPr>
          <w:rFonts w:hint="eastAsia" w:ascii="仿宋_GB2312" w:hAnsi="仿宋_GB2312" w:eastAsia="仿宋_GB2312" w:cs="仿宋_GB2312"/>
          <w:color w:val="auto"/>
          <w:sz w:val="30"/>
          <w:lang w:val="zh-CN" w:eastAsia="zh-CN"/>
        </w:rPr>
        <w:t>76.47</w:t>
      </w:r>
      <w:r>
        <w:rPr>
          <w:rFonts w:hint="eastAsia" w:ascii="仿宋_GB2312" w:hAnsi="仿宋_GB2312" w:eastAsia="仿宋_GB2312" w:cs="仿宋_GB2312"/>
          <w:color w:val="auto"/>
          <w:sz w:val="30"/>
          <w:lang w:val="en-US" w:eastAsia="zh-CN"/>
        </w:rPr>
        <w:t>%；无上缴上级支出、经营支出、对附属单位补助支出。主要原因是主要原因是在职人员调出2人和退休2人。</w:t>
      </w:r>
    </w:p>
    <w:p w14:paraId="6F0E9C9A">
      <w:pPr>
        <w:keepNext w:val="0"/>
        <w:keepLines w:val="0"/>
        <w:pageBreakBefore w:val="0"/>
        <w:widowControl/>
        <w:kinsoku/>
        <w:wordWrap/>
        <w:overflowPunct/>
        <w:topLinePunct w:val="0"/>
        <w:autoSpaceDE/>
        <w:autoSpaceDN/>
        <w:bidi w:val="0"/>
        <w:adjustRightInd/>
        <w:snapToGrid w:val="0"/>
        <w:spacing w:before="100" w:after="100" w:line="600" w:lineRule="exact"/>
        <w:ind w:firstLine="600" w:firstLineChars="200"/>
        <w:jc w:val="left"/>
        <w:textAlignment w:val="auto"/>
        <w:outlineLvl w:val="2"/>
        <w:rPr>
          <w:rFonts w:hint="eastAsia" w:ascii="楷体" w:hAnsi="楷体" w:eastAsia="楷体" w:cs="Times New Roman"/>
          <w:sz w:val="30"/>
          <w:szCs w:val="30"/>
          <w:highlight w:val="none"/>
        </w:rPr>
      </w:pPr>
      <w:r>
        <w:rPr>
          <w:rFonts w:hint="eastAsia" w:ascii="楷体" w:hAnsi="楷体" w:eastAsia="楷体" w:cs="Times New Roman"/>
          <w:sz w:val="30"/>
          <w:szCs w:val="30"/>
          <w:highlight w:val="none"/>
          <w:lang w:val="zh-CN"/>
        </w:rPr>
        <w:drawing>
          <wp:anchor distT="0" distB="0" distL="114300" distR="114300" simplePos="0" relativeHeight="251660288" behindDoc="0" locked="0" layoutInCell="1" allowOverlap="1">
            <wp:simplePos x="0" y="0"/>
            <wp:positionH relativeFrom="column">
              <wp:posOffset>42545</wp:posOffset>
            </wp:positionH>
            <wp:positionV relativeFrom="paragraph">
              <wp:posOffset>99695</wp:posOffset>
            </wp:positionV>
            <wp:extent cx="5935345" cy="2156460"/>
            <wp:effectExtent l="4445" t="4445" r="22860" b="10795"/>
            <wp:wrapTopAndBottom/>
            <wp:docPr id="4"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r>
        <w:rPr>
          <w:rFonts w:hint="eastAsia" w:ascii="楷体" w:hAnsi="楷体" w:eastAsia="楷体" w:cs="Times New Roman"/>
          <w:sz w:val="30"/>
          <w:szCs w:val="30"/>
          <w:highlight w:val="none"/>
        </w:rPr>
        <w:t>（一）基本支出情况</w:t>
      </w:r>
    </w:p>
    <w:p w14:paraId="5CF120B0">
      <w:pPr>
        <w:keepNext w:val="0"/>
        <w:keepLines w:val="0"/>
        <w:pageBreakBefore w:val="0"/>
        <w:kinsoku/>
        <w:wordWrap/>
        <w:overflowPunct/>
        <w:topLinePunct w:val="0"/>
        <w:autoSpaceDE/>
        <w:autoSpaceDN/>
        <w:bidi w:val="0"/>
        <w:adjustRightInd/>
        <w:spacing w:line="600" w:lineRule="exact"/>
        <w:ind w:firstLine="600" w:firstLineChars="200"/>
        <w:textAlignment w:val="auto"/>
        <w:rPr>
          <w:rFonts w:hint="eastAsia" w:ascii="仿宋_GB2312" w:hAnsi="仿宋_GB2312" w:eastAsia="仿宋_GB2312" w:cs="仿宋_GB2312"/>
          <w:color w:val="auto"/>
          <w:sz w:val="30"/>
          <w:lang w:val="zh-CN"/>
        </w:rPr>
      </w:pPr>
      <w:r>
        <w:rPr>
          <w:rFonts w:hint="eastAsia" w:ascii="仿宋_GB2312" w:hAnsi="仿宋_GB2312" w:eastAsia="仿宋_GB2312" w:cs="仿宋_GB2312"/>
          <w:color w:val="auto"/>
          <w:sz w:val="30"/>
          <w:lang w:val="en-US" w:eastAsia="zh-CN"/>
        </w:rPr>
        <w:t>2025年度</w:t>
      </w:r>
      <w:r>
        <w:rPr>
          <w:rFonts w:hint="eastAsia" w:ascii="仿宋_GB2312" w:hAnsi="仿宋_GB2312" w:eastAsia="仿宋_GB2312" w:cs="仿宋_GB2312"/>
          <w:color w:val="auto"/>
          <w:sz w:val="30"/>
          <w:lang w:val="zh-CN"/>
        </w:rPr>
        <w:t>用于保障玉溪市卫生健康委员会卫生监督局机构正常运转的日常支出7</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619</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482.36</w:t>
      </w:r>
      <w:r>
        <w:rPr>
          <w:rFonts w:hint="eastAsia" w:ascii="仿宋_GB2312" w:hAnsi="仿宋_GB2312" w:eastAsia="仿宋_GB2312" w:cs="仿宋_GB2312"/>
          <w:color w:val="auto"/>
          <w:sz w:val="30"/>
          <w:lang w:val="zh-CN" w:eastAsia="zh-CN"/>
        </w:rPr>
        <w:t>元</w:t>
      </w:r>
      <w:r>
        <w:rPr>
          <w:rFonts w:hint="eastAsia" w:ascii="仿宋_GB2312" w:hAnsi="仿宋_GB2312" w:eastAsia="仿宋_GB2312" w:cs="仿宋_GB2312"/>
          <w:color w:val="auto"/>
          <w:sz w:val="30"/>
          <w:lang w:val="zh-CN"/>
        </w:rPr>
        <w:t>。</w:t>
      </w:r>
      <w:r>
        <w:rPr>
          <w:rFonts w:hint="eastAsia" w:ascii="仿宋_GB2312" w:hAnsi="仿宋_GB2312" w:eastAsia="仿宋_GB2312" w:cs="仿宋_GB2312"/>
          <w:color w:val="auto"/>
          <w:sz w:val="30"/>
          <w:lang w:val="zh-CN" w:eastAsia="zh-CN"/>
        </w:rPr>
        <w:t>其中：</w:t>
      </w:r>
      <w:r>
        <w:rPr>
          <w:rFonts w:hint="eastAsia" w:ascii="仿宋_GB2312" w:hAnsi="仿宋_GB2312" w:eastAsia="仿宋_GB2312" w:cs="仿宋_GB2312"/>
          <w:color w:val="auto"/>
          <w:sz w:val="30"/>
          <w:lang w:val="zh-CN"/>
        </w:rPr>
        <w:t>基本工资、津贴补贴等人员经费支出6</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733</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211.44</w:t>
      </w:r>
      <w:r>
        <w:rPr>
          <w:rFonts w:hint="eastAsia" w:ascii="仿宋_GB2312" w:hAnsi="仿宋_GB2312" w:eastAsia="仿宋_GB2312" w:cs="仿宋_GB2312"/>
          <w:color w:val="auto"/>
          <w:sz w:val="30"/>
          <w:lang w:val="zh-CN" w:eastAsia="zh-CN"/>
        </w:rPr>
        <w:t>元，</w:t>
      </w:r>
      <w:r>
        <w:rPr>
          <w:rFonts w:hint="eastAsia" w:ascii="仿宋_GB2312" w:hAnsi="仿宋_GB2312" w:eastAsia="仿宋_GB2312" w:cs="仿宋_GB2312"/>
          <w:color w:val="auto"/>
          <w:sz w:val="30"/>
          <w:lang w:val="zh-CN"/>
        </w:rPr>
        <w:t>占基本支出的88.37％；办公费、印刷费、水电费、办公设备购置等公用经费886</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270.92</w:t>
      </w:r>
      <w:r>
        <w:rPr>
          <w:rFonts w:hint="eastAsia" w:ascii="仿宋_GB2312" w:hAnsi="仿宋_GB2312" w:eastAsia="仿宋_GB2312" w:cs="仿宋_GB2312"/>
          <w:color w:val="auto"/>
          <w:sz w:val="30"/>
          <w:lang w:val="zh-CN" w:eastAsia="zh-CN"/>
        </w:rPr>
        <w:t>元，</w:t>
      </w:r>
      <w:r>
        <w:rPr>
          <w:rFonts w:hint="eastAsia" w:ascii="仿宋_GB2312" w:hAnsi="仿宋_GB2312" w:eastAsia="仿宋_GB2312" w:cs="仿宋_GB2312"/>
          <w:color w:val="auto"/>
          <w:sz w:val="30"/>
          <w:lang w:val="zh-CN"/>
        </w:rPr>
        <w:t>占基本支出的11.63％。</w:t>
      </w:r>
    </w:p>
    <w:p w14:paraId="7CA1D67A">
      <w:pPr>
        <w:keepNext w:val="0"/>
        <w:keepLines w:val="0"/>
        <w:pageBreakBefore w:val="0"/>
        <w:widowControl/>
        <w:kinsoku/>
        <w:wordWrap/>
        <w:overflowPunct/>
        <w:topLinePunct w:val="0"/>
        <w:autoSpaceDE/>
        <w:autoSpaceDN/>
        <w:bidi w:val="0"/>
        <w:adjustRightInd/>
        <w:snapToGrid w:val="0"/>
        <w:spacing w:before="100" w:after="100" w:line="600" w:lineRule="exact"/>
        <w:ind w:firstLine="600" w:firstLineChars="200"/>
        <w:jc w:val="left"/>
        <w:textAlignment w:val="auto"/>
        <w:outlineLvl w:val="2"/>
        <w:rPr>
          <w:rFonts w:hint="eastAsia" w:ascii="楷体" w:hAnsi="楷体" w:eastAsia="楷体"/>
          <w:sz w:val="30"/>
          <w:szCs w:val="30"/>
          <w:highlight w:val="none"/>
        </w:rPr>
      </w:pPr>
      <w:r>
        <w:rPr>
          <w:rFonts w:hint="eastAsia" w:ascii="楷体" w:hAnsi="楷体" w:eastAsia="楷体" w:cs="Times New Roman"/>
          <w:sz w:val="30"/>
          <w:szCs w:val="30"/>
          <w:highlight w:val="none"/>
        </w:rPr>
        <w:drawing>
          <wp:anchor distT="0" distB="0" distL="114300" distR="114300" simplePos="0" relativeHeight="251659264" behindDoc="0" locked="0" layoutInCell="1" allowOverlap="1">
            <wp:simplePos x="0" y="0"/>
            <wp:positionH relativeFrom="column">
              <wp:posOffset>-5080</wp:posOffset>
            </wp:positionH>
            <wp:positionV relativeFrom="paragraph">
              <wp:posOffset>163195</wp:posOffset>
            </wp:positionV>
            <wp:extent cx="5935345" cy="1774825"/>
            <wp:effectExtent l="4445" t="4445" r="22860" b="11430"/>
            <wp:wrapTopAndBottom/>
            <wp:docPr id="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Pr>
          <w:rFonts w:hint="eastAsia" w:ascii="楷体" w:hAnsi="楷体" w:eastAsia="楷体"/>
          <w:sz w:val="30"/>
          <w:szCs w:val="30"/>
          <w:highlight w:val="none"/>
        </w:rPr>
        <w:t>（二）项目支出情况</w:t>
      </w:r>
    </w:p>
    <w:p w14:paraId="540D9378">
      <w:pPr>
        <w:keepNext w:val="0"/>
        <w:keepLines w:val="0"/>
        <w:pageBreakBefore w:val="0"/>
        <w:kinsoku/>
        <w:wordWrap/>
        <w:overflowPunct/>
        <w:topLinePunct w:val="0"/>
        <w:autoSpaceDE/>
        <w:autoSpaceDN/>
        <w:bidi w:val="0"/>
        <w:adjustRightInd/>
        <w:spacing w:line="600" w:lineRule="exact"/>
        <w:ind w:firstLine="600" w:firstLineChars="200"/>
        <w:textAlignment w:val="auto"/>
        <w:rPr>
          <w:rFonts w:hint="eastAsia" w:ascii="仿宋_GB2312" w:hAnsi="仿宋_GB2312" w:eastAsia="仿宋_GB2312" w:cs="仿宋_GB2312"/>
          <w:color w:val="auto"/>
          <w:sz w:val="30"/>
          <w:lang w:val="en-US" w:eastAsia="zh-CN"/>
        </w:rPr>
      </w:pPr>
      <w:r>
        <w:rPr>
          <w:rFonts w:hint="eastAsia" w:ascii="仿宋_GB2312" w:hAnsi="仿宋_GB2312" w:eastAsia="仿宋_GB2312" w:cs="仿宋_GB2312"/>
          <w:color w:val="auto"/>
          <w:sz w:val="30"/>
          <w:lang w:val="en-US" w:eastAsia="zh-CN"/>
        </w:rPr>
        <w:t>2025年度用于保障</w:t>
      </w:r>
      <w:r>
        <w:rPr>
          <w:rFonts w:hint="eastAsia" w:ascii="仿宋_GB2312" w:hAnsi="仿宋_GB2312" w:eastAsia="仿宋_GB2312" w:cs="仿宋_GB2312"/>
          <w:color w:val="auto"/>
          <w:sz w:val="30"/>
          <w:lang w:val="zh-CN" w:eastAsia="zh-CN"/>
        </w:rPr>
        <w:t>玉溪市卫生健康委员会卫生监督局</w:t>
      </w:r>
      <w:r>
        <w:rPr>
          <w:rFonts w:hint="eastAsia" w:ascii="仿宋_GB2312" w:hAnsi="仿宋_GB2312" w:eastAsia="仿宋_GB2312" w:cs="仿宋_GB2312"/>
          <w:color w:val="auto"/>
          <w:sz w:val="30"/>
          <w:lang w:val="en-US" w:eastAsia="zh-CN"/>
        </w:rPr>
        <w:t>为完成特定的行政工作任务或事业发展目标，用于专项业务工作的经费支出</w:t>
      </w:r>
      <w:r>
        <w:rPr>
          <w:rFonts w:hint="eastAsia" w:ascii="仿宋_GB2312" w:hAnsi="仿宋_GB2312" w:eastAsia="仿宋_GB2312" w:cs="仿宋_GB2312"/>
          <w:color w:val="auto"/>
          <w:sz w:val="30"/>
          <w:lang w:val="zh-CN" w:eastAsia="zh-CN"/>
        </w:rPr>
        <w:t>189</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eastAsia="zh-CN"/>
        </w:rPr>
        <w:t>825.80</w:t>
      </w:r>
      <w:r>
        <w:rPr>
          <w:rFonts w:hint="eastAsia" w:ascii="仿宋_GB2312" w:hAnsi="仿宋_GB2312" w:eastAsia="仿宋_GB2312" w:cs="仿宋_GB2312"/>
          <w:color w:val="auto"/>
          <w:sz w:val="30"/>
          <w:lang w:val="en-US" w:eastAsia="zh-CN"/>
        </w:rPr>
        <w:t>元。其中：基本建设类项目支出</w:t>
      </w:r>
      <w:r>
        <w:rPr>
          <w:rFonts w:hint="eastAsia" w:ascii="仿宋_GB2312" w:hAnsi="仿宋_GB2312" w:eastAsia="仿宋_GB2312" w:cs="仿宋_GB2312"/>
          <w:color w:val="auto"/>
          <w:sz w:val="30"/>
          <w:lang w:val="zh-CN" w:eastAsia="zh-CN"/>
        </w:rPr>
        <w:t>0.00</w:t>
      </w:r>
      <w:r>
        <w:rPr>
          <w:rFonts w:hint="eastAsia" w:ascii="仿宋_GB2312" w:hAnsi="仿宋_GB2312" w:eastAsia="仿宋_GB2312" w:cs="仿宋_GB2312"/>
          <w:color w:val="auto"/>
          <w:sz w:val="30"/>
          <w:lang w:val="en-US" w:eastAsia="zh-CN"/>
        </w:rPr>
        <w:t>元。</w:t>
      </w:r>
    </w:p>
    <w:p w14:paraId="76332790">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lang w:val="en-US" w:eastAsia="zh-CN"/>
        </w:rPr>
      </w:pPr>
      <w:r>
        <w:rPr>
          <w:rFonts w:hint="eastAsia" w:ascii="仿宋_GB2312" w:hAnsi="仿宋_GB2312" w:eastAsia="仿宋_GB2312" w:cs="仿宋_GB2312"/>
          <w:color w:val="auto"/>
          <w:sz w:val="30"/>
          <w:lang w:val="en-US" w:eastAsia="zh-CN"/>
        </w:rPr>
        <w:t>1.玉财社〔2023〕253号健康云南考核以奖代补资金 99,820.00元，主要用于实施该项目的培训费、委托业务费；</w:t>
      </w:r>
    </w:p>
    <w:p w14:paraId="7D1F35E9">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lang w:val="en-US" w:eastAsia="zh-CN"/>
        </w:rPr>
      </w:pPr>
      <w:r>
        <w:rPr>
          <w:rFonts w:hint="eastAsia" w:ascii="仿宋_GB2312" w:hAnsi="仿宋_GB2312" w:eastAsia="仿宋_GB2312" w:cs="仿宋_GB2312"/>
          <w:color w:val="auto"/>
          <w:sz w:val="30"/>
          <w:lang w:val="en-US" w:eastAsia="zh-CN"/>
        </w:rPr>
        <w:t>2.玉财社〔2024〕87号2024年基本公共卫生服务项目中央结算补助资金 31,846.60元，主要用于实施该项目的办公费、差旅费；</w:t>
      </w:r>
    </w:p>
    <w:p w14:paraId="00911D15">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lang w:val="en-US" w:eastAsia="zh-CN"/>
        </w:rPr>
      </w:pPr>
      <w:r>
        <w:rPr>
          <w:rFonts w:hint="eastAsia" w:ascii="仿宋_GB2312" w:hAnsi="仿宋_GB2312" w:eastAsia="仿宋_GB2312" w:cs="仿宋_GB2312"/>
          <w:color w:val="auto"/>
          <w:sz w:val="30"/>
          <w:lang w:val="en-US" w:eastAsia="zh-CN"/>
        </w:rPr>
        <w:t xml:space="preserve">3.玉财社〔2025〕163号2025年基本公共卫生服务项目中央结算补助资金——食品安全标准跟踪评价项目资金 6,737.50元，主要用于实施该项目的差旅费、培训费； </w:t>
      </w:r>
    </w:p>
    <w:p w14:paraId="3C38367D">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lang w:val="en-US" w:eastAsia="zh-CN"/>
        </w:rPr>
      </w:pPr>
      <w:r>
        <w:rPr>
          <w:rFonts w:hint="eastAsia" w:ascii="仿宋_GB2312" w:hAnsi="仿宋_GB2312" w:eastAsia="仿宋_GB2312" w:cs="仿宋_GB2312"/>
          <w:color w:val="auto"/>
          <w:sz w:val="30"/>
          <w:lang w:val="en-US" w:eastAsia="zh-CN"/>
        </w:rPr>
        <w:t>4.玉财社〔2022〕156号2022年基本公共卫生项目中央转移支付补助资金 6,453.30元，主要用于实施该项目的公务用车运行维护费；</w:t>
      </w:r>
    </w:p>
    <w:p w14:paraId="2CCF99B9">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lang w:val="en-US" w:eastAsia="zh-CN"/>
        </w:rPr>
      </w:pPr>
      <w:r>
        <w:rPr>
          <w:rFonts w:hint="eastAsia" w:ascii="仿宋_GB2312" w:hAnsi="仿宋_GB2312" w:eastAsia="仿宋_GB2312" w:cs="仿宋_GB2312"/>
          <w:color w:val="auto"/>
          <w:sz w:val="30"/>
          <w:lang w:val="en-US" w:eastAsia="zh-CN"/>
        </w:rPr>
        <w:t xml:space="preserve">5.玉财社〔2022〕144号2022年基本公共卫生服务项目省级补助（第二批）资金 52.40元，主要用于实施该项目的差旅费； </w:t>
      </w:r>
    </w:p>
    <w:p w14:paraId="661588E3">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lang w:val="en-US" w:eastAsia="zh-CN"/>
        </w:rPr>
      </w:pPr>
      <w:r>
        <w:rPr>
          <w:rFonts w:hint="eastAsia" w:ascii="仿宋_GB2312" w:hAnsi="仿宋_GB2312" w:eastAsia="仿宋_GB2312" w:cs="仿宋_GB2312"/>
          <w:color w:val="auto"/>
          <w:sz w:val="30"/>
          <w:lang w:val="en-US" w:eastAsia="zh-CN"/>
        </w:rPr>
        <w:t xml:space="preserve">6.玉财社〔2025〕102号特定项目2025029经费 12,214.00元，主要用于实施该项目的差旅费、培训费； </w:t>
      </w:r>
    </w:p>
    <w:p w14:paraId="5F48AC62">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lang w:val="en-US" w:eastAsia="zh-CN"/>
        </w:rPr>
      </w:pPr>
      <w:r>
        <w:rPr>
          <w:rFonts w:hint="eastAsia" w:ascii="仿宋_GB2312" w:hAnsi="仿宋_GB2312" w:eastAsia="仿宋_GB2312" w:cs="仿宋_GB2312"/>
          <w:color w:val="auto"/>
          <w:sz w:val="30"/>
          <w:lang w:val="en-US" w:eastAsia="zh-CN"/>
        </w:rPr>
        <w:t xml:space="preserve">7.玉财社〔2023〕297号2024年重大传染病防控中央补助资金 24,836.00元，主要用于实施该项目差旅费； </w:t>
      </w:r>
    </w:p>
    <w:p w14:paraId="00B2BD77">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lang w:val="en-US" w:eastAsia="zh-CN"/>
        </w:rPr>
      </w:pPr>
      <w:r>
        <w:rPr>
          <w:rFonts w:hint="eastAsia" w:ascii="仿宋_GB2312" w:hAnsi="仿宋_GB2312" w:eastAsia="仿宋_GB2312" w:cs="仿宋_GB2312"/>
          <w:color w:val="auto"/>
          <w:sz w:val="30"/>
          <w:lang w:val="en-US" w:eastAsia="zh-CN"/>
        </w:rPr>
        <w:t xml:space="preserve">8.玉财社〔2023〕43号2022年重大传染病防控结算经费 4,510.00元，主要用于实施该项目的办公费； </w:t>
      </w:r>
    </w:p>
    <w:p w14:paraId="52B887FB">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lang w:val="en-US" w:eastAsia="zh-CN"/>
        </w:rPr>
      </w:pPr>
      <w:r>
        <w:rPr>
          <w:rFonts w:hint="eastAsia" w:ascii="仿宋_GB2312" w:hAnsi="仿宋_GB2312" w:eastAsia="仿宋_GB2312" w:cs="仿宋_GB2312"/>
          <w:color w:val="auto"/>
          <w:sz w:val="30"/>
          <w:lang w:val="en-US" w:eastAsia="zh-CN"/>
        </w:rPr>
        <w:t>9.玉财社〔2023〕177号2023年重大传染病防控结算经费 3,356.00元，主要用于实施该项目的差旅费。</w:t>
      </w:r>
    </w:p>
    <w:p w14:paraId="3119201E">
      <w:pPr>
        <w:keepNext w:val="0"/>
        <w:keepLines w:val="0"/>
        <w:pageBreakBefore w:val="0"/>
        <w:widowControl/>
        <w:kinsoku/>
        <w:wordWrap/>
        <w:overflowPunct/>
        <w:topLinePunct w:val="0"/>
        <w:autoSpaceDE/>
        <w:autoSpaceDN/>
        <w:bidi w:val="0"/>
        <w:adjustRightInd/>
        <w:snapToGrid w:val="0"/>
        <w:spacing w:before="100" w:after="100" w:line="600" w:lineRule="exact"/>
        <w:ind w:firstLine="600" w:firstLineChars="200"/>
        <w:jc w:val="left"/>
        <w:textAlignment w:val="auto"/>
        <w:outlineLvl w:val="1"/>
        <w:rPr>
          <w:rFonts w:hint="eastAsia" w:ascii="黑体" w:hAnsi="黑体" w:eastAsia="黑体"/>
          <w:sz w:val="30"/>
          <w:szCs w:val="30"/>
          <w:highlight w:val="none"/>
        </w:rPr>
      </w:pPr>
      <w:r>
        <w:rPr>
          <w:rFonts w:hint="eastAsia" w:ascii="黑体" w:hAnsi="黑体" w:eastAsia="黑体"/>
          <w:sz w:val="30"/>
          <w:szCs w:val="30"/>
          <w:highlight w:val="none"/>
        </w:rPr>
        <w:t>三、一般公共预算财政拨款支出决算情况说明</w:t>
      </w:r>
    </w:p>
    <w:p w14:paraId="4F233D84">
      <w:pPr>
        <w:keepNext w:val="0"/>
        <w:keepLines w:val="0"/>
        <w:pageBreakBefore w:val="0"/>
        <w:widowControl/>
        <w:kinsoku/>
        <w:wordWrap/>
        <w:overflowPunct/>
        <w:topLinePunct w:val="0"/>
        <w:autoSpaceDE/>
        <w:autoSpaceDN/>
        <w:bidi w:val="0"/>
        <w:adjustRightInd/>
        <w:snapToGrid w:val="0"/>
        <w:spacing w:before="100" w:after="100" w:line="600" w:lineRule="exact"/>
        <w:ind w:firstLine="600" w:firstLineChars="200"/>
        <w:jc w:val="left"/>
        <w:textAlignment w:val="auto"/>
        <w:outlineLvl w:val="2"/>
        <w:rPr>
          <w:rFonts w:hint="eastAsia" w:ascii="楷体" w:hAnsi="楷体" w:eastAsia="楷体"/>
          <w:sz w:val="30"/>
          <w:szCs w:val="30"/>
          <w:highlight w:val="none"/>
        </w:rPr>
      </w:pPr>
      <w:r>
        <w:rPr>
          <w:rFonts w:hint="eastAsia" w:ascii="楷体" w:hAnsi="楷体" w:eastAsia="楷体"/>
          <w:sz w:val="30"/>
          <w:szCs w:val="30"/>
          <w:highlight w:val="none"/>
        </w:rPr>
        <w:t>（一）一般公共预算财政拨款支出决算总体情况</w:t>
      </w:r>
    </w:p>
    <w:p w14:paraId="280ED4CF">
      <w:pPr>
        <w:keepNext w:val="0"/>
        <w:keepLines w:val="0"/>
        <w:pageBreakBefore w:val="0"/>
        <w:widowControl/>
        <w:kinsoku/>
        <w:wordWrap/>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hAnsi="宋体" w:eastAsia="仿宋_GB2312" w:cs="Arial"/>
          <w:kern w:val="0"/>
          <w:sz w:val="30"/>
          <w:szCs w:val="30"/>
          <w:highlight w:val="none"/>
        </w:rPr>
      </w:pPr>
      <w:r>
        <w:rPr>
          <w:rFonts w:hint="eastAsia" w:ascii="仿宋_GB2312" w:hAnsi="仿宋_GB2312" w:eastAsia="仿宋_GB2312" w:cs="仿宋_GB2312"/>
          <w:color w:val="auto"/>
          <w:sz w:val="30"/>
          <w:lang w:val="zh-CN"/>
        </w:rPr>
        <w:t>玉溪市卫生健康委员会卫生监督局</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一般公共预算财政拨款支出</w:t>
      </w:r>
      <w:r>
        <w:rPr>
          <w:rFonts w:hint="eastAsia" w:ascii="仿宋_GB2312" w:hAnsi="仿宋_GB2312" w:eastAsia="仿宋_GB2312" w:cs="仿宋_GB2312"/>
          <w:color w:val="auto"/>
          <w:kern w:val="0"/>
          <w:sz w:val="30"/>
          <w:lang w:val="zh-CN"/>
        </w:rPr>
        <w:t>7</w:t>
      </w:r>
      <w:r>
        <w:rPr>
          <w:rFonts w:hint="eastAsia" w:ascii="仿宋_GB2312" w:hAnsi="仿宋_GB2312" w:eastAsia="仿宋_GB2312" w:cs="仿宋_GB2312"/>
          <w:color w:val="auto"/>
          <w:kern w:val="0"/>
          <w:sz w:val="30"/>
          <w:lang w:val="en-US" w:eastAsia="zh-CN"/>
        </w:rPr>
        <w:t>,</w:t>
      </w:r>
      <w:r>
        <w:rPr>
          <w:rFonts w:hint="eastAsia" w:ascii="仿宋_GB2312" w:hAnsi="仿宋_GB2312" w:eastAsia="仿宋_GB2312" w:cs="仿宋_GB2312"/>
          <w:color w:val="auto"/>
          <w:kern w:val="0"/>
          <w:sz w:val="30"/>
          <w:lang w:val="zh-CN"/>
        </w:rPr>
        <w:t>809</w:t>
      </w:r>
      <w:r>
        <w:rPr>
          <w:rFonts w:hint="eastAsia" w:ascii="仿宋_GB2312" w:hAnsi="仿宋_GB2312" w:eastAsia="仿宋_GB2312" w:cs="仿宋_GB2312"/>
          <w:color w:val="auto"/>
          <w:kern w:val="0"/>
          <w:sz w:val="30"/>
          <w:lang w:val="en-US" w:eastAsia="zh-CN"/>
        </w:rPr>
        <w:t>,</w:t>
      </w:r>
      <w:r>
        <w:rPr>
          <w:rFonts w:hint="eastAsia" w:ascii="仿宋_GB2312" w:hAnsi="仿宋_GB2312" w:eastAsia="仿宋_GB2312" w:cs="仿宋_GB2312"/>
          <w:color w:val="auto"/>
          <w:kern w:val="0"/>
          <w:sz w:val="30"/>
          <w:lang w:val="zh-CN"/>
        </w:rPr>
        <w:t>308.16</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,占本年支出合计的</w:t>
      </w:r>
      <w:r>
        <w:rPr>
          <w:rFonts w:hint="eastAsia" w:ascii="仿宋_GB2312" w:hAnsi="仿宋_GB2312" w:eastAsia="仿宋_GB2312" w:cs="仿宋_GB2312"/>
          <w:color w:val="auto"/>
          <w:sz w:val="30"/>
          <w:lang w:val="zh-CN"/>
        </w:rPr>
        <w:t>100.00</w:t>
      </w:r>
      <w:r>
        <w:rPr>
          <w:rFonts w:hint="eastAsia" w:ascii="仿宋_GB2312" w:hAnsi="宋体" w:eastAsia="仿宋_GB2312" w:cs="Arial"/>
          <w:kern w:val="0"/>
          <w:sz w:val="30"/>
          <w:szCs w:val="30"/>
          <w:highlight w:val="none"/>
        </w:rPr>
        <w:t>%。与上年</w:t>
      </w:r>
      <w:r>
        <w:rPr>
          <w:rFonts w:hint="eastAsia" w:ascii="仿宋_GB2312" w:hAnsi="宋体" w:eastAsia="仿宋_GB2312" w:cs="Arial"/>
          <w:kern w:val="0"/>
          <w:sz w:val="30"/>
          <w:szCs w:val="30"/>
          <w:highlight w:val="none"/>
          <w:lang w:eastAsia="zh-CN"/>
        </w:rPr>
        <w:t>相比减少</w:t>
      </w:r>
      <w:r>
        <w:rPr>
          <w:rFonts w:hint="eastAsia" w:ascii="仿宋_GB2312" w:hAnsi="仿宋_GB2312" w:eastAsia="仿宋_GB2312" w:cs="仿宋_GB2312"/>
          <w:color w:val="auto"/>
          <w:kern w:val="0"/>
          <w:sz w:val="30"/>
          <w:lang w:val="zh-CN"/>
        </w:rPr>
        <w:t>1</w:t>
      </w:r>
      <w:r>
        <w:rPr>
          <w:rFonts w:hint="eastAsia" w:ascii="仿宋_GB2312" w:hAnsi="仿宋_GB2312" w:eastAsia="仿宋_GB2312" w:cs="仿宋_GB2312"/>
          <w:color w:val="auto"/>
          <w:kern w:val="0"/>
          <w:sz w:val="30"/>
          <w:lang w:val="en-US" w:eastAsia="zh-CN"/>
        </w:rPr>
        <w:t>,</w:t>
      </w:r>
      <w:r>
        <w:rPr>
          <w:rFonts w:hint="eastAsia" w:ascii="仿宋_GB2312" w:hAnsi="仿宋_GB2312" w:eastAsia="仿宋_GB2312" w:cs="仿宋_GB2312"/>
          <w:color w:val="auto"/>
          <w:kern w:val="0"/>
          <w:sz w:val="30"/>
          <w:lang w:val="zh-CN"/>
        </w:rPr>
        <w:t>304</w:t>
      </w:r>
      <w:r>
        <w:rPr>
          <w:rFonts w:hint="eastAsia" w:ascii="仿宋_GB2312" w:hAnsi="仿宋_GB2312" w:eastAsia="仿宋_GB2312" w:cs="仿宋_GB2312"/>
          <w:color w:val="auto"/>
          <w:kern w:val="0"/>
          <w:sz w:val="30"/>
          <w:lang w:val="en-US" w:eastAsia="zh-CN"/>
        </w:rPr>
        <w:t>,</w:t>
      </w:r>
      <w:r>
        <w:rPr>
          <w:rFonts w:hint="eastAsia" w:ascii="仿宋_GB2312" w:hAnsi="仿宋_GB2312" w:eastAsia="仿宋_GB2312" w:cs="仿宋_GB2312"/>
          <w:color w:val="auto"/>
          <w:kern w:val="0"/>
          <w:sz w:val="30"/>
          <w:lang w:val="zh-CN"/>
        </w:rPr>
        <w:t>797.30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下降</w:t>
      </w:r>
      <w:r>
        <w:rPr>
          <w:rFonts w:hint="eastAsia" w:ascii="仿宋_GB2312" w:hAnsi="仿宋_GB2312" w:eastAsia="仿宋_GB2312" w:cs="仿宋_GB2312"/>
          <w:color w:val="auto"/>
          <w:kern w:val="0"/>
          <w:sz w:val="30"/>
          <w:lang w:val="zh-CN"/>
        </w:rPr>
        <w:t>14.32</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sz w:val="30"/>
          <w:lang w:val="zh-CN"/>
        </w:rPr>
        <w:t>93.06</w:t>
      </w:r>
      <w:r>
        <w:rPr>
          <w:rFonts w:hint="eastAsia" w:ascii="仿宋_GB2312" w:eastAsia="仿宋_GB2312"/>
          <w:sz w:val="30"/>
          <w:szCs w:val="30"/>
          <w:highlight w:val="none"/>
          <w:lang w:val="en-US" w:eastAsia="zh-CN"/>
        </w:rPr>
        <w:t>%</w:t>
      </w:r>
      <w:r>
        <w:rPr>
          <w:rFonts w:hint="eastAsia" w:ascii="仿宋_GB2312" w:hAnsi="宋体" w:eastAsia="仿宋_GB2312" w:cs="Arial"/>
          <w:kern w:val="0"/>
          <w:sz w:val="30"/>
          <w:szCs w:val="30"/>
          <w:highlight w:val="none"/>
        </w:rPr>
        <w:t>。</w:t>
      </w:r>
    </w:p>
    <w:p w14:paraId="4A42D7DC">
      <w:pPr>
        <w:keepNext w:val="0"/>
        <w:keepLines w:val="0"/>
        <w:pageBreakBefore w:val="0"/>
        <w:widowControl/>
        <w:kinsoku/>
        <w:wordWrap/>
        <w:overflowPunct/>
        <w:topLinePunct w:val="0"/>
        <w:autoSpaceDE/>
        <w:autoSpaceDN/>
        <w:bidi w:val="0"/>
        <w:adjustRightInd/>
        <w:snapToGrid w:val="0"/>
        <w:spacing w:before="100" w:after="100" w:line="600" w:lineRule="exact"/>
        <w:ind w:firstLine="600" w:firstLineChars="200"/>
        <w:jc w:val="left"/>
        <w:textAlignment w:val="auto"/>
        <w:outlineLvl w:val="2"/>
        <w:rPr>
          <w:rFonts w:hint="eastAsia" w:ascii="楷体" w:hAnsi="楷体" w:eastAsia="楷体"/>
          <w:sz w:val="30"/>
          <w:szCs w:val="30"/>
          <w:highlight w:val="none"/>
        </w:rPr>
      </w:pPr>
      <w:r>
        <w:rPr>
          <w:rFonts w:hint="eastAsia" w:ascii="楷体" w:hAnsi="楷体" w:eastAsia="楷体"/>
          <w:sz w:val="30"/>
          <w:szCs w:val="30"/>
          <w:highlight w:val="none"/>
        </w:rPr>
        <w:t>（二）一般公共预算财政拨款支出决算</w:t>
      </w:r>
      <w:r>
        <w:rPr>
          <w:rFonts w:hint="eastAsia" w:ascii="楷体" w:hAnsi="楷体" w:eastAsia="楷体"/>
          <w:sz w:val="30"/>
          <w:szCs w:val="30"/>
          <w:highlight w:val="none"/>
          <w:lang w:eastAsia="zh-CN"/>
        </w:rPr>
        <w:t>分功能分类科目情况</w:t>
      </w:r>
      <w:r>
        <w:rPr>
          <w:rFonts w:hint="eastAsia" w:ascii="楷体" w:hAnsi="楷体" w:eastAsia="楷体"/>
          <w:sz w:val="30"/>
          <w:szCs w:val="30"/>
          <w:highlight w:val="none"/>
        </w:rPr>
        <w:tab/>
      </w:r>
    </w:p>
    <w:p w14:paraId="7CE1F418">
      <w:pPr>
        <w:keepNext w:val="0"/>
        <w:keepLines w:val="0"/>
        <w:pageBreakBefore w:val="0"/>
        <w:widowControl/>
        <w:kinsoku/>
        <w:wordWrap/>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1.一般公共服务（类）支出，年初无此项预算。</w:t>
      </w:r>
    </w:p>
    <w:p w14:paraId="21D8645E">
      <w:pPr>
        <w:keepNext w:val="0"/>
        <w:keepLines w:val="0"/>
        <w:pageBreakBefore w:val="0"/>
        <w:widowControl/>
        <w:kinsoku/>
        <w:wordWrap/>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2.外交（类）支出，年初无此项预算。</w:t>
      </w:r>
    </w:p>
    <w:p w14:paraId="1237B372">
      <w:pPr>
        <w:keepNext w:val="0"/>
        <w:keepLines w:val="0"/>
        <w:pageBreakBefore w:val="0"/>
        <w:widowControl/>
        <w:kinsoku/>
        <w:wordWrap/>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3.国防（类）支出，年初无此项预算。</w:t>
      </w:r>
    </w:p>
    <w:p w14:paraId="14388376">
      <w:pPr>
        <w:keepNext w:val="0"/>
        <w:keepLines w:val="0"/>
        <w:pageBreakBefore w:val="0"/>
        <w:widowControl/>
        <w:kinsoku/>
        <w:wordWrap/>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4.公共安全（类）支出，年初无此项预算。</w:t>
      </w:r>
    </w:p>
    <w:p w14:paraId="26AEB4D9">
      <w:pPr>
        <w:keepNext w:val="0"/>
        <w:keepLines w:val="0"/>
        <w:pageBreakBefore w:val="0"/>
        <w:widowControl/>
        <w:kinsoku/>
        <w:wordWrap/>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5.教育（类）支出，年初无此项预算。</w:t>
      </w:r>
    </w:p>
    <w:p w14:paraId="180402D7">
      <w:pPr>
        <w:keepNext w:val="0"/>
        <w:keepLines w:val="0"/>
        <w:pageBreakBefore w:val="0"/>
        <w:widowControl/>
        <w:kinsoku/>
        <w:wordWrap/>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6.科学技术（类）支出，年初无此项预算。</w:t>
      </w:r>
    </w:p>
    <w:p w14:paraId="2C97F041">
      <w:pPr>
        <w:keepNext w:val="0"/>
        <w:keepLines w:val="0"/>
        <w:pageBreakBefore w:val="0"/>
        <w:widowControl/>
        <w:kinsoku/>
        <w:wordWrap/>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7.文化旅游体育与传媒（类）支出，年初无此项预算。</w:t>
      </w:r>
    </w:p>
    <w:p w14:paraId="360AF84A">
      <w:pPr>
        <w:keepNext w:val="0"/>
        <w:keepLines w:val="0"/>
        <w:pageBreakBefore w:val="0"/>
        <w:widowControl/>
        <w:kinsoku/>
        <w:wordWrap/>
        <w:overflowPunct/>
        <w:topLinePunct w:val="0"/>
        <w:autoSpaceDE/>
        <w:autoSpaceDN/>
        <w:bidi w:val="0"/>
        <w:adjustRightInd/>
        <w:snapToGrid w:val="0"/>
        <w:spacing w:before="100" w:after="100" w:line="600" w:lineRule="exact"/>
        <w:ind w:firstLine="600" w:firstLineChars="200"/>
        <w:jc w:val="both"/>
        <w:textAlignment w:val="auto"/>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lang w:val="en-US"/>
        </w:rPr>
        <w:t>8.社会保障和就业（类）支出</w:t>
      </w:r>
      <w:r>
        <w:rPr>
          <w:rFonts w:hint="eastAsia" w:ascii="仿宋_GB2312" w:hAnsi="宋体" w:eastAsia="仿宋_GB2312" w:cs="Arial"/>
          <w:kern w:val="0"/>
          <w:sz w:val="30"/>
          <w:szCs w:val="30"/>
          <w:highlight w:val="none"/>
          <w:lang w:val="en-US" w:eastAsia="zh-CN"/>
        </w:rPr>
        <w:t>1,390,866.44</w:t>
      </w:r>
      <w:r>
        <w:rPr>
          <w:rFonts w:hint="eastAsia" w:ascii="仿宋_GB2312" w:hAnsi="宋体" w:eastAsia="仿宋_GB2312" w:cs="Arial"/>
          <w:kern w:val="0"/>
          <w:sz w:val="30"/>
          <w:szCs w:val="30"/>
          <w:highlight w:val="none"/>
          <w:lang w:val="en-US"/>
        </w:rPr>
        <w:t>元，占一般公共预算财政拨款总支出的</w:t>
      </w:r>
      <w:r>
        <w:rPr>
          <w:rFonts w:hint="eastAsia" w:ascii="仿宋_GB2312" w:hAnsi="宋体" w:eastAsia="仿宋_GB2312" w:cs="Arial"/>
          <w:kern w:val="0"/>
          <w:sz w:val="30"/>
          <w:szCs w:val="30"/>
          <w:highlight w:val="none"/>
          <w:lang w:val="en-US" w:eastAsia="zh-CN"/>
        </w:rPr>
        <w:t>17.81</w:t>
      </w:r>
      <w:r>
        <w:rPr>
          <w:rFonts w:hint="eastAsia" w:ascii="仿宋_GB2312" w:hAnsi="宋体" w:eastAsia="仿宋_GB2312" w:cs="Arial"/>
          <w:kern w:val="0"/>
          <w:sz w:val="30"/>
          <w:szCs w:val="30"/>
          <w:highlight w:val="none"/>
          <w:lang w:val="en-US"/>
        </w:rPr>
        <w:t>%</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完成年初预算的</w:t>
      </w:r>
      <w:r>
        <w:rPr>
          <w:rFonts w:hint="eastAsia" w:ascii="仿宋_GB2312" w:hAnsi="宋体" w:eastAsia="仿宋_GB2312" w:cs="Arial"/>
          <w:kern w:val="0"/>
          <w:sz w:val="30"/>
          <w:szCs w:val="30"/>
          <w:highlight w:val="none"/>
          <w:lang w:val="zh-CN"/>
        </w:rPr>
        <w:t>93.37</w:t>
      </w:r>
      <w:r>
        <w:rPr>
          <w:rFonts w:hint="eastAsia" w:ascii="仿宋_GB2312" w:hAnsi="宋体" w:eastAsia="仿宋_GB2312" w:cs="Arial"/>
          <w:kern w:val="0"/>
          <w:sz w:val="30"/>
          <w:szCs w:val="30"/>
          <w:highlight w:val="none"/>
          <w:lang w:val="en-US" w:eastAsia="zh-CN"/>
        </w:rPr>
        <w:t>%</w:t>
      </w:r>
      <w:r>
        <w:rPr>
          <w:rFonts w:hint="eastAsia" w:ascii="仿宋_GB2312" w:hAnsi="宋体" w:eastAsia="仿宋_GB2312" w:cs="Arial"/>
          <w:kern w:val="0"/>
          <w:sz w:val="30"/>
          <w:szCs w:val="30"/>
          <w:highlight w:val="none"/>
        </w:rPr>
        <w:t>。主要用于</w:t>
      </w:r>
      <w:r>
        <w:rPr>
          <w:rFonts w:hint="eastAsia" w:ascii="仿宋_GB2312" w:hAnsi="宋体" w:eastAsia="仿宋_GB2312" w:cs="Arial"/>
          <w:kern w:val="0"/>
          <w:sz w:val="30"/>
          <w:szCs w:val="30"/>
          <w:highlight w:val="none"/>
          <w:lang w:eastAsia="zh-CN"/>
        </w:rPr>
        <w:t>2080501行政单位离退休608,200.00元；2080505机关事业单位基本养老保险缴费支出538,728.00元；2080506机关事业单位职业年金缴费支出243,938.44元。造成预决算差异的主要原因是2080501行政单位离退休，</w:t>
      </w:r>
      <w:r>
        <w:rPr>
          <w:rFonts w:hint="eastAsia" w:ascii="仿宋_GB2312" w:hAnsi="宋体" w:eastAsia="仿宋_GB2312" w:cs="Arial"/>
          <w:kern w:val="0"/>
          <w:sz w:val="30"/>
          <w:szCs w:val="30"/>
          <w:highlight w:val="none"/>
          <w:lang w:val="en-US" w:eastAsia="zh-CN"/>
        </w:rPr>
        <w:t>比年初预算的540,600.00</w:t>
      </w:r>
      <w:r>
        <w:rPr>
          <w:rFonts w:hint="eastAsia" w:ascii="仿宋_GB2312" w:hAnsi="宋体" w:eastAsia="仿宋_GB2312" w:cs="Arial"/>
          <w:kern w:val="0"/>
          <w:sz w:val="30"/>
          <w:szCs w:val="30"/>
          <w:highlight w:val="none"/>
          <w:lang w:eastAsia="zh-CN"/>
        </w:rPr>
        <w:t>元，增加67,600元；2080505机关事业单位基本养老保险缴费支出，</w:t>
      </w:r>
      <w:r>
        <w:rPr>
          <w:rFonts w:hint="eastAsia" w:ascii="仿宋_GB2312" w:hAnsi="宋体" w:eastAsia="仿宋_GB2312" w:cs="Arial"/>
          <w:kern w:val="0"/>
          <w:sz w:val="30"/>
          <w:szCs w:val="30"/>
          <w:highlight w:val="none"/>
          <w:lang w:val="en-US" w:eastAsia="zh-CN"/>
        </w:rPr>
        <w:t>比年初预算的</w:t>
      </w:r>
      <w:r>
        <w:rPr>
          <w:rFonts w:hint="eastAsia" w:ascii="仿宋_GB2312" w:hAnsi="宋体" w:eastAsia="仿宋_GB2312" w:cs="Arial"/>
          <w:kern w:val="0"/>
          <w:sz w:val="30"/>
          <w:szCs w:val="30"/>
          <w:highlight w:val="none"/>
          <w:lang w:eastAsia="zh-CN"/>
        </w:rPr>
        <w:t>648,973.92元，减少110,245.92元；2080506机关事业单位职业年金缴费支出，</w:t>
      </w:r>
      <w:r>
        <w:rPr>
          <w:rFonts w:hint="eastAsia" w:ascii="仿宋_GB2312" w:hAnsi="宋体" w:eastAsia="仿宋_GB2312" w:cs="Arial"/>
          <w:kern w:val="0"/>
          <w:sz w:val="30"/>
          <w:szCs w:val="30"/>
          <w:highlight w:val="none"/>
          <w:lang w:val="en-US" w:eastAsia="zh-CN"/>
        </w:rPr>
        <w:t>比年初预算的300,000.00</w:t>
      </w:r>
      <w:r>
        <w:rPr>
          <w:rFonts w:hint="eastAsia" w:ascii="仿宋_GB2312" w:hAnsi="宋体" w:eastAsia="仿宋_GB2312" w:cs="Arial"/>
          <w:kern w:val="0"/>
          <w:sz w:val="30"/>
          <w:szCs w:val="30"/>
          <w:highlight w:val="none"/>
          <w:lang w:eastAsia="zh-CN"/>
        </w:rPr>
        <w:t>元，减少56,061.56元。</w:t>
      </w:r>
    </w:p>
    <w:p w14:paraId="66D0307F">
      <w:pPr>
        <w:keepNext w:val="0"/>
        <w:keepLines w:val="0"/>
        <w:pageBreakBefore w:val="0"/>
        <w:widowControl/>
        <w:kinsoku/>
        <w:wordWrap/>
        <w:overflowPunct/>
        <w:topLinePunct w:val="0"/>
        <w:autoSpaceDE/>
        <w:autoSpaceDN/>
        <w:bidi w:val="0"/>
        <w:adjustRightInd/>
        <w:snapToGrid w:val="0"/>
        <w:spacing w:before="100" w:after="100" w:line="600" w:lineRule="exact"/>
        <w:ind w:firstLine="600" w:firstLineChars="200"/>
        <w:jc w:val="both"/>
        <w:textAlignment w:val="auto"/>
        <w:rPr>
          <w:rFonts w:hint="eastAsia" w:ascii="仿宋_GB2312" w:hAnsi="宋体" w:eastAsia="仿宋_GB2312" w:cs="Arial"/>
          <w:kern w:val="0"/>
          <w:sz w:val="30"/>
          <w:szCs w:val="30"/>
          <w:highlight w:val="none"/>
          <w:lang w:val="en-US" w:eastAsia="zh-CN"/>
        </w:rPr>
      </w:pPr>
      <w:r>
        <w:rPr>
          <w:rFonts w:hint="eastAsia" w:ascii="仿宋_GB2312" w:hAnsi="宋体" w:eastAsia="仿宋_GB2312" w:cs="Arial"/>
          <w:kern w:val="0"/>
          <w:sz w:val="30"/>
          <w:szCs w:val="30"/>
          <w:highlight w:val="none"/>
          <w:lang w:val="en-US"/>
        </w:rPr>
        <w:t>9.卫生健康（类）支出</w:t>
      </w:r>
      <w:r>
        <w:rPr>
          <w:rFonts w:hint="eastAsia" w:ascii="仿宋_GB2312" w:hAnsi="宋体" w:eastAsia="仿宋_GB2312" w:cs="Arial"/>
          <w:kern w:val="0"/>
          <w:sz w:val="30"/>
          <w:szCs w:val="30"/>
          <w:highlight w:val="none"/>
          <w:lang w:val="zh-CN"/>
        </w:rPr>
        <w:t>5</w:t>
      </w:r>
      <w:r>
        <w:rPr>
          <w:rFonts w:hint="eastAsia" w:ascii="仿宋_GB2312" w:hAnsi="宋体" w:eastAsia="仿宋_GB2312" w:cs="Arial"/>
          <w:kern w:val="0"/>
          <w:sz w:val="30"/>
          <w:szCs w:val="30"/>
          <w:highlight w:val="none"/>
          <w:lang w:val="en-US" w:eastAsia="zh-CN"/>
        </w:rPr>
        <w:t>,</w:t>
      </w:r>
      <w:r>
        <w:rPr>
          <w:rFonts w:hint="eastAsia" w:ascii="仿宋_GB2312" w:hAnsi="宋体" w:eastAsia="仿宋_GB2312" w:cs="Arial"/>
          <w:kern w:val="0"/>
          <w:sz w:val="30"/>
          <w:szCs w:val="30"/>
          <w:highlight w:val="none"/>
          <w:lang w:val="zh-CN"/>
        </w:rPr>
        <w:t>907</w:t>
      </w:r>
      <w:r>
        <w:rPr>
          <w:rFonts w:hint="eastAsia" w:ascii="仿宋_GB2312" w:hAnsi="宋体" w:eastAsia="仿宋_GB2312" w:cs="Arial"/>
          <w:kern w:val="0"/>
          <w:sz w:val="30"/>
          <w:szCs w:val="30"/>
          <w:highlight w:val="none"/>
          <w:lang w:val="en-US" w:eastAsia="zh-CN"/>
        </w:rPr>
        <w:t>,</w:t>
      </w:r>
      <w:r>
        <w:rPr>
          <w:rFonts w:hint="eastAsia" w:ascii="仿宋_GB2312" w:hAnsi="宋体" w:eastAsia="仿宋_GB2312" w:cs="Arial"/>
          <w:kern w:val="0"/>
          <w:sz w:val="30"/>
          <w:szCs w:val="30"/>
          <w:highlight w:val="none"/>
          <w:lang w:val="zh-CN"/>
        </w:rPr>
        <w:t>125.72</w:t>
      </w:r>
      <w:r>
        <w:rPr>
          <w:rFonts w:hint="eastAsia" w:ascii="仿宋_GB2312" w:hAnsi="宋体" w:eastAsia="仿宋_GB2312" w:cs="Arial"/>
          <w:kern w:val="0"/>
          <w:sz w:val="30"/>
          <w:szCs w:val="30"/>
          <w:highlight w:val="none"/>
          <w:lang w:val="en-US" w:eastAsia="zh-CN"/>
        </w:rPr>
        <w:t>元</w:t>
      </w:r>
      <w:r>
        <w:rPr>
          <w:rFonts w:hint="eastAsia" w:ascii="仿宋_GB2312" w:hAnsi="宋体" w:eastAsia="仿宋_GB2312" w:cs="Arial"/>
          <w:kern w:val="0"/>
          <w:sz w:val="30"/>
          <w:szCs w:val="30"/>
          <w:highlight w:val="none"/>
          <w:lang w:val="en-US"/>
        </w:rPr>
        <w:t>，占一般公共预算财政拨款总支出的</w:t>
      </w:r>
      <w:r>
        <w:rPr>
          <w:rFonts w:hint="eastAsia" w:ascii="仿宋_GB2312" w:hAnsi="宋体" w:eastAsia="仿宋_GB2312" w:cs="Arial"/>
          <w:kern w:val="0"/>
          <w:sz w:val="30"/>
          <w:szCs w:val="30"/>
          <w:highlight w:val="none"/>
          <w:lang w:val="zh-CN"/>
        </w:rPr>
        <w:t>75.64</w:t>
      </w:r>
      <w:r>
        <w:rPr>
          <w:rFonts w:hint="eastAsia" w:ascii="仿宋_GB2312" w:hAnsi="宋体" w:eastAsia="仿宋_GB2312" w:cs="Arial"/>
          <w:kern w:val="0"/>
          <w:sz w:val="30"/>
          <w:szCs w:val="30"/>
          <w:highlight w:val="none"/>
          <w:lang w:val="en-US"/>
        </w:rPr>
        <w:t>%,</w:t>
      </w:r>
      <w:r>
        <w:rPr>
          <w:rFonts w:hint="eastAsia" w:ascii="仿宋_GB2312" w:hAnsi="宋体" w:eastAsia="仿宋_GB2312" w:cs="Arial"/>
          <w:kern w:val="0"/>
          <w:sz w:val="30"/>
          <w:szCs w:val="30"/>
          <w:highlight w:val="none"/>
          <w:lang w:val="en-US" w:eastAsia="zh-CN"/>
        </w:rPr>
        <w:t>完成年初预算的</w:t>
      </w:r>
      <w:r>
        <w:rPr>
          <w:rFonts w:hint="eastAsia" w:ascii="仿宋_GB2312" w:hAnsi="宋体" w:eastAsia="仿宋_GB2312" w:cs="Arial"/>
          <w:kern w:val="0"/>
          <w:sz w:val="30"/>
          <w:szCs w:val="30"/>
          <w:highlight w:val="none"/>
          <w:lang w:val="zh-CN"/>
        </w:rPr>
        <w:t>93.67</w:t>
      </w:r>
      <w:r>
        <w:rPr>
          <w:rFonts w:hint="eastAsia" w:ascii="仿宋_GB2312" w:hAnsi="宋体" w:eastAsia="仿宋_GB2312" w:cs="Arial"/>
          <w:kern w:val="0"/>
          <w:sz w:val="30"/>
          <w:szCs w:val="30"/>
          <w:highlight w:val="none"/>
          <w:lang w:val="en-US" w:eastAsia="zh-CN"/>
        </w:rPr>
        <w:t>%</w:t>
      </w:r>
      <w:r>
        <w:rPr>
          <w:rFonts w:hint="eastAsia" w:ascii="仿宋_GB2312" w:hAnsi="宋体" w:eastAsia="仿宋_GB2312" w:cs="Arial"/>
          <w:kern w:val="0"/>
          <w:sz w:val="30"/>
          <w:szCs w:val="30"/>
          <w:highlight w:val="none"/>
          <w:lang w:val="en-US"/>
        </w:rPr>
        <w:t>。主要用于</w:t>
      </w:r>
      <w:r>
        <w:rPr>
          <w:rFonts w:hint="eastAsia" w:ascii="仿宋_GB2312" w:hAnsi="宋体" w:eastAsia="仿宋_GB2312" w:cs="Arial"/>
          <w:kern w:val="0"/>
          <w:sz w:val="30"/>
          <w:szCs w:val="30"/>
          <w:highlight w:val="none"/>
          <w:lang w:val="en-US" w:eastAsia="zh-CN"/>
        </w:rPr>
        <w:t>2100402卫生监督机构5,124,416.99元；2101101行政单位医疗310,974.19元；2101103公务员医疗补助226,879.85元；2101199其他行政事业单位医疗支出32,821.38元。造成预决算差异的主要原因是2100402卫生监督机构，比年初预算的5,706,231.50元，减少581,814.51元；2101101行政单位医疗，比年初预算的336,655.22元，减少25,681.03元；2101103公务员医疗补助，比年初预算的230,884.95元，减少4,005.10元；2101199其他行政事业单位医疗支出，比年初预算的32,797.96元，增加23.42元。</w:t>
      </w:r>
    </w:p>
    <w:p w14:paraId="3D05633C">
      <w:pPr>
        <w:keepNext w:val="0"/>
        <w:keepLines w:val="0"/>
        <w:pageBreakBefore w:val="0"/>
        <w:widowControl/>
        <w:kinsoku/>
        <w:wordWrap/>
        <w:overflowPunct/>
        <w:topLinePunct w:val="0"/>
        <w:autoSpaceDE/>
        <w:autoSpaceDN/>
        <w:bidi w:val="0"/>
        <w:adjustRightInd/>
        <w:snapToGrid w:val="0"/>
        <w:spacing w:before="100" w:after="100" w:line="600" w:lineRule="exact"/>
        <w:ind w:firstLine="600" w:firstLineChars="200"/>
        <w:jc w:val="both"/>
        <w:textAlignment w:val="auto"/>
        <w:rPr>
          <w:rFonts w:hint="eastAsia" w:ascii="仿宋_GB2312" w:hAnsi="宋体" w:eastAsia="仿宋_GB2312" w:cs="Arial"/>
          <w:kern w:val="0"/>
          <w:sz w:val="30"/>
          <w:szCs w:val="30"/>
          <w:highlight w:val="none"/>
          <w:lang w:val="en-US"/>
        </w:rPr>
      </w:pPr>
      <w:r>
        <w:rPr>
          <w:rFonts w:hint="eastAsia" w:ascii="仿宋_GB2312" w:hAnsi="宋体" w:eastAsia="仿宋_GB2312" w:cs="Arial"/>
          <w:kern w:val="0"/>
          <w:sz w:val="30"/>
          <w:szCs w:val="30"/>
          <w:highlight w:val="none"/>
          <w:lang w:val="en-US"/>
        </w:rPr>
        <w:t>10.节能环保（类）支出，年初无此项预算。</w:t>
      </w:r>
    </w:p>
    <w:p w14:paraId="6BA35222">
      <w:pPr>
        <w:keepNext w:val="0"/>
        <w:keepLines w:val="0"/>
        <w:pageBreakBefore w:val="0"/>
        <w:widowControl/>
        <w:kinsoku/>
        <w:wordWrap/>
        <w:overflowPunct/>
        <w:topLinePunct w:val="0"/>
        <w:autoSpaceDE/>
        <w:autoSpaceDN/>
        <w:bidi w:val="0"/>
        <w:adjustRightInd/>
        <w:snapToGrid w:val="0"/>
        <w:spacing w:before="100" w:after="100" w:line="600" w:lineRule="exact"/>
        <w:ind w:firstLine="600" w:firstLineChars="200"/>
        <w:jc w:val="both"/>
        <w:textAlignment w:val="auto"/>
        <w:rPr>
          <w:rFonts w:hint="eastAsia" w:ascii="仿宋_GB2312" w:hAnsi="宋体" w:eastAsia="仿宋_GB2312" w:cs="Arial"/>
          <w:kern w:val="0"/>
          <w:sz w:val="30"/>
          <w:szCs w:val="30"/>
          <w:highlight w:val="none"/>
          <w:lang w:val="en-US"/>
        </w:rPr>
      </w:pPr>
      <w:r>
        <w:rPr>
          <w:rFonts w:hint="eastAsia" w:ascii="仿宋_GB2312" w:hAnsi="宋体" w:eastAsia="仿宋_GB2312" w:cs="Arial"/>
          <w:kern w:val="0"/>
          <w:sz w:val="30"/>
          <w:szCs w:val="30"/>
          <w:highlight w:val="none"/>
          <w:lang w:val="en-US"/>
        </w:rPr>
        <w:t>11.城乡社区（类）支出，年初无此项预算。</w:t>
      </w:r>
    </w:p>
    <w:p w14:paraId="01FBEC3E">
      <w:pPr>
        <w:keepNext w:val="0"/>
        <w:keepLines w:val="0"/>
        <w:pageBreakBefore w:val="0"/>
        <w:widowControl/>
        <w:kinsoku/>
        <w:wordWrap/>
        <w:overflowPunct/>
        <w:topLinePunct w:val="0"/>
        <w:autoSpaceDE/>
        <w:autoSpaceDN/>
        <w:bidi w:val="0"/>
        <w:adjustRightInd/>
        <w:snapToGrid w:val="0"/>
        <w:spacing w:before="100" w:after="100" w:line="600" w:lineRule="exact"/>
        <w:ind w:firstLine="600" w:firstLineChars="200"/>
        <w:jc w:val="both"/>
        <w:textAlignment w:val="auto"/>
        <w:rPr>
          <w:rFonts w:hint="eastAsia" w:ascii="仿宋_GB2312" w:hAnsi="宋体" w:eastAsia="仿宋_GB2312" w:cs="Arial"/>
          <w:kern w:val="0"/>
          <w:sz w:val="30"/>
          <w:szCs w:val="30"/>
          <w:highlight w:val="none"/>
          <w:lang w:val="en-US"/>
        </w:rPr>
      </w:pPr>
      <w:r>
        <w:rPr>
          <w:rFonts w:hint="eastAsia" w:ascii="仿宋_GB2312" w:hAnsi="宋体" w:eastAsia="仿宋_GB2312" w:cs="Arial"/>
          <w:kern w:val="0"/>
          <w:sz w:val="30"/>
          <w:szCs w:val="30"/>
          <w:highlight w:val="none"/>
          <w:lang w:val="en-US"/>
        </w:rPr>
        <w:t>12.农林水（类）支出，年初无此项预算。</w:t>
      </w:r>
    </w:p>
    <w:p w14:paraId="0E812301">
      <w:pPr>
        <w:keepNext w:val="0"/>
        <w:keepLines w:val="0"/>
        <w:pageBreakBefore w:val="0"/>
        <w:widowControl/>
        <w:kinsoku/>
        <w:wordWrap/>
        <w:overflowPunct/>
        <w:topLinePunct w:val="0"/>
        <w:autoSpaceDE/>
        <w:autoSpaceDN/>
        <w:bidi w:val="0"/>
        <w:adjustRightInd/>
        <w:snapToGrid w:val="0"/>
        <w:spacing w:before="100" w:after="100" w:line="600" w:lineRule="exact"/>
        <w:ind w:firstLine="600" w:firstLineChars="200"/>
        <w:jc w:val="both"/>
        <w:textAlignment w:val="auto"/>
        <w:rPr>
          <w:rFonts w:hint="eastAsia" w:ascii="仿宋_GB2312" w:hAnsi="宋体" w:eastAsia="仿宋_GB2312" w:cs="Arial"/>
          <w:kern w:val="0"/>
          <w:sz w:val="30"/>
          <w:szCs w:val="30"/>
          <w:highlight w:val="none"/>
          <w:lang w:val="en-US"/>
        </w:rPr>
      </w:pPr>
      <w:r>
        <w:rPr>
          <w:rFonts w:hint="eastAsia" w:ascii="仿宋_GB2312" w:hAnsi="宋体" w:eastAsia="仿宋_GB2312" w:cs="Arial"/>
          <w:kern w:val="0"/>
          <w:sz w:val="30"/>
          <w:szCs w:val="30"/>
          <w:highlight w:val="none"/>
          <w:lang w:val="en-US"/>
        </w:rPr>
        <w:t>13.交通运输（类）支出，年初无此项预算。</w:t>
      </w:r>
    </w:p>
    <w:p w14:paraId="2E45798A">
      <w:pPr>
        <w:keepNext w:val="0"/>
        <w:keepLines w:val="0"/>
        <w:pageBreakBefore w:val="0"/>
        <w:widowControl/>
        <w:kinsoku/>
        <w:wordWrap/>
        <w:overflowPunct/>
        <w:topLinePunct w:val="0"/>
        <w:autoSpaceDE/>
        <w:autoSpaceDN/>
        <w:bidi w:val="0"/>
        <w:adjustRightInd/>
        <w:snapToGrid w:val="0"/>
        <w:spacing w:before="100" w:after="100" w:line="600" w:lineRule="exact"/>
        <w:ind w:firstLine="600" w:firstLineChars="200"/>
        <w:jc w:val="both"/>
        <w:textAlignment w:val="auto"/>
        <w:rPr>
          <w:rFonts w:hint="eastAsia" w:ascii="仿宋_GB2312" w:hAnsi="宋体" w:eastAsia="仿宋_GB2312" w:cs="Arial"/>
          <w:kern w:val="0"/>
          <w:sz w:val="30"/>
          <w:szCs w:val="30"/>
          <w:highlight w:val="none"/>
          <w:lang w:val="en-US"/>
        </w:rPr>
      </w:pPr>
      <w:r>
        <w:rPr>
          <w:rFonts w:hint="eastAsia" w:ascii="仿宋_GB2312" w:hAnsi="宋体" w:eastAsia="仿宋_GB2312" w:cs="Arial"/>
          <w:kern w:val="0"/>
          <w:sz w:val="30"/>
          <w:szCs w:val="30"/>
          <w:highlight w:val="none"/>
          <w:lang w:val="en-US"/>
        </w:rPr>
        <w:t>14.资源勘探工业信息等（类）支出，年初无此项预算。</w:t>
      </w:r>
    </w:p>
    <w:p w14:paraId="4ECB2115">
      <w:pPr>
        <w:keepNext w:val="0"/>
        <w:keepLines w:val="0"/>
        <w:pageBreakBefore w:val="0"/>
        <w:widowControl/>
        <w:kinsoku/>
        <w:wordWrap/>
        <w:overflowPunct/>
        <w:topLinePunct w:val="0"/>
        <w:autoSpaceDE/>
        <w:autoSpaceDN/>
        <w:bidi w:val="0"/>
        <w:adjustRightInd/>
        <w:snapToGrid w:val="0"/>
        <w:spacing w:before="100" w:after="100" w:line="600" w:lineRule="exact"/>
        <w:ind w:firstLine="600" w:firstLineChars="200"/>
        <w:jc w:val="both"/>
        <w:textAlignment w:val="auto"/>
        <w:rPr>
          <w:rFonts w:hint="eastAsia" w:ascii="仿宋_GB2312" w:hAnsi="宋体" w:eastAsia="仿宋_GB2312" w:cs="Arial"/>
          <w:kern w:val="0"/>
          <w:sz w:val="30"/>
          <w:szCs w:val="30"/>
          <w:highlight w:val="none"/>
          <w:lang w:val="en-US"/>
        </w:rPr>
      </w:pPr>
      <w:r>
        <w:rPr>
          <w:rFonts w:hint="eastAsia" w:ascii="仿宋_GB2312" w:hAnsi="宋体" w:eastAsia="仿宋_GB2312" w:cs="Arial"/>
          <w:kern w:val="0"/>
          <w:sz w:val="30"/>
          <w:szCs w:val="30"/>
          <w:highlight w:val="none"/>
          <w:lang w:val="en-US"/>
        </w:rPr>
        <w:t>15.商业服务业等（类）支出，年初无此项预算。</w:t>
      </w:r>
    </w:p>
    <w:p w14:paraId="5657206E">
      <w:pPr>
        <w:keepNext w:val="0"/>
        <w:keepLines w:val="0"/>
        <w:pageBreakBefore w:val="0"/>
        <w:widowControl/>
        <w:kinsoku/>
        <w:wordWrap/>
        <w:overflowPunct/>
        <w:topLinePunct w:val="0"/>
        <w:autoSpaceDE/>
        <w:autoSpaceDN/>
        <w:bidi w:val="0"/>
        <w:adjustRightInd/>
        <w:snapToGrid w:val="0"/>
        <w:spacing w:before="100" w:after="100" w:line="600" w:lineRule="exact"/>
        <w:ind w:firstLine="600" w:firstLineChars="200"/>
        <w:jc w:val="both"/>
        <w:textAlignment w:val="auto"/>
        <w:rPr>
          <w:rFonts w:hint="eastAsia" w:ascii="仿宋_GB2312" w:hAnsi="宋体" w:eastAsia="仿宋_GB2312" w:cs="Arial"/>
          <w:kern w:val="0"/>
          <w:sz w:val="30"/>
          <w:szCs w:val="30"/>
          <w:highlight w:val="none"/>
          <w:lang w:val="en-US"/>
        </w:rPr>
      </w:pPr>
      <w:r>
        <w:rPr>
          <w:rFonts w:hint="eastAsia" w:ascii="仿宋_GB2312" w:hAnsi="宋体" w:eastAsia="仿宋_GB2312" w:cs="Arial"/>
          <w:kern w:val="0"/>
          <w:sz w:val="30"/>
          <w:szCs w:val="30"/>
          <w:highlight w:val="none"/>
          <w:lang w:val="en-US"/>
        </w:rPr>
        <w:t>16.金融（类）支出，年初无此项预算。</w:t>
      </w:r>
    </w:p>
    <w:p w14:paraId="5C344701">
      <w:pPr>
        <w:keepNext w:val="0"/>
        <w:keepLines w:val="0"/>
        <w:pageBreakBefore w:val="0"/>
        <w:widowControl/>
        <w:kinsoku/>
        <w:wordWrap/>
        <w:overflowPunct/>
        <w:topLinePunct w:val="0"/>
        <w:autoSpaceDE/>
        <w:autoSpaceDN/>
        <w:bidi w:val="0"/>
        <w:adjustRightInd/>
        <w:snapToGrid w:val="0"/>
        <w:spacing w:before="100" w:after="100" w:line="600" w:lineRule="exact"/>
        <w:ind w:firstLine="600" w:firstLineChars="200"/>
        <w:jc w:val="both"/>
        <w:textAlignment w:val="auto"/>
        <w:rPr>
          <w:rFonts w:hint="eastAsia" w:ascii="仿宋_GB2312" w:hAnsi="宋体" w:eastAsia="仿宋_GB2312" w:cs="Arial"/>
          <w:kern w:val="0"/>
          <w:sz w:val="30"/>
          <w:szCs w:val="30"/>
          <w:highlight w:val="none"/>
          <w:lang w:val="en-US"/>
        </w:rPr>
      </w:pPr>
      <w:r>
        <w:rPr>
          <w:rFonts w:hint="eastAsia" w:ascii="仿宋_GB2312" w:hAnsi="宋体" w:eastAsia="仿宋_GB2312" w:cs="Arial"/>
          <w:kern w:val="0"/>
          <w:sz w:val="30"/>
          <w:szCs w:val="30"/>
          <w:highlight w:val="none"/>
          <w:lang w:val="en-US"/>
        </w:rPr>
        <w:t>17.援助其他地区（类）支出，年初无此项预算。</w:t>
      </w:r>
    </w:p>
    <w:p w14:paraId="3B43AAC1">
      <w:pPr>
        <w:keepNext w:val="0"/>
        <w:keepLines w:val="0"/>
        <w:pageBreakBefore w:val="0"/>
        <w:widowControl/>
        <w:kinsoku/>
        <w:wordWrap/>
        <w:overflowPunct/>
        <w:topLinePunct w:val="0"/>
        <w:autoSpaceDE/>
        <w:autoSpaceDN/>
        <w:bidi w:val="0"/>
        <w:adjustRightInd/>
        <w:snapToGrid w:val="0"/>
        <w:spacing w:before="100" w:after="100" w:line="600" w:lineRule="exact"/>
        <w:ind w:firstLine="600" w:firstLineChars="200"/>
        <w:jc w:val="both"/>
        <w:textAlignment w:val="auto"/>
        <w:rPr>
          <w:rFonts w:hint="eastAsia" w:ascii="仿宋_GB2312" w:hAnsi="宋体" w:eastAsia="仿宋_GB2312" w:cs="Arial"/>
          <w:kern w:val="0"/>
          <w:sz w:val="30"/>
          <w:szCs w:val="30"/>
          <w:highlight w:val="none"/>
          <w:lang w:val="en-US"/>
        </w:rPr>
      </w:pPr>
      <w:r>
        <w:rPr>
          <w:rFonts w:hint="eastAsia" w:ascii="仿宋_GB2312" w:hAnsi="宋体" w:eastAsia="仿宋_GB2312" w:cs="Arial"/>
          <w:kern w:val="0"/>
          <w:sz w:val="30"/>
          <w:szCs w:val="30"/>
          <w:highlight w:val="none"/>
          <w:lang w:val="en-US"/>
        </w:rPr>
        <w:t>18.自然资源海洋气象等（类）支出，年初无此项预算。</w:t>
      </w:r>
    </w:p>
    <w:p w14:paraId="6504F3E3">
      <w:pPr>
        <w:keepNext w:val="0"/>
        <w:keepLines w:val="0"/>
        <w:pageBreakBefore w:val="0"/>
        <w:widowControl/>
        <w:kinsoku/>
        <w:wordWrap/>
        <w:overflowPunct/>
        <w:topLinePunct w:val="0"/>
        <w:autoSpaceDE/>
        <w:autoSpaceDN/>
        <w:bidi w:val="0"/>
        <w:adjustRightInd/>
        <w:snapToGrid w:val="0"/>
        <w:spacing w:before="100" w:after="100" w:line="600" w:lineRule="exact"/>
        <w:ind w:firstLine="600" w:firstLineChars="200"/>
        <w:jc w:val="both"/>
        <w:textAlignment w:val="auto"/>
        <w:rPr>
          <w:rFonts w:hint="eastAsia" w:ascii="仿宋_GB2312" w:hAnsi="宋体" w:eastAsia="仿宋_GB2312" w:cs="Arial"/>
          <w:kern w:val="0"/>
          <w:sz w:val="30"/>
          <w:szCs w:val="30"/>
          <w:highlight w:val="none"/>
          <w:lang w:val="en-US" w:eastAsia="zh-CN"/>
        </w:rPr>
      </w:pPr>
      <w:r>
        <w:rPr>
          <w:rFonts w:hint="eastAsia" w:ascii="仿宋_GB2312" w:hAnsi="宋体" w:eastAsia="仿宋_GB2312" w:cs="Arial"/>
          <w:kern w:val="0"/>
          <w:sz w:val="30"/>
          <w:szCs w:val="30"/>
          <w:highlight w:val="none"/>
          <w:lang w:val="en-US"/>
        </w:rPr>
        <w:t>19.住房保障（类）支出</w:t>
      </w:r>
      <w:r>
        <w:rPr>
          <w:rFonts w:hint="eastAsia" w:ascii="仿宋_GB2312" w:hAnsi="宋体" w:eastAsia="仿宋_GB2312" w:cs="Arial"/>
          <w:kern w:val="0"/>
          <w:sz w:val="30"/>
          <w:szCs w:val="30"/>
          <w:highlight w:val="none"/>
          <w:lang w:val="zh-CN"/>
        </w:rPr>
        <w:t>511316.00</w:t>
      </w:r>
      <w:r>
        <w:rPr>
          <w:rFonts w:hint="eastAsia" w:ascii="仿宋_GB2312" w:hAnsi="宋体" w:eastAsia="仿宋_GB2312" w:cs="Arial"/>
          <w:kern w:val="0"/>
          <w:sz w:val="30"/>
          <w:szCs w:val="30"/>
          <w:highlight w:val="none"/>
          <w:lang w:val="en-US" w:eastAsia="zh-CN"/>
        </w:rPr>
        <w:t>元</w:t>
      </w:r>
      <w:r>
        <w:rPr>
          <w:rFonts w:hint="eastAsia" w:ascii="仿宋_GB2312" w:hAnsi="宋体" w:eastAsia="仿宋_GB2312" w:cs="Arial"/>
          <w:kern w:val="0"/>
          <w:sz w:val="30"/>
          <w:szCs w:val="30"/>
          <w:highlight w:val="none"/>
          <w:lang w:val="en-US"/>
        </w:rPr>
        <w:t>，占一般公共预算财政拨款总支出的</w:t>
      </w:r>
      <w:r>
        <w:rPr>
          <w:rFonts w:hint="eastAsia" w:ascii="仿宋_GB2312" w:hAnsi="宋体" w:eastAsia="仿宋_GB2312" w:cs="Arial"/>
          <w:kern w:val="0"/>
          <w:sz w:val="30"/>
          <w:szCs w:val="30"/>
          <w:highlight w:val="none"/>
          <w:lang w:val="zh-CN"/>
        </w:rPr>
        <w:t>6.55</w:t>
      </w:r>
      <w:r>
        <w:rPr>
          <w:rFonts w:hint="eastAsia" w:ascii="仿宋_GB2312" w:hAnsi="宋体" w:eastAsia="仿宋_GB2312" w:cs="Arial"/>
          <w:kern w:val="0"/>
          <w:sz w:val="30"/>
          <w:szCs w:val="30"/>
          <w:highlight w:val="none"/>
          <w:lang w:val="en-US"/>
        </w:rPr>
        <w:t>%,</w:t>
      </w:r>
      <w:r>
        <w:rPr>
          <w:rFonts w:hint="eastAsia" w:ascii="仿宋_GB2312" w:hAnsi="宋体" w:eastAsia="仿宋_GB2312" w:cs="Arial"/>
          <w:kern w:val="0"/>
          <w:sz w:val="30"/>
          <w:szCs w:val="30"/>
          <w:highlight w:val="none"/>
          <w:lang w:val="en-US" w:eastAsia="zh-CN"/>
        </w:rPr>
        <w:t>完成年初预算的</w:t>
      </w:r>
      <w:r>
        <w:rPr>
          <w:rFonts w:hint="eastAsia" w:ascii="仿宋_GB2312" w:hAnsi="宋体" w:eastAsia="仿宋_GB2312" w:cs="Arial"/>
          <w:kern w:val="0"/>
          <w:sz w:val="30"/>
          <w:szCs w:val="30"/>
          <w:highlight w:val="none"/>
          <w:lang w:val="zh-CN"/>
        </w:rPr>
        <w:t>85.91</w:t>
      </w:r>
      <w:r>
        <w:rPr>
          <w:rFonts w:hint="eastAsia" w:ascii="仿宋_GB2312" w:hAnsi="宋体" w:eastAsia="仿宋_GB2312" w:cs="Arial"/>
          <w:kern w:val="0"/>
          <w:sz w:val="30"/>
          <w:szCs w:val="30"/>
          <w:highlight w:val="none"/>
          <w:lang w:val="en-US" w:eastAsia="zh-CN"/>
        </w:rPr>
        <w:t>%。主要用于2210201住房公积金496,970.00元；2210203购房补贴14,346.00元。造成预决算差异的主要原因是2210201住房公积金比年初预算的573,000.00元，减少8,278.00元；2210203购房补贴22,176.00元。</w:t>
      </w:r>
    </w:p>
    <w:p w14:paraId="1E9175FF">
      <w:pPr>
        <w:keepNext w:val="0"/>
        <w:keepLines w:val="0"/>
        <w:pageBreakBefore w:val="0"/>
        <w:widowControl/>
        <w:kinsoku/>
        <w:wordWrap/>
        <w:overflowPunct/>
        <w:topLinePunct w:val="0"/>
        <w:autoSpaceDE/>
        <w:autoSpaceDN/>
        <w:bidi w:val="0"/>
        <w:adjustRightInd/>
        <w:snapToGrid w:val="0"/>
        <w:spacing w:before="100" w:after="100" w:line="600" w:lineRule="exact"/>
        <w:ind w:firstLine="600" w:firstLineChars="200"/>
        <w:jc w:val="both"/>
        <w:textAlignment w:val="auto"/>
        <w:rPr>
          <w:rFonts w:hint="eastAsia" w:ascii="仿宋_GB2312" w:hAnsi="宋体" w:eastAsia="仿宋_GB2312" w:cs="Arial"/>
          <w:kern w:val="0"/>
          <w:sz w:val="30"/>
          <w:szCs w:val="30"/>
          <w:highlight w:val="none"/>
          <w:lang w:val="en-US"/>
        </w:rPr>
      </w:pPr>
      <w:r>
        <w:rPr>
          <w:rFonts w:hint="eastAsia" w:ascii="仿宋_GB2312" w:hAnsi="宋体" w:eastAsia="仿宋_GB2312" w:cs="Arial"/>
          <w:kern w:val="0"/>
          <w:sz w:val="30"/>
          <w:szCs w:val="30"/>
          <w:highlight w:val="none"/>
          <w:lang w:val="en-US"/>
        </w:rPr>
        <w:t>20.粮油物资储备（类）支出，年初无此项预算。</w:t>
      </w:r>
    </w:p>
    <w:p w14:paraId="0479013A">
      <w:pPr>
        <w:keepNext w:val="0"/>
        <w:keepLines w:val="0"/>
        <w:pageBreakBefore w:val="0"/>
        <w:widowControl/>
        <w:kinsoku/>
        <w:wordWrap/>
        <w:overflowPunct/>
        <w:topLinePunct w:val="0"/>
        <w:autoSpaceDE/>
        <w:autoSpaceDN/>
        <w:bidi w:val="0"/>
        <w:adjustRightInd/>
        <w:snapToGrid w:val="0"/>
        <w:spacing w:before="100" w:after="100" w:line="600" w:lineRule="exact"/>
        <w:ind w:firstLine="600" w:firstLineChars="200"/>
        <w:jc w:val="both"/>
        <w:textAlignment w:val="auto"/>
        <w:rPr>
          <w:rFonts w:hint="eastAsia" w:ascii="仿宋_GB2312" w:hAnsi="宋体" w:eastAsia="仿宋_GB2312" w:cs="Arial"/>
          <w:kern w:val="0"/>
          <w:sz w:val="30"/>
          <w:szCs w:val="30"/>
          <w:highlight w:val="none"/>
          <w:lang w:val="en-US"/>
        </w:rPr>
      </w:pPr>
      <w:r>
        <w:rPr>
          <w:rFonts w:hint="eastAsia" w:ascii="仿宋_GB2312" w:hAnsi="宋体" w:eastAsia="仿宋_GB2312" w:cs="Arial"/>
          <w:kern w:val="0"/>
          <w:sz w:val="30"/>
          <w:szCs w:val="30"/>
          <w:highlight w:val="none"/>
          <w:lang w:val="en-US"/>
        </w:rPr>
        <w:t>21.国有资本经营预算（类）支出，年初无此项预算。</w:t>
      </w:r>
    </w:p>
    <w:p w14:paraId="061F55E4">
      <w:pPr>
        <w:keepNext w:val="0"/>
        <w:keepLines w:val="0"/>
        <w:pageBreakBefore w:val="0"/>
        <w:widowControl/>
        <w:kinsoku/>
        <w:wordWrap/>
        <w:overflowPunct/>
        <w:topLinePunct w:val="0"/>
        <w:autoSpaceDE/>
        <w:autoSpaceDN/>
        <w:bidi w:val="0"/>
        <w:adjustRightInd/>
        <w:snapToGrid w:val="0"/>
        <w:spacing w:before="100" w:after="100" w:line="600" w:lineRule="exact"/>
        <w:ind w:firstLine="600" w:firstLineChars="200"/>
        <w:jc w:val="both"/>
        <w:textAlignment w:val="auto"/>
        <w:rPr>
          <w:rFonts w:hint="eastAsia" w:ascii="仿宋_GB2312" w:hAnsi="宋体" w:eastAsia="仿宋_GB2312" w:cs="Arial"/>
          <w:kern w:val="0"/>
          <w:sz w:val="30"/>
          <w:szCs w:val="30"/>
          <w:highlight w:val="none"/>
          <w:lang w:val="en-US"/>
        </w:rPr>
      </w:pPr>
      <w:r>
        <w:rPr>
          <w:rFonts w:hint="eastAsia" w:ascii="仿宋_GB2312" w:hAnsi="宋体" w:eastAsia="仿宋_GB2312" w:cs="Arial"/>
          <w:kern w:val="0"/>
          <w:sz w:val="30"/>
          <w:szCs w:val="30"/>
          <w:highlight w:val="none"/>
          <w:lang w:val="en-US"/>
        </w:rPr>
        <w:t>22.灾害防治及应急管理（类）支出，年初无此项预算。</w:t>
      </w:r>
    </w:p>
    <w:p w14:paraId="316F888F">
      <w:pPr>
        <w:keepNext w:val="0"/>
        <w:keepLines w:val="0"/>
        <w:pageBreakBefore w:val="0"/>
        <w:widowControl/>
        <w:kinsoku/>
        <w:wordWrap/>
        <w:overflowPunct/>
        <w:topLinePunct w:val="0"/>
        <w:autoSpaceDE/>
        <w:autoSpaceDN/>
        <w:bidi w:val="0"/>
        <w:adjustRightInd/>
        <w:snapToGrid w:val="0"/>
        <w:spacing w:before="100" w:after="100" w:line="600" w:lineRule="exact"/>
        <w:ind w:firstLine="600" w:firstLineChars="200"/>
        <w:jc w:val="both"/>
        <w:textAlignment w:val="auto"/>
        <w:rPr>
          <w:rFonts w:hint="eastAsia" w:ascii="仿宋_GB2312" w:hAnsi="宋体" w:eastAsia="仿宋_GB2312" w:cs="Arial"/>
          <w:kern w:val="0"/>
          <w:sz w:val="30"/>
          <w:szCs w:val="30"/>
          <w:highlight w:val="none"/>
          <w:lang w:val="en-US"/>
        </w:rPr>
      </w:pPr>
      <w:r>
        <w:rPr>
          <w:rFonts w:hint="eastAsia" w:ascii="仿宋_GB2312" w:hAnsi="宋体" w:eastAsia="仿宋_GB2312" w:cs="Arial"/>
          <w:kern w:val="0"/>
          <w:sz w:val="30"/>
          <w:szCs w:val="30"/>
          <w:highlight w:val="none"/>
          <w:lang w:val="en-US"/>
        </w:rPr>
        <w:t>23.其他（类）支出，年初无此项预算。</w:t>
      </w:r>
    </w:p>
    <w:p w14:paraId="296EF0E5">
      <w:pPr>
        <w:keepNext w:val="0"/>
        <w:keepLines w:val="0"/>
        <w:pageBreakBefore w:val="0"/>
        <w:widowControl/>
        <w:kinsoku/>
        <w:wordWrap/>
        <w:overflowPunct/>
        <w:topLinePunct w:val="0"/>
        <w:autoSpaceDE/>
        <w:autoSpaceDN/>
        <w:bidi w:val="0"/>
        <w:adjustRightInd/>
        <w:snapToGrid w:val="0"/>
        <w:spacing w:before="100" w:after="100" w:line="600" w:lineRule="exact"/>
        <w:ind w:firstLine="600" w:firstLineChars="200"/>
        <w:jc w:val="both"/>
        <w:textAlignment w:val="auto"/>
        <w:rPr>
          <w:rFonts w:hint="eastAsia" w:ascii="仿宋_GB2312" w:hAnsi="宋体" w:eastAsia="仿宋_GB2312" w:cs="Arial"/>
          <w:kern w:val="0"/>
          <w:sz w:val="30"/>
          <w:szCs w:val="30"/>
          <w:highlight w:val="none"/>
          <w:lang w:val="en-US"/>
        </w:rPr>
      </w:pPr>
      <w:r>
        <w:rPr>
          <w:rFonts w:hint="eastAsia" w:ascii="仿宋_GB2312" w:hAnsi="宋体" w:eastAsia="仿宋_GB2312" w:cs="Arial"/>
          <w:kern w:val="0"/>
          <w:sz w:val="30"/>
          <w:szCs w:val="30"/>
          <w:highlight w:val="none"/>
          <w:lang w:val="en-US"/>
        </w:rPr>
        <w:t>24.债务还本（类）支出，年初无此项预算。</w:t>
      </w:r>
    </w:p>
    <w:p w14:paraId="67291C97">
      <w:pPr>
        <w:keepNext w:val="0"/>
        <w:keepLines w:val="0"/>
        <w:pageBreakBefore w:val="0"/>
        <w:widowControl/>
        <w:kinsoku/>
        <w:wordWrap/>
        <w:overflowPunct/>
        <w:topLinePunct w:val="0"/>
        <w:autoSpaceDE/>
        <w:autoSpaceDN/>
        <w:bidi w:val="0"/>
        <w:adjustRightInd/>
        <w:snapToGrid w:val="0"/>
        <w:spacing w:before="100" w:after="100" w:line="600" w:lineRule="exact"/>
        <w:ind w:firstLine="600" w:firstLineChars="200"/>
        <w:jc w:val="both"/>
        <w:textAlignment w:val="auto"/>
        <w:rPr>
          <w:rFonts w:hint="eastAsia" w:ascii="仿宋_GB2312" w:hAnsi="宋体" w:eastAsia="仿宋_GB2312" w:cs="Arial"/>
          <w:kern w:val="0"/>
          <w:sz w:val="30"/>
          <w:szCs w:val="30"/>
          <w:highlight w:val="none"/>
          <w:lang w:val="en-US"/>
        </w:rPr>
      </w:pPr>
      <w:r>
        <w:rPr>
          <w:rFonts w:hint="eastAsia" w:ascii="仿宋_GB2312" w:hAnsi="宋体" w:eastAsia="仿宋_GB2312" w:cs="Arial"/>
          <w:kern w:val="0"/>
          <w:sz w:val="30"/>
          <w:szCs w:val="30"/>
          <w:highlight w:val="none"/>
          <w:lang w:val="en-US"/>
        </w:rPr>
        <w:t>25.债务付息（类）支出，年初无此项预算。</w:t>
      </w:r>
    </w:p>
    <w:p w14:paraId="66C2AC21">
      <w:pPr>
        <w:keepNext w:val="0"/>
        <w:keepLines w:val="0"/>
        <w:pageBreakBefore w:val="0"/>
        <w:widowControl/>
        <w:kinsoku/>
        <w:wordWrap/>
        <w:overflowPunct/>
        <w:topLinePunct w:val="0"/>
        <w:autoSpaceDE/>
        <w:autoSpaceDN/>
        <w:bidi w:val="0"/>
        <w:adjustRightInd/>
        <w:snapToGrid w:val="0"/>
        <w:spacing w:before="100" w:after="100" w:line="600" w:lineRule="exact"/>
        <w:ind w:firstLine="600" w:firstLineChars="200"/>
        <w:jc w:val="both"/>
        <w:textAlignment w:val="auto"/>
        <w:rPr>
          <w:rFonts w:hint="eastAsia" w:ascii="仿宋_GB2312" w:hAnsi="宋体" w:eastAsia="仿宋_GB2312" w:cs="Arial"/>
          <w:kern w:val="0"/>
          <w:sz w:val="30"/>
          <w:szCs w:val="30"/>
          <w:highlight w:val="none"/>
          <w:lang w:val="en-US"/>
        </w:rPr>
      </w:pPr>
      <w:r>
        <w:rPr>
          <w:rFonts w:hint="eastAsia" w:ascii="仿宋_GB2312" w:hAnsi="宋体" w:eastAsia="仿宋_GB2312" w:cs="Arial"/>
          <w:kern w:val="0"/>
          <w:sz w:val="30"/>
          <w:szCs w:val="30"/>
          <w:highlight w:val="none"/>
          <w:lang w:val="en-US"/>
        </w:rPr>
        <w:t>26.抗疫特别国债安排（类）支出，年初无此项预算。</w:t>
      </w:r>
    </w:p>
    <w:p w14:paraId="28ECD3B5">
      <w:pPr>
        <w:keepNext w:val="0"/>
        <w:keepLines w:val="0"/>
        <w:pageBreakBefore w:val="0"/>
        <w:widowControl/>
        <w:numPr>
          <w:ilvl w:val="0"/>
          <w:numId w:val="1"/>
        </w:numPr>
        <w:kinsoku/>
        <w:wordWrap/>
        <w:overflowPunct/>
        <w:topLinePunct w:val="0"/>
        <w:autoSpaceDE/>
        <w:autoSpaceDN/>
        <w:bidi w:val="0"/>
        <w:adjustRightInd/>
        <w:snapToGrid w:val="0"/>
        <w:spacing w:before="100" w:after="100" w:line="600" w:lineRule="exact"/>
        <w:ind w:firstLine="600" w:firstLineChars="200"/>
        <w:jc w:val="left"/>
        <w:textAlignment w:val="auto"/>
        <w:outlineLvl w:val="1"/>
        <w:rPr>
          <w:rFonts w:hint="eastAsia" w:ascii="黑体" w:hAnsi="黑体" w:eastAsia="黑体"/>
          <w:sz w:val="30"/>
          <w:szCs w:val="30"/>
          <w:highlight w:val="none"/>
        </w:rPr>
      </w:pPr>
      <w:r>
        <w:rPr>
          <w:rFonts w:hint="eastAsia" w:ascii="黑体" w:hAnsi="黑体" w:eastAsia="黑体"/>
          <w:sz w:val="30"/>
          <w:szCs w:val="30"/>
          <w:highlight w:val="none"/>
        </w:rPr>
        <w:t>财政拨款“三公”经费支出决算情况说明</w:t>
      </w:r>
    </w:p>
    <w:p w14:paraId="1245CE4C">
      <w:pPr>
        <w:keepNext w:val="0"/>
        <w:keepLines w:val="0"/>
        <w:pageBreakBefore w:val="0"/>
        <w:widowControl/>
        <w:numPr>
          <w:ilvl w:val="0"/>
          <w:numId w:val="0"/>
        </w:numPr>
        <w:kinsoku/>
        <w:wordWrap/>
        <w:overflowPunct/>
        <w:topLinePunct w:val="0"/>
        <w:autoSpaceDE/>
        <w:autoSpaceDN/>
        <w:bidi w:val="0"/>
        <w:adjustRightInd/>
        <w:snapToGrid w:val="0"/>
        <w:spacing w:before="100" w:after="100" w:line="600" w:lineRule="exact"/>
        <w:ind w:firstLine="600" w:firstLineChars="200"/>
        <w:jc w:val="left"/>
        <w:textAlignment w:val="auto"/>
        <w:outlineLvl w:val="2"/>
        <w:rPr>
          <w:rFonts w:hint="eastAsia" w:ascii="楷体_GB2312" w:hAnsi="楷体_GB2312" w:eastAsia="楷体_GB2312" w:cs="楷体_GB2312"/>
          <w:kern w:val="0"/>
          <w:sz w:val="30"/>
          <w:szCs w:val="30"/>
          <w:highlight w:val="none"/>
          <w:lang w:val="en-US" w:eastAsia="zh-CN"/>
        </w:rPr>
      </w:pPr>
      <w:r>
        <w:rPr>
          <w:rFonts w:hint="eastAsia" w:ascii="楷体_GB2312" w:hAnsi="楷体_GB2312" w:eastAsia="楷体_GB2312" w:cs="楷体_GB2312"/>
          <w:kern w:val="0"/>
          <w:sz w:val="30"/>
          <w:szCs w:val="30"/>
          <w:highlight w:val="none"/>
          <w:lang w:val="en-US" w:eastAsia="zh-CN"/>
        </w:rPr>
        <w:t>（一）总体情况</w:t>
      </w:r>
    </w:p>
    <w:p w14:paraId="1A325B7A">
      <w:pPr>
        <w:keepNext w:val="0"/>
        <w:keepLines w:val="0"/>
        <w:pageBreakBefore w:val="0"/>
        <w:widowControl/>
        <w:kinsoku/>
        <w:wordWrap/>
        <w:overflowPunct/>
        <w:topLinePunct w:val="0"/>
        <w:autoSpaceDE/>
        <w:autoSpaceDN/>
        <w:bidi w:val="0"/>
        <w:adjustRightInd/>
        <w:snapToGrid w:val="0"/>
        <w:spacing w:before="100" w:after="100" w:line="600" w:lineRule="exact"/>
        <w:ind w:firstLine="600" w:firstLineChars="200"/>
        <w:jc w:val="both"/>
        <w:textAlignment w:val="auto"/>
        <w:rPr>
          <w:rFonts w:hint="eastAsia" w:ascii="仿宋_GB2312" w:hAnsi="宋体" w:eastAsia="仿宋_GB2312" w:cs="Arial"/>
          <w:kern w:val="0"/>
          <w:sz w:val="30"/>
          <w:szCs w:val="30"/>
          <w:highlight w:val="none"/>
          <w:lang w:val="en-US" w:eastAsia="zh-CN"/>
        </w:rPr>
      </w:pPr>
      <w:r>
        <w:rPr>
          <w:rFonts w:hint="eastAsia" w:ascii="仿宋_GB2312" w:hAnsi="宋体" w:eastAsia="仿宋_GB2312" w:cs="Arial"/>
          <w:kern w:val="0"/>
          <w:sz w:val="30"/>
          <w:szCs w:val="30"/>
          <w:highlight w:val="none"/>
          <w:lang w:val="en-US" w:eastAsia="zh-CN"/>
        </w:rPr>
        <w:t>2025年度</w:t>
      </w:r>
      <w:r>
        <w:rPr>
          <w:rFonts w:hint="eastAsia" w:ascii="仿宋_GB2312" w:hAnsi="宋体" w:eastAsia="仿宋_GB2312" w:cs="Arial"/>
          <w:kern w:val="0"/>
          <w:sz w:val="30"/>
          <w:szCs w:val="30"/>
          <w:highlight w:val="none"/>
          <w:lang w:val="en-US"/>
        </w:rPr>
        <w:t>财政拨款“三公”经费支出决算中，财政拨款“三公”经费支出</w:t>
      </w:r>
      <w:r>
        <w:rPr>
          <w:rFonts w:hint="eastAsia" w:ascii="仿宋_GB2312" w:hAnsi="宋体" w:eastAsia="仿宋_GB2312" w:cs="Arial"/>
          <w:kern w:val="0"/>
          <w:sz w:val="30"/>
          <w:szCs w:val="30"/>
          <w:highlight w:val="none"/>
          <w:lang w:val="en-US" w:eastAsia="zh-CN"/>
        </w:rPr>
        <w:t>年初</w:t>
      </w:r>
      <w:r>
        <w:rPr>
          <w:rFonts w:hint="eastAsia" w:ascii="仿宋_GB2312" w:hAnsi="宋体" w:eastAsia="仿宋_GB2312" w:cs="Arial"/>
          <w:kern w:val="0"/>
          <w:sz w:val="30"/>
          <w:szCs w:val="30"/>
          <w:highlight w:val="none"/>
          <w:lang w:val="en-US"/>
        </w:rPr>
        <w:t>预算为</w:t>
      </w:r>
      <w:r>
        <w:rPr>
          <w:rFonts w:hint="eastAsia" w:ascii="仿宋_GB2312" w:hAnsi="宋体" w:eastAsia="仿宋_GB2312" w:cs="Arial"/>
          <w:kern w:val="0"/>
          <w:sz w:val="30"/>
          <w:szCs w:val="30"/>
          <w:highlight w:val="none"/>
          <w:lang w:val="en-US" w:eastAsia="zh-CN"/>
        </w:rPr>
        <w:t>43,100.00</w:t>
      </w:r>
      <w:r>
        <w:rPr>
          <w:rFonts w:hint="eastAsia" w:ascii="仿宋_GB2312" w:hAnsi="宋体" w:eastAsia="仿宋_GB2312" w:cs="Arial"/>
          <w:kern w:val="0"/>
          <w:sz w:val="30"/>
          <w:szCs w:val="30"/>
          <w:highlight w:val="none"/>
          <w:lang w:val="en-US"/>
        </w:rPr>
        <w:t>元，决算为</w:t>
      </w:r>
      <w:r>
        <w:rPr>
          <w:rFonts w:hint="eastAsia" w:ascii="仿宋_GB2312" w:hAnsi="宋体" w:eastAsia="仿宋_GB2312" w:cs="Arial"/>
          <w:kern w:val="0"/>
          <w:sz w:val="30"/>
          <w:szCs w:val="30"/>
          <w:highlight w:val="none"/>
          <w:lang w:val="zh-CN"/>
        </w:rPr>
        <w:t>42</w:t>
      </w:r>
      <w:r>
        <w:rPr>
          <w:rFonts w:hint="eastAsia" w:ascii="仿宋_GB2312" w:hAnsi="宋体" w:eastAsia="仿宋_GB2312" w:cs="Arial"/>
          <w:kern w:val="0"/>
          <w:sz w:val="30"/>
          <w:szCs w:val="30"/>
          <w:highlight w:val="none"/>
          <w:lang w:val="en-US" w:eastAsia="zh-CN"/>
        </w:rPr>
        <w:t>,</w:t>
      </w:r>
      <w:r>
        <w:rPr>
          <w:rFonts w:hint="eastAsia" w:ascii="仿宋_GB2312" w:hAnsi="宋体" w:eastAsia="仿宋_GB2312" w:cs="Arial"/>
          <w:kern w:val="0"/>
          <w:sz w:val="30"/>
          <w:szCs w:val="30"/>
          <w:highlight w:val="none"/>
          <w:lang w:val="zh-CN"/>
        </w:rPr>
        <w:t>805.30</w:t>
      </w:r>
      <w:r>
        <w:rPr>
          <w:rFonts w:hint="eastAsia" w:ascii="仿宋_GB2312" w:hAnsi="宋体" w:eastAsia="仿宋_GB2312" w:cs="Arial"/>
          <w:kern w:val="0"/>
          <w:sz w:val="30"/>
          <w:szCs w:val="30"/>
          <w:highlight w:val="none"/>
          <w:lang w:val="en-US"/>
        </w:rPr>
        <w:t>元，完成</w:t>
      </w:r>
      <w:r>
        <w:rPr>
          <w:rFonts w:hint="eastAsia" w:ascii="仿宋_GB2312" w:hAnsi="宋体" w:eastAsia="仿宋_GB2312" w:cs="Arial"/>
          <w:kern w:val="0"/>
          <w:sz w:val="30"/>
          <w:szCs w:val="30"/>
          <w:highlight w:val="none"/>
          <w:lang w:val="en-US" w:eastAsia="zh-CN"/>
        </w:rPr>
        <w:t>年初</w:t>
      </w:r>
      <w:r>
        <w:rPr>
          <w:rFonts w:hint="eastAsia" w:ascii="仿宋_GB2312" w:hAnsi="宋体" w:eastAsia="仿宋_GB2312" w:cs="Arial"/>
          <w:kern w:val="0"/>
          <w:sz w:val="30"/>
          <w:szCs w:val="30"/>
          <w:highlight w:val="none"/>
          <w:lang w:val="en-US"/>
        </w:rPr>
        <w:t>预算的</w:t>
      </w:r>
      <w:r>
        <w:rPr>
          <w:rFonts w:hint="eastAsia" w:ascii="仿宋_GB2312" w:hAnsi="宋体" w:eastAsia="仿宋_GB2312" w:cs="Arial"/>
          <w:kern w:val="0"/>
          <w:sz w:val="30"/>
          <w:szCs w:val="30"/>
          <w:highlight w:val="none"/>
          <w:lang w:val="zh-CN"/>
        </w:rPr>
        <w:t>99.32</w:t>
      </w:r>
      <w:r>
        <w:rPr>
          <w:rFonts w:hint="eastAsia" w:ascii="仿宋_GB2312" w:hAnsi="宋体" w:eastAsia="仿宋_GB2312" w:cs="Arial"/>
          <w:kern w:val="0"/>
          <w:sz w:val="30"/>
          <w:szCs w:val="30"/>
          <w:highlight w:val="none"/>
          <w:lang w:val="en-US"/>
        </w:rPr>
        <w:t>%</w:t>
      </w:r>
      <w:r>
        <w:rPr>
          <w:rFonts w:hint="eastAsia" w:ascii="仿宋_GB2312" w:hAnsi="宋体" w:eastAsia="仿宋_GB2312" w:cs="Arial"/>
          <w:kern w:val="0"/>
          <w:sz w:val="30"/>
          <w:szCs w:val="30"/>
          <w:highlight w:val="none"/>
          <w:lang w:val="en-US" w:eastAsia="zh-CN"/>
        </w:rPr>
        <w:t>；支出决算较上年增加</w:t>
      </w:r>
      <w:r>
        <w:rPr>
          <w:rFonts w:hint="eastAsia" w:ascii="仿宋_GB2312" w:hAnsi="宋体" w:eastAsia="仿宋_GB2312" w:cs="Arial"/>
          <w:kern w:val="0"/>
          <w:sz w:val="30"/>
          <w:szCs w:val="30"/>
          <w:highlight w:val="none"/>
          <w:lang w:val="zh-CN"/>
        </w:rPr>
        <w:t>19</w:t>
      </w:r>
      <w:r>
        <w:rPr>
          <w:rFonts w:hint="eastAsia" w:ascii="仿宋_GB2312" w:hAnsi="宋体" w:eastAsia="仿宋_GB2312" w:cs="Arial"/>
          <w:kern w:val="0"/>
          <w:sz w:val="30"/>
          <w:szCs w:val="30"/>
          <w:highlight w:val="none"/>
          <w:lang w:val="en-US" w:eastAsia="zh-CN"/>
        </w:rPr>
        <w:t>,</w:t>
      </w:r>
      <w:r>
        <w:rPr>
          <w:rFonts w:hint="eastAsia" w:ascii="仿宋_GB2312" w:hAnsi="宋体" w:eastAsia="仿宋_GB2312" w:cs="Arial"/>
          <w:kern w:val="0"/>
          <w:sz w:val="30"/>
          <w:szCs w:val="30"/>
          <w:highlight w:val="none"/>
          <w:lang w:val="zh-CN"/>
        </w:rPr>
        <w:t>749.12</w:t>
      </w:r>
      <w:r>
        <w:rPr>
          <w:rFonts w:hint="eastAsia" w:ascii="仿宋_GB2312" w:hAnsi="宋体" w:eastAsia="仿宋_GB2312" w:cs="Arial"/>
          <w:kern w:val="0"/>
          <w:sz w:val="30"/>
          <w:szCs w:val="30"/>
          <w:highlight w:val="none"/>
          <w:lang w:val="en-US" w:eastAsia="zh-CN"/>
        </w:rPr>
        <w:t>元，增长</w:t>
      </w:r>
      <w:r>
        <w:rPr>
          <w:rFonts w:hint="eastAsia" w:ascii="仿宋_GB2312" w:hAnsi="宋体" w:eastAsia="仿宋_GB2312" w:cs="Arial"/>
          <w:kern w:val="0"/>
          <w:sz w:val="30"/>
          <w:szCs w:val="30"/>
          <w:highlight w:val="none"/>
          <w:lang w:val="zh-CN"/>
        </w:rPr>
        <w:t>85.66</w:t>
      </w:r>
      <w:r>
        <w:rPr>
          <w:rFonts w:hint="eastAsia" w:ascii="仿宋_GB2312" w:hAnsi="宋体" w:eastAsia="仿宋_GB2312" w:cs="Arial"/>
          <w:kern w:val="0"/>
          <w:sz w:val="30"/>
          <w:szCs w:val="30"/>
          <w:highlight w:val="none"/>
          <w:lang w:val="en-US" w:eastAsia="zh-CN"/>
        </w:rPr>
        <w:t>%。</w:t>
      </w:r>
    </w:p>
    <w:p w14:paraId="05673240">
      <w:pPr>
        <w:keepNext w:val="0"/>
        <w:keepLines w:val="0"/>
        <w:pageBreakBefore w:val="0"/>
        <w:widowControl/>
        <w:kinsoku/>
        <w:wordWrap/>
        <w:overflowPunct/>
        <w:topLinePunct w:val="0"/>
        <w:autoSpaceDE/>
        <w:autoSpaceDN/>
        <w:bidi w:val="0"/>
        <w:adjustRightInd/>
        <w:snapToGrid w:val="0"/>
        <w:spacing w:before="100" w:after="100" w:line="600" w:lineRule="exact"/>
        <w:ind w:firstLine="600" w:firstLineChars="200"/>
        <w:jc w:val="both"/>
        <w:textAlignment w:val="auto"/>
        <w:rPr>
          <w:rFonts w:hint="eastAsia" w:ascii="仿宋_GB2312" w:hAnsi="宋体" w:eastAsia="仿宋_GB2312" w:cs="Arial"/>
          <w:kern w:val="0"/>
          <w:sz w:val="30"/>
          <w:szCs w:val="30"/>
          <w:highlight w:val="none"/>
          <w:lang w:val="en-US" w:eastAsia="zh-CN"/>
        </w:rPr>
      </w:pPr>
      <w:r>
        <w:rPr>
          <w:rFonts w:hint="eastAsia" w:ascii="仿宋_GB2312" w:hAnsi="宋体" w:eastAsia="仿宋_GB2312" w:cs="Arial"/>
          <w:kern w:val="0"/>
          <w:sz w:val="30"/>
          <w:szCs w:val="30"/>
          <w:highlight w:val="none"/>
          <w:lang w:val="en-US"/>
        </w:rPr>
        <w:t>因公出国（境）费</w:t>
      </w:r>
      <w:r>
        <w:rPr>
          <w:rFonts w:hint="eastAsia" w:ascii="仿宋_GB2312" w:hAnsi="宋体" w:eastAsia="仿宋_GB2312" w:cs="Arial"/>
          <w:kern w:val="0"/>
          <w:sz w:val="30"/>
          <w:szCs w:val="30"/>
          <w:highlight w:val="none"/>
          <w:lang w:val="en-US" w:eastAsia="zh-CN"/>
        </w:rPr>
        <w:t>用用</w:t>
      </w:r>
      <w:r>
        <w:rPr>
          <w:rFonts w:hint="eastAsia" w:ascii="仿宋_GB2312" w:hAnsi="宋体" w:eastAsia="仿宋_GB2312" w:cs="Arial"/>
          <w:kern w:val="0"/>
          <w:sz w:val="30"/>
          <w:szCs w:val="30"/>
          <w:highlight w:val="none"/>
          <w:lang w:val="en-US"/>
        </w:rPr>
        <w:t>支出</w:t>
      </w:r>
      <w:r>
        <w:rPr>
          <w:rFonts w:hint="eastAsia" w:ascii="仿宋_GB2312" w:hAnsi="宋体" w:eastAsia="仿宋_GB2312" w:cs="Arial"/>
          <w:kern w:val="0"/>
          <w:sz w:val="30"/>
          <w:szCs w:val="30"/>
          <w:highlight w:val="none"/>
          <w:lang w:val="en-US" w:eastAsia="zh-CN"/>
        </w:rPr>
        <w:t>年初</w:t>
      </w:r>
      <w:r>
        <w:rPr>
          <w:rFonts w:hint="eastAsia" w:ascii="仿宋_GB2312" w:hAnsi="宋体" w:eastAsia="仿宋_GB2312" w:cs="Arial"/>
          <w:kern w:val="0"/>
          <w:sz w:val="30"/>
          <w:szCs w:val="30"/>
          <w:highlight w:val="none"/>
          <w:lang w:val="en-US"/>
        </w:rPr>
        <w:t>预算为</w:t>
      </w:r>
      <w:r>
        <w:rPr>
          <w:rFonts w:hint="eastAsia" w:ascii="仿宋_GB2312" w:hAnsi="宋体" w:eastAsia="仿宋_GB2312" w:cs="Arial"/>
          <w:kern w:val="0"/>
          <w:sz w:val="30"/>
          <w:szCs w:val="30"/>
          <w:highlight w:val="none"/>
          <w:lang w:val="zh-CN"/>
        </w:rPr>
        <w:t>0.00</w:t>
      </w:r>
      <w:r>
        <w:rPr>
          <w:rFonts w:hint="eastAsia" w:ascii="仿宋_GB2312" w:hAnsi="宋体" w:eastAsia="仿宋_GB2312" w:cs="Arial"/>
          <w:kern w:val="0"/>
          <w:sz w:val="30"/>
          <w:szCs w:val="30"/>
          <w:highlight w:val="none"/>
          <w:lang w:val="en-US"/>
        </w:rPr>
        <w:t>元</w:t>
      </w:r>
      <w:r>
        <w:rPr>
          <w:rFonts w:hint="eastAsia" w:ascii="仿宋_GB2312" w:hAnsi="宋体" w:eastAsia="仿宋_GB2312" w:cs="Arial"/>
          <w:kern w:val="0"/>
          <w:sz w:val="30"/>
          <w:szCs w:val="30"/>
          <w:highlight w:val="none"/>
          <w:lang w:val="en-US" w:eastAsia="zh-CN"/>
        </w:rPr>
        <w:t>，决算为</w:t>
      </w:r>
      <w:r>
        <w:rPr>
          <w:rFonts w:hint="eastAsia" w:ascii="仿宋_GB2312" w:hAnsi="宋体" w:eastAsia="仿宋_GB2312" w:cs="Arial"/>
          <w:kern w:val="0"/>
          <w:sz w:val="30"/>
          <w:szCs w:val="30"/>
          <w:highlight w:val="none"/>
          <w:lang w:val="zh-CN"/>
        </w:rPr>
        <w:t>0.00</w:t>
      </w:r>
      <w:r>
        <w:rPr>
          <w:rFonts w:hint="eastAsia" w:ascii="仿宋_GB2312" w:hAnsi="宋体" w:eastAsia="仿宋_GB2312" w:cs="Arial"/>
          <w:kern w:val="0"/>
          <w:sz w:val="30"/>
          <w:szCs w:val="30"/>
          <w:highlight w:val="none"/>
          <w:lang w:val="en-US"/>
        </w:rPr>
        <w:t>元，占财政拨款“三公”经费</w:t>
      </w:r>
      <w:r>
        <w:rPr>
          <w:rFonts w:hint="eastAsia" w:ascii="仿宋_GB2312" w:hAnsi="宋体" w:eastAsia="仿宋_GB2312" w:cs="Arial"/>
          <w:kern w:val="0"/>
          <w:sz w:val="30"/>
          <w:szCs w:val="30"/>
          <w:highlight w:val="none"/>
          <w:lang w:val="en-US" w:eastAsia="zh-CN"/>
        </w:rPr>
        <w:t>总支出决算的</w:t>
      </w:r>
      <w:r>
        <w:rPr>
          <w:rFonts w:hint="eastAsia" w:ascii="仿宋_GB2312" w:hAnsi="宋体" w:eastAsia="仿宋_GB2312" w:cs="Arial"/>
          <w:kern w:val="0"/>
          <w:sz w:val="30"/>
          <w:szCs w:val="30"/>
          <w:highlight w:val="none"/>
          <w:lang w:val="zh-CN"/>
        </w:rPr>
        <w:t>0.00</w:t>
      </w:r>
      <w:r>
        <w:rPr>
          <w:rFonts w:hint="eastAsia" w:ascii="仿宋_GB2312" w:hAnsi="宋体" w:eastAsia="仿宋_GB2312" w:cs="Arial"/>
          <w:kern w:val="0"/>
          <w:sz w:val="30"/>
          <w:szCs w:val="30"/>
          <w:highlight w:val="none"/>
          <w:lang w:val="en-US"/>
        </w:rPr>
        <w:t>%；公务用车购置费支出</w:t>
      </w:r>
      <w:r>
        <w:rPr>
          <w:rFonts w:hint="eastAsia" w:ascii="仿宋_GB2312" w:hAnsi="宋体" w:eastAsia="仿宋_GB2312" w:cs="Arial"/>
          <w:kern w:val="0"/>
          <w:sz w:val="30"/>
          <w:szCs w:val="30"/>
          <w:highlight w:val="none"/>
          <w:lang w:val="en-US" w:eastAsia="zh-CN"/>
        </w:rPr>
        <w:t>年初</w:t>
      </w:r>
      <w:r>
        <w:rPr>
          <w:rFonts w:hint="eastAsia" w:ascii="仿宋_GB2312" w:hAnsi="宋体" w:eastAsia="仿宋_GB2312" w:cs="Arial"/>
          <w:kern w:val="0"/>
          <w:sz w:val="30"/>
          <w:szCs w:val="30"/>
          <w:highlight w:val="none"/>
          <w:lang w:val="en-US"/>
        </w:rPr>
        <w:t>预算为</w:t>
      </w:r>
      <w:r>
        <w:rPr>
          <w:rFonts w:hint="eastAsia" w:ascii="仿宋_GB2312" w:hAnsi="宋体" w:eastAsia="仿宋_GB2312" w:cs="Arial"/>
          <w:kern w:val="0"/>
          <w:sz w:val="30"/>
          <w:szCs w:val="30"/>
          <w:highlight w:val="none"/>
          <w:lang w:val="zh-CN"/>
        </w:rPr>
        <w:t>0.00</w:t>
      </w:r>
      <w:r>
        <w:rPr>
          <w:rFonts w:hint="eastAsia" w:ascii="仿宋_GB2312" w:hAnsi="宋体" w:eastAsia="仿宋_GB2312" w:cs="Arial"/>
          <w:kern w:val="0"/>
          <w:sz w:val="30"/>
          <w:szCs w:val="30"/>
          <w:highlight w:val="none"/>
          <w:lang w:val="en-US"/>
        </w:rPr>
        <w:t>元</w:t>
      </w:r>
      <w:r>
        <w:rPr>
          <w:rFonts w:hint="eastAsia" w:ascii="仿宋_GB2312" w:hAnsi="宋体" w:eastAsia="仿宋_GB2312" w:cs="Arial"/>
          <w:kern w:val="0"/>
          <w:sz w:val="30"/>
          <w:szCs w:val="30"/>
          <w:highlight w:val="none"/>
          <w:lang w:val="en-US" w:eastAsia="zh-CN"/>
        </w:rPr>
        <w:t>，决算为</w:t>
      </w:r>
      <w:r>
        <w:rPr>
          <w:rFonts w:hint="eastAsia" w:ascii="仿宋_GB2312" w:hAnsi="宋体" w:eastAsia="仿宋_GB2312" w:cs="Arial"/>
          <w:kern w:val="0"/>
          <w:sz w:val="30"/>
          <w:szCs w:val="30"/>
          <w:highlight w:val="none"/>
          <w:lang w:val="zh-CN"/>
        </w:rPr>
        <w:t>0.00</w:t>
      </w:r>
      <w:r>
        <w:rPr>
          <w:rFonts w:hint="eastAsia" w:ascii="仿宋_GB2312" w:hAnsi="宋体" w:eastAsia="仿宋_GB2312" w:cs="Arial"/>
          <w:kern w:val="0"/>
          <w:sz w:val="30"/>
          <w:szCs w:val="30"/>
          <w:highlight w:val="none"/>
          <w:lang w:val="en-US"/>
        </w:rPr>
        <w:t>元，占财政拨款“三公”经费</w:t>
      </w:r>
      <w:r>
        <w:rPr>
          <w:rFonts w:hint="eastAsia" w:ascii="仿宋_GB2312" w:hAnsi="宋体" w:eastAsia="仿宋_GB2312" w:cs="Arial"/>
          <w:kern w:val="0"/>
          <w:sz w:val="30"/>
          <w:szCs w:val="30"/>
          <w:highlight w:val="none"/>
          <w:lang w:val="en-US" w:eastAsia="zh-CN"/>
        </w:rPr>
        <w:t>总支出决算的</w:t>
      </w:r>
      <w:r>
        <w:rPr>
          <w:rFonts w:hint="eastAsia" w:ascii="仿宋_GB2312" w:hAnsi="宋体" w:eastAsia="仿宋_GB2312" w:cs="Arial"/>
          <w:kern w:val="0"/>
          <w:sz w:val="30"/>
          <w:szCs w:val="30"/>
          <w:highlight w:val="none"/>
          <w:lang w:val="zh-CN"/>
        </w:rPr>
        <w:t>0.00</w:t>
      </w:r>
      <w:r>
        <w:rPr>
          <w:rFonts w:hint="eastAsia" w:ascii="仿宋_GB2312" w:hAnsi="宋体" w:eastAsia="仿宋_GB2312" w:cs="Arial"/>
          <w:kern w:val="0"/>
          <w:sz w:val="30"/>
          <w:szCs w:val="30"/>
          <w:highlight w:val="none"/>
          <w:lang w:val="en-US"/>
        </w:rPr>
        <w:t>%；公务用车</w:t>
      </w:r>
      <w:r>
        <w:rPr>
          <w:rFonts w:hint="eastAsia" w:ascii="仿宋_GB2312" w:hAnsi="宋体" w:eastAsia="仿宋_GB2312" w:cs="Arial"/>
          <w:kern w:val="0"/>
          <w:sz w:val="30"/>
          <w:szCs w:val="30"/>
          <w:highlight w:val="none"/>
          <w:lang w:val="en-US" w:eastAsia="zh-CN"/>
        </w:rPr>
        <w:t>运行维护</w:t>
      </w:r>
      <w:r>
        <w:rPr>
          <w:rFonts w:hint="eastAsia" w:ascii="仿宋_GB2312" w:hAnsi="宋体" w:eastAsia="仿宋_GB2312" w:cs="Arial"/>
          <w:kern w:val="0"/>
          <w:sz w:val="30"/>
          <w:szCs w:val="30"/>
          <w:highlight w:val="none"/>
          <w:lang w:val="en-US"/>
        </w:rPr>
        <w:t>费支出</w:t>
      </w:r>
      <w:r>
        <w:rPr>
          <w:rFonts w:hint="eastAsia" w:ascii="仿宋_GB2312" w:hAnsi="宋体" w:eastAsia="仿宋_GB2312" w:cs="Arial"/>
          <w:kern w:val="0"/>
          <w:sz w:val="30"/>
          <w:szCs w:val="30"/>
          <w:highlight w:val="none"/>
          <w:lang w:val="en-US" w:eastAsia="zh-CN"/>
        </w:rPr>
        <w:t>年初</w:t>
      </w:r>
      <w:r>
        <w:rPr>
          <w:rFonts w:hint="eastAsia" w:ascii="仿宋_GB2312" w:hAnsi="宋体" w:eastAsia="仿宋_GB2312" w:cs="Arial"/>
          <w:kern w:val="0"/>
          <w:sz w:val="30"/>
          <w:szCs w:val="30"/>
          <w:highlight w:val="none"/>
          <w:lang w:val="en-US"/>
        </w:rPr>
        <w:t>预算为</w:t>
      </w:r>
      <w:r>
        <w:rPr>
          <w:rFonts w:hint="eastAsia" w:ascii="仿宋_GB2312" w:hAnsi="宋体" w:eastAsia="仿宋_GB2312" w:cs="Arial"/>
          <w:kern w:val="0"/>
          <w:sz w:val="30"/>
          <w:szCs w:val="30"/>
          <w:highlight w:val="none"/>
          <w:lang w:val="zh-CN"/>
        </w:rPr>
        <w:t>33</w:t>
      </w:r>
      <w:r>
        <w:rPr>
          <w:rFonts w:hint="eastAsia" w:ascii="仿宋_GB2312" w:hAnsi="宋体" w:eastAsia="仿宋_GB2312" w:cs="Arial"/>
          <w:kern w:val="0"/>
          <w:sz w:val="30"/>
          <w:szCs w:val="30"/>
          <w:highlight w:val="none"/>
          <w:lang w:val="en-US" w:eastAsia="zh-CN"/>
        </w:rPr>
        <w:t>,</w:t>
      </w:r>
      <w:r>
        <w:rPr>
          <w:rFonts w:hint="eastAsia" w:ascii="仿宋_GB2312" w:hAnsi="宋体" w:eastAsia="仿宋_GB2312" w:cs="Arial"/>
          <w:kern w:val="0"/>
          <w:sz w:val="30"/>
          <w:szCs w:val="30"/>
          <w:highlight w:val="none"/>
          <w:lang w:val="zh-CN"/>
        </w:rPr>
        <w:t>100.00</w:t>
      </w:r>
      <w:r>
        <w:rPr>
          <w:rFonts w:hint="eastAsia" w:ascii="仿宋_GB2312" w:hAnsi="宋体" w:eastAsia="仿宋_GB2312" w:cs="Arial"/>
          <w:kern w:val="0"/>
          <w:sz w:val="30"/>
          <w:szCs w:val="30"/>
          <w:highlight w:val="none"/>
          <w:lang w:val="en-US"/>
        </w:rPr>
        <w:t>元</w:t>
      </w:r>
      <w:r>
        <w:rPr>
          <w:rFonts w:hint="eastAsia" w:ascii="仿宋_GB2312" w:hAnsi="宋体" w:eastAsia="仿宋_GB2312" w:cs="Arial"/>
          <w:kern w:val="0"/>
          <w:sz w:val="30"/>
          <w:szCs w:val="30"/>
          <w:highlight w:val="none"/>
          <w:lang w:val="en-US" w:eastAsia="zh-CN"/>
        </w:rPr>
        <w:t>，决算为</w:t>
      </w:r>
      <w:r>
        <w:rPr>
          <w:rFonts w:hint="eastAsia" w:ascii="仿宋_GB2312" w:hAnsi="宋体" w:eastAsia="仿宋_GB2312" w:cs="Arial"/>
          <w:kern w:val="0"/>
          <w:sz w:val="30"/>
          <w:szCs w:val="30"/>
          <w:highlight w:val="none"/>
          <w:lang w:val="zh-CN"/>
        </w:rPr>
        <w:t>39</w:t>
      </w:r>
      <w:r>
        <w:rPr>
          <w:rFonts w:hint="eastAsia" w:ascii="仿宋_GB2312" w:hAnsi="宋体" w:eastAsia="仿宋_GB2312" w:cs="Arial"/>
          <w:kern w:val="0"/>
          <w:sz w:val="30"/>
          <w:szCs w:val="30"/>
          <w:highlight w:val="none"/>
          <w:lang w:val="en-US" w:eastAsia="zh-CN"/>
        </w:rPr>
        <w:t>,</w:t>
      </w:r>
      <w:r>
        <w:rPr>
          <w:rFonts w:hint="eastAsia" w:ascii="仿宋_GB2312" w:hAnsi="宋体" w:eastAsia="仿宋_GB2312" w:cs="Arial"/>
          <w:kern w:val="0"/>
          <w:sz w:val="30"/>
          <w:szCs w:val="30"/>
          <w:highlight w:val="none"/>
          <w:lang w:val="zh-CN"/>
        </w:rPr>
        <w:t>553.30</w:t>
      </w:r>
      <w:r>
        <w:rPr>
          <w:rFonts w:hint="eastAsia" w:ascii="仿宋_GB2312" w:hAnsi="宋体" w:eastAsia="仿宋_GB2312" w:cs="Arial"/>
          <w:kern w:val="0"/>
          <w:sz w:val="30"/>
          <w:szCs w:val="30"/>
          <w:highlight w:val="none"/>
          <w:lang w:val="en-US"/>
        </w:rPr>
        <w:t>元，占财政拨款“三公”经费</w:t>
      </w:r>
      <w:r>
        <w:rPr>
          <w:rFonts w:hint="eastAsia" w:ascii="仿宋_GB2312" w:hAnsi="宋体" w:eastAsia="仿宋_GB2312" w:cs="Arial"/>
          <w:kern w:val="0"/>
          <w:sz w:val="30"/>
          <w:szCs w:val="30"/>
          <w:highlight w:val="none"/>
          <w:lang w:val="en-US" w:eastAsia="zh-CN"/>
        </w:rPr>
        <w:t>总支出决算的</w:t>
      </w:r>
      <w:r>
        <w:rPr>
          <w:rFonts w:hint="eastAsia" w:ascii="仿宋_GB2312" w:hAnsi="宋体" w:eastAsia="仿宋_GB2312" w:cs="Arial"/>
          <w:kern w:val="0"/>
          <w:sz w:val="30"/>
          <w:szCs w:val="30"/>
          <w:highlight w:val="none"/>
          <w:lang w:val="zh-CN" w:eastAsia="zh-CN"/>
        </w:rPr>
        <w:t>92.40</w:t>
      </w:r>
      <w:r>
        <w:rPr>
          <w:rFonts w:hint="eastAsia" w:ascii="仿宋_GB2312" w:hAnsi="宋体" w:eastAsia="仿宋_GB2312" w:cs="Arial"/>
          <w:kern w:val="0"/>
          <w:sz w:val="30"/>
          <w:szCs w:val="30"/>
          <w:highlight w:val="none"/>
          <w:lang w:val="en-US" w:eastAsia="zh-CN"/>
        </w:rPr>
        <w:t>%，完成年初预算的</w:t>
      </w:r>
      <w:r>
        <w:rPr>
          <w:rFonts w:hint="eastAsia" w:ascii="仿宋_GB2312" w:hAnsi="宋体" w:eastAsia="仿宋_GB2312" w:cs="Arial"/>
          <w:kern w:val="0"/>
          <w:sz w:val="30"/>
          <w:szCs w:val="30"/>
          <w:highlight w:val="none"/>
          <w:lang w:val="zh-CN" w:eastAsia="zh-CN"/>
        </w:rPr>
        <w:t>119.50</w:t>
      </w:r>
      <w:r>
        <w:rPr>
          <w:rFonts w:hint="eastAsia" w:ascii="仿宋_GB2312" w:hAnsi="宋体" w:eastAsia="仿宋_GB2312" w:cs="Arial"/>
          <w:kern w:val="0"/>
          <w:sz w:val="30"/>
          <w:szCs w:val="30"/>
          <w:highlight w:val="none"/>
          <w:lang w:val="en-US" w:eastAsia="zh-CN"/>
        </w:rPr>
        <w:t>%,；公务接待费支出年初预算为</w:t>
      </w:r>
      <w:r>
        <w:rPr>
          <w:rFonts w:hint="eastAsia" w:ascii="仿宋_GB2312" w:hAnsi="宋体" w:eastAsia="仿宋_GB2312" w:cs="Arial"/>
          <w:kern w:val="0"/>
          <w:sz w:val="30"/>
          <w:szCs w:val="30"/>
          <w:highlight w:val="none"/>
          <w:lang w:val="zh-CN" w:eastAsia="zh-CN"/>
        </w:rPr>
        <w:t>10</w:t>
      </w:r>
      <w:r>
        <w:rPr>
          <w:rFonts w:hint="eastAsia" w:ascii="仿宋_GB2312" w:hAnsi="宋体" w:eastAsia="仿宋_GB2312" w:cs="Arial"/>
          <w:kern w:val="0"/>
          <w:sz w:val="30"/>
          <w:szCs w:val="30"/>
          <w:highlight w:val="none"/>
          <w:lang w:val="en-US" w:eastAsia="zh-CN"/>
        </w:rPr>
        <w:t>,</w:t>
      </w:r>
      <w:r>
        <w:rPr>
          <w:rFonts w:hint="eastAsia" w:ascii="仿宋_GB2312" w:hAnsi="宋体" w:eastAsia="仿宋_GB2312" w:cs="Arial"/>
          <w:kern w:val="0"/>
          <w:sz w:val="30"/>
          <w:szCs w:val="30"/>
          <w:highlight w:val="none"/>
          <w:lang w:val="zh-CN" w:eastAsia="zh-CN"/>
        </w:rPr>
        <w:t>000.00</w:t>
      </w:r>
      <w:r>
        <w:rPr>
          <w:rFonts w:hint="eastAsia" w:ascii="仿宋_GB2312" w:hAnsi="宋体" w:eastAsia="仿宋_GB2312" w:cs="Arial"/>
          <w:kern w:val="0"/>
          <w:sz w:val="30"/>
          <w:szCs w:val="30"/>
          <w:highlight w:val="none"/>
          <w:lang w:val="en-US" w:eastAsia="zh-CN"/>
        </w:rPr>
        <w:t>元，决算为</w:t>
      </w:r>
      <w:r>
        <w:rPr>
          <w:rFonts w:hint="eastAsia" w:ascii="仿宋_GB2312" w:hAnsi="宋体" w:eastAsia="仿宋_GB2312" w:cs="Arial"/>
          <w:kern w:val="0"/>
          <w:sz w:val="30"/>
          <w:szCs w:val="30"/>
          <w:highlight w:val="none"/>
          <w:lang w:val="zh-CN" w:eastAsia="zh-CN"/>
        </w:rPr>
        <w:t>3</w:t>
      </w:r>
      <w:r>
        <w:rPr>
          <w:rFonts w:hint="eastAsia" w:ascii="仿宋_GB2312" w:hAnsi="宋体" w:eastAsia="仿宋_GB2312" w:cs="Arial"/>
          <w:kern w:val="0"/>
          <w:sz w:val="30"/>
          <w:szCs w:val="30"/>
          <w:highlight w:val="none"/>
          <w:lang w:val="en-US" w:eastAsia="zh-CN"/>
        </w:rPr>
        <w:t>,</w:t>
      </w:r>
      <w:r>
        <w:rPr>
          <w:rFonts w:hint="eastAsia" w:ascii="仿宋_GB2312" w:hAnsi="宋体" w:eastAsia="仿宋_GB2312" w:cs="Arial"/>
          <w:kern w:val="0"/>
          <w:sz w:val="30"/>
          <w:szCs w:val="30"/>
          <w:highlight w:val="none"/>
          <w:lang w:val="zh-CN" w:eastAsia="zh-CN"/>
        </w:rPr>
        <w:t>252.00</w:t>
      </w:r>
      <w:r>
        <w:rPr>
          <w:rFonts w:hint="eastAsia" w:ascii="仿宋_GB2312" w:hAnsi="宋体" w:eastAsia="仿宋_GB2312" w:cs="Arial"/>
          <w:kern w:val="0"/>
          <w:sz w:val="30"/>
          <w:szCs w:val="30"/>
          <w:highlight w:val="none"/>
          <w:lang w:val="en-US" w:eastAsia="zh-CN"/>
        </w:rPr>
        <w:t>元，占财政拨款“三公”经费总支出决算的</w:t>
      </w:r>
      <w:r>
        <w:rPr>
          <w:rFonts w:hint="eastAsia" w:ascii="仿宋_GB2312" w:hAnsi="宋体" w:eastAsia="仿宋_GB2312" w:cs="Arial"/>
          <w:kern w:val="0"/>
          <w:sz w:val="30"/>
          <w:szCs w:val="30"/>
          <w:highlight w:val="none"/>
          <w:lang w:val="zh-CN" w:eastAsia="zh-CN"/>
        </w:rPr>
        <w:t>7.60</w:t>
      </w:r>
      <w:r>
        <w:rPr>
          <w:rFonts w:hint="eastAsia" w:ascii="仿宋_GB2312" w:hAnsi="宋体" w:eastAsia="仿宋_GB2312" w:cs="Arial"/>
          <w:kern w:val="0"/>
          <w:sz w:val="30"/>
          <w:szCs w:val="30"/>
          <w:highlight w:val="none"/>
          <w:lang w:val="en-US" w:eastAsia="zh-CN"/>
        </w:rPr>
        <w:t>%，完成年初预算的</w:t>
      </w:r>
      <w:r>
        <w:rPr>
          <w:rFonts w:hint="eastAsia" w:ascii="仿宋_GB2312" w:hAnsi="宋体" w:eastAsia="仿宋_GB2312" w:cs="Arial"/>
          <w:kern w:val="0"/>
          <w:sz w:val="30"/>
          <w:szCs w:val="30"/>
          <w:highlight w:val="none"/>
          <w:lang w:val="zh-CN" w:eastAsia="zh-CN"/>
        </w:rPr>
        <w:t>32.52</w:t>
      </w:r>
      <w:r>
        <w:rPr>
          <w:rFonts w:hint="eastAsia" w:ascii="仿宋_GB2312" w:hAnsi="宋体" w:eastAsia="仿宋_GB2312" w:cs="Arial"/>
          <w:kern w:val="0"/>
          <w:sz w:val="30"/>
          <w:szCs w:val="30"/>
          <w:highlight w:val="none"/>
          <w:lang w:val="en-US" w:eastAsia="zh-CN"/>
        </w:rPr>
        <w:t>%。</w:t>
      </w:r>
    </w:p>
    <w:p w14:paraId="5F86FBF9">
      <w:pPr>
        <w:keepNext w:val="0"/>
        <w:keepLines w:val="0"/>
        <w:pageBreakBefore w:val="0"/>
        <w:widowControl/>
        <w:kinsoku/>
        <w:wordWrap/>
        <w:overflowPunct/>
        <w:topLinePunct w:val="0"/>
        <w:autoSpaceDE/>
        <w:autoSpaceDN/>
        <w:bidi w:val="0"/>
        <w:adjustRightInd/>
        <w:snapToGrid w:val="0"/>
        <w:spacing w:before="100" w:after="100" w:line="600" w:lineRule="exact"/>
        <w:ind w:firstLine="600" w:firstLineChars="200"/>
        <w:jc w:val="both"/>
        <w:textAlignment w:val="auto"/>
        <w:rPr>
          <w:rFonts w:hint="eastAsia" w:ascii="仿宋_GB2312" w:hAnsi="宋体" w:eastAsia="仿宋_GB2312" w:cs="Arial"/>
          <w:kern w:val="0"/>
          <w:sz w:val="30"/>
          <w:szCs w:val="30"/>
          <w:highlight w:val="none"/>
          <w:lang w:val="zh-CN" w:eastAsia="zh-CN"/>
        </w:rPr>
      </w:pPr>
      <w:r>
        <w:rPr>
          <w:rFonts w:hint="eastAsia" w:ascii="仿宋_GB2312" w:hAnsi="宋体" w:eastAsia="仿宋_GB2312" w:cs="Arial"/>
          <w:kern w:val="0"/>
          <w:sz w:val="30"/>
          <w:szCs w:val="30"/>
          <w:highlight w:val="none"/>
          <w:lang w:val="zh-CN" w:eastAsia="zh-CN"/>
        </w:rPr>
        <w:t>因公出国（境）费</w:t>
      </w:r>
      <w:r>
        <w:rPr>
          <w:rFonts w:hint="eastAsia" w:ascii="仿宋_GB2312" w:hAnsi="宋体" w:eastAsia="仿宋_GB2312" w:cs="Arial"/>
          <w:kern w:val="0"/>
          <w:sz w:val="30"/>
          <w:szCs w:val="30"/>
          <w:highlight w:val="none"/>
          <w:lang w:val="en-US" w:eastAsia="zh-CN"/>
        </w:rPr>
        <w:t>用</w:t>
      </w:r>
      <w:r>
        <w:rPr>
          <w:rFonts w:hint="eastAsia" w:ascii="仿宋_GB2312" w:hAnsi="宋体" w:eastAsia="仿宋_GB2312" w:cs="Arial"/>
          <w:kern w:val="0"/>
          <w:sz w:val="30"/>
          <w:szCs w:val="30"/>
          <w:highlight w:val="none"/>
          <w:lang w:val="zh-CN" w:eastAsia="zh-CN"/>
        </w:rPr>
        <w:t>支出，上年无此项支出；公务用车购置费支出，上年无此项支出；公务用车运行维护费支出决算较上年增加16</w:t>
      </w:r>
      <w:r>
        <w:rPr>
          <w:rFonts w:hint="eastAsia" w:ascii="仿宋_GB2312" w:hAnsi="宋体" w:eastAsia="仿宋_GB2312" w:cs="Arial"/>
          <w:kern w:val="0"/>
          <w:sz w:val="30"/>
          <w:szCs w:val="30"/>
          <w:highlight w:val="none"/>
          <w:lang w:val="en-US" w:eastAsia="zh-CN"/>
        </w:rPr>
        <w:t>,</w:t>
      </w:r>
      <w:r>
        <w:rPr>
          <w:rFonts w:hint="eastAsia" w:ascii="仿宋_GB2312" w:hAnsi="宋体" w:eastAsia="仿宋_GB2312" w:cs="Arial"/>
          <w:kern w:val="0"/>
          <w:sz w:val="30"/>
          <w:szCs w:val="30"/>
          <w:highlight w:val="none"/>
          <w:lang w:val="zh-CN" w:eastAsia="zh-CN"/>
        </w:rPr>
        <w:t>497.12</w:t>
      </w:r>
      <w:r>
        <w:rPr>
          <w:rFonts w:hint="eastAsia" w:ascii="仿宋_GB2312" w:hAnsi="宋体" w:eastAsia="仿宋_GB2312" w:cs="Arial"/>
          <w:kern w:val="0"/>
          <w:sz w:val="30"/>
          <w:szCs w:val="30"/>
          <w:highlight w:val="none"/>
          <w:lang w:val="en-US" w:eastAsia="zh-CN"/>
        </w:rPr>
        <w:t>元，增长</w:t>
      </w:r>
      <w:r>
        <w:rPr>
          <w:rFonts w:hint="eastAsia" w:ascii="仿宋_GB2312" w:hAnsi="宋体" w:eastAsia="仿宋_GB2312" w:cs="Arial"/>
          <w:kern w:val="0"/>
          <w:sz w:val="30"/>
          <w:szCs w:val="30"/>
          <w:highlight w:val="none"/>
          <w:lang w:val="zh-CN" w:eastAsia="zh-CN"/>
        </w:rPr>
        <w:t>71.55</w:t>
      </w:r>
      <w:r>
        <w:rPr>
          <w:rFonts w:hint="eastAsia" w:ascii="仿宋_GB2312" w:hAnsi="宋体" w:eastAsia="仿宋_GB2312" w:cs="Arial"/>
          <w:kern w:val="0"/>
          <w:sz w:val="30"/>
          <w:szCs w:val="30"/>
          <w:highlight w:val="none"/>
          <w:lang w:val="en-US" w:eastAsia="zh-CN"/>
        </w:rPr>
        <w:t>%</w:t>
      </w:r>
      <w:r>
        <w:rPr>
          <w:rFonts w:hint="eastAsia" w:ascii="仿宋_GB2312" w:hAnsi="宋体" w:eastAsia="仿宋_GB2312" w:cs="Arial"/>
          <w:kern w:val="0"/>
          <w:sz w:val="30"/>
          <w:szCs w:val="30"/>
          <w:highlight w:val="none"/>
          <w:lang w:val="zh-CN" w:eastAsia="zh-CN"/>
        </w:rPr>
        <w:t>；公务接待费支出决算较上年增加3</w:t>
      </w:r>
      <w:r>
        <w:rPr>
          <w:rFonts w:hint="eastAsia" w:ascii="仿宋_GB2312" w:hAnsi="宋体" w:eastAsia="仿宋_GB2312" w:cs="Arial"/>
          <w:kern w:val="0"/>
          <w:sz w:val="30"/>
          <w:szCs w:val="30"/>
          <w:highlight w:val="none"/>
          <w:lang w:val="en-US" w:eastAsia="zh-CN"/>
        </w:rPr>
        <w:t>,</w:t>
      </w:r>
      <w:r>
        <w:rPr>
          <w:rFonts w:hint="eastAsia" w:ascii="仿宋_GB2312" w:hAnsi="宋体" w:eastAsia="仿宋_GB2312" w:cs="Arial"/>
          <w:kern w:val="0"/>
          <w:sz w:val="30"/>
          <w:szCs w:val="30"/>
          <w:highlight w:val="none"/>
          <w:lang w:val="zh-CN" w:eastAsia="zh-CN"/>
        </w:rPr>
        <w:t>252.00</w:t>
      </w:r>
      <w:r>
        <w:rPr>
          <w:rFonts w:hint="eastAsia" w:ascii="仿宋_GB2312" w:hAnsi="宋体" w:eastAsia="仿宋_GB2312" w:cs="Arial"/>
          <w:kern w:val="0"/>
          <w:sz w:val="30"/>
          <w:szCs w:val="30"/>
          <w:highlight w:val="none"/>
          <w:lang w:val="en-US" w:eastAsia="zh-CN"/>
        </w:rPr>
        <w:t>元，</w:t>
      </w:r>
      <w:r>
        <w:rPr>
          <w:rFonts w:hint="eastAsia" w:ascii="仿宋_GB2312" w:hAnsi="宋体" w:eastAsia="仿宋_GB2312" w:cs="Arial"/>
          <w:kern w:val="0"/>
          <w:sz w:val="30"/>
          <w:szCs w:val="30"/>
          <w:highlight w:val="none"/>
          <w:lang w:val="zh-CN" w:eastAsia="zh-CN"/>
        </w:rPr>
        <w:t>上年无此项支出；具体是国内接待费支出决算3</w:t>
      </w:r>
      <w:r>
        <w:rPr>
          <w:rFonts w:hint="eastAsia" w:ascii="仿宋_GB2312" w:hAnsi="宋体" w:eastAsia="仿宋_GB2312" w:cs="Arial"/>
          <w:kern w:val="0"/>
          <w:sz w:val="30"/>
          <w:szCs w:val="30"/>
          <w:highlight w:val="none"/>
          <w:lang w:val="en-US" w:eastAsia="zh-CN"/>
        </w:rPr>
        <w:t>,</w:t>
      </w:r>
      <w:r>
        <w:rPr>
          <w:rFonts w:hint="eastAsia" w:ascii="仿宋_GB2312" w:hAnsi="宋体" w:eastAsia="仿宋_GB2312" w:cs="Arial"/>
          <w:kern w:val="0"/>
          <w:sz w:val="30"/>
          <w:szCs w:val="30"/>
          <w:highlight w:val="none"/>
          <w:lang w:val="zh-CN" w:eastAsia="zh-CN"/>
        </w:rPr>
        <w:t>252.00元（其中：外事接待费支出决算0.00元），较上年增加3</w:t>
      </w:r>
      <w:r>
        <w:rPr>
          <w:rFonts w:hint="eastAsia" w:ascii="仿宋_GB2312" w:hAnsi="宋体" w:eastAsia="仿宋_GB2312" w:cs="Arial"/>
          <w:kern w:val="0"/>
          <w:sz w:val="30"/>
          <w:szCs w:val="30"/>
          <w:highlight w:val="none"/>
          <w:lang w:val="en-US" w:eastAsia="zh-CN"/>
        </w:rPr>
        <w:t>,</w:t>
      </w:r>
      <w:r>
        <w:rPr>
          <w:rFonts w:hint="eastAsia" w:ascii="仿宋_GB2312" w:hAnsi="宋体" w:eastAsia="仿宋_GB2312" w:cs="Arial"/>
          <w:kern w:val="0"/>
          <w:sz w:val="30"/>
          <w:szCs w:val="30"/>
          <w:highlight w:val="none"/>
          <w:lang w:val="zh-CN" w:eastAsia="zh-CN"/>
        </w:rPr>
        <w:t>252.00</w:t>
      </w:r>
      <w:r>
        <w:rPr>
          <w:rFonts w:hint="eastAsia" w:ascii="仿宋_GB2312" w:hAnsi="宋体" w:eastAsia="仿宋_GB2312" w:cs="Arial"/>
          <w:kern w:val="0"/>
          <w:sz w:val="30"/>
          <w:szCs w:val="30"/>
          <w:highlight w:val="none"/>
          <w:lang w:val="en-US" w:eastAsia="zh-CN"/>
        </w:rPr>
        <w:t>元，</w:t>
      </w:r>
      <w:r>
        <w:rPr>
          <w:rFonts w:hint="eastAsia" w:ascii="仿宋_GB2312" w:hAnsi="宋体" w:eastAsia="仿宋_GB2312" w:cs="Arial"/>
          <w:kern w:val="0"/>
          <w:sz w:val="30"/>
          <w:szCs w:val="30"/>
          <w:highlight w:val="none"/>
          <w:lang w:val="zh-CN" w:eastAsia="zh-CN"/>
        </w:rPr>
        <w:t>上年无此项支出；国（境）外接待费支出，上年无此项支出。</w:t>
      </w:r>
    </w:p>
    <w:p w14:paraId="5D87CF68">
      <w:pPr>
        <w:keepNext w:val="0"/>
        <w:keepLines w:val="0"/>
        <w:pageBreakBefore w:val="0"/>
        <w:widowControl/>
        <w:numPr>
          <w:ilvl w:val="0"/>
          <w:numId w:val="0"/>
        </w:numPr>
        <w:kinsoku/>
        <w:wordWrap/>
        <w:overflowPunct/>
        <w:topLinePunct w:val="0"/>
        <w:autoSpaceDE/>
        <w:autoSpaceDN/>
        <w:bidi w:val="0"/>
        <w:adjustRightInd/>
        <w:snapToGrid w:val="0"/>
        <w:spacing w:before="100" w:after="100" w:line="600" w:lineRule="exact"/>
        <w:ind w:firstLine="600" w:firstLineChars="200"/>
        <w:jc w:val="left"/>
        <w:textAlignment w:val="auto"/>
        <w:outlineLvl w:val="2"/>
        <w:rPr>
          <w:rFonts w:hint="eastAsia" w:ascii="楷体_GB2312" w:hAnsi="楷体_GB2312" w:eastAsia="楷体_GB2312" w:cs="楷体_GB2312"/>
          <w:kern w:val="0"/>
          <w:sz w:val="30"/>
          <w:szCs w:val="30"/>
          <w:highlight w:val="none"/>
          <w:lang w:val="en-US" w:eastAsia="zh-CN"/>
        </w:rPr>
      </w:pPr>
      <w:r>
        <w:rPr>
          <w:rFonts w:hint="eastAsia" w:ascii="楷体_GB2312" w:hAnsi="楷体_GB2312" w:eastAsia="楷体_GB2312" w:cs="楷体_GB2312"/>
          <w:kern w:val="0"/>
          <w:sz w:val="30"/>
          <w:szCs w:val="30"/>
          <w:highlight w:val="none"/>
          <w:lang w:val="en-US" w:eastAsia="zh-CN"/>
        </w:rPr>
        <w:t>（二）一般公共预算财政拨款“三公”经费支出决算情况说明</w:t>
      </w:r>
    </w:p>
    <w:p w14:paraId="3860C7FF">
      <w:pPr>
        <w:keepNext w:val="0"/>
        <w:keepLines w:val="0"/>
        <w:pageBreakBefore w:val="0"/>
        <w:widowControl/>
        <w:kinsoku/>
        <w:wordWrap/>
        <w:overflowPunct/>
        <w:topLinePunct w:val="0"/>
        <w:autoSpaceDE/>
        <w:autoSpaceDN/>
        <w:bidi w:val="0"/>
        <w:adjustRightInd/>
        <w:snapToGrid w:val="0"/>
        <w:spacing w:before="100" w:after="100" w:line="600" w:lineRule="exact"/>
        <w:ind w:firstLine="600" w:firstLineChars="200"/>
        <w:jc w:val="both"/>
        <w:textAlignment w:val="auto"/>
        <w:rPr>
          <w:rFonts w:hint="eastAsia" w:ascii="仿宋_GB2312" w:hAnsi="宋体" w:eastAsia="仿宋_GB2312" w:cs="Arial"/>
          <w:kern w:val="0"/>
          <w:sz w:val="30"/>
          <w:szCs w:val="30"/>
          <w:highlight w:val="none"/>
          <w:lang w:val="zh-CN" w:eastAsia="zh-CN"/>
        </w:rPr>
      </w:pPr>
      <w:r>
        <w:rPr>
          <w:rFonts w:hint="eastAsia" w:ascii="仿宋_GB2312" w:hAnsi="宋体" w:eastAsia="仿宋_GB2312" w:cs="Arial"/>
          <w:kern w:val="0"/>
          <w:sz w:val="30"/>
          <w:szCs w:val="30"/>
          <w:highlight w:val="none"/>
          <w:lang w:val="en-US" w:eastAsia="zh-CN"/>
        </w:rPr>
        <w:t>2025年度</w:t>
      </w:r>
      <w:r>
        <w:rPr>
          <w:rFonts w:hint="eastAsia" w:ascii="仿宋_GB2312" w:hAnsi="宋体" w:eastAsia="仿宋_GB2312" w:cs="Arial"/>
          <w:kern w:val="0"/>
          <w:sz w:val="30"/>
          <w:szCs w:val="30"/>
          <w:highlight w:val="none"/>
          <w:lang w:val="zh-CN" w:eastAsia="zh-CN"/>
        </w:rPr>
        <w:t>一般公共预算财政拨款“三公”经费支出年初预算为43</w:t>
      </w:r>
      <w:r>
        <w:rPr>
          <w:rFonts w:hint="eastAsia" w:ascii="仿宋_GB2312" w:hAnsi="宋体" w:eastAsia="仿宋_GB2312" w:cs="Arial"/>
          <w:kern w:val="0"/>
          <w:sz w:val="30"/>
          <w:szCs w:val="30"/>
          <w:highlight w:val="none"/>
          <w:lang w:val="en-US" w:eastAsia="zh-CN"/>
        </w:rPr>
        <w:t>,</w:t>
      </w:r>
      <w:r>
        <w:rPr>
          <w:rFonts w:hint="eastAsia" w:ascii="仿宋_GB2312" w:hAnsi="宋体" w:eastAsia="仿宋_GB2312" w:cs="Arial"/>
          <w:kern w:val="0"/>
          <w:sz w:val="30"/>
          <w:szCs w:val="30"/>
          <w:highlight w:val="none"/>
          <w:lang w:val="zh-CN" w:eastAsia="zh-CN"/>
        </w:rPr>
        <w:t>100.00元，支出决算为42</w:t>
      </w:r>
      <w:r>
        <w:rPr>
          <w:rFonts w:hint="eastAsia" w:ascii="仿宋_GB2312" w:hAnsi="宋体" w:eastAsia="仿宋_GB2312" w:cs="Arial"/>
          <w:kern w:val="0"/>
          <w:sz w:val="30"/>
          <w:szCs w:val="30"/>
          <w:highlight w:val="none"/>
          <w:lang w:val="en-US" w:eastAsia="zh-CN"/>
        </w:rPr>
        <w:t>,</w:t>
      </w:r>
      <w:r>
        <w:rPr>
          <w:rFonts w:hint="eastAsia" w:ascii="仿宋_GB2312" w:hAnsi="宋体" w:eastAsia="仿宋_GB2312" w:cs="Arial"/>
          <w:kern w:val="0"/>
          <w:sz w:val="30"/>
          <w:szCs w:val="30"/>
          <w:highlight w:val="none"/>
          <w:lang w:val="zh-CN" w:eastAsia="zh-CN"/>
        </w:rPr>
        <w:t>805.30元，完成年初预算的99.32%，支出决算较上年增加19</w:t>
      </w:r>
      <w:r>
        <w:rPr>
          <w:rFonts w:hint="eastAsia" w:ascii="仿宋_GB2312" w:hAnsi="宋体" w:eastAsia="仿宋_GB2312" w:cs="Arial"/>
          <w:kern w:val="0"/>
          <w:sz w:val="30"/>
          <w:szCs w:val="30"/>
          <w:highlight w:val="none"/>
          <w:lang w:val="en-US" w:eastAsia="zh-CN"/>
        </w:rPr>
        <w:t>,</w:t>
      </w:r>
      <w:r>
        <w:rPr>
          <w:rFonts w:hint="eastAsia" w:ascii="仿宋_GB2312" w:hAnsi="宋体" w:eastAsia="仿宋_GB2312" w:cs="Arial"/>
          <w:kern w:val="0"/>
          <w:sz w:val="30"/>
          <w:szCs w:val="30"/>
          <w:highlight w:val="none"/>
          <w:lang w:val="zh-CN" w:eastAsia="zh-CN"/>
        </w:rPr>
        <w:t>749.12</w:t>
      </w:r>
      <w:r>
        <w:rPr>
          <w:rFonts w:hint="eastAsia" w:ascii="仿宋_GB2312" w:hAnsi="宋体" w:eastAsia="仿宋_GB2312" w:cs="Arial"/>
          <w:kern w:val="0"/>
          <w:sz w:val="30"/>
          <w:szCs w:val="30"/>
          <w:highlight w:val="none"/>
          <w:lang w:val="en-US" w:eastAsia="zh-CN"/>
        </w:rPr>
        <w:t>元，增长</w:t>
      </w:r>
      <w:r>
        <w:rPr>
          <w:rFonts w:hint="eastAsia" w:ascii="仿宋_GB2312" w:hAnsi="宋体" w:eastAsia="仿宋_GB2312" w:cs="Arial"/>
          <w:kern w:val="0"/>
          <w:sz w:val="30"/>
          <w:szCs w:val="30"/>
          <w:highlight w:val="none"/>
          <w:lang w:val="zh-CN" w:eastAsia="zh-CN"/>
        </w:rPr>
        <w:t>85.66</w:t>
      </w:r>
      <w:r>
        <w:rPr>
          <w:rFonts w:hint="eastAsia" w:ascii="仿宋_GB2312" w:hAnsi="宋体" w:eastAsia="仿宋_GB2312" w:cs="Arial"/>
          <w:kern w:val="0"/>
          <w:sz w:val="30"/>
          <w:szCs w:val="30"/>
          <w:highlight w:val="none"/>
          <w:lang w:val="en-US" w:eastAsia="zh-CN"/>
        </w:rPr>
        <w:t>%</w:t>
      </w:r>
      <w:r>
        <w:rPr>
          <w:rFonts w:hint="eastAsia" w:ascii="仿宋_GB2312" w:hAnsi="宋体" w:eastAsia="仿宋_GB2312" w:cs="Arial"/>
          <w:kern w:val="0"/>
          <w:sz w:val="30"/>
          <w:szCs w:val="30"/>
          <w:highlight w:val="none"/>
          <w:lang w:val="zh-CN" w:eastAsia="zh-CN"/>
        </w:rPr>
        <w:t>。</w:t>
      </w:r>
    </w:p>
    <w:p w14:paraId="00A3F5DC">
      <w:pPr>
        <w:keepNext w:val="0"/>
        <w:keepLines w:val="0"/>
        <w:pageBreakBefore w:val="0"/>
        <w:widowControl/>
        <w:kinsoku/>
        <w:wordWrap/>
        <w:overflowPunct/>
        <w:topLinePunct w:val="0"/>
        <w:autoSpaceDE/>
        <w:autoSpaceDN/>
        <w:bidi w:val="0"/>
        <w:adjustRightInd/>
        <w:snapToGrid w:val="0"/>
        <w:spacing w:before="100" w:after="100" w:line="600" w:lineRule="exact"/>
        <w:ind w:firstLine="600" w:firstLineChars="200"/>
        <w:jc w:val="both"/>
        <w:textAlignment w:val="auto"/>
        <w:rPr>
          <w:rFonts w:hint="eastAsia" w:ascii="仿宋_GB2312" w:hAnsi="宋体" w:eastAsia="仿宋_GB2312" w:cs="Arial"/>
          <w:kern w:val="0"/>
          <w:sz w:val="30"/>
          <w:szCs w:val="30"/>
          <w:highlight w:val="none"/>
          <w:lang w:val="en-US" w:eastAsia="zh-CN"/>
        </w:rPr>
      </w:pPr>
      <w:r>
        <w:rPr>
          <w:rFonts w:hint="eastAsia" w:ascii="仿宋_GB2312" w:hAnsi="宋体" w:eastAsia="仿宋_GB2312" w:cs="Arial"/>
          <w:kern w:val="0"/>
          <w:sz w:val="30"/>
          <w:szCs w:val="30"/>
          <w:highlight w:val="none"/>
          <w:lang w:val="en-US" w:eastAsia="zh-CN"/>
        </w:rPr>
        <w:t>一般公共预算财政拨款“三公”经费支出中：因公出国（境）费用支出年初预算为</w:t>
      </w:r>
      <w:r>
        <w:rPr>
          <w:rFonts w:hint="eastAsia" w:ascii="仿宋_GB2312" w:hAnsi="宋体" w:eastAsia="仿宋_GB2312" w:cs="Arial"/>
          <w:kern w:val="0"/>
          <w:sz w:val="30"/>
          <w:szCs w:val="30"/>
          <w:highlight w:val="none"/>
          <w:lang w:val="zh-CN" w:eastAsia="zh-CN"/>
        </w:rPr>
        <w:t>0.00</w:t>
      </w:r>
      <w:r>
        <w:rPr>
          <w:rFonts w:hint="eastAsia" w:ascii="仿宋_GB2312" w:hAnsi="宋体" w:eastAsia="仿宋_GB2312" w:cs="Arial"/>
          <w:kern w:val="0"/>
          <w:sz w:val="30"/>
          <w:szCs w:val="30"/>
          <w:highlight w:val="none"/>
          <w:lang w:val="en-US" w:eastAsia="zh-CN"/>
        </w:rPr>
        <w:t>元，决算为</w:t>
      </w:r>
      <w:r>
        <w:rPr>
          <w:rFonts w:hint="eastAsia" w:ascii="仿宋_GB2312" w:hAnsi="宋体" w:eastAsia="仿宋_GB2312" w:cs="Arial"/>
          <w:kern w:val="0"/>
          <w:sz w:val="30"/>
          <w:szCs w:val="30"/>
          <w:highlight w:val="none"/>
          <w:lang w:val="zh-CN" w:eastAsia="zh-CN"/>
        </w:rPr>
        <w:t>0.00</w:t>
      </w:r>
      <w:r>
        <w:rPr>
          <w:rFonts w:hint="eastAsia" w:ascii="仿宋_GB2312" w:hAnsi="宋体" w:eastAsia="仿宋_GB2312" w:cs="Arial"/>
          <w:kern w:val="0"/>
          <w:sz w:val="30"/>
          <w:szCs w:val="30"/>
          <w:highlight w:val="none"/>
          <w:lang w:val="en-US" w:eastAsia="zh-CN"/>
        </w:rPr>
        <w:t>元；公务用车购置费支出年初预算为</w:t>
      </w:r>
      <w:r>
        <w:rPr>
          <w:rFonts w:hint="eastAsia" w:ascii="仿宋_GB2312" w:hAnsi="宋体" w:eastAsia="仿宋_GB2312" w:cs="Arial"/>
          <w:kern w:val="0"/>
          <w:sz w:val="30"/>
          <w:szCs w:val="30"/>
          <w:highlight w:val="none"/>
          <w:lang w:val="zh-CN" w:eastAsia="zh-CN"/>
        </w:rPr>
        <w:t>0.00</w:t>
      </w:r>
      <w:r>
        <w:rPr>
          <w:rFonts w:hint="eastAsia" w:ascii="仿宋_GB2312" w:hAnsi="宋体" w:eastAsia="仿宋_GB2312" w:cs="Arial"/>
          <w:kern w:val="0"/>
          <w:sz w:val="30"/>
          <w:szCs w:val="30"/>
          <w:highlight w:val="none"/>
          <w:lang w:val="en-US" w:eastAsia="zh-CN"/>
        </w:rPr>
        <w:t>元，决算为</w:t>
      </w:r>
      <w:r>
        <w:rPr>
          <w:rFonts w:hint="eastAsia" w:ascii="仿宋_GB2312" w:hAnsi="宋体" w:eastAsia="仿宋_GB2312" w:cs="Arial"/>
          <w:kern w:val="0"/>
          <w:sz w:val="30"/>
          <w:szCs w:val="30"/>
          <w:highlight w:val="none"/>
          <w:lang w:val="zh-CN" w:eastAsia="zh-CN"/>
        </w:rPr>
        <w:t>0.00</w:t>
      </w:r>
      <w:r>
        <w:rPr>
          <w:rFonts w:hint="eastAsia" w:ascii="仿宋_GB2312" w:hAnsi="宋体" w:eastAsia="仿宋_GB2312" w:cs="Arial"/>
          <w:kern w:val="0"/>
          <w:sz w:val="30"/>
          <w:szCs w:val="30"/>
          <w:highlight w:val="none"/>
          <w:lang w:val="en-US" w:eastAsia="zh-CN"/>
        </w:rPr>
        <w:t>元；公务用车运行维护费支出年初预算为</w:t>
      </w:r>
      <w:r>
        <w:rPr>
          <w:rFonts w:hint="eastAsia" w:ascii="仿宋_GB2312" w:hAnsi="宋体" w:eastAsia="仿宋_GB2312" w:cs="Arial"/>
          <w:kern w:val="0"/>
          <w:sz w:val="30"/>
          <w:szCs w:val="30"/>
          <w:highlight w:val="none"/>
          <w:lang w:val="zh-CN" w:eastAsia="zh-CN"/>
        </w:rPr>
        <w:t>33</w:t>
      </w:r>
      <w:r>
        <w:rPr>
          <w:rFonts w:hint="eastAsia" w:ascii="仿宋_GB2312" w:hAnsi="宋体" w:eastAsia="仿宋_GB2312" w:cs="Arial"/>
          <w:kern w:val="0"/>
          <w:sz w:val="30"/>
          <w:szCs w:val="30"/>
          <w:highlight w:val="none"/>
          <w:lang w:val="en-US" w:eastAsia="zh-CN"/>
        </w:rPr>
        <w:t>,</w:t>
      </w:r>
      <w:r>
        <w:rPr>
          <w:rFonts w:hint="eastAsia" w:ascii="仿宋_GB2312" w:hAnsi="宋体" w:eastAsia="仿宋_GB2312" w:cs="Arial"/>
          <w:kern w:val="0"/>
          <w:sz w:val="30"/>
          <w:szCs w:val="30"/>
          <w:highlight w:val="none"/>
          <w:lang w:val="zh-CN" w:eastAsia="zh-CN"/>
        </w:rPr>
        <w:t>100.00</w:t>
      </w:r>
      <w:r>
        <w:rPr>
          <w:rFonts w:hint="eastAsia" w:ascii="仿宋_GB2312" w:hAnsi="宋体" w:eastAsia="仿宋_GB2312" w:cs="Arial"/>
          <w:kern w:val="0"/>
          <w:sz w:val="30"/>
          <w:szCs w:val="30"/>
          <w:highlight w:val="none"/>
          <w:lang w:val="en-US" w:eastAsia="zh-CN"/>
        </w:rPr>
        <w:t>元，决算为</w:t>
      </w:r>
      <w:r>
        <w:rPr>
          <w:rFonts w:hint="eastAsia" w:ascii="仿宋_GB2312" w:hAnsi="宋体" w:eastAsia="仿宋_GB2312" w:cs="Arial"/>
          <w:kern w:val="0"/>
          <w:sz w:val="30"/>
          <w:szCs w:val="30"/>
          <w:highlight w:val="none"/>
          <w:lang w:val="zh-CN" w:eastAsia="zh-CN"/>
        </w:rPr>
        <w:t>39</w:t>
      </w:r>
      <w:r>
        <w:rPr>
          <w:rFonts w:hint="eastAsia" w:ascii="仿宋_GB2312" w:hAnsi="宋体" w:eastAsia="仿宋_GB2312" w:cs="Arial"/>
          <w:kern w:val="0"/>
          <w:sz w:val="30"/>
          <w:szCs w:val="30"/>
          <w:highlight w:val="none"/>
          <w:lang w:val="en-US" w:eastAsia="zh-CN"/>
        </w:rPr>
        <w:t>,</w:t>
      </w:r>
      <w:r>
        <w:rPr>
          <w:rFonts w:hint="eastAsia" w:ascii="仿宋_GB2312" w:hAnsi="宋体" w:eastAsia="仿宋_GB2312" w:cs="Arial"/>
          <w:kern w:val="0"/>
          <w:sz w:val="30"/>
          <w:szCs w:val="30"/>
          <w:highlight w:val="none"/>
          <w:lang w:val="zh-CN" w:eastAsia="zh-CN"/>
        </w:rPr>
        <w:t>553.30</w:t>
      </w:r>
      <w:r>
        <w:rPr>
          <w:rFonts w:hint="eastAsia" w:ascii="仿宋_GB2312" w:hAnsi="宋体" w:eastAsia="仿宋_GB2312" w:cs="Arial"/>
          <w:kern w:val="0"/>
          <w:sz w:val="30"/>
          <w:szCs w:val="30"/>
          <w:highlight w:val="none"/>
          <w:lang w:val="en-US" w:eastAsia="zh-CN"/>
        </w:rPr>
        <w:t>元，完成年初预算的</w:t>
      </w:r>
      <w:r>
        <w:rPr>
          <w:rFonts w:hint="eastAsia" w:ascii="仿宋_GB2312" w:hAnsi="宋体" w:eastAsia="仿宋_GB2312" w:cs="Arial"/>
          <w:kern w:val="0"/>
          <w:sz w:val="30"/>
          <w:szCs w:val="30"/>
          <w:highlight w:val="none"/>
          <w:lang w:val="zh-CN" w:eastAsia="zh-CN"/>
        </w:rPr>
        <w:t>119.50</w:t>
      </w:r>
      <w:r>
        <w:rPr>
          <w:rFonts w:hint="eastAsia" w:ascii="仿宋_GB2312" w:hAnsi="宋体" w:eastAsia="仿宋_GB2312" w:cs="Arial"/>
          <w:kern w:val="0"/>
          <w:sz w:val="30"/>
          <w:szCs w:val="30"/>
          <w:highlight w:val="none"/>
          <w:lang w:val="en-US" w:eastAsia="zh-CN"/>
        </w:rPr>
        <w:t>%；公务接待费支出年初预算为</w:t>
      </w:r>
      <w:r>
        <w:rPr>
          <w:rFonts w:hint="eastAsia" w:ascii="仿宋_GB2312" w:hAnsi="宋体" w:eastAsia="仿宋_GB2312" w:cs="Arial"/>
          <w:kern w:val="0"/>
          <w:sz w:val="30"/>
          <w:szCs w:val="30"/>
          <w:highlight w:val="none"/>
          <w:lang w:val="zh-CN" w:eastAsia="zh-CN"/>
        </w:rPr>
        <w:t>10</w:t>
      </w:r>
      <w:r>
        <w:rPr>
          <w:rFonts w:hint="eastAsia" w:ascii="仿宋_GB2312" w:hAnsi="宋体" w:eastAsia="仿宋_GB2312" w:cs="Arial"/>
          <w:kern w:val="0"/>
          <w:sz w:val="30"/>
          <w:szCs w:val="30"/>
          <w:highlight w:val="none"/>
          <w:lang w:val="en-US" w:eastAsia="zh-CN"/>
        </w:rPr>
        <w:t>,</w:t>
      </w:r>
      <w:r>
        <w:rPr>
          <w:rFonts w:hint="eastAsia" w:ascii="仿宋_GB2312" w:hAnsi="宋体" w:eastAsia="仿宋_GB2312" w:cs="Arial"/>
          <w:kern w:val="0"/>
          <w:sz w:val="30"/>
          <w:szCs w:val="30"/>
          <w:highlight w:val="none"/>
          <w:lang w:val="zh-CN" w:eastAsia="zh-CN"/>
        </w:rPr>
        <w:t>000.00</w:t>
      </w:r>
      <w:r>
        <w:rPr>
          <w:rFonts w:hint="eastAsia" w:ascii="仿宋_GB2312" w:hAnsi="宋体" w:eastAsia="仿宋_GB2312" w:cs="Arial"/>
          <w:kern w:val="0"/>
          <w:sz w:val="30"/>
          <w:szCs w:val="30"/>
          <w:highlight w:val="none"/>
          <w:lang w:val="en-US" w:eastAsia="zh-CN"/>
        </w:rPr>
        <w:t>元，决算为</w:t>
      </w:r>
      <w:r>
        <w:rPr>
          <w:rFonts w:hint="eastAsia" w:ascii="仿宋_GB2312" w:hAnsi="宋体" w:eastAsia="仿宋_GB2312" w:cs="Arial"/>
          <w:kern w:val="0"/>
          <w:sz w:val="30"/>
          <w:szCs w:val="30"/>
          <w:highlight w:val="none"/>
          <w:lang w:val="zh-CN" w:eastAsia="zh-CN"/>
        </w:rPr>
        <w:t>3</w:t>
      </w:r>
      <w:r>
        <w:rPr>
          <w:rFonts w:hint="eastAsia" w:ascii="仿宋_GB2312" w:hAnsi="宋体" w:eastAsia="仿宋_GB2312" w:cs="Arial"/>
          <w:kern w:val="0"/>
          <w:sz w:val="30"/>
          <w:szCs w:val="30"/>
          <w:highlight w:val="none"/>
          <w:lang w:val="en-US" w:eastAsia="zh-CN"/>
        </w:rPr>
        <w:t>,</w:t>
      </w:r>
      <w:r>
        <w:rPr>
          <w:rFonts w:hint="eastAsia" w:ascii="仿宋_GB2312" w:hAnsi="宋体" w:eastAsia="仿宋_GB2312" w:cs="Arial"/>
          <w:kern w:val="0"/>
          <w:sz w:val="30"/>
          <w:szCs w:val="30"/>
          <w:highlight w:val="none"/>
          <w:lang w:val="zh-CN" w:eastAsia="zh-CN"/>
        </w:rPr>
        <w:t>252.00</w:t>
      </w:r>
      <w:r>
        <w:rPr>
          <w:rFonts w:hint="eastAsia" w:ascii="仿宋_GB2312" w:hAnsi="宋体" w:eastAsia="仿宋_GB2312" w:cs="Arial"/>
          <w:kern w:val="0"/>
          <w:sz w:val="30"/>
          <w:szCs w:val="30"/>
          <w:highlight w:val="none"/>
          <w:lang w:val="en-US" w:eastAsia="zh-CN"/>
        </w:rPr>
        <w:t>元，完成年初预算的</w:t>
      </w:r>
      <w:r>
        <w:rPr>
          <w:rFonts w:hint="eastAsia" w:ascii="仿宋_GB2312" w:hAnsi="宋体" w:eastAsia="仿宋_GB2312" w:cs="Arial"/>
          <w:kern w:val="0"/>
          <w:sz w:val="30"/>
          <w:szCs w:val="30"/>
          <w:highlight w:val="none"/>
          <w:lang w:val="zh-CN" w:eastAsia="zh-CN"/>
        </w:rPr>
        <w:t>32.52</w:t>
      </w:r>
      <w:r>
        <w:rPr>
          <w:rFonts w:hint="eastAsia" w:ascii="仿宋_GB2312" w:hAnsi="宋体" w:eastAsia="仿宋_GB2312" w:cs="Arial"/>
          <w:kern w:val="0"/>
          <w:sz w:val="30"/>
          <w:szCs w:val="30"/>
          <w:highlight w:val="none"/>
          <w:lang w:val="en-US" w:eastAsia="zh-CN"/>
        </w:rPr>
        <w:t>%。2025年度一般公共预算财政拨款“三公”经费支出决算数大于年初预算数的主要原因是公务用车运行维护费支出增加</w:t>
      </w:r>
      <w:r>
        <w:rPr>
          <w:rFonts w:hint="eastAsia" w:ascii="仿宋_GB2312" w:hAnsi="宋体" w:eastAsia="仿宋_GB2312" w:cs="Arial"/>
          <w:kern w:val="0"/>
          <w:sz w:val="30"/>
          <w:szCs w:val="30"/>
          <w:highlight w:val="none"/>
          <w:lang w:val="zh-CN" w:eastAsia="zh-CN"/>
        </w:rPr>
        <w:t>6,453.3</w:t>
      </w:r>
      <w:r>
        <w:rPr>
          <w:rFonts w:hint="eastAsia" w:ascii="仿宋_GB2312" w:hAnsi="宋体" w:eastAsia="仿宋_GB2312" w:cs="Arial"/>
          <w:kern w:val="0"/>
          <w:sz w:val="30"/>
          <w:szCs w:val="30"/>
          <w:highlight w:val="none"/>
          <w:lang w:val="en-US" w:eastAsia="zh-CN"/>
        </w:rPr>
        <w:t>0元，增长19.50%。</w:t>
      </w:r>
    </w:p>
    <w:p w14:paraId="6ED477BE">
      <w:pPr>
        <w:keepNext w:val="0"/>
        <w:keepLines w:val="0"/>
        <w:pageBreakBefore w:val="0"/>
        <w:widowControl/>
        <w:kinsoku/>
        <w:wordWrap/>
        <w:overflowPunct/>
        <w:topLinePunct w:val="0"/>
        <w:autoSpaceDE/>
        <w:autoSpaceDN/>
        <w:bidi w:val="0"/>
        <w:adjustRightInd/>
        <w:snapToGrid w:val="0"/>
        <w:spacing w:before="100" w:after="100" w:line="600" w:lineRule="exact"/>
        <w:ind w:firstLine="600" w:firstLineChars="200"/>
        <w:jc w:val="both"/>
        <w:textAlignment w:val="auto"/>
        <w:rPr>
          <w:rFonts w:hint="eastAsia" w:ascii="仿宋_GB2312" w:hAnsi="宋体" w:eastAsia="仿宋_GB2312" w:cs="Arial"/>
          <w:kern w:val="0"/>
          <w:sz w:val="30"/>
          <w:szCs w:val="30"/>
          <w:highlight w:val="none"/>
          <w:lang w:val="en-US" w:eastAsia="zh-CN"/>
        </w:rPr>
      </w:pPr>
      <w:r>
        <w:rPr>
          <w:rFonts w:hint="eastAsia" w:ascii="仿宋_GB2312" w:hAnsi="宋体" w:eastAsia="仿宋_GB2312" w:cs="Arial"/>
          <w:kern w:val="0"/>
          <w:sz w:val="30"/>
          <w:szCs w:val="30"/>
          <w:highlight w:val="none"/>
          <w:lang w:val="en-US" w:eastAsia="zh-CN"/>
        </w:rPr>
        <w:t>一般公共预算财政拨款“三公”经费支出中：因公出国（境）费用支出，上年无此项支出；公务用车购置费支出，上年无此项支出；公务用车运行维护费支出决算增加</w:t>
      </w:r>
      <w:r>
        <w:rPr>
          <w:rFonts w:hint="eastAsia" w:ascii="仿宋_GB2312" w:hAnsi="宋体" w:eastAsia="仿宋_GB2312" w:cs="Arial"/>
          <w:kern w:val="0"/>
          <w:sz w:val="30"/>
          <w:szCs w:val="30"/>
          <w:highlight w:val="none"/>
          <w:lang w:val="zh-CN" w:eastAsia="zh-CN"/>
        </w:rPr>
        <w:t>16</w:t>
      </w:r>
      <w:r>
        <w:rPr>
          <w:rFonts w:hint="eastAsia" w:ascii="仿宋_GB2312" w:hAnsi="宋体" w:eastAsia="仿宋_GB2312" w:cs="Arial"/>
          <w:kern w:val="0"/>
          <w:sz w:val="30"/>
          <w:szCs w:val="30"/>
          <w:highlight w:val="none"/>
          <w:lang w:val="en-US" w:eastAsia="zh-CN"/>
        </w:rPr>
        <w:t>,</w:t>
      </w:r>
      <w:r>
        <w:rPr>
          <w:rFonts w:hint="eastAsia" w:ascii="仿宋_GB2312" w:hAnsi="宋体" w:eastAsia="仿宋_GB2312" w:cs="Arial"/>
          <w:kern w:val="0"/>
          <w:sz w:val="30"/>
          <w:szCs w:val="30"/>
          <w:highlight w:val="none"/>
          <w:lang w:val="zh-CN" w:eastAsia="zh-CN"/>
        </w:rPr>
        <w:t>497.12</w:t>
      </w:r>
      <w:r>
        <w:rPr>
          <w:rFonts w:hint="eastAsia" w:ascii="仿宋_GB2312" w:hAnsi="宋体" w:eastAsia="仿宋_GB2312" w:cs="Arial"/>
          <w:kern w:val="0"/>
          <w:sz w:val="30"/>
          <w:szCs w:val="30"/>
          <w:highlight w:val="none"/>
          <w:lang w:val="en-US" w:eastAsia="zh-CN"/>
        </w:rPr>
        <w:t>元，增长</w:t>
      </w:r>
      <w:r>
        <w:rPr>
          <w:rFonts w:hint="eastAsia" w:ascii="仿宋_GB2312" w:hAnsi="宋体" w:eastAsia="仿宋_GB2312" w:cs="Arial"/>
          <w:kern w:val="0"/>
          <w:sz w:val="30"/>
          <w:szCs w:val="30"/>
          <w:highlight w:val="none"/>
          <w:lang w:val="zh-CN" w:eastAsia="zh-CN"/>
        </w:rPr>
        <w:t>71.55</w:t>
      </w:r>
      <w:r>
        <w:rPr>
          <w:rFonts w:hint="eastAsia" w:ascii="仿宋_GB2312" w:hAnsi="宋体" w:eastAsia="仿宋_GB2312" w:cs="Arial"/>
          <w:kern w:val="0"/>
          <w:sz w:val="30"/>
          <w:szCs w:val="30"/>
          <w:highlight w:val="none"/>
          <w:lang w:val="en-US" w:eastAsia="zh-CN"/>
        </w:rPr>
        <w:t>%；公务接待费支出决算增加</w:t>
      </w:r>
      <w:r>
        <w:rPr>
          <w:rFonts w:hint="eastAsia" w:ascii="仿宋_GB2312" w:hAnsi="宋体" w:eastAsia="仿宋_GB2312" w:cs="Arial"/>
          <w:kern w:val="0"/>
          <w:sz w:val="30"/>
          <w:szCs w:val="30"/>
          <w:highlight w:val="none"/>
          <w:lang w:val="zh-CN" w:eastAsia="zh-CN"/>
        </w:rPr>
        <w:t>3</w:t>
      </w:r>
      <w:r>
        <w:rPr>
          <w:rFonts w:hint="eastAsia" w:ascii="仿宋_GB2312" w:hAnsi="宋体" w:eastAsia="仿宋_GB2312" w:cs="Arial"/>
          <w:kern w:val="0"/>
          <w:sz w:val="30"/>
          <w:szCs w:val="30"/>
          <w:highlight w:val="none"/>
          <w:lang w:val="en-US" w:eastAsia="zh-CN"/>
        </w:rPr>
        <w:t>,</w:t>
      </w:r>
      <w:r>
        <w:rPr>
          <w:rFonts w:hint="eastAsia" w:ascii="仿宋_GB2312" w:hAnsi="宋体" w:eastAsia="仿宋_GB2312" w:cs="Arial"/>
          <w:kern w:val="0"/>
          <w:sz w:val="30"/>
          <w:szCs w:val="30"/>
          <w:highlight w:val="none"/>
          <w:lang w:val="zh-CN" w:eastAsia="zh-CN"/>
        </w:rPr>
        <w:t>252.00</w:t>
      </w:r>
      <w:r>
        <w:rPr>
          <w:rFonts w:hint="eastAsia" w:ascii="仿宋_GB2312" w:hAnsi="宋体" w:eastAsia="仿宋_GB2312" w:cs="Arial"/>
          <w:kern w:val="0"/>
          <w:sz w:val="30"/>
          <w:szCs w:val="30"/>
          <w:highlight w:val="none"/>
          <w:lang w:val="en-US" w:eastAsia="zh-CN"/>
        </w:rPr>
        <w:t>元，上年无此项支出，具体是国内接待费支出决算</w:t>
      </w:r>
      <w:r>
        <w:rPr>
          <w:rFonts w:hint="eastAsia" w:ascii="仿宋_GB2312" w:hAnsi="宋体" w:eastAsia="仿宋_GB2312" w:cs="Arial"/>
          <w:kern w:val="0"/>
          <w:sz w:val="30"/>
          <w:szCs w:val="30"/>
          <w:highlight w:val="none"/>
          <w:lang w:val="zh-CN" w:eastAsia="zh-CN"/>
        </w:rPr>
        <w:t>3</w:t>
      </w:r>
      <w:r>
        <w:rPr>
          <w:rFonts w:hint="eastAsia" w:ascii="仿宋_GB2312" w:hAnsi="宋体" w:eastAsia="仿宋_GB2312" w:cs="Arial"/>
          <w:kern w:val="0"/>
          <w:sz w:val="30"/>
          <w:szCs w:val="30"/>
          <w:highlight w:val="none"/>
          <w:lang w:val="en-US" w:eastAsia="zh-CN"/>
        </w:rPr>
        <w:t>,</w:t>
      </w:r>
      <w:r>
        <w:rPr>
          <w:rFonts w:hint="eastAsia" w:ascii="仿宋_GB2312" w:hAnsi="宋体" w:eastAsia="仿宋_GB2312" w:cs="Arial"/>
          <w:kern w:val="0"/>
          <w:sz w:val="30"/>
          <w:szCs w:val="30"/>
          <w:highlight w:val="none"/>
          <w:lang w:val="zh-CN" w:eastAsia="zh-CN"/>
        </w:rPr>
        <w:t>252.00</w:t>
      </w:r>
      <w:r>
        <w:rPr>
          <w:rFonts w:hint="eastAsia" w:ascii="仿宋_GB2312" w:hAnsi="宋体" w:eastAsia="仿宋_GB2312" w:cs="Arial"/>
          <w:kern w:val="0"/>
          <w:sz w:val="30"/>
          <w:szCs w:val="30"/>
          <w:highlight w:val="none"/>
          <w:lang w:val="en-US" w:eastAsia="zh-CN"/>
        </w:rPr>
        <w:t>元（其中：外事接待费支出决算</w:t>
      </w:r>
      <w:r>
        <w:rPr>
          <w:rFonts w:hint="eastAsia" w:ascii="仿宋_GB2312" w:hAnsi="宋体" w:eastAsia="仿宋_GB2312" w:cs="Arial"/>
          <w:kern w:val="0"/>
          <w:sz w:val="30"/>
          <w:szCs w:val="30"/>
          <w:highlight w:val="none"/>
          <w:lang w:val="zh-CN" w:eastAsia="zh-CN"/>
        </w:rPr>
        <w:t>0.00</w:t>
      </w:r>
      <w:r>
        <w:rPr>
          <w:rFonts w:hint="eastAsia" w:ascii="仿宋_GB2312" w:hAnsi="宋体" w:eastAsia="仿宋_GB2312" w:cs="Arial"/>
          <w:kern w:val="0"/>
          <w:sz w:val="30"/>
          <w:szCs w:val="30"/>
          <w:highlight w:val="none"/>
          <w:lang w:val="en-US" w:eastAsia="zh-CN"/>
        </w:rPr>
        <w:t>元），上年无此项支出；国（境）外接待费支出决算</w:t>
      </w:r>
      <w:r>
        <w:rPr>
          <w:rFonts w:hint="eastAsia" w:ascii="仿宋_GB2312" w:hAnsi="宋体" w:eastAsia="仿宋_GB2312" w:cs="Arial"/>
          <w:kern w:val="0"/>
          <w:sz w:val="30"/>
          <w:szCs w:val="30"/>
          <w:highlight w:val="none"/>
          <w:lang w:val="zh-CN" w:eastAsia="zh-CN"/>
        </w:rPr>
        <w:t>0.00</w:t>
      </w:r>
      <w:r>
        <w:rPr>
          <w:rFonts w:hint="eastAsia" w:ascii="仿宋_GB2312" w:hAnsi="宋体" w:eastAsia="仿宋_GB2312" w:cs="Arial"/>
          <w:kern w:val="0"/>
          <w:sz w:val="30"/>
          <w:szCs w:val="30"/>
          <w:highlight w:val="none"/>
          <w:lang w:val="en-US" w:eastAsia="zh-CN"/>
        </w:rPr>
        <w:t>元，上年无此项支出。2025年度一般公共预算财政拨款“三公”经费支出决算增加的主要原因是是公务用车运行维护费支出增加</w:t>
      </w:r>
      <w:r>
        <w:rPr>
          <w:rFonts w:hint="eastAsia" w:ascii="仿宋_GB2312" w:hAnsi="宋体" w:eastAsia="仿宋_GB2312" w:cs="Arial"/>
          <w:kern w:val="0"/>
          <w:sz w:val="30"/>
          <w:szCs w:val="30"/>
          <w:highlight w:val="none"/>
          <w:lang w:val="zh-CN" w:eastAsia="zh-CN"/>
        </w:rPr>
        <w:t>16</w:t>
      </w:r>
      <w:r>
        <w:rPr>
          <w:rFonts w:hint="eastAsia" w:ascii="仿宋_GB2312" w:hAnsi="宋体" w:eastAsia="仿宋_GB2312" w:cs="Arial"/>
          <w:kern w:val="0"/>
          <w:sz w:val="30"/>
          <w:szCs w:val="30"/>
          <w:highlight w:val="none"/>
          <w:lang w:val="en-US" w:eastAsia="zh-CN"/>
        </w:rPr>
        <w:t>,</w:t>
      </w:r>
      <w:r>
        <w:rPr>
          <w:rFonts w:hint="eastAsia" w:ascii="仿宋_GB2312" w:hAnsi="宋体" w:eastAsia="仿宋_GB2312" w:cs="Arial"/>
          <w:kern w:val="0"/>
          <w:sz w:val="30"/>
          <w:szCs w:val="30"/>
          <w:highlight w:val="none"/>
          <w:lang w:val="zh-CN" w:eastAsia="zh-CN"/>
        </w:rPr>
        <w:t>497.12</w:t>
      </w:r>
      <w:r>
        <w:rPr>
          <w:rFonts w:hint="eastAsia" w:ascii="仿宋_GB2312" w:hAnsi="宋体" w:eastAsia="仿宋_GB2312" w:cs="Arial"/>
          <w:kern w:val="0"/>
          <w:sz w:val="30"/>
          <w:szCs w:val="30"/>
          <w:highlight w:val="none"/>
          <w:lang w:val="en-US" w:eastAsia="zh-CN"/>
        </w:rPr>
        <w:t>元，公务接待费支出决算增加</w:t>
      </w:r>
      <w:r>
        <w:rPr>
          <w:rFonts w:hint="eastAsia" w:ascii="仿宋_GB2312" w:hAnsi="宋体" w:eastAsia="仿宋_GB2312" w:cs="Arial"/>
          <w:kern w:val="0"/>
          <w:sz w:val="30"/>
          <w:szCs w:val="30"/>
          <w:highlight w:val="none"/>
          <w:lang w:val="zh-CN" w:eastAsia="zh-CN"/>
        </w:rPr>
        <w:t>3</w:t>
      </w:r>
      <w:r>
        <w:rPr>
          <w:rFonts w:hint="eastAsia" w:ascii="仿宋_GB2312" w:hAnsi="宋体" w:eastAsia="仿宋_GB2312" w:cs="Arial"/>
          <w:kern w:val="0"/>
          <w:sz w:val="30"/>
          <w:szCs w:val="30"/>
          <w:highlight w:val="none"/>
          <w:lang w:val="en-US" w:eastAsia="zh-CN"/>
        </w:rPr>
        <w:t>,</w:t>
      </w:r>
      <w:r>
        <w:rPr>
          <w:rFonts w:hint="eastAsia" w:ascii="仿宋_GB2312" w:hAnsi="宋体" w:eastAsia="仿宋_GB2312" w:cs="Arial"/>
          <w:kern w:val="0"/>
          <w:sz w:val="30"/>
          <w:szCs w:val="30"/>
          <w:highlight w:val="none"/>
          <w:lang w:val="zh-CN" w:eastAsia="zh-CN"/>
        </w:rPr>
        <w:t>252.00</w:t>
      </w:r>
      <w:r>
        <w:rPr>
          <w:rFonts w:hint="eastAsia" w:ascii="仿宋_GB2312" w:hAnsi="宋体" w:eastAsia="仿宋_GB2312" w:cs="Arial"/>
          <w:kern w:val="0"/>
          <w:sz w:val="30"/>
          <w:szCs w:val="30"/>
          <w:highlight w:val="none"/>
          <w:lang w:val="en-US" w:eastAsia="zh-CN"/>
        </w:rPr>
        <w:t>元。</w:t>
      </w:r>
    </w:p>
    <w:p w14:paraId="23E6B3F2">
      <w:pPr>
        <w:keepNext w:val="0"/>
        <w:keepLines w:val="0"/>
        <w:pageBreakBefore w:val="0"/>
        <w:widowControl/>
        <w:kinsoku/>
        <w:wordWrap/>
        <w:overflowPunct/>
        <w:topLinePunct w:val="0"/>
        <w:autoSpaceDE/>
        <w:autoSpaceDN/>
        <w:bidi w:val="0"/>
        <w:adjustRightInd/>
        <w:snapToGrid w:val="0"/>
        <w:spacing w:before="100" w:after="100" w:line="600" w:lineRule="exact"/>
        <w:ind w:firstLine="600" w:firstLineChars="200"/>
        <w:jc w:val="both"/>
        <w:textAlignment w:val="auto"/>
        <w:rPr>
          <w:rFonts w:hint="eastAsia" w:ascii="仿宋_GB2312" w:hAnsi="宋体" w:eastAsia="仿宋_GB2312" w:cs="Arial"/>
          <w:kern w:val="0"/>
          <w:sz w:val="30"/>
          <w:szCs w:val="30"/>
          <w:highlight w:val="none"/>
          <w:lang w:val="en-US" w:eastAsia="zh-CN"/>
        </w:rPr>
      </w:pPr>
      <w:r>
        <w:rPr>
          <w:rFonts w:hint="eastAsia" w:ascii="仿宋_GB2312" w:hAnsi="宋体" w:eastAsia="仿宋_GB2312" w:cs="Arial"/>
          <w:kern w:val="0"/>
          <w:sz w:val="30"/>
          <w:szCs w:val="30"/>
          <w:highlight w:val="none"/>
          <w:lang w:val="en-US" w:eastAsia="zh-CN"/>
        </w:rPr>
        <w:t>一般公共预算财政拨款“三公”经费支出实物量的具体情况：</w:t>
      </w:r>
    </w:p>
    <w:p w14:paraId="1921757B">
      <w:pPr>
        <w:keepNext w:val="0"/>
        <w:keepLines w:val="0"/>
        <w:pageBreakBefore w:val="0"/>
        <w:widowControl/>
        <w:kinsoku/>
        <w:wordWrap/>
        <w:overflowPunct/>
        <w:topLinePunct w:val="0"/>
        <w:autoSpaceDE/>
        <w:autoSpaceDN/>
        <w:bidi w:val="0"/>
        <w:adjustRightInd/>
        <w:snapToGrid w:val="0"/>
        <w:spacing w:before="100" w:after="100" w:line="600" w:lineRule="exact"/>
        <w:ind w:firstLine="600" w:firstLineChars="200"/>
        <w:jc w:val="both"/>
        <w:textAlignment w:val="auto"/>
        <w:rPr>
          <w:rFonts w:hint="eastAsia" w:ascii="仿宋_GB2312" w:hAnsi="宋体" w:eastAsia="仿宋_GB2312" w:cs="Arial"/>
          <w:kern w:val="0"/>
          <w:sz w:val="30"/>
          <w:szCs w:val="30"/>
          <w:highlight w:val="none"/>
          <w:lang w:val="en-US" w:eastAsia="zh-CN"/>
        </w:rPr>
      </w:pPr>
      <w:r>
        <w:rPr>
          <w:rFonts w:hint="eastAsia" w:ascii="仿宋_GB2312" w:hAnsi="宋体" w:eastAsia="仿宋_GB2312" w:cs="Arial"/>
          <w:kern w:val="0"/>
          <w:sz w:val="30"/>
          <w:szCs w:val="30"/>
          <w:highlight w:val="none"/>
          <w:lang w:val="en-US" w:eastAsia="zh-CN"/>
        </w:rPr>
        <w:t>1.安排因公出国（境）团组</w:t>
      </w:r>
      <w:r>
        <w:rPr>
          <w:rFonts w:hint="eastAsia" w:ascii="仿宋_GB2312" w:hAnsi="宋体" w:eastAsia="仿宋_GB2312" w:cs="Arial"/>
          <w:kern w:val="0"/>
          <w:sz w:val="30"/>
          <w:szCs w:val="30"/>
          <w:highlight w:val="none"/>
          <w:lang w:val="zh-CN" w:eastAsia="zh-CN"/>
        </w:rPr>
        <w:t>0</w:t>
      </w:r>
      <w:r>
        <w:rPr>
          <w:rFonts w:hint="eastAsia" w:ascii="仿宋_GB2312" w:hAnsi="宋体" w:eastAsia="仿宋_GB2312" w:cs="Arial"/>
          <w:kern w:val="0"/>
          <w:sz w:val="30"/>
          <w:szCs w:val="30"/>
          <w:highlight w:val="none"/>
          <w:lang w:val="en-US" w:eastAsia="zh-CN"/>
        </w:rPr>
        <w:t>个，累计</w:t>
      </w:r>
      <w:r>
        <w:rPr>
          <w:rFonts w:hint="eastAsia" w:ascii="仿宋_GB2312" w:hAnsi="宋体" w:eastAsia="仿宋_GB2312" w:cs="Arial"/>
          <w:kern w:val="0"/>
          <w:sz w:val="30"/>
          <w:szCs w:val="30"/>
          <w:highlight w:val="none"/>
          <w:lang w:val="zh-CN" w:eastAsia="zh-CN"/>
        </w:rPr>
        <w:t>0</w:t>
      </w:r>
      <w:r>
        <w:rPr>
          <w:rFonts w:hint="eastAsia" w:ascii="仿宋_GB2312" w:hAnsi="宋体" w:eastAsia="仿宋_GB2312" w:cs="Arial"/>
          <w:kern w:val="0"/>
          <w:sz w:val="30"/>
          <w:szCs w:val="30"/>
          <w:highlight w:val="none"/>
          <w:lang w:val="en-US" w:eastAsia="zh-CN"/>
        </w:rPr>
        <w:t>人次。</w:t>
      </w:r>
    </w:p>
    <w:p w14:paraId="4B756833">
      <w:pPr>
        <w:keepNext w:val="0"/>
        <w:keepLines w:val="0"/>
        <w:pageBreakBefore w:val="0"/>
        <w:widowControl/>
        <w:kinsoku/>
        <w:wordWrap/>
        <w:overflowPunct/>
        <w:topLinePunct w:val="0"/>
        <w:autoSpaceDE/>
        <w:autoSpaceDN/>
        <w:bidi w:val="0"/>
        <w:adjustRightInd/>
        <w:snapToGrid w:val="0"/>
        <w:spacing w:before="100" w:after="100" w:line="600" w:lineRule="exact"/>
        <w:ind w:firstLine="600" w:firstLineChars="200"/>
        <w:jc w:val="both"/>
        <w:textAlignment w:val="auto"/>
        <w:rPr>
          <w:rFonts w:hint="eastAsia" w:ascii="仿宋_GB2312" w:hAnsi="宋体" w:eastAsia="仿宋_GB2312" w:cs="Arial"/>
          <w:kern w:val="0"/>
          <w:sz w:val="30"/>
          <w:szCs w:val="30"/>
          <w:highlight w:val="none"/>
          <w:lang w:val="en-US" w:eastAsia="zh-CN"/>
        </w:rPr>
      </w:pPr>
      <w:r>
        <w:rPr>
          <w:rFonts w:hint="eastAsia" w:ascii="仿宋_GB2312" w:hAnsi="宋体" w:eastAsia="仿宋_GB2312" w:cs="Arial"/>
          <w:kern w:val="0"/>
          <w:sz w:val="30"/>
          <w:szCs w:val="30"/>
          <w:highlight w:val="none"/>
          <w:lang w:val="en-US" w:eastAsia="zh-CN"/>
        </w:rPr>
        <w:t>2.购置车辆</w:t>
      </w:r>
      <w:r>
        <w:rPr>
          <w:rFonts w:hint="eastAsia" w:ascii="仿宋_GB2312" w:hAnsi="宋体" w:eastAsia="仿宋_GB2312" w:cs="Arial"/>
          <w:kern w:val="0"/>
          <w:sz w:val="30"/>
          <w:szCs w:val="30"/>
          <w:highlight w:val="none"/>
          <w:lang w:val="zh-CN" w:eastAsia="zh-CN"/>
        </w:rPr>
        <w:t>0</w:t>
      </w:r>
      <w:r>
        <w:rPr>
          <w:rFonts w:hint="eastAsia" w:ascii="仿宋_GB2312" w:hAnsi="宋体" w:eastAsia="仿宋_GB2312" w:cs="Arial"/>
          <w:kern w:val="0"/>
          <w:sz w:val="30"/>
          <w:szCs w:val="30"/>
          <w:highlight w:val="none"/>
          <w:lang w:val="en-US" w:eastAsia="zh-CN"/>
        </w:rPr>
        <w:t>辆。开支一般公共预算财政拨款的公务用车保有量为</w:t>
      </w:r>
      <w:r>
        <w:rPr>
          <w:rFonts w:hint="eastAsia" w:ascii="仿宋_GB2312" w:hAnsi="宋体" w:eastAsia="仿宋_GB2312" w:cs="Arial"/>
          <w:kern w:val="0"/>
          <w:sz w:val="30"/>
          <w:szCs w:val="30"/>
          <w:highlight w:val="none"/>
          <w:lang w:val="zh-CN" w:eastAsia="zh-CN"/>
        </w:rPr>
        <w:t>1</w:t>
      </w:r>
      <w:r>
        <w:rPr>
          <w:rFonts w:hint="eastAsia" w:ascii="仿宋_GB2312" w:hAnsi="宋体" w:eastAsia="仿宋_GB2312" w:cs="Arial"/>
          <w:kern w:val="0"/>
          <w:sz w:val="30"/>
          <w:szCs w:val="30"/>
          <w:highlight w:val="none"/>
          <w:lang w:val="en-US" w:eastAsia="zh-CN"/>
        </w:rPr>
        <w:t>辆。主要用于卫生监督执法所需车辆燃料费、维修费、过路过桥费、保险费等。</w:t>
      </w:r>
    </w:p>
    <w:p w14:paraId="4C93B454">
      <w:pPr>
        <w:keepNext w:val="0"/>
        <w:keepLines w:val="0"/>
        <w:pageBreakBefore w:val="0"/>
        <w:widowControl/>
        <w:kinsoku/>
        <w:wordWrap/>
        <w:overflowPunct/>
        <w:topLinePunct w:val="0"/>
        <w:autoSpaceDE/>
        <w:autoSpaceDN/>
        <w:bidi w:val="0"/>
        <w:adjustRightInd/>
        <w:snapToGrid w:val="0"/>
        <w:spacing w:before="100" w:after="100" w:line="600" w:lineRule="exact"/>
        <w:ind w:firstLine="600" w:firstLineChars="200"/>
        <w:jc w:val="both"/>
        <w:textAlignment w:val="auto"/>
        <w:rPr>
          <w:rFonts w:hint="eastAsia" w:ascii="仿宋_GB2312" w:hAnsi="宋体" w:eastAsia="仿宋_GB2312" w:cs="Arial"/>
          <w:kern w:val="0"/>
          <w:sz w:val="30"/>
          <w:szCs w:val="30"/>
          <w:highlight w:val="none"/>
          <w:lang w:val="en-US" w:eastAsia="zh-CN"/>
        </w:rPr>
      </w:pPr>
      <w:r>
        <w:rPr>
          <w:rFonts w:hint="eastAsia" w:ascii="仿宋_GB2312" w:hAnsi="宋体" w:eastAsia="仿宋_GB2312" w:cs="Arial"/>
          <w:kern w:val="0"/>
          <w:sz w:val="30"/>
          <w:szCs w:val="30"/>
          <w:highlight w:val="none"/>
          <w:lang w:val="en-US" w:eastAsia="zh-CN"/>
        </w:rPr>
        <w:t>3.安排国内公务接待</w:t>
      </w:r>
      <w:r>
        <w:rPr>
          <w:rFonts w:hint="eastAsia" w:ascii="仿宋_GB2312" w:hAnsi="宋体" w:eastAsia="仿宋_GB2312" w:cs="Arial"/>
          <w:kern w:val="0"/>
          <w:sz w:val="30"/>
          <w:szCs w:val="30"/>
          <w:highlight w:val="none"/>
          <w:lang w:val="zh-CN" w:eastAsia="zh-CN"/>
        </w:rPr>
        <w:t>6</w:t>
      </w:r>
      <w:r>
        <w:rPr>
          <w:rFonts w:hint="eastAsia" w:ascii="仿宋_GB2312" w:hAnsi="宋体" w:eastAsia="仿宋_GB2312" w:cs="Arial"/>
          <w:kern w:val="0"/>
          <w:sz w:val="30"/>
          <w:szCs w:val="30"/>
          <w:highlight w:val="none"/>
          <w:lang w:val="en-US" w:eastAsia="zh-CN"/>
        </w:rPr>
        <w:t>批次（其中：外事接待</w:t>
      </w:r>
      <w:r>
        <w:rPr>
          <w:rFonts w:hint="eastAsia" w:ascii="仿宋_GB2312" w:hAnsi="宋体" w:eastAsia="仿宋_GB2312" w:cs="Arial"/>
          <w:kern w:val="0"/>
          <w:sz w:val="30"/>
          <w:szCs w:val="30"/>
          <w:highlight w:val="none"/>
          <w:lang w:val="zh-CN" w:eastAsia="zh-CN"/>
        </w:rPr>
        <w:t>0</w:t>
      </w:r>
      <w:r>
        <w:rPr>
          <w:rFonts w:hint="eastAsia" w:ascii="仿宋_GB2312" w:hAnsi="宋体" w:eastAsia="仿宋_GB2312" w:cs="Arial"/>
          <w:kern w:val="0"/>
          <w:sz w:val="30"/>
          <w:szCs w:val="30"/>
          <w:highlight w:val="none"/>
          <w:lang w:val="en-US" w:eastAsia="zh-CN"/>
        </w:rPr>
        <w:t>批次），接待人次</w:t>
      </w:r>
      <w:r>
        <w:rPr>
          <w:rFonts w:hint="eastAsia" w:ascii="仿宋_GB2312" w:hAnsi="宋体" w:eastAsia="仿宋_GB2312" w:cs="Arial"/>
          <w:kern w:val="0"/>
          <w:sz w:val="30"/>
          <w:szCs w:val="30"/>
          <w:highlight w:val="none"/>
          <w:lang w:val="zh-CN" w:eastAsia="zh-CN"/>
        </w:rPr>
        <w:t>47</w:t>
      </w:r>
      <w:r>
        <w:rPr>
          <w:rFonts w:hint="eastAsia" w:ascii="仿宋_GB2312" w:hAnsi="宋体" w:eastAsia="仿宋_GB2312" w:cs="Arial"/>
          <w:kern w:val="0"/>
          <w:sz w:val="30"/>
          <w:szCs w:val="30"/>
          <w:highlight w:val="none"/>
          <w:lang w:val="en-US" w:eastAsia="zh-CN"/>
        </w:rPr>
        <w:t>人（其中：外事接待人次</w:t>
      </w:r>
      <w:r>
        <w:rPr>
          <w:rFonts w:hint="eastAsia" w:ascii="仿宋_GB2312" w:hAnsi="宋体" w:eastAsia="仿宋_GB2312" w:cs="Arial"/>
          <w:kern w:val="0"/>
          <w:sz w:val="30"/>
          <w:szCs w:val="30"/>
          <w:highlight w:val="none"/>
          <w:lang w:val="zh-CN" w:eastAsia="zh-CN"/>
        </w:rPr>
        <w:t>0</w:t>
      </w:r>
      <w:r>
        <w:rPr>
          <w:rFonts w:hint="eastAsia" w:ascii="仿宋_GB2312" w:hAnsi="宋体" w:eastAsia="仿宋_GB2312" w:cs="Arial"/>
          <w:kern w:val="0"/>
          <w:sz w:val="30"/>
          <w:szCs w:val="30"/>
          <w:highlight w:val="none"/>
          <w:lang w:val="en-US" w:eastAsia="zh-CN"/>
        </w:rPr>
        <w:t>人）。主要用于乡村振兴驻点村来访发生的接待支出。安排国（境）外公务接待</w:t>
      </w:r>
      <w:r>
        <w:rPr>
          <w:rFonts w:hint="eastAsia" w:ascii="仿宋_GB2312" w:hAnsi="宋体" w:eastAsia="仿宋_GB2312" w:cs="Arial"/>
          <w:kern w:val="0"/>
          <w:sz w:val="30"/>
          <w:szCs w:val="30"/>
          <w:highlight w:val="none"/>
          <w:lang w:val="zh-CN" w:eastAsia="zh-CN"/>
        </w:rPr>
        <w:t>0</w:t>
      </w:r>
      <w:r>
        <w:rPr>
          <w:rFonts w:hint="eastAsia" w:ascii="仿宋_GB2312" w:hAnsi="宋体" w:eastAsia="仿宋_GB2312" w:cs="Arial"/>
          <w:kern w:val="0"/>
          <w:sz w:val="30"/>
          <w:szCs w:val="30"/>
          <w:highlight w:val="none"/>
          <w:lang w:val="en-US" w:eastAsia="zh-CN"/>
        </w:rPr>
        <w:t>批次，接待人次</w:t>
      </w:r>
      <w:r>
        <w:rPr>
          <w:rFonts w:hint="eastAsia" w:ascii="仿宋_GB2312" w:hAnsi="宋体" w:eastAsia="仿宋_GB2312" w:cs="Arial"/>
          <w:kern w:val="0"/>
          <w:sz w:val="30"/>
          <w:szCs w:val="30"/>
          <w:highlight w:val="none"/>
          <w:lang w:val="zh-CN" w:eastAsia="zh-CN"/>
        </w:rPr>
        <w:t>0</w:t>
      </w:r>
      <w:r>
        <w:rPr>
          <w:rFonts w:hint="eastAsia" w:ascii="仿宋_GB2312" w:hAnsi="宋体" w:eastAsia="仿宋_GB2312" w:cs="Arial"/>
          <w:kern w:val="0"/>
          <w:sz w:val="30"/>
          <w:szCs w:val="30"/>
          <w:highlight w:val="none"/>
          <w:lang w:val="en-US" w:eastAsia="zh-CN"/>
        </w:rPr>
        <w:t>人。</w:t>
      </w:r>
    </w:p>
    <w:p w14:paraId="140E0E23">
      <w:pPr>
        <w:keepNext w:val="0"/>
        <w:keepLines w:val="0"/>
        <w:pageBreakBefore w:val="0"/>
        <w:widowControl/>
        <w:kinsoku/>
        <w:wordWrap/>
        <w:overflowPunct/>
        <w:topLinePunct w:val="0"/>
        <w:autoSpaceDE/>
        <w:autoSpaceDN/>
        <w:bidi w:val="0"/>
        <w:adjustRightInd/>
        <w:snapToGrid w:val="0"/>
        <w:spacing w:before="100" w:after="100" w:line="600" w:lineRule="exact"/>
        <w:ind w:firstLine="600" w:firstLineChars="200"/>
        <w:jc w:val="left"/>
        <w:textAlignment w:val="auto"/>
        <w:outlineLvl w:val="2"/>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（三）需要说明的事项</w:t>
      </w:r>
    </w:p>
    <w:p w14:paraId="50B6D77B">
      <w:pPr>
        <w:keepNext w:val="0"/>
        <w:keepLines w:val="0"/>
        <w:pageBreakBefore w:val="0"/>
        <w:widowControl/>
        <w:kinsoku/>
        <w:wordWrap/>
        <w:overflowPunct/>
        <w:topLinePunct w:val="0"/>
        <w:autoSpaceDE/>
        <w:autoSpaceDN/>
        <w:bidi w:val="0"/>
        <w:adjustRightInd/>
        <w:snapToGrid w:val="0"/>
        <w:spacing w:before="100" w:after="100" w:line="600" w:lineRule="exact"/>
        <w:ind w:firstLine="600" w:firstLineChars="200"/>
        <w:jc w:val="both"/>
        <w:textAlignment w:val="auto"/>
        <w:rPr>
          <w:rFonts w:hint="eastAsia" w:ascii="仿宋_GB2312" w:hAnsi="宋体" w:eastAsia="仿宋_GB2312" w:cs="Arial"/>
          <w:kern w:val="0"/>
          <w:sz w:val="30"/>
          <w:szCs w:val="30"/>
          <w:highlight w:val="none"/>
          <w:lang w:val="en-US" w:eastAsia="zh-CN"/>
        </w:rPr>
      </w:pPr>
      <w:r>
        <w:rPr>
          <w:rFonts w:hint="eastAsia" w:ascii="仿宋_GB2312" w:hAnsi="宋体" w:eastAsia="仿宋_GB2312" w:cs="Arial"/>
          <w:kern w:val="0"/>
          <w:sz w:val="30"/>
          <w:szCs w:val="30"/>
          <w:highlight w:val="none"/>
          <w:lang w:val="en-US" w:eastAsia="zh-CN"/>
        </w:rPr>
        <w:t>不存在需要说明的事项。</w:t>
      </w:r>
    </w:p>
    <w:p w14:paraId="4F6D13EB">
      <w:pPr>
        <w:pStyle w:val="2"/>
        <w:keepNext w:val="0"/>
        <w:keepLines w:val="0"/>
        <w:pageBreakBefore w:val="0"/>
        <w:kinsoku/>
        <w:wordWrap/>
        <w:overflowPunct/>
        <w:topLinePunct w:val="0"/>
        <w:autoSpaceDE/>
        <w:autoSpaceDN/>
        <w:bidi w:val="0"/>
        <w:adjustRightInd/>
        <w:spacing w:line="600" w:lineRule="exact"/>
        <w:textAlignment w:val="auto"/>
        <w:rPr>
          <w:rFonts w:hint="eastAsia"/>
        </w:rPr>
      </w:pPr>
    </w:p>
    <w:p w14:paraId="3839D898">
      <w:pPr>
        <w:keepNext w:val="0"/>
        <w:keepLines w:val="0"/>
        <w:pageBreakBefore w:val="0"/>
        <w:widowControl/>
        <w:kinsoku/>
        <w:wordWrap/>
        <w:overflowPunct/>
        <w:topLinePunct w:val="0"/>
        <w:autoSpaceDE/>
        <w:autoSpaceDN/>
        <w:bidi w:val="0"/>
        <w:adjustRightInd/>
        <w:snapToGrid w:val="0"/>
        <w:spacing w:before="100" w:after="100" w:line="600" w:lineRule="exact"/>
        <w:ind w:firstLine="640" w:firstLineChars="200"/>
        <w:jc w:val="center"/>
        <w:textAlignment w:val="auto"/>
        <w:outlineLvl w:val="0"/>
        <w:rPr>
          <w:rFonts w:hint="eastAsia" w:ascii="仿宋_GB2312" w:eastAsia="仿宋_GB2312"/>
          <w:sz w:val="32"/>
          <w:szCs w:val="32"/>
          <w:highlight w:val="none"/>
        </w:rPr>
      </w:pPr>
      <w:r>
        <w:rPr>
          <w:rFonts w:hint="eastAsia" w:ascii="黑体" w:hAnsi="黑体" w:eastAsia="黑体" w:cs="方正小标宋简体"/>
          <w:sz w:val="32"/>
          <w:szCs w:val="32"/>
          <w:highlight w:val="none"/>
        </w:rPr>
        <w:t xml:space="preserve">第四部分  </w:t>
      </w:r>
      <w:r>
        <w:rPr>
          <w:rFonts w:hint="eastAsia" w:ascii="黑体" w:hAnsi="黑体" w:eastAsia="黑体"/>
          <w:sz w:val="32"/>
          <w:szCs w:val="32"/>
          <w:highlight w:val="none"/>
        </w:rPr>
        <w:t>其他重要事项及相关口径情况说明</w:t>
      </w:r>
    </w:p>
    <w:p w14:paraId="380B0E20">
      <w:pPr>
        <w:keepNext w:val="0"/>
        <w:keepLines w:val="0"/>
        <w:pageBreakBefore w:val="0"/>
        <w:kinsoku/>
        <w:wordWrap/>
        <w:overflowPunct/>
        <w:topLinePunct w:val="0"/>
        <w:autoSpaceDE/>
        <w:autoSpaceDN/>
        <w:bidi w:val="0"/>
        <w:adjustRightInd/>
        <w:spacing w:line="600" w:lineRule="exact"/>
        <w:ind w:firstLine="600" w:firstLineChars="200"/>
        <w:jc w:val="left"/>
        <w:textAlignment w:val="auto"/>
        <w:outlineLvl w:val="1"/>
        <w:rPr>
          <w:rFonts w:hint="eastAsia" w:ascii="黑体" w:hAnsi="黑体" w:eastAsia="黑体" w:cs="黑体"/>
          <w:sz w:val="30"/>
          <w:szCs w:val="30"/>
          <w:highlight w:val="none"/>
        </w:rPr>
      </w:pPr>
      <w:r>
        <w:rPr>
          <w:rFonts w:hint="eastAsia" w:ascii="黑体" w:hAnsi="黑体" w:eastAsia="黑体" w:cs="黑体"/>
          <w:sz w:val="30"/>
          <w:szCs w:val="30"/>
          <w:highlight w:val="none"/>
        </w:rPr>
        <w:t>一</w:t>
      </w:r>
      <w:r>
        <w:rPr>
          <w:rFonts w:hint="eastAsia" w:ascii="黑体" w:hAnsi="黑体" w:eastAsia="黑体" w:cs="黑体"/>
          <w:sz w:val="30"/>
          <w:szCs w:val="30"/>
          <w:highlight w:val="none"/>
          <w:lang w:eastAsia="zh-CN"/>
        </w:rPr>
        <w:t>、</w:t>
      </w:r>
      <w:r>
        <w:rPr>
          <w:rFonts w:hint="eastAsia" w:ascii="黑体" w:hAnsi="黑体" w:eastAsia="黑体" w:cs="黑体"/>
          <w:sz w:val="30"/>
          <w:szCs w:val="30"/>
          <w:highlight w:val="none"/>
        </w:rPr>
        <w:t>机关运行经费支出情况</w:t>
      </w:r>
    </w:p>
    <w:p w14:paraId="27F460C5">
      <w:pPr>
        <w:keepNext w:val="0"/>
        <w:keepLines w:val="0"/>
        <w:pageBreakBefore w:val="0"/>
        <w:widowControl/>
        <w:numPr>
          <w:ilvl w:val="0"/>
          <w:numId w:val="0"/>
        </w:numPr>
        <w:kinsoku/>
        <w:wordWrap/>
        <w:overflowPunct/>
        <w:topLinePunct w:val="0"/>
        <w:autoSpaceDE/>
        <w:autoSpaceDN/>
        <w:bidi w:val="0"/>
        <w:adjustRightInd/>
        <w:snapToGrid w:val="0"/>
        <w:spacing w:before="100" w:after="100" w:line="600" w:lineRule="exact"/>
        <w:ind w:firstLine="600" w:firstLineChars="200"/>
        <w:jc w:val="both"/>
        <w:textAlignment w:val="auto"/>
        <w:rPr>
          <w:rFonts w:hint="eastAsia" w:ascii="仿宋_GB2312" w:hAnsi="宋体" w:eastAsia="仿宋_GB2312" w:cs="Arial"/>
          <w:kern w:val="0"/>
          <w:sz w:val="30"/>
          <w:szCs w:val="30"/>
          <w:highlight w:val="none"/>
          <w:lang w:val="en-US" w:eastAsia="zh-CN"/>
        </w:rPr>
      </w:pPr>
      <w:r>
        <w:rPr>
          <w:rFonts w:hint="eastAsia" w:ascii="仿宋_GB2312" w:hAnsi="宋体" w:eastAsia="仿宋_GB2312" w:cs="Arial"/>
          <w:kern w:val="0"/>
          <w:sz w:val="30"/>
          <w:szCs w:val="30"/>
          <w:highlight w:val="none"/>
          <w:lang w:val="zh-CN" w:eastAsia="zh-CN"/>
        </w:rPr>
        <w:t>玉溪市卫生健康委员会卫生监督局</w:t>
      </w:r>
      <w:r>
        <w:rPr>
          <w:rFonts w:hint="eastAsia" w:ascii="仿宋_GB2312" w:hAnsi="宋体" w:eastAsia="仿宋_GB2312" w:cs="Arial"/>
          <w:kern w:val="0"/>
          <w:sz w:val="30"/>
          <w:szCs w:val="30"/>
          <w:highlight w:val="none"/>
          <w:lang w:val="en-US" w:eastAsia="zh-CN"/>
        </w:rPr>
        <w:t>2025年机关运行经费支出886,270.92元，比上年减少174,692.70元，下降</w:t>
      </w:r>
      <w:r>
        <w:rPr>
          <w:rFonts w:hint="eastAsia" w:ascii="仿宋_GB2312" w:hAnsi="宋体" w:eastAsia="仿宋_GB2312" w:cs="Arial"/>
          <w:kern w:val="0"/>
          <w:sz w:val="30"/>
          <w:szCs w:val="30"/>
          <w:highlight w:val="none"/>
          <w:lang w:val="zh-CN" w:eastAsia="zh-CN"/>
        </w:rPr>
        <w:t>16.47</w:t>
      </w:r>
      <w:r>
        <w:rPr>
          <w:rFonts w:hint="eastAsia" w:ascii="仿宋_GB2312" w:hAnsi="宋体" w:eastAsia="仿宋_GB2312" w:cs="Arial"/>
          <w:kern w:val="0"/>
          <w:sz w:val="30"/>
          <w:szCs w:val="30"/>
          <w:highlight w:val="none"/>
          <w:lang w:val="en-US" w:eastAsia="zh-CN"/>
        </w:rPr>
        <w:t>%,主要原因是机构改革期间，</w:t>
      </w:r>
      <w:r>
        <w:rPr>
          <w:rFonts w:hint="eastAsia" w:ascii="仿宋_GB2312" w:hAnsi="Times New Roman" w:eastAsia="仿宋_GB2312" w:cs="Times New Roman"/>
          <w:sz w:val="30"/>
          <w:szCs w:val="30"/>
          <w:highlight w:val="none"/>
          <w:lang w:val="en-US" w:eastAsia="zh-CN"/>
        </w:rPr>
        <w:t>卫生监督执法活动减少</w:t>
      </w:r>
      <w:r>
        <w:rPr>
          <w:rFonts w:hint="eastAsia" w:ascii="仿宋_GB2312" w:hAnsi="宋体" w:eastAsia="仿宋_GB2312" w:cs="Arial"/>
          <w:kern w:val="0"/>
          <w:sz w:val="30"/>
          <w:szCs w:val="30"/>
          <w:highlight w:val="none"/>
          <w:lang w:val="en-US" w:eastAsia="zh-CN"/>
        </w:rPr>
        <w:t>。单位机关运行经费主要用于</w:t>
      </w:r>
      <w:r>
        <w:rPr>
          <w:rFonts w:hint="eastAsia" w:ascii="仿宋_GB2312" w:hAnsi="Times New Roman" w:eastAsia="仿宋_GB2312" w:cs="Times New Roman"/>
          <w:sz w:val="30"/>
          <w:szCs w:val="30"/>
          <w:highlight w:val="none"/>
          <w:lang w:val="en-US" w:eastAsia="zh-CN"/>
        </w:rPr>
        <w:t>卫生监督执法办公及执法设备购置、公务用车运行维护、出差等</w:t>
      </w:r>
      <w:r>
        <w:rPr>
          <w:rFonts w:hint="eastAsia" w:ascii="仿宋_GB2312" w:hAnsi="宋体" w:eastAsia="仿宋_GB2312" w:cs="Arial"/>
          <w:kern w:val="0"/>
          <w:sz w:val="30"/>
          <w:szCs w:val="30"/>
          <w:highlight w:val="none"/>
          <w:lang w:val="en-US" w:eastAsia="zh-CN"/>
        </w:rPr>
        <w:t>。</w:t>
      </w:r>
    </w:p>
    <w:p w14:paraId="62898244">
      <w:pPr>
        <w:keepNext w:val="0"/>
        <w:keepLines w:val="0"/>
        <w:pageBreakBefore w:val="0"/>
        <w:widowControl/>
        <w:kinsoku/>
        <w:wordWrap/>
        <w:overflowPunct/>
        <w:topLinePunct w:val="0"/>
        <w:autoSpaceDE/>
        <w:autoSpaceDN/>
        <w:bidi w:val="0"/>
        <w:adjustRightInd/>
        <w:spacing w:line="600" w:lineRule="exact"/>
        <w:ind w:firstLine="600" w:firstLineChars="200"/>
        <w:textAlignment w:val="auto"/>
        <w:outlineLvl w:val="1"/>
        <w:rPr>
          <w:rFonts w:hint="eastAsia" w:ascii="黑体" w:hAnsi="黑体" w:eastAsia="黑体" w:cs="黑体"/>
          <w:color w:val="000000"/>
          <w:kern w:val="0"/>
          <w:sz w:val="30"/>
          <w:szCs w:val="30"/>
          <w:highlight w:val="none"/>
        </w:rPr>
      </w:pPr>
      <w:r>
        <w:rPr>
          <w:rFonts w:hint="eastAsia" w:ascii="黑体" w:hAnsi="黑体" w:eastAsia="黑体" w:cs="黑体"/>
          <w:color w:val="000000"/>
          <w:kern w:val="0"/>
          <w:sz w:val="30"/>
          <w:szCs w:val="30"/>
          <w:highlight w:val="none"/>
          <w:lang w:eastAsia="zh-CN"/>
        </w:rPr>
        <w:t>二、</w:t>
      </w:r>
      <w:r>
        <w:rPr>
          <w:rFonts w:hint="eastAsia" w:ascii="黑体" w:hAnsi="黑体" w:eastAsia="黑体" w:cs="黑体"/>
          <w:color w:val="000000"/>
          <w:kern w:val="0"/>
          <w:sz w:val="30"/>
          <w:szCs w:val="30"/>
          <w:highlight w:val="none"/>
        </w:rPr>
        <w:t>国有资产占用情况</w:t>
      </w:r>
    </w:p>
    <w:p w14:paraId="7E18C953">
      <w:pPr>
        <w:keepNext w:val="0"/>
        <w:keepLines w:val="0"/>
        <w:pageBreakBefore w:val="0"/>
        <w:widowControl/>
        <w:kinsoku/>
        <w:wordWrap/>
        <w:overflowPunct/>
        <w:topLinePunct w:val="0"/>
        <w:autoSpaceDE/>
        <w:autoSpaceDN/>
        <w:bidi w:val="0"/>
        <w:adjustRightInd/>
        <w:spacing w:line="600" w:lineRule="exact"/>
        <w:ind w:firstLine="600" w:firstLineChars="200"/>
        <w:textAlignment w:val="auto"/>
        <w:rPr>
          <w:rFonts w:hint="eastAsia" w:ascii="仿宋_GB2312" w:hAnsi="黑体" w:eastAsia="仿宋_GB2312" w:cs="方正小标宋简体"/>
          <w:color w:val="000000"/>
          <w:kern w:val="0"/>
          <w:sz w:val="30"/>
          <w:szCs w:val="30"/>
          <w:highlight w:val="none"/>
        </w:rPr>
      </w:pPr>
      <w:r>
        <w:rPr>
          <w:rFonts w:hint="eastAsia" w:ascii="仿宋_GB2312" w:hAnsi="仿宋_GB2312" w:eastAsia="仿宋_GB2312" w:cs="仿宋_GB2312"/>
          <w:sz w:val="30"/>
          <w:szCs w:val="30"/>
          <w:highlight w:val="none"/>
          <w:lang w:eastAsia="zh-CN"/>
        </w:rPr>
        <w:t>截至202</w:t>
      </w:r>
      <w:r>
        <w:rPr>
          <w:rFonts w:hint="eastAsia" w:ascii="仿宋_GB2312" w:hAnsi="仿宋_GB2312" w:eastAsia="仿宋_GB2312" w:cs="仿宋_GB2312"/>
          <w:sz w:val="30"/>
          <w:szCs w:val="30"/>
          <w:highlight w:val="none"/>
          <w:lang w:val="en-US" w:eastAsia="zh-CN"/>
        </w:rPr>
        <w:t>5</w:t>
      </w:r>
      <w:r>
        <w:rPr>
          <w:rFonts w:hint="eastAsia" w:ascii="仿宋_GB2312" w:hAnsi="仿宋_GB2312" w:eastAsia="仿宋_GB2312" w:cs="仿宋_GB2312"/>
          <w:sz w:val="30"/>
          <w:szCs w:val="30"/>
          <w:highlight w:val="none"/>
          <w:lang w:eastAsia="zh-CN"/>
        </w:rPr>
        <w:t>年末，</w:t>
      </w:r>
      <w:r>
        <w:rPr>
          <w:rFonts w:hint="eastAsia" w:ascii="仿宋_GB2312" w:hAnsi="仿宋_GB2312" w:eastAsia="仿宋_GB2312" w:cs="仿宋_GB2312"/>
          <w:color w:val="auto"/>
          <w:sz w:val="30"/>
          <w:lang w:val="zh-CN"/>
        </w:rPr>
        <w:t>玉溪市卫生健康委员会卫生监督局</w:t>
      </w:r>
      <w:r>
        <w:rPr>
          <w:rFonts w:hint="eastAsia" w:ascii="仿宋_GB2312" w:hAnsi="仿宋_GB2312" w:eastAsia="仿宋_GB2312" w:cs="仿宋_GB2312"/>
          <w:sz w:val="30"/>
          <w:szCs w:val="30"/>
          <w:highlight w:val="none"/>
          <w:lang w:eastAsia="zh-CN"/>
        </w:rPr>
        <w:t>资产总额511,307.50元，其中，流动资产28,210.10元，固定资产483,097.40元（净值），无对外投资及有价证券</w:t>
      </w:r>
      <w:r>
        <w:rPr>
          <w:rFonts w:hint="eastAsia" w:ascii="仿宋_GB2312" w:hAnsi="仿宋_GB2312" w:eastAsia="仿宋_GB2312" w:cs="仿宋_GB2312"/>
          <w:sz w:val="30"/>
          <w:szCs w:val="30"/>
          <w:highlight w:val="none"/>
          <w:lang w:val="en-US" w:eastAsia="zh-CN"/>
        </w:rPr>
        <w:t>、</w:t>
      </w:r>
      <w:r>
        <w:rPr>
          <w:rFonts w:hint="eastAsia" w:ascii="仿宋_GB2312" w:hAnsi="仿宋_GB2312" w:eastAsia="仿宋_GB2312" w:cs="仿宋_GB2312"/>
          <w:sz w:val="30"/>
          <w:szCs w:val="30"/>
          <w:highlight w:val="none"/>
          <w:lang w:eastAsia="zh-CN"/>
        </w:rPr>
        <w:t>在建工程，无形资产</w:t>
      </w:r>
      <w:r>
        <w:rPr>
          <w:rFonts w:hint="eastAsia" w:ascii="仿宋_GB2312" w:hAnsi="仿宋_GB2312" w:eastAsia="仿宋_GB2312" w:cs="仿宋_GB2312"/>
          <w:sz w:val="30"/>
          <w:szCs w:val="30"/>
          <w:highlight w:val="none"/>
          <w:lang w:val="en-US" w:eastAsia="zh-CN"/>
        </w:rPr>
        <w:t>0.00</w:t>
      </w:r>
      <w:r>
        <w:rPr>
          <w:rFonts w:hint="eastAsia" w:ascii="仿宋_GB2312" w:hAnsi="仿宋_GB2312" w:eastAsia="仿宋_GB2312" w:cs="仿宋_GB2312"/>
          <w:sz w:val="30"/>
          <w:szCs w:val="30"/>
          <w:highlight w:val="none"/>
          <w:lang w:eastAsia="zh-CN"/>
        </w:rPr>
        <w:t>元（净值），无其他资产</w:t>
      </w:r>
      <w:r>
        <w:rPr>
          <w:rFonts w:hint="eastAsia" w:ascii="仿宋_GB2312" w:hAnsi="黑体" w:eastAsia="仿宋_GB2312" w:cs="方正小标宋简体"/>
          <w:color w:val="000000"/>
          <w:kern w:val="0"/>
          <w:sz w:val="30"/>
          <w:szCs w:val="30"/>
          <w:highlight w:val="none"/>
        </w:rPr>
        <w:t>。与上年相比，本年资产总额减少210,775.06</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，其中固定资产减少182,749.83</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w:t>
      </w:r>
      <w:r>
        <w:rPr>
          <w:rFonts w:hint="eastAsia" w:ascii="仿宋_GB2312" w:hAnsi="黑体" w:eastAsia="仿宋_GB2312" w:cs="方正小标宋简体"/>
          <w:color w:val="000000"/>
          <w:kern w:val="0"/>
          <w:sz w:val="30"/>
          <w:szCs w:val="30"/>
          <w:highlight w:val="none"/>
          <w:lang w:eastAsia="zh-CN"/>
        </w:rPr>
        <w:t>无</w:t>
      </w:r>
      <w:r>
        <w:rPr>
          <w:rFonts w:hint="eastAsia" w:ascii="仿宋_GB2312" w:hAnsi="黑体" w:eastAsia="仿宋_GB2312" w:cs="方正小标宋简体"/>
          <w:color w:val="000000"/>
          <w:kern w:val="0"/>
          <w:sz w:val="30"/>
          <w:szCs w:val="30"/>
          <w:highlight w:val="none"/>
        </w:rPr>
        <w:t>处置房屋建筑物</w:t>
      </w:r>
      <w:r>
        <w:rPr>
          <w:rFonts w:hint="eastAsia" w:ascii="仿宋_GB2312" w:hAnsi="黑体" w:eastAsia="仿宋_GB2312" w:cs="方正小标宋简体"/>
          <w:color w:val="000000"/>
          <w:kern w:val="0"/>
          <w:sz w:val="30"/>
          <w:szCs w:val="30"/>
          <w:highlight w:val="none"/>
          <w:lang w:eastAsia="zh-CN"/>
        </w:rPr>
        <w:t>、</w:t>
      </w:r>
      <w:r>
        <w:rPr>
          <w:rFonts w:hint="eastAsia" w:ascii="仿宋_GB2312" w:hAnsi="黑体" w:eastAsia="仿宋_GB2312" w:cs="方正小标宋简体"/>
          <w:color w:val="000000"/>
          <w:kern w:val="0"/>
          <w:sz w:val="30"/>
          <w:szCs w:val="30"/>
          <w:highlight w:val="none"/>
        </w:rPr>
        <w:t>处置车辆</w:t>
      </w:r>
      <w:r>
        <w:rPr>
          <w:rFonts w:hint="eastAsia" w:ascii="仿宋_GB2312" w:hAnsi="黑体" w:eastAsia="仿宋_GB2312" w:cs="方正小标宋简体"/>
          <w:color w:val="000000"/>
          <w:kern w:val="0"/>
          <w:sz w:val="30"/>
          <w:szCs w:val="30"/>
          <w:highlight w:val="none"/>
          <w:lang w:eastAsia="zh-CN"/>
        </w:rPr>
        <w:t>、</w:t>
      </w:r>
      <w:r>
        <w:rPr>
          <w:rFonts w:hint="eastAsia" w:ascii="仿宋_GB2312" w:hAnsi="黑体" w:eastAsia="仿宋_GB2312" w:cs="方正小标宋简体"/>
          <w:color w:val="000000"/>
          <w:kern w:val="0"/>
          <w:sz w:val="30"/>
          <w:szCs w:val="30"/>
          <w:highlight w:val="none"/>
        </w:rPr>
        <w:t>报废报损资产。</w:t>
      </w:r>
    </w:p>
    <w:p w14:paraId="62C8EBEA">
      <w:pPr>
        <w:keepNext w:val="0"/>
        <w:keepLines w:val="0"/>
        <w:pageBreakBefore w:val="0"/>
        <w:widowControl/>
        <w:kinsoku/>
        <w:wordWrap/>
        <w:overflowPunct/>
        <w:topLinePunct w:val="0"/>
        <w:autoSpaceDE/>
        <w:autoSpaceDN/>
        <w:bidi w:val="0"/>
        <w:adjustRightInd/>
        <w:spacing w:line="600" w:lineRule="exact"/>
        <w:ind w:firstLine="600" w:firstLineChars="200"/>
        <w:textAlignment w:val="auto"/>
        <w:rPr>
          <w:rFonts w:hint="eastAsia" w:ascii="仿宋_GB2312" w:hAnsi="黑体" w:eastAsia="仿宋_GB2312" w:cs="方正小标宋简体"/>
          <w:color w:val="000000"/>
          <w:kern w:val="0"/>
          <w:sz w:val="30"/>
          <w:szCs w:val="30"/>
          <w:highlight w:val="none"/>
          <w:lang w:eastAsia="zh-CN"/>
        </w:rPr>
      </w:pPr>
      <w:r>
        <w:rPr>
          <w:rFonts w:hint="eastAsia" w:ascii="仿宋_GB2312" w:hAnsi="黑体" w:eastAsia="仿宋_GB2312" w:cs="方正小标宋简体"/>
          <w:color w:val="000000"/>
          <w:kern w:val="0"/>
          <w:sz w:val="30"/>
          <w:szCs w:val="30"/>
          <w:highlight w:val="none"/>
          <w:lang w:eastAsia="zh-CN"/>
        </w:rPr>
        <w:t>（</w:t>
      </w:r>
      <w:r>
        <w:rPr>
          <w:rFonts w:hint="eastAsia" w:ascii="仿宋_GB2312" w:hAnsi="黑体" w:eastAsia="仿宋_GB2312" w:cs="方正小标宋简体"/>
          <w:color w:val="000000"/>
          <w:kern w:val="0"/>
          <w:sz w:val="30"/>
          <w:szCs w:val="30"/>
          <w:highlight w:val="none"/>
        </w:rPr>
        <w:t>国有资产占有使用情况表</w:t>
      </w:r>
      <w:r>
        <w:rPr>
          <w:rFonts w:hint="eastAsia" w:ascii="仿宋_GB2312" w:hAnsi="黑体" w:eastAsia="仿宋_GB2312" w:cs="方正小标宋简体"/>
          <w:color w:val="000000"/>
          <w:kern w:val="0"/>
          <w:sz w:val="30"/>
          <w:szCs w:val="30"/>
          <w:highlight w:val="none"/>
          <w:lang w:eastAsia="zh-CN"/>
        </w:rPr>
        <w:t>详见附表）</w:t>
      </w:r>
    </w:p>
    <w:p w14:paraId="392079EA">
      <w:pPr>
        <w:keepNext w:val="0"/>
        <w:keepLines w:val="0"/>
        <w:pageBreakBefore w:val="0"/>
        <w:kinsoku/>
        <w:wordWrap/>
        <w:overflowPunct/>
        <w:topLinePunct w:val="0"/>
        <w:autoSpaceDE/>
        <w:autoSpaceDN/>
        <w:bidi w:val="0"/>
        <w:adjustRightInd/>
        <w:spacing w:line="600" w:lineRule="exact"/>
        <w:ind w:firstLine="600" w:firstLineChars="200"/>
        <w:jc w:val="left"/>
        <w:textAlignment w:val="auto"/>
        <w:outlineLvl w:val="1"/>
        <w:rPr>
          <w:rFonts w:hint="eastAsia" w:ascii="黑体" w:hAnsi="黑体" w:eastAsia="黑体" w:cs="黑体"/>
          <w:sz w:val="30"/>
          <w:szCs w:val="30"/>
          <w:highlight w:val="none"/>
        </w:rPr>
      </w:pPr>
      <w:r>
        <w:rPr>
          <w:rFonts w:hint="eastAsia" w:ascii="黑体" w:hAnsi="黑体" w:eastAsia="黑体" w:cs="黑体"/>
          <w:sz w:val="30"/>
          <w:szCs w:val="30"/>
          <w:highlight w:val="none"/>
          <w:lang w:eastAsia="zh-CN"/>
        </w:rPr>
        <w:t>三、政</w:t>
      </w:r>
      <w:r>
        <w:rPr>
          <w:rFonts w:hint="eastAsia" w:ascii="黑体" w:hAnsi="黑体" w:eastAsia="黑体" w:cs="黑体"/>
          <w:sz w:val="30"/>
          <w:szCs w:val="30"/>
          <w:highlight w:val="none"/>
        </w:rPr>
        <w:t>府采购支出情况</w:t>
      </w:r>
    </w:p>
    <w:p w14:paraId="30DEBC8A">
      <w:pPr>
        <w:keepNext w:val="0"/>
        <w:keepLines w:val="0"/>
        <w:pageBreakBefore w:val="0"/>
        <w:widowControl/>
        <w:kinsoku/>
        <w:wordWrap/>
        <w:overflowPunct/>
        <w:topLinePunct w:val="0"/>
        <w:autoSpaceDE/>
        <w:autoSpaceDN/>
        <w:bidi w:val="0"/>
        <w:adjustRightInd/>
        <w:spacing w:line="600" w:lineRule="exact"/>
        <w:ind w:firstLine="600" w:firstLineChars="200"/>
        <w:textAlignment w:val="auto"/>
        <w:rPr>
          <w:rFonts w:hint="eastAsia" w:ascii="仿宋_GB2312" w:hAnsi="黑体" w:eastAsia="仿宋_GB2312" w:cs="方正小标宋简体"/>
          <w:color w:val="000000"/>
          <w:kern w:val="0"/>
          <w:sz w:val="30"/>
          <w:szCs w:val="30"/>
          <w:highlight w:val="none"/>
          <w:lang w:val="en-US" w:eastAsia="zh-CN"/>
        </w:rPr>
      </w:pPr>
      <w:r>
        <w:rPr>
          <w:rFonts w:hint="eastAsia" w:ascii="仿宋_GB2312" w:hAnsi="黑体" w:eastAsia="仿宋_GB2312" w:cs="方正小标宋简体"/>
          <w:color w:val="000000"/>
          <w:kern w:val="0"/>
          <w:sz w:val="30"/>
          <w:szCs w:val="30"/>
          <w:highlight w:val="none"/>
          <w:lang w:val="en-US" w:eastAsia="zh-CN"/>
        </w:rPr>
        <w:t>2025年度，单位政府采购支出总额</w:t>
      </w:r>
      <w:r>
        <w:rPr>
          <w:rFonts w:hint="eastAsia" w:ascii="仿宋_GB2312" w:hAnsi="黑体" w:eastAsia="仿宋_GB2312" w:cs="方正小标宋简体"/>
          <w:color w:val="000000"/>
          <w:kern w:val="0"/>
          <w:sz w:val="30"/>
          <w:szCs w:val="30"/>
          <w:highlight w:val="none"/>
          <w:lang w:val="zh-CN" w:eastAsia="zh-CN"/>
        </w:rPr>
        <w:t>308</w:t>
      </w:r>
      <w:r>
        <w:rPr>
          <w:rFonts w:hint="eastAsia" w:ascii="仿宋_GB2312" w:hAnsi="黑体" w:eastAsia="仿宋_GB2312" w:cs="方正小标宋简体"/>
          <w:color w:val="000000"/>
          <w:kern w:val="0"/>
          <w:sz w:val="30"/>
          <w:szCs w:val="30"/>
          <w:highlight w:val="none"/>
          <w:lang w:val="en-US" w:eastAsia="zh-CN"/>
        </w:rPr>
        <w:t>,</w:t>
      </w:r>
      <w:r>
        <w:rPr>
          <w:rFonts w:hint="eastAsia" w:ascii="仿宋_GB2312" w:hAnsi="黑体" w:eastAsia="仿宋_GB2312" w:cs="方正小标宋简体"/>
          <w:color w:val="000000"/>
          <w:kern w:val="0"/>
          <w:sz w:val="30"/>
          <w:szCs w:val="30"/>
          <w:highlight w:val="none"/>
          <w:lang w:val="zh-CN" w:eastAsia="zh-CN"/>
        </w:rPr>
        <w:t>497.95</w:t>
      </w:r>
      <w:r>
        <w:rPr>
          <w:rFonts w:hint="eastAsia" w:ascii="仿宋_GB2312" w:hAnsi="黑体" w:eastAsia="仿宋_GB2312" w:cs="方正小标宋简体"/>
          <w:color w:val="000000"/>
          <w:kern w:val="0"/>
          <w:sz w:val="30"/>
          <w:szCs w:val="30"/>
          <w:highlight w:val="none"/>
          <w:lang w:val="en-US" w:eastAsia="zh-CN"/>
        </w:rPr>
        <w:t>元，其中：政府采购货物支出</w:t>
      </w:r>
      <w:r>
        <w:rPr>
          <w:rFonts w:hint="eastAsia" w:ascii="仿宋_GB2312" w:hAnsi="黑体" w:eastAsia="仿宋_GB2312" w:cs="方正小标宋简体"/>
          <w:color w:val="000000"/>
          <w:kern w:val="0"/>
          <w:sz w:val="30"/>
          <w:szCs w:val="30"/>
          <w:highlight w:val="none"/>
          <w:lang w:val="zh-CN" w:eastAsia="zh-CN"/>
        </w:rPr>
        <w:t>0.00</w:t>
      </w:r>
      <w:r>
        <w:rPr>
          <w:rFonts w:hint="eastAsia" w:ascii="仿宋_GB2312" w:hAnsi="黑体" w:eastAsia="仿宋_GB2312" w:cs="方正小标宋简体"/>
          <w:color w:val="000000"/>
          <w:kern w:val="0"/>
          <w:sz w:val="30"/>
          <w:szCs w:val="30"/>
          <w:highlight w:val="none"/>
          <w:lang w:val="en-US" w:eastAsia="zh-CN"/>
        </w:rPr>
        <w:t>元；政府采购工程支出</w:t>
      </w:r>
      <w:r>
        <w:rPr>
          <w:rFonts w:hint="eastAsia" w:ascii="仿宋_GB2312" w:hAnsi="黑体" w:eastAsia="仿宋_GB2312" w:cs="方正小标宋简体"/>
          <w:color w:val="000000"/>
          <w:kern w:val="0"/>
          <w:sz w:val="30"/>
          <w:szCs w:val="30"/>
          <w:highlight w:val="none"/>
          <w:lang w:val="zh-CN" w:eastAsia="zh-CN"/>
        </w:rPr>
        <w:t>0.00</w:t>
      </w:r>
      <w:r>
        <w:rPr>
          <w:rFonts w:hint="eastAsia" w:ascii="仿宋_GB2312" w:hAnsi="黑体" w:eastAsia="仿宋_GB2312" w:cs="方正小标宋简体"/>
          <w:color w:val="000000"/>
          <w:kern w:val="0"/>
          <w:sz w:val="30"/>
          <w:szCs w:val="30"/>
          <w:highlight w:val="none"/>
          <w:lang w:val="en-US" w:eastAsia="zh-CN"/>
        </w:rPr>
        <w:t>元；政府采购服务支出</w:t>
      </w:r>
      <w:r>
        <w:rPr>
          <w:rFonts w:hint="eastAsia" w:ascii="仿宋_GB2312" w:hAnsi="黑体" w:eastAsia="仿宋_GB2312" w:cs="方正小标宋简体"/>
          <w:color w:val="000000"/>
          <w:kern w:val="0"/>
          <w:sz w:val="30"/>
          <w:szCs w:val="30"/>
          <w:highlight w:val="none"/>
          <w:lang w:val="zh-CN" w:eastAsia="zh-CN"/>
        </w:rPr>
        <w:t>308</w:t>
      </w:r>
      <w:r>
        <w:rPr>
          <w:rFonts w:hint="eastAsia" w:ascii="仿宋_GB2312" w:hAnsi="黑体" w:eastAsia="仿宋_GB2312" w:cs="方正小标宋简体"/>
          <w:color w:val="000000"/>
          <w:kern w:val="0"/>
          <w:sz w:val="30"/>
          <w:szCs w:val="30"/>
          <w:highlight w:val="none"/>
          <w:lang w:val="en-US" w:eastAsia="zh-CN"/>
        </w:rPr>
        <w:t>,</w:t>
      </w:r>
      <w:r>
        <w:rPr>
          <w:rFonts w:hint="eastAsia" w:ascii="仿宋_GB2312" w:hAnsi="黑体" w:eastAsia="仿宋_GB2312" w:cs="方正小标宋简体"/>
          <w:color w:val="000000"/>
          <w:kern w:val="0"/>
          <w:sz w:val="30"/>
          <w:szCs w:val="30"/>
          <w:highlight w:val="none"/>
          <w:lang w:val="zh-CN" w:eastAsia="zh-CN"/>
        </w:rPr>
        <w:t>497.95</w:t>
      </w:r>
      <w:r>
        <w:rPr>
          <w:rFonts w:hint="eastAsia" w:ascii="仿宋_GB2312" w:hAnsi="黑体" w:eastAsia="仿宋_GB2312" w:cs="方正小标宋简体"/>
          <w:color w:val="000000"/>
          <w:kern w:val="0"/>
          <w:sz w:val="30"/>
          <w:szCs w:val="30"/>
          <w:highlight w:val="none"/>
          <w:lang w:val="en-US" w:eastAsia="zh-CN"/>
        </w:rPr>
        <w:t>元。授予中小企业合同金额</w:t>
      </w:r>
      <w:r>
        <w:rPr>
          <w:rFonts w:hint="eastAsia" w:ascii="仿宋_GB2312" w:hAnsi="黑体" w:eastAsia="仿宋_GB2312" w:cs="方正小标宋简体"/>
          <w:color w:val="000000"/>
          <w:kern w:val="0"/>
          <w:sz w:val="30"/>
          <w:szCs w:val="30"/>
          <w:highlight w:val="none"/>
          <w:lang w:val="zh-CN" w:eastAsia="zh-CN"/>
        </w:rPr>
        <w:t>287</w:t>
      </w:r>
      <w:r>
        <w:rPr>
          <w:rFonts w:hint="eastAsia" w:ascii="仿宋_GB2312" w:hAnsi="黑体" w:eastAsia="仿宋_GB2312" w:cs="方正小标宋简体"/>
          <w:color w:val="000000"/>
          <w:kern w:val="0"/>
          <w:sz w:val="30"/>
          <w:szCs w:val="30"/>
          <w:highlight w:val="none"/>
          <w:lang w:val="en-US" w:eastAsia="zh-CN"/>
        </w:rPr>
        <w:t>,</w:t>
      </w:r>
      <w:r>
        <w:rPr>
          <w:rFonts w:hint="eastAsia" w:ascii="仿宋_GB2312" w:hAnsi="黑体" w:eastAsia="仿宋_GB2312" w:cs="方正小标宋简体"/>
          <w:color w:val="000000"/>
          <w:kern w:val="0"/>
          <w:sz w:val="30"/>
          <w:szCs w:val="30"/>
          <w:highlight w:val="none"/>
          <w:lang w:val="zh-CN" w:eastAsia="zh-CN"/>
        </w:rPr>
        <w:t>000.00</w:t>
      </w:r>
      <w:r>
        <w:rPr>
          <w:rFonts w:hint="eastAsia" w:ascii="仿宋_GB2312" w:hAnsi="黑体" w:eastAsia="仿宋_GB2312" w:cs="方正小标宋简体"/>
          <w:color w:val="000000"/>
          <w:kern w:val="0"/>
          <w:sz w:val="30"/>
          <w:szCs w:val="30"/>
          <w:highlight w:val="none"/>
          <w:lang w:val="en-US" w:eastAsia="zh-CN"/>
        </w:rPr>
        <w:t>元，其中：授予小微企业合同金额</w:t>
      </w:r>
      <w:r>
        <w:rPr>
          <w:rFonts w:hint="eastAsia" w:ascii="仿宋_GB2312" w:hAnsi="黑体" w:eastAsia="仿宋_GB2312" w:cs="方正小标宋简体"/>
          <w:color w:val="000000"/>
          <w:kern w:val="0"/>
          <w:sz w:val="30"/>
          <w:szCs w:val="30"/>
          <w:highlight w:val="none"/>
          <w:lang w:val="zh-CN" w:eastAsia="zh-CN"/>
        </w:rPr>
        <w:t>287</w:t>
      </w:r>
      <w:r>
        <w:rPr>
          <w:rFonts w:hint="eastAsia" w:ascii="仿宋_GB2312" w:hAnsi="黑体" w:eastAsia="仿宋_GB2312" w:cs="方正小标宋简体"/>
          <w:color w:val="000000"/>
          <w:kern w:val="0"/>
          <w:sz w:val="30"/>
          <w:szCs w:val="30"/>
          <w:highlight w:val="none"/>
          <w:lang w:val="en-US" w:eastAsia="zh-CN"/>
        </w:rPr>
        <w:t>,</w:t>
      </w:r>
      <w:r>
        <w:rPr>
          <w:rFonts w:hint="eastAsia" w:ascii="仿宋_GB2312" w:hAnsi="黑体" w:eastAsia="仿宋_GB2312" w:cs="方正小标宋简体"/>
          <w:color w:val="000000"/>
          <w:kern w:val="0"/>
          <w:sz w:val="30"/>
          <w:szCs w:val="30"/>
          <w:highlight w:val="none"/>
          <w:lang w:val="zh-CN" w:eastAsia="zh-CN"/>
        </w:rPr>
        <w:t>000.00</w:t>
      </w:r>
      <w:r>
        <w:rPr>
          <w:rFonts w:hint="eastAsia" w:ascii="仿宋_GB2312" w:hAnsi="黑体" w:eastAsia="仿宋_GB2312" w:cs="方正小标宋简体"/>
          <w:color w:val="000000"/>
          <w:kern w:val="0"/>
          <w:sz w:val="30"/>
          <w:szCs w:val="30"/>
          <w:highlight w:val="none"/>
          <w:lang w:val="en-US" w:eastAsia="zh-CN"/>
        </w:rPr>
        <w:t>元。</w:t>
      </w:r>
    </w:p>
    <w:p w14:paraId="472597DC">
      <w:pPr>
        <w:keepNext w:val="0"/>
        <w:keepLines w:val="0"/>
        <w:pageBreakBefore w:val="0"/>
        <w:kinsoku/>
        <w:wordWrap/>
        <w:overflowPunct/>
        <w:topLinePunct w:val="0"/>
        <w:autoSpaceDE/>
        <w:autoSpaceDN/>
        <w:bidi w:val="0"/>
        <w:adjustRightInd/>
        <w:spacing w:line="600" w:lineRule="exact"/>
        <w:ind w:firstLine="600" w:firstLineChars="200"/>
        <w:jc w:val="left"/>
        <w:textAlignment w:val="auto"/>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四、单位绩效自评情况</w:t>
      </w:r>
    </w:p>
    <w:p w14:paraId="7C521440">
      <w:pPr>
        <w:keepNext w:val="0"/>
        <w:keepLines w:val="0"/>
        <w:pageBreakBefore w:val="0"/>
        <w:widowControl/>
        <w:kinsoku/>
        <w:wordWrap/>
        <w:overflowPunct/>
        <w:topLinePunct w:val="0"/>
        <w:autoSpaceDE/>
        <w:autoSpaceDN/>
        <w:bidi w:val="0"/>
        <w:adjustRightInd/>
        <w:spacing w:line="600" w:lineRule="exact"/>
        <w:ind w:firstLine="600" w:firstLineChars="200"/>
        <w:textAlignment w:val="auto"/>
        <w:rPr>
          <w:rFonts w:hint="eastAsia" w:ascii="仿宋_GB2312" w:hAnsi="黑体" w:eastAsia="仿宋_GB2312" w:cs="方正小标宋简体"/>
          <w:color w:val="000000"/>
          <w:kern w:val="0"/>
          <w:sz w:val="30"/>
          <w:szCs w:val="30"/>
          <w:highlight w:val="none"/>
          <w:lang w:val="en-US" w:eastAsia="zh-CN"/>
        </w:rPr>
      </w:pPr>
      <w:r>
        <w:rPr>
          <w:rFonts w:hint="eastAsia" w:ascii="仿宋_GB2312" w:hAnsi="黑体" w:eastAsia="仿宋_GB2312" w:cs="方正小标宋简体"/>
          <w:color w:val="000000"/>
          <w:kern w:val="0"/>
          <w:sz w:val="30"/>
          <w:szCs w:val="30"/>
          <w:highlight w:val="none"/>
          <w:lang w:val="en-US" w:eastAsia="zh-CN"/>
        </w:rPr>
        <w:t>单位绩效自评情况详见附表。</w:t>
      </w:r>
    </w:p>
    <w:p w14:paraId="64945559">
      <w:pPr>
        <w:keepNext w:val="0"/>
        <w:keepLines w:val="0"/>
        <w:pageBreakBefore w:val="0"/>
        <w:widowControl/>
        <w:kinsoku/>
        <w:wordWrap/>
        <w:overflowPunct/>
        <w:topLinePunct w:val="0"/>
        <w:autoSpaceDE/>
        <w:autoSpaceDN/>
        <w:bidi w:val="0"/>
        <w:adjustRightInd/>
        <w:snapToGrid w:val="0"/>
        <w:spacing w:before="100" w:after="100" w:line="600" w:lineRule="exact"/>
        <w:ind w:firstLine="600" w:firstLineChars="200"/>
        <w:jc w:val="left"/>
        <w:textAlignment w:val="auto"/>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五、其他重要事项情况说明</w:t>
      </w:r>
    </w:p>
    <w:p w14:paraId="078B1607">
      <w:pPr>
        <w:keepNext w:val="0"/>
        <w:keepLines w:val="0"/>
        <w:pageBreakBefore w:val="0"/>
        <w:widowControl/>
        <w:kinsoku/>
        <w:wordWrap/>
        <w:overflowPunct/>
        <w:topLinePunct w:val="0"/>
        <w:autoSpaceDE/>
        <w:autoSpaceDN/>
        <w:bidi w:val="0"/>
        <w:adjustRightInd/>
        <w:spacing w:line="600" w:lineRule="exact"/>
        <w:ind w:firstLine="600" w:firstLineChars="200"/>
        <w:textAlignment w:val="auto"/>
        <w:rPr>
          <w:rFonts w:hint="eastAsia" w:ascii="仿宋_GB2312" w:hAnsi="黑体" w:eastAsia="仿宋_GB2312" w:cs="方正小标宋简体"/>
          <w:color w:val="000000"/>
          <w:kern w:val="0"/>
          <w:sz w:val="30"/>
          <w:szCs w:val="30"/>
          <w:highlight w:val="none"/>
          <w:lang w:val="en-US" w:eastAsia="zh-CN"/>
        </w:rPr>
      </w:pPr>
      <w:r>
        <w:rPr>
          <w:rFonts w:hint="eastAsia" w:ascii="仿宋_GB2312" w:hAnsi="黑体" w:eastAsia="仿宋_GB2312" w:cs="方正小标宋简体"/>
          <w:color w:val="000000"/>
          <w:kern w:val="0"/>
          <w:sz w:val="30"/>
          <w:szCs w:val="30"/>
          <w:highlight w:val="none"/>
          <w:lang w:val="en-US" w:eastAsia="zh-CN"/>
        </w:rPr>
        <w:t>不存在需要说明的事项。</w:t>
      </w:r>
    </w:p>
    <w:p w14:paraId="6F06C8DF">
      <w:pPr>
        <w:keepNext w:val="0"/>
        <w:keepLines w:val="0"/>
        <w:pageBreakBefore w:val="0"/>
        <w:widowControl/>
        <w:kinsoku/>
        <w:wordWrap/>
        <w:overflowPunct/>
        <w:topLinePunct w:val="0"/>
        <w:autoSpaceDE/>
        <w:autoSpaceDN/>
        <w:bidi w:val="0"/>
        <w:adjustRightInd/>
        <w:snapToGrid w:val="0"/>
        <w:spacing w:before="100" w:after="100" w:line="600" w:lineRule="exact"/>
        <w:ind w:firstLine="600" w:firstLineChars="200"/>
        <w:jc w:val="left"/>
        <w:textAlignment w:val="auto"/>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六、相关口径说明</w:t>
      </w:r>
    </w:p>
    <w:p w14:paraId="7D617EB9">
      <w:pPr>
        <w:keepNext w:val="0"/>
        <w:keepLines w:val="0"/>
        <w:pageBreakBefore w:val="0"/>
        <w:widowControl/>
        <w:kinsoku/>
        <w:wordWrap/>
        <w:overflowPunct/>
        <w:topLinePunct w:val="0"/>
        <w:autoSpaceDE/>
        <w:autoSpaceDN/>
        <w:bidi w:val="0"/>
        <w:adjustRightInd/>
        <w:spacing w:line="600" w:lineRule="exact"/>
        <w:ind w:firstLine="600" w:firstLineChars="200"/>
        <w:textAlignment w:val="auto"/>
        <w:rPr>
          <w:rFonts w:hint="eastAsia" w:ascii="仿宋_GB2312" w:hAnsi="黑体" w:eastAsia="仿宋_GB2312" w:cs="方正小标宋简体"/>
          <w:color w:val="000000"/>
          <w:kern w:val="0"/>
          <w:sz w:val="30"/>
          <w:szCs w:val="30"/>
          <w:highlight w:val="none"/>
          <w:lang w:val="en-US" w:eastAsia="zh-CN"/>
        </w:rPr>
      </w:pPr>
      <w:r>
        <w:rPr>
          <w:rFonts w:hint="eastAsia" w:ascii="仿宋_GB2312" w:hAnsi="黑体" w:eastAsia="仿宋_GB2312" w:cs="方正小标宋简体"/>
          <w:color w:val="000000"/>
          <w:kern w:val="0"/>
          <w:sz w:val="30"/>
          <w:szCs w:val="30"/>
          <w:highlight w:val="none"/>
          <w:lang w:val="en-US" w:eastAsia="zh-CN"/>
        </w:rPr>
        <w:t>（一）基本支出中人员经费包括工资福利支出和对个人和家庭的补助，公用经费包括商品和服务支出、资本性支出等人员经费以外的支出。</w:t>
      </w:r>
    </w:p>
    <w:p w14:paraId="4F8D72E2">
      <w:pPr>
        <w:keepNext w:val="0"/>
        <w:keepLines w:val="0"/>
        <w:pageBreakBefore w:val="0"/>
        <w:widowControl/>
        <w:kinsoku/>
        <w:wordWrap/>
        <w:overflowPunct/>
        <w:topLinePunct w:val="0"/>
        <w:autoSpaceDE/>
        <w:autoSpaceDN/>
        <w:bidi w:val="0"/>
        <w:adjustRightInd/>
        <w:spacing w:line="600" w:lineRule="exact"/>
        <w:ind w:firstLine="600" w:firstLineChars="200"/>
        <w:textAlignment w:val="auto"/>
        <w:rPr>
          <w:rFonts w:hint="eastAsia" w:ascii="仿宋_GB2312" w:hAnsi="黑体" w:eastAsia="仿宋_GB2312" w:cs="方正小标宋简体"/>
          <w:color w:val="000000"/>
          <w:kern w:val="0"/>
          <w:sz w:val="30"/>
          <w:szCs w:val="30"/>
          <w:highlight w:val="none"/>
          <w:lang w:val="en-US" w:eastAsia="zh-CN"/>
        </w:rPr>
      </w:pPr>
      <w:r>
        <w:rPr>
          <w:rFonts w:hint="eastAsia" w:ascii="仿宋_GB2312" w:hAnsi="黑体" w:eastAsia="仿宋_GB2312" w:cs="方正小标宋简体"/>
          <w:color w:val="000000"/>
          <w:kern w:val="0"/>
          <w:sz w:val="30"/>
          <w:szCs w:val="30"/>
          <w:highlight w:val="none"/>
          <w:lang w:val="en-US" w:eastAsia="zh-CN"/>
        </w:rPr>
        <w:t>（二）机关运行经费指行政单位和参照公务员法管理的事业单位使用一般公共预算财政拨款安排的基本支出中的公用经费支出。</w:t>
      </w:r>
    </w:p>
    <w:p w14:paraId="5DCFE712">
      <w:pPr>
        <w:keepNext w:val="0"/>
        <w:keepLines w:val="0"/>
        <w:pageBreakBefore w:val="0"/>
        <w:widowControl/>
        <w:kinsoku/>
        <w:wordWrap/>
        <w:overflowPunct/>
        <w:topLinePunct w:val="0"/>
        <w:autoSpaceDE/>
        <w:autoSpaceDN/>
        <w:bidi w:val="0"/>
        <w:adjustRightInd/>
        <w:spacing w:line="600" w:lineRule="exact"/>
        <w:ind w:firstLine="600" w:firstLineChars="200"/>
        <w:textAlignment w:val="auto"/>
        <w:rPr>
          <w:rFonts w:hint="eastAsia" w:ascii="仿宋_GB2312" w:hAnsi="黑体" w:eastAsia="仿宋_GB2312" w:cs="方正小标宋简体"/>
          <w:color w:val="000000"/>
          <w:kern w:val="0"/>
          <w:sz w:val="30"/>
          <w:szCs w:val="30"/>
          <w:highlight w:val="none"/>
          <w:lang w:val="en-US" w:eastAsia="zh-CN"/>
        </w:rPr>
      </w:pPr>
      <w:r>
        <w:rPr>
          <w:rFonts w:hint="eastAsia" w:ascii="仿宋_GB2312" w:hAnsi="黑体" w:eastAsia="仿宋_GB2312" w:cs="方正小标宋简体"/>
          <w:color w:val="000000"/>
          <w:kern w:val="0"/>
          <w:sz w:val="30"/>
          <w:szCs w:val="30"/>
          <w:highlight w:val="none"/>
          <w:lang w:val="en-US" w:eastAsia="zh-CN"/>
        </w:rPr>
        <w:t>（三）按照党中央、国务院有关文件及部门预算管理有关规定，“三公”经费包括因公出国（境）费用、公务用车购置及运行维护费、公务接待费。其中：因公出国（境）费用，指单位公务出国（境）的国际旅费、国外城市间交通费、住宿费、伙食费、培训费、公杂费等支出；公务用车购置费，指公务用车购置支出（含车辆购置税、牌照费）；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本文中公开的财政拨款“三公”经费相关数据是一般公共预算、政府性基金及国有资本经营预算财政拨款支出的相关经费，不含非财政拨款部分。</w:t>
      </w:r>
    </w:p>
    <w:p w14:paraId="162FDE3A">
      <w:pPr>
        <w:keepNext w:val="0"/>
        <w:keepLines w:val="0"/>
        <w:pageBreakBefore w:val="0"/>
        <w:widowControl/>
        <w:kinsoku/>
        <w:wordWrap/>
        <w:overflowPunct/>
        <w:topLinePunct w:val="0"/>
        <w:autoSpaceDE/>
        <w:autoSpaceDN/>
        <w:bidi w:val="0"/>
        <w:adjustRightInd/>
        <w:spacing w:line="600" w:lineRule="exact"/>
        <w:ind w:firstLine="600" w:firstLineChars="200"/>
        <w:textAlignment w:val="auto"/>
        <w:rPr>
          <w:rFonts w:hint="eastAsia" w:ascii="仿宋_GB2312" w:hAnsi="黑体" w:eastAsia="仿宋_GB2312" w:cs="方正小标宋简体"/>
          <w:color w:val="000000"/>
          <w:kern w:val="0"/>
          <w:sz w:val="30"/>
          <w:szCs w:val="30"/>
          <w:highlight w:val="none"/>
          <w:lang w:val="en-US" w:eastAsia="zh-CN"/>
        </w:rPr>
      </w:pPr>
      <w:r>
        <w:rPr>
          <w:rFonts w:hint="eastAsia" w:ascii="仿宋_GB2312" w:hAnsi="黑体" w:eastAsia="仿宋_GB2312" w:cs="方正小标宋简体"/>
          <w:color w:val="000000"/>
          <w:kern w:val="0"/>
          <w:sz w:val="30"/>
          <w:szCs w:val="30"/>
          <w:highlight w:val="none"/>
          <w:lang w:val="en-US" w:eastAsia="zh-CN"/>
        </w:rPr>
        <w:t>（四）本文所称财政拨款“三公”经费决算数是指各部门（含下属单位）或单位当年通过本级财政拨款和以前年度财政拨款结转结余资金安排的因公出国（境）费用、公务用车购置及运行维护费和公务接待费支出数（包括基本支出和项目支出）。</w:t>
      </w:r>
    </w:p>
    <w:p w14:paraId="5A16B10B">
      <w:pPr>
        <w:pStyle w:val="2"/>
        <w:keepNext w:val="0"/>
        <w:keepLines w:val="0"/>
        <w:pageBreakBefore w:val="0"/>
        <w:kinsoku/>
        <w:wordWrap/>
        <w:overflowPunct/>
        <w:topLinePunct w:val="0"/>
        <w:autoSpaceDE/>
        <w:autoSpaceDN/>
        <w:bidi w:val="0"/>
        <w:adjustRightInd/>
        <w:spacing w:line="600" w:lineRule="exact"/>
        <w:textAlignment w:val="auto"/>
        <w:rPr>
          <w:rFonts w:hint="eastAsia"/>
          <w:lang w:val="en-US" w:eastAsia="zh-CN"/>
        </w:rPr>
      </w:pPr>
    </w:p>
    <w:p w14:paraId="730C7302">
      <w:pPr>
        <w:keepNext w:val="0"/>
        <w:keepLines w:val="0"/>
        <w:pageBreakBefore w:val="0"/>
        <w:kinsoku/>
        <w:wordWrap/>
        <w:overflowPunct/>
        <w:topLinePunct w:val="0"/>
        <w:autoSpaceDE/>
        <w:autoSpaceDN/>
        <w:bidi w:val="0"/>
        <w:adjustRightInd/>
        <w:spacing w:line="600" w:lineRule="exact"/>
        <w:jc w:val="center"/>
        <w:textAlignment w:val="auto"/>
        <w:outlineLvl w:val="0"/>
        <w:rPr>
          <w:rFonts w:hint="eastAsia" w:ascii="黑体" w:hAnsi="黑体" w:eastAsia="黑体" w:cs="方正小标宋简体"/>
          <w:sz w:val="32"/>
          <w:szCs w:val="32"/>
          <w:highlight w:val="none"/>
        </w:rPr>
      </w:pPr>
      <w:r>
        <w:rPr>
          <w:rFonts w:hint="eastAsia" w:ascii="黑体" w:hAnsi="黑体" w:eastAsia="黑体" w:cs="方正小标宋简体"/>
          <w:sz w:val="32"/>
          <w:szCs w:val="32"/>
          <w:highlight w:val="none"/>
        </w:rPr>
        <w:t>第</w:t>
      </w:r>
      <w:r>
        <w:rPr>
          <w:rFonts w:hint="eastAsia" w:ascii="黑体" w:hAnsi="黑体" w:eastAsia="黑体" w:cs="方正小标宋简体"/>
          <w:sz w:val="32"/>
          <w:szCs w:val="32"/>
          <w:highlight w:val="none"/>
          <w:lang w:eastAsia="zh-CN"/>
        </w:rPr>
        <w:t>五</w:t>
      </w:r>
      <w:r>
        <w:rPr>
          <w:rFonts w:hint="eastAsia" w:ascii="黑体" w:hAnsi="黑体" w:eastAsia="黑体" w:cs="方正小标宋简体"/>
          <w:sz w:val="32"/>
          <w:szCs w:val="32"/>
          <w:highlight w:val="none"/>
        </w:rPr>
        <w:t>部分  名词解释</w:t>
      </w:r>
    </w:p>
    <w:p w14:paraId="505436CD">
      <w:pPr>
        <w:keepNext w:val="0"/>
        <w:keepLines w:val="0"/>
        <w:pageBreakBefore w:val="0"/>
        <w:widowControl/>
        <w:kinsoku/>
        <w:wordWrap/>
        <w:overflowPunct/>
        <w:topLinePunct w:val="0"/>
        <w:autoSpaceDE/>
        <w:autoSpaceDN/>
        <w:bidi w:val="0"/>
        <w:adjustRightInd/>
        <w:spacing w:line="600" w:lineRule="exact"/>
        <w:ind w:firstLine="600" w:firstLineChars="200"/>
        <w:textAlignment w:val="auto"/>
        <w:rPr>
          <w:highlight w:val="none"/>
        </w:rPr>
      </w:pPr>
      <w:r>
        <w:rPr>
          <w:rFonts w:hint="eastAsia" w:ascii="仿宋_GB2312" w:hAnsi="黑体" w:eastAsia="仿宋_GB2312" w:cs="方正小标宋简体"/>
          <w:color w:val="000000"/>
          <w:kern w:val="0"/>
          <w:sz w:val="30"/>
          <w:szCs w:val="30"/>
          <w:highlight w:val="none"/>
          <w:lang w:val="en-US" w:eastAsia="zh-CN"/>
        </w:rPr>
        <w:t>部门决算：各部门依据国家有关法律法规规定及其履行职能情况编制，反映部门和单位所有预算收支和结余执行结果及绩效等情况的综合性年度报告，是改进部门预算执行以及编制后续年度部门预算的参考和</w:t>
      </w:r>
      <w:bookmarkStart w:id="0" w:name="_GoBack"/>
      <w:bookmarkEnd w:id="0"/>
      <w:r>
        <w:rPr>
          <w:rFonts w:hint="eastAsia" w:ascii="仿宋_GB2312" w:hAnsi="黑体" w:eastAsia="仿宋_GB2312" w:cs="方正小标宋简体"/>
          <w:color w:val="000000"/>
          <w:kern w:val="0"/>
          <w:sz w:val="30"/>
          <w:szCs w:val="30"/>
          <w:highlight w:val="none"/>
          <w:lang w:val="en-US" w:eastAsia="zh-CN"/>
        </w:rPr>
        <w:t>依据。</w:t>
      </w:r>
    </w:p>
    <w:sectPr>
      <w:headerReference r:id="rId3" w:type="default"/>
      <w:footerReference r:id="rId4" w:type="default"/>
      <w:footerReference r:id="rId5" w:type="even"/>
      <w:pgSz w:w="11906" w:h="16838"/>
      <w:pgMar w:top="1417" w:right="1134" w:bottom="1134" w:left="1417"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宋体-方正超大字符集"/>
    <w:panose1 w:val="03000509000000000000"/>
    <w:charset w:val="86"/>
    <w:family w:val="script"/>
    <w:pitch w:val="default"/>
    <w:sig w:usb0="00000000" w:usb1="00000000" w:usb2="00000000" w:usb3="00000000" w:csb0="00040000" w:csb1="00000000"/>
  </w:font>
  <w:font w:name="宋体-方正超大字符集">
    <w:panose1 w:val="03000509000000000000"/>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CC7F6E">
    <w:pPr>
      <w:pStyle w:val="5"/>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061EA2F8">
                          <w:pPr>
                            <w:pStyle w:val="5"/>
                            <w:rPr>
                              <w:rStyle w:val="10"/>
                            </w:rPr>
                          </w:pPr>
                          <w:r>
                            <w:rPr>
                              <w:rStyle w:val="10"/>
                              <w:sz w:val="28"/>
                              <w:szCs w:val="28"/>
                            </w:rPr>
                            <w:fldChar w:fldCharType="begin"/>
                          </w:r>
                          <w:r>
                            <w:rPr>
                              <w:rStyle w:val="10"/>
                              <w:sz w:val="28"/>
                              <w:szCs w:val="28"/>
                            </w:rPr>
                            <w:instrText xml:space="preserve">PAGE  </w:instrText>
                          </w:r>
                          <w:r>
                            <w:rPr>
                              <w:sz w:val="28"/>
                              <w:szCs w:val="28"/>
                            </w:rPr>
                            <w:fldChar w:fldCharType="separate"/>
                          </w:r>
                          <w:r>
                            <w:rPr>
                              <w:rStyle w:val="10"/>
                              <w:sz w:val="28"/>
                              <w:szCs w:val="28"/>
                            </w:rPr>
                            <w:t>8</w:t>
                          </w:r>
                          <w:r>
                            <w:rPr>
                              <w:sz w:val="28"/>
                              <w:szCs w:val="2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aGmCS9MAAAAFAQAADwAAAAAAAAABACAAAAAiAAAAZHJzL2Rvd25y&#10;ZXYueG1sUEsBAhQAFAAAAAgAh07iQFq6k8jKAQAAlwMAAA4AAAAAAAAAAQAgAAAAIgEAAGRycy9l&#10;Mm9Eb2MueG1sUEsFBgAAAAAGAAYAWQEAAF4FAAAAAA==&#10;">
              <v:fill on="f" focussize="0,0"/>
              <v:stroke on="f" weight="1.25pt"/>
              <v:imagedata o:title=""/>
              <o:lock v:ext="edit" aspectratio="f"/>
              <v:textbox inset="0mm,0mm,0mm,0mm" style="mso-fit-shape-to-text:t;">
                <w:txbxContent>
                  <w:p w14:paraId="061EA2F8">
                    <w:pPr>
                      <w:pStyle w:val="5"/>
                      <w:rPr>
                        <w:rStyle w:val="10"/>
                      </w:rPr>
                    </w:pPr>
                    <w:r>
                      <w:rPr>
                        <w:rStyle w:val="10"/>
                        <w:sz w:val="28"/>
                        <w:szCs w:val="28"/>
                      </w:rPr>
                      <w:fldChar w:fldCharType="begin"/>
                    </w:r>
                    <w:r>
                      <w:rPr>
                        <w:rStyle w:val="10"/>
                        <w:sz w:val="28"/>
                        <w:szCs w:val="28"/>
                      </w:rPr>
                      <w:instrText xml:space="preserve">PAGE  </w:instrText>
                    </w:r>
                    <w:r>
                      <w:rPr>
                        <w:sz w:val="28"/>
                        <w:szCs w:val="28"/>
                      </w:rPr>
                      <w:fldChar w:fldCharType="separate"/>
                    </w:r>
                    <w:r>
                      <w:rPr>
                        <w:rStyle w:val="10"/>
                        <w:sz w:val="28"/>
                        <w:szCs w:val="28"/>
                      </w:rPr>
                      <w:t>8</w:t>
                    </w:r>
                    <w:r>
                      <w:rPr>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C8CD48">
    <w:pPr>
      <w:pStyle w:val="5"/>
      <w:framePr w:wrap="around" w:vAnchor="text" w:hAnchor="margin" w:xAlign="center" w:y="1"/>
      <w:rPr>
        <w:rStyle w:val="10"/>
      </w:rPr>
    </w:pPr>
    <w:r>
      <w:rPr>
        <w:rStyle w:val="10"/>
      </w:rPr>
      <w:fldChar w:fldCharType="begin"/>
    </w:r>
    <w:r>
      <w:rPr>
        <w:rStyle w:val="10"/>
      </w:rPr>
      <w:instrText xml:space="preserve">PAGE  </w:instrText>
    </w:r>
    <w:r>
      <w:fldChar w:fldCharType="separate"/>
    </w:r>
    <w:r>
      <w:fldChar w:fldCharType="end"/>
    </w:r>
  </w:p>
  <w:p w14:paraId="44CBB27C">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088730">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singleLevel"/>
    <w:tmpl w:val="0053208E"/>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C2C2D3D"/>
    <w:rsid w:val="11151DF7"/>
    <w:rsid w:val="3EB3320D"/>
    <w:rsid w:val="435B047F"/>
    <w:rsid w:val="65373129"/>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customStyle="1" w:styleId="2">
    <w:name w:val="正文-公1"/>
    <w:basedOn w:val="3"/>
    <w:next w:val="1"/>
    <w:qFormat/>
    <w:uiPriority w:val="0"/>
    <w:pPr>
      <w:ind w:firstLine="200" w:firstLineChars="200"/>
    </w:pPr>
  </w:style>
  <w:style w:type="paragraph" w:customStyle="1" w:styleId="3">
    <w:name w:val="正文 New New New New New New New New New New New New New New New New New New New New New New New New New New New New New New New New New New New New New New New New New New New New New New New New New New New New New New New New New New New New New New Ne"/>
    <w:next w:val="2"/>
    <w:qFormat/>
    <w:uiPriority w:val="0"/>
    <w:pPr>
      <w:widowControl w:val="0"/>
      <w:jc w:val="both"/>
    </w:pPr>
    <w:rPr>
      <w:rFonts w:ascii="Times New Roman" w:hAnsi="Times New Roman" w:eastAsia="宋体" w:cs="Times New Roman"/>
      <w:kern w:val="2"/>
      <w:sz w:val="21"/>
      <w:lang w:val="en-US" w:eastAsia="zh-CN"/>
    </w:rPr>
  </w:style>
  <w:style w:type="paragraph" w:styleId="4">
    <w:name w:val="Body Text"/>
    <w:basedOn w:val="1"/>
    <w:qFormat/>
    <w:uiPriority w:val="0"/>
    <w:pPr>
      <w:spacing w:before="93" w:beforeLines="30"/>
    </w:pPr>
    <w:rPr>
      <w:rFonts w:ascii="仿宋_GB2312" w:eastAsia="仿宋_GB2312"/>
      <w:sz w:val="30"/>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8">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0">
    <w:name w:val="page number"/>
    <w:basedOn w:val="9"/>
    <w:qFormat/>
    <w:uiPriority w:val="0"/>
  </w:style>
</w:styles>
</file>

<file path=word/_rels/document.xml.rels><?xml version="1.0" encoding="UTF-8" standalone="yes"?>
<Relationships xmlns="http://schemas.openxmlformats.org/package/2006/relationships"><Relationship Id="rId9" Type="http://schemas.openxmlformats.org/officeDocument/2006/relationships/chart" Target="charts/chart3.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F:\&#24037;&#20316;&#25991;&#26723;\&#37096;&#38376;&#20915;&#31639;\2024&#24180;&#20915;&#31639;&#20844;&#24320;\&#21355;&#29983;&#30417;&#30563;&#23616;\&#37096;&#38376;&#20915;&#31639;&#20844;&#24320;&#20998;&#26512;&#22270;&#34920;&#26426;&#20851;&#24037;&#22996;.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F:\&#24037;&#20316;&#25991;&#26723;\&#37096;&#38376;&#20915;&#31639;\2024&#24180;&#20915;&#31639;&#20844;&#24320;\&#21355;&#29983;&#30417;&#30563;&#23616;\&#37096;&#38376;&#20915;&#31639;&#20844;&#24320;&#20998;&#26512;&#22270;&#34920;&#26426;&#20851;&#24037;&#22996;.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F:\&#24037;&#20316;&#25991;&#26723;\&#37096;&#38376;&#20915;&#31639;\2024&#24180;&#20915;&#31639;&#20844;&#24320;\&#21355;&#29983;&#30417;&#30563;&#23616;\&#37096;&#38376;&#20915;&#31639;&#20844;&#24320;&#20998;&#26512;&#22270;&#34920;&#26426;&#20851;&#24037;&#22996;.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202</a:t>
            </a:r>
            <a:r>
              <a:rPr lang="en-US" altLang="zh-CN"/>
              <a:t>5</a:t>
            </a:r>
            <a:r>
              <a:t>年度收入占比分布</a:t>
            </a:r>
          </a:p>
        </c:rich>
      </c:tx>
      <c:layout>
        <c:manualLayout>
          <c:xMode val="edge"/>
          <c:yMode val="edge"/>
          <c:x val="0.381860313846654"/>
          <c:y val="0.0368550368550369"/>
        </c:manualLayout>
      </c:layout>
      <c:overlay val="0"/>
      <c:spPr>
        <a:noFill/>
        <a:ln>
          <a:noFill/>
        </a:ln>
        <a:effectLst/>
      </c:spPr>
    </c:title>
    <c:autoTitleDeleted val="0"/>
    <c:plotArea>
      <c:layout>
        <c:manualLayout>
          <c:layoutTarget val="inner"/>
          <c:xMode val="edge"/>
          <c:yMode val="edge"/>
          <c:x val="0.0757785185787462"/>
          <c:y val="0.368199368199368"/>
          <c:w val="0.848524270265875"/>
          <c:h val="0.524745524745525"/>
        </c:manualLayout>
      </c:layout>
      <c:lineChart>
        <c:grouping val="standard"/>
        <c:varyColors val="0"/>
        <c:ser>
          <c:idx val="0"/>
          <c:order val="0"/>
          <c:spPr>
            <a:ln w="28575" cap="rnd">
              <a:solidFill>
                <a:schemeClr val="accent1"/>
              </a:solidFill>
              <a:round/>
            </a:ln>
            <a:effectLst/>
            <a:sp3d contourW="9525"/>
          </c:spPr>
          <c:marker>
            <c:symbol val="none"/>
          </c:marker>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财政拨款收入, 99.9</a:t>
                    </a:r>
                    <a:r>
                      <a:rPr lang="en-US" altLang="zh-CN"/>
                      <a:t>4%</a:t>
                    </a:r>
                    <a:endParaRPr lang="en-US" altLang="zh-CN"/>
                  </a:p>
                </c:rich>
              </c:tx>
              <c:dLblPos val="r"/>
              <c:showLegendKey val="0"/>
              <c:showVal val="1"/>
              <c:showCatName val="1"/>
              <c:showSerName val="0"/>
              <c:showPercent val="1"/>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其他收入, 0.0</a:t>
                    </a:r>
                    <a:r>
                      <a:rPr lang="en-US" altLang="zh-CN"/>
                      <a:t>6%</a:t>
                    </a:r>
                    <a:endParaRPr lang="en-US" altLang="zh-CN"/>
                  </a:p>
                </c:rich>
              </c:tx>
              <c:dLblPos val="r"/>
              <c:showLegendKey val="0"/>
              <c:showVal val="1"/>
              <c:showCatName val="1"/>
              <c:showSerName val="0"/>
              <c:showPercent val="1"/>
              <c:showBubbleSize val="0"/>
              <c:extLst>
                <c:ext xmlns:c15="http://schemas.microsoft.com/office/drawing/2012/chart" uri="{CE6537A1-D6FC-4f65-9D91-7224C49458BB}"/>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r"/>
            <c:showLegendKey val="0"/>
            <c:showVal val="1"/>
            <c:showCatName val="1"/>
            <c:showSerName val="0"/>
            <c:showPercent val="1"/>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round/>
                    </a:ln>
                    <a:effectLst/>
                  </c:spPr>
                </c15:leaderLines>
              </c:ext>
            </c:extLst>
          </c:dLbls>
          <c:cat>
            <c:strRef>
              <c:f>[部门决算公开分析图表机关工委.xlsx]Sheet1!$A$1:$A$2</c:f>
              <c:strCache>
                <c:ptCount val="2"/>
                <c:pt idx="0">
                  <c:v>财政拨款收入</c:v>
                </c:pt>
                <c:pt idx="1">
                  <c:v>其他收入</c:v>
                </c:pt>
              </c:strCache>
            </c:strRef>
          </c:cat>
          <c:val>
            <c:numRef>
              <c:f>[部门决算公开分析图表机关工委.xlsx]Sheet1!$B$1:$B$2</c:f>
              <c:numCache>
                <c:formatCode>General</c:formatCode>
                <c:ptCount val="2"/>
                <c:pt idx="0">
                  <c:v>99.95</c:v>
                </c:pt>
                <c:pt idx="1">
                  <c:v>0.05</c:v>
                </c:pt>
              </c:numCache>
            </c:numRef>
          </c:val>
          <c:smooth val="0"/>
        </c:ser>
        <c:dLbls>
          <c:showLegendKey val="0"/>
          <c:showVal val="1"/>
          <c:showCatName val="1"/>
          <c:showSerName val="0"/>
          <c:showPercent val="1"/>
          <c:showBubbleSize val="0"/>
        </c:dLbls>
        <c:marker val="0"/>
        <c:smooth val="0"/>
        <c:axId val="979486764"/>
        <c:axId val="505764692"/>
      </c:lineChart>
      <c:catAx>
        <c:axId val="979486764"/>
        <c:scaling>
          <c:orientation val="minMax"/>
        </c:scaling>
        <c:delete val="0"/>
        <c:axPos val="b"/>
        <c:majorTickMark val="out"/>
        <c:minorTickMark val="none"/>
        <c:tickLblPos val="nextTo"/>
        <c:spPr>
          <a:noFill/>
          <a:ln w="9525">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05764692"/>
        <c:crosses val="autoZero"/>
        <c:auto val="1"/>
        <c:lblAlgn val="ctr"/>
        <c:lblOffset val="100"/>
        <c:noMultiLvlLbl val="0"/>
      </c:catAx>
      <c:valAx>
        <c:axId val="505764692"/>
        <c:scaling>
          <c:orientation val="minMax"/>
        </c:scaling>
        <c:delete val="0"/>
        <c:axPos val="l"/>
        <c:majorGridlines>
          <c:spPr>
            <a:ln w="9525">
              <a:solidFill>
                <a:schemeClr val="lt1">
                  <a:lumMod val="90200"/>
                </a:schemeClr>
              </a:solidFill>
              <a:round/>
            </a:ln>
            <a:effectLst/>
          </c:spPr>
        </c:majorGridlines>
        <c:title>
          <c:layout/>
          <c:overlay val="0"/>
          <c:spPr>
            <a:noFill/>
            <a:ln>
              <a:noFill/>
            </a:ln>
            <a:effectLst/>
          </c:spPr>
          <c:txPr>
            <a:bodyPr rot="-5400000" spcFirstLastPara="0" vertOverflow="ellipsis" vert="horz" wrap="square" anchor="ctr" anchorCtr="1"/>
            <a:lstStyle/>
            <a:p>
              <a:pPr>
                <a:defRPr lang="zh-CN" sz="1000" b="0" i="0" u="none" strike="noStrike" kern="1200" baseline="0">
                  <a:solidFill>
                    <a:schemeClr val="tx1">
                      <a:lumMod val="65000"/>
                      <a:lumOff val="35000"/>
                    </a:schemeClr>
                  </a:solidFill>
                  <a:latin typeface="+mn-lt"/>
                  <a:ea typeface="+mn-ea"/>
                  <a:cs typeface="+mn-cs"/>
                </a:defRPr>
              </a:pPr>
            </a:p>
          </c:txPr>
        </c:title>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9486764"/>
        <c:crosses val="autoZero"/>
        <c:crossBetween val="between"/>
      </c:valAx>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5ad5cb1d-ad9e-4a54-aa7e-0ee8e2a91b59}"/>
      </c:ext>
    </c:extLst>
  </c:chart>
  <c:spPr>
    <a:solidFill>
      <a:schemeClr val="bg1"/>
    </a:solidFill>
    <a:ln w="9525">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202</a:t>
            </a:r>
            <a:r>
              <a:rPr lang="en-US" altLang="zh-CN"/>
              <a:t>5</a:t>
            </a:r>
            <a:r>
              <a:t>年度支出占比分布</a:t>
            </a:r>
          </a:p>
        </c:rich>
      </c:tx>
      <c:layout>
        <c:manualLayout>
          <c:xMode val="edge"/>
          <c:yMode val="edge"/>
          <c:x val="0.381860313846654"/>
          <c:y val="0.0368550368550369"/>
        </c:manualLayout>
      </c:layout>
      <c:overlay val="0"/>
      <c:spPr>
        <a:noFill/>
        <a:ln>
          <a:noFill/>
        </a:ln>
        <a:effectLst/>
      </c:sp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manualLayout>
          <c:layoutTarget val="inner"/>
          <c:xMode val="edge"/>
          <c:yMode val="edge"/>
          <c:x val="0.0757785185787462"/>
          <c:y val="0.368199368199368"/>
          <c:w val="0.848524270265875"/>
          <c:h val="0.524745524745525"/>
        </c:manualLayout>
      </c:layout>
      <c:pie3DChart>
        <c:varyColors val="1"/>
        <c:ser>
          <c:idx val="0"/>
          <c:order val="0"/>
          <c:spPr/>
          <c:explosion val="0"/>
          <c:dPt>
            <c:idx val="0"/>
            <c:bubble3D val="0"/>
            <c:spPr>
              <a:gradFill rotWithShape="0">
                <a:gsLst>
                  <a:gs pos="0">
                    <a:schemeClr val="accent1">
                      <a:lumMod val="40000"/>
                      <a:lumOff val="60000"/>
                    </a:schemeClr>
                  </a:gs>
                  <a:gs pos="90000">
                    <a:schemeClr val="accent1"/>
                  </a:gs>
                </a:gsLst>
                <a:lin ang="5400000" scaled="0"/>
              </a:gradFill>
              <a:ln>
                <a:gradFill rotWithShape="0">
                  <a:gsLst>
                    <a:gs pos="0">
                      <a:schemeClr val="accent1"/>
                    </a:gs>
                    <a:gs pos="100000">
                      <a:schemeClr val="accent1">
                        <a:lumMod val="75000"/>
                      </a:schemeClr>
                    </a:gs>
                  </a:gsLst>
                  <a:lin ang="5400000" scaled="1"/>
                </a:gradFill>
              </a:ln>
              <a:effectLst>
                <a:outerShdw blurRad="76200" dist="25400" dir="2700000" algn="tl" rotWithShape="0">
                  <a:srgbClr val="000000">
                    <a:lumMod val="50000"/>
                    <a:alpha val="30000"/>
                  </a:srgbClr>
                </a:outerShdw>
              </a:effectLst>
              <a:scene3d>
                <a:camera prst="orthographicFront"/>
                <a:lightRig rig="threePt" dir="t"/>
              </a:scene3d>
              <a:sp3d contourW="9525"/>
            </c:spPr>
          </c:dPt>
          <c:dPt>
            <c:idx val="1"/>
            <c:bubble3D val="0"/>
            <c:spPr>
              <a:gradFill rotWithShape="0">
                <a:gsLst>
                  <a:gs pos="0">
                    <a:schemeClr val="accent2">
                      <a:lumMod val="40000"/>
                      <a:lumOff val="60000"/>
                    </a:schemeClr>
                  </a:gs>
                  <a:gs pos="90000">
                    <a:schemeClr val="accent2"/>
                  </a:gs>
                </a:gsLst>
                <a:lin ang="5400000" scaled="0"/>
              </a:gradFill>
              <a:ln>
                <a:gradFill rotWithShape="0">
                  <a:gsLst>
                    <a:gs pos="0">
                      <a:schemeClr val="accent2"/>
                    </a:gs>
                    <a:gs pos="100000">
                      <a:schemeClr val="accent2">
                        <a:lumMod val="75000"/>
                      </a:schemeClr>
                    </a:gs>
                  </a:gsLst>
                  <a:lin ang="5400000" scaled="1"/>
                </a:gradFill>
              </a:ln>
              <a:effectLst>
                <a:outerShdw blurRad="76200" dist="25400" dir="2700000" algn="tl" rotWithShape="0">
                  <a:srgbClr val="000000">
                    <a:lumMod val="50000"/>
                    <a:alpha val="30000"/>
                  </a:srgbClr>
                </a:outerShdw>
              </a:effectLst>
              <a:scene3d>
                <a:camera prst="orthographicFront"/>
                <a:lightRig rig="threePt" dir="t"/>
              </a:scene3d>
              <a:sp3d contourW="9525"/>
            </c:spPr>
          </c:dPt>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基本支出, </a:t>
                    </a:r>
                    <a:r>
                      <a:rPr lang="en-US" altLang="zh-CN"/>
                      <a:t>97.57</a:t>
                    </a:r>
                    <a:r>
                      <a:t>%</a:t>
                    </a:r>
                  </a:p>
                </c:rich>
              </c:tx>
              <c:dLblPos val="outEnd"/>
              <c:showLegendKey val="0"/>
              <c:showVal val="1"/>
              <c:showCatName val="1"/>
              <c:showSerName val="0"/>
              <c:showPercent val="1"/>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项目支出, </a:t>
                    </a:r>
                    <a:r>
                      <a:rPr lang="en-US" altLang="zh-CN"/>
                      <a:t>2.43</a:t>
                    </a:r>
                    <a:r>
                      <a:t>%</a:t>
                    </a:r>
                  </a:p>
                </c:rich>
              </c:tx>
              <c:dLblPos val="outEnd"/>
              <c:showLegendKey val="0"/>
              <c:showVal val="1"/>
              <c:showCatName val="1"/>
              <c:showSerName val="0"/>
              <c:showPercent val="1"/>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1"/>
            <c:showSerName val="0"/>
            <c:showPercent val="1"/>
            <c:showBubbleSize val="0"/>
            <c:showLeaderLines val="1"/>
            <c:extLst>
              <c:ext xmlns:c15="http://schemas.microsoft.com/office/drawing/2012/chart" uri="{CE6537A1-D6FC-4f65-9D91-7224C49458BB}">
                <c15:layout/>
                <c15:showLeaderLines val="1"/>
                <c15:leaderLines>
                  <c:spPr>
                    <a:ln w="9525">
                      <a:solidFill>
                        <a:schemeClr val="tx1">
                          <a:lumMod val="35000"/>
                          <a:lumOff val="65000"/>
                        </a:schemeClr>
                      </a:solidFill>
                      <a:round/>
                    </a:ln>
                    <a:effectLst/>
                  </c:spPr>
                </c15:leaderLines>
              </c:ext>
            </c:extLst>
          </c:dLbls>
          <c:cat>
            <c:strRef>
              <c:f>[部门决算公开分析图表机关工委.xlsx]Sheet1!$A$12:$A$13</c:f>
              <c:strCache>
                <c:ptCount val="2"/>
                <c:pt idx="0">
                  <c:v>基本支出</c:v>
                </c:pt>
                <c:pt idx="1">
                  <c:v>项目支出</c:v>
                </c:pt>
              </c:strCache>
            </c:strRef>
          </c:cat>
          <c:val>
            <c:numRef>
              <c:f>[部门决算公开分析图表机关工委.xlsx]Sheet1!$B$12:$B$13</c:f>
              <c:numCache>
                <c:formatCode>_ * #,##0.00_ ;_ * \-#,##0.00_ ;_ * "-"??_ ;_ @_ </c:formatCode>
                <c:ptCount val="2"/>
                <c:pt idx="0">
                  <c:v>91.16</c:v>
                </c:pt>
                <c:pt idx="1">
                  <c:v>8.84</c:v>
                </c:pt>
              </c:numCache>
            </c:numRef>
          </c:val>
        </c:ser>
        <c:dLbls>
          <c:showLegendKey val="0"/>
          <c:showVal val="0"/>
          <c:showCatName val="1"/>
          <c:showSerName val="0"/>
          <c:showPercent val="0"/>
          <c:showBubbleSize val="0"/>
        </c:dLbls>
      </c:pie3D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96ce771-970b-4381-a6a3-d39aa127314f}"/>
      </c:ext>
    </c:extLst>
  </c:chart>
  <c:spPr>
    <a:solidFill>
      <a:schemeClr val="bg1"/>
    </a:solidFill>
    <a:ln w="9525">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0" vertOverflow="ellipsis" vert="horz" wrap="square" anchor="ctr" anchorCtr="1"/>
          <a:lstStyle/>
          <a:p>
            <a:pPr defTabSz="914400">
              <a:defRPr lang="zh-CN" sz="1400" b="1" i="0" u="none" strike="noStrike" kern="1200" cap="none" spc="20" baseline="0">
                <a:solidFill>
                  <a:schemeClr val="dk1">
                    <a:lumMod val="50000"/>
                    <a:lumOff val="50000"/>
                  </a:schemeClr>
                </a:solidFill>
                <a:latin typeface="+mn-lt"/>
                <a:ea typeface="+mn-ea"/>
                <a:cs typeface="+mn-cs"/>
              </a:defRPr>
            </a:pPr>
            <a:r>
              <a:rPr lang="en-US" altLang="zh-CN">
                <a:cs typeface="+mn-lt"/>
              </a:rPr>
              <a:t>2025</a:t>
            </a:r>
            <a:r>
              <a:rPr altLang="en-US">
                <a:cs typeface="+mn-lt"/>
              </a:rPr>
              <a:t>年度基本支出</a:t>
            </a:r>
            <a:r>
              <a:rPr>
                <a:cs typeface="+mn-lt"/>
              </a:rPr>
              <a:t>分布</a:t>
            </a:r>
            <a:endParaRPr>
              <a:cs typeface="+mn-lt"/>
            </a:endParaRPr>
          </a:p>
        </c:rich>
      </c:tx>
      <c:layout/>
      <c:overlay val="0"/>
      <c:spPr>
        <a:noFill/>
        <a:ln>
          <a:noFill/>
        </a:ln>
        <a:effectLst/>
      </c:spPr>
    </c:title>
    <c:autoTitleDeleted val="0"/>
    <c:plotArea>
      <c:layout/>
      <c:barChart>
        <c:barDir val="bar"/>
        <c:grouping val="clustered"/>
        <c:varyColors val="0"/>
        <c:ser>
          <c:idx val="0"/>
          <c:order val="0"/>
          <c:spPr>
            <a:gradFill rotWithShape="1">
              <a:gsLst>
                <a:gs pos="0">
                  <a:schemeClr val="accent4">
                    <a:lumMod val="110000"/>
                    <a:satMod val="105000"/>
                    <a:tint val="67000"/>
                  </a:schemeClr>
                </a:gs>
                <a:gs pos="50000">
                  <a:schemeClr val="accent4">
                    <a:lumMod val="105000"/>
                    <a:satMod val="103000"/>
                    <a:tint val="73000"/>
                  </a:schemeClr>
                </a:gs>
                <a:gs pos="100000">
                  <a:schemeClr val="accent4">
                    <a:lumMod val="105000"/>
                    <a:satMod val="109000"/>
                    <a:tint val="81000"/>
                  </a:schemeClr>
                </a:gs>
              </a:gsLst>
              <a:lin ang="5400000" scaled="0"/>
            </a:gradFill>
            <a:ln w="9525">
              <a:solidFill>
                <a:schemeClr val="accent4">
                  <a:shade val="95000"/>
                </a:schemeClr>
              </a:solidFill>
              <a:round/>
            </a:ln>
            <a:effectLst/>
          </c:spPr>
          <c:invertIfNegative val="0"/>
          <c:dLbls>
            <c:dLbl>
              <c:idx val="0"/>
              <c:layout/>
              <c:tx>
                <c:rich>
                  <a:bodyPr rot="0" spcFirstLastPara="0" vertOverflow="ellipsis" vert="horz" wrap="square" lIns="38100" tIns="19050" rIns="38100" bIns="19050" anchor="ctr" anchorCtr="1"/>
                  <a:lstStyle/>
                  <a:p>
                    <a:pPr defTabSz="914400">
                      <a:defRPr lang="zh-CN" sz="900" b="0" i="0" u="none" strike="noStrike" kern="1200" baseline="0">
                        <a:solidFill>
                          <a:schemeClr val="dk1">
                            <a:lumMod val="65000"/>
                            <a:lumOff val="35000"/>
                          </a:schemeClr>
                        </a:solidFill>
                        <a:latin typeface="+mn-lt"/>
                        <a:ea typeface="+mn-ea"/>
                        <a:cs typeface="+mn-cs"/>
                      </a:defRPr>
                    </a:pPr>
                    <a:r>
                      <a:rPr lang="en-US" altLang="zh-CN"/>
                      <a:t>7,619,482.36</a:t>
                    </a:r>
                    <a:endParaRPr lang="en-US" altLang="zh-CN"/>
                  </a:p>
                </c:rich>
              </c:tx>
              <c:dLblPos val="ctr"/>
              <c:showLegendKey val="0"/>
              <c:showVal val="1"/>
              <c:showCatName val="0"/>
              <c:showSerName val="0"/>
              <c:showPercent val="0"/>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900" b="0" i="0" u="none" strike="noStrike" kern="1200" baseline="0">
                        <a:solidFill>
                          <a:schemeClr val="dk1">
                            <a:lumMod val="65000"/>
                            <a:lumOff val="35000"/>
                          </a:schemeClr>
                        </a:solidFill>
                        <a:latin typeface="+mn-lt"/>
                        <a:ea typeface="+mn-ea"/>
                        <a:cs typeface="+mn-cs"/>
                      </a:defRPr>
                    </a:pPr>
                    <a:r>
                      <a:rPr lang="en-US" altLang="zh-CN"/>
                      <a:t>886,270.92</a:t>
                    </a:r>
                    <a:endParaRPr lang="en-US" altLang="zh-CN"/>
                  </a:p>
                </c:rich>
              </c:tx>
              <c:dLblPos val="ctr"/>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dk1">
                        <a:lumMod val="65000"/>
                        <a:lumOff val="3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35000"/>
                          <a:lumOff val="65000"/>
                        </a:schemeClr>
                      </a:solidFill>
                    </a:ln>
                    <a:effectLst/>
                  </c:spPr>
                </c15:leaderLines>
              </c:ext>
            </c:extLst>
          </c:dLbls>
          <c:cat>
            <c:strRef>
              <c:f>[部门决算公开分析图表机关工委.xlsx]Sheet1!$A$23:$A$24</c:f>
              <c:strCache>
                <c:ptCount val="2"/>
                <c:pt idx="0">
                  <c:v>人员经费支出</c:v>
                </c:pt>
                <c:pt idx="1">
                  <c:v>公用经费</c:v>
                </c:pt>
              </c:strCache>
            </c:strRef>
          </c:cat>
          <c:val>
            <c:numRef>
              <c:f>[部门决算公开分析图表机关工委.xlsx]Sheet1!$B$23:$B$24</c:f>
              <c:numCache>
                <c:formatCode>_ * #,##0.00_ ;_ * \-#,##0.00_ ;_ * "-"??_ ;_ @_ </c:formatCode>
                <c:ptCount val="2"/>
                <c:pt idx="0">
                  <c:v>7255010.84</c:v>
                </c:pt>
                <c:pt idx="1">
                  <c:v>1060963.62</c:v>
                </c:pt>
              </c:numCache>
            </c:numRef>
          </c:val>
        </c:ser>
        <c:dLbls>
          <c:showLegendKey val="0"/>
          <c:showVal val="1"/>
          <c:showCatName val="0"/>
          <c:showSerName val="0"/>
          <c:showPercent val="0"/>
          <c:showBubbleSize val="0"/>
        </c:dLbls>
        <c:gapWidth val="150"/>
        <c:overlap val="0"/>
        <c:axId val="200198007"/>
        <c:axId val="17988568"/>
      </c:barChart>
      <c:catAx>
        <c:axId val="200198007"/>
        <c:scaling>
          <c:orientation val="minMax"/>
        </c:scaling>
        <c:delete val="0"/>
        <c:axPos val="l"/>
        <c:majorTickMark val="none"/>
        <c:minorTickMark val="none"/>
        <c:tickLblPos val="nextTo"/>
        <c:spPr>
          <a:noFill/>
          <a:ln w="9525">
            <a:solidFill>
              <a:schemeClr val="dk1">
                <a:lumMod val="15000"/>
                <a:lumOff val="85000"/>
              </a:schemeClr>
            </a:solidFill>
            <a:round/>
          </a:ln>
          <a:effectLst/>
        </c:spPr>
        <c:txPr>
          <a:bodyPr rot="-60000000" spcFirstLastPara="0" vertOverflow="ellipsis" vert="horz" wrap="square" anchor="ctr" anchorCtr="1"/>
          <a:lstStyle/>
          <a:p>
            <a:pPr>
              <a:defRPr lang="zh-CN" sz="900" b="0" i="0" u="none" strike="noStrike" kern="1200" spc="20" baseline="0">
                <a:solidFill>
                  <a:schemeClr val="dk1">
                    <a:lumMod val="65000"/>
                    <a:lumOff val="35000"/>
                  </a:schemeClr>
                </a:solidFill>
                <a:latin typeface="+mn-lt"/>
                <a:ea typeface="+mn-ea"/>
                <a:cs typeface="+mn-cs"/>
              </a:defRPr>
            </a:pPr>
          </a:p>
        </c:txPr>
        <c:crossAx val="17988568"/>
        <c:crosses val="autoZero"/>
        <c:auto val="1"/>
        <c:lblAlgn val="ctr"/>
        <c:lblOffset val="100"/>
        <c:noMultiLvlLbl val="0"/>
      </c:catAx>
      <c:valAx>
        <c:axId val="17988568"/>
        <c:scaling>
          <c:orientation val="minMax"/>
        </c:scaling>
        <c:delete val="0"/>
        <c:axPos val="b"/>
        <c:numFmt formatCode="_ * #,##0.00_ ;_ * \-#,##0.00_ ;_ * &quot;-&quot;??_ ;_ @_ "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spc="20" baseline="0">
                <a:solidFill>
                  <a:schemeClr val="dk1">
                    <a:lumMod val="65000"/>
                    <a:lumOff val="35000"/>
                  </a:schemeClr>
                </a:solidFill>
                <a:latin typeface="+mn-lt"/>
                <a:ea typeface="+mn-ea"/>
                <a:cs typeface="+mn-cs"/>
              </a:defRPr>
            </a:pPr>
          </a:p>
        </c:txPr>
        <c:crossAx val="200198007"/>
        <c:crosses val="autoZero"/>
        <c:crossBetween val="between"/>
      </c:valAx>
      <c:spPr>
        <a:gradFill rotWithShape="0">
          <a:gsLst>
            <a:gs pos="0">
              <a:schemeClr val="lt1"/>
            </a:gs>
            <a:gs pos="100000">
              <a:schemeClr val="lt1">
                <a:lumMod val="95000"/>
              </a:schemeClr>
            </a:gs>
          </a:gsLst>
          <a:lin ang="5400000" scaled="0"/>
        </a:grad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dk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933366a3-9832-4c85-a4bb-59ff41022220}"/>
      </c:ext>
    </c:extLst>
  </c:chart>
  <c:spPr>
    <a:solidFill>
      <a:schemeClr val="lt1"/>
    </a:solidFill>
    <a:ln w="9525">
      <a:solidFill>
        <a:schemeClr val="dk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withinLinear" id="17">
  <a:schemeClr val="accent4"/>
</cs:colorStyle>
</file>

<file path=word/charts/style1.xml><?xml version="1.0" encoding="utf-8"?>
<cs:chartStyle xmlns:cs="http://schemas.microsoft.com/office/drawing/2012/chartStyle" xmlns:a="http://schemas.openxmlformats.org/drawingml/2006/main" id="1009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styleClr val="auto"/>
    </cs:lnRef>
    <cs:fillRef idx="1">
      <cs:styleClr val="auto"/>
    </cs:fillRef>
    <cs:effectRef idx="0"/>
    <cs:fontRef idx="minor">
      <a:schemeClr val="dk1"/>
    </cs:fontRef>
    <cs:spPr>
      <a:ln>
        <a:solidFill>
          <a:schemeClr val="bg1"/>
        </a:solidFill>
      </a:ln>
      <a:effectLst/>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lt1">
            <a:lumMod val="902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94">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styleClr val="auto"/>
    </cs:effectRef>
    <cs:fontRef idx="minor">
      <a:schemeClr val="tx1"/>
    </cs:fontRef>
    <cs:spPr>
      <a:ln w="19050">
        <a:solidFill>
          <a:schemeClr val="lt1"/>
        </a:solidFill>
      </a:ln>
    </cs:spPr>
  </cs:dataPoint>
  <cs:dataPoint3D>
    <cs:lnRef idx="0">
      <cs:styleClr val="auto"/>
    </cs:lnRef>
    <cs:fillRef idx="0">
      <cs:styleClr val="auto"/>
    </cs:fillRef>
    <cs:effectRef idx="0"/>
    <cs:fontRef idx="minor">
      <a:schemeClr val="dk1"/>
    </cs:fontRef>
    <cs:spPr>
      <a:gradFill rotWithShape="0">
        <a:gsLst>
          <a:gs pos="0">
            <a:schemeClr val="phClr">
              <a:lumMod val="40000"/>
              <a:lumOff val="60000"/>
            </a:schemeClr>
          </a:gs>
          <a:gs pos="90000">
            <a:schemeClr val="phClr"/>
          </a:gs>
        </a:gsLst>
        <a:lin ang="5400000" scaled="0"/>
      </a:gradFill>
      <a:ln>
        <a:gradFill rotWithShape="0">
          <a:gsLst>
            <a:gs pos="0">
              <a:schemeClr val="phClr"/>
            </a:gs>
            <a:gs pos="100000">
              <a:schemeClr val="phClr">
                <a:lumMod val="75000"/>
              </a:schemeClr>
            </a:gs>
          </a:gsLst>
          <a:lin ang="5400000" scaled="1"/>
        </a:gradFill>
      </a:ln>
      <a:effectLst>
        <a:outerShdw blurRad="76200" dist="25400" dir="2700000" algn="tl" rotWithShape="0">
          <a:schemeClr val="phClr">
            <a:lumMod val="50000"/>
            <a:alpha val="30000"/>
          </a:schemeClr>
        </a:outerShdw>
      </a:effectLst>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lt1">
            <a:lumMod val="902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30">
  <cs:axisTitle>
    <cs:lnRef idx="0"/>
    <cs:fillRef idx="0"/>
    <cs:effectRef idx="0"/>
    <cs:fontRef idx="minor">
      <a:schemeClr val="dk1">
        <a:lumMod val="65000"/>
        <a:lumOff val="35000"/>
      </a:schemeClr>
    </cs:fontRef>
    <cs:defRPr sz="900" kern="1200" cap="all"/>
  </cs:axisTitle>
  <cs:categoryAxis>
    <cs:lnRef idx="0"/>
    <cs:fillRef idx="0"/>
    <cs:effectRef idx="0"/>
    <cs:fontRef idx="minor">
      <a:schemeClr val="dk1">
        <a:lumMod val="65000"/>
        <a:lumOff val="35000"/>
      </a:schemeClr>
    </cs:fontRef>
    <cs:spPr>
      <a:ln w="9525">
        <a:solidFill>
          <a:schemeClr val="dk1">
            <a:lumMod val="15000"/>
            <a:lumOff val="85000"/>
          </a:schemeClr>
        </a:solidFill>
        <a:round/>
      </a:ln>
    </cs:spPr>
    <cs:defRPr sz="900" b="0" kern="1200" spc="20" baseline="0"/>
  </cs:categoryAxis>
  <cs:chartArea mods="allowNoLineOverride">
    <cs:lnRef idx="0"/>
    <cs:fillRef idx="0"/>
    <cs:effectRef idx="0"/>
    <cs:fontRef idx="minor">
      <a:schemeClr val="dk1"/>
    </cs:fontRef>
    <cs:spPr>
      <a:solidFill>
        <a:schemeClr val="lt1"/>
      </a:solidFill>
      <a:ln w="9525">
        <a:solidFill>
          <a:schemeClr val="dk1">
            <a:lumMod val="15000"/>
            <a:lumOff val="85000"/>
          </a:schemeClr>
        </a:solidFill>
        <a:round/>
      </a:ln>
    </cs:spPr>
    <cs:defRPr sz="900" kern="1200"/>
  </cs:chartArea>
  <cs:dataLabel>
    <cs:lnRef idx="0"/>
    <cs:fillRef idx="0"/>
    <cs:effectRef idx="0"/>
    <cs:fontRef idx="minor">
      <a:schemeClr val="dk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a:solidFill>
          <a:schemeClr val="phClr">
            <a:shade val="95000"/>
          </a:schemeClr>
        </a:solidFill>
        <a:round/>
      </a:ln>
    </cs:spPr>
  </cs:dataPoint>
  <cs:dataPoint3D>
    <cs:lnRef idx="0">
      <cs:styleClr val="auto"/>
    </cs:lnRef>
    <cs:fillRef idx="2">
      <cs:styleClr val="auto"/>
    </cs:fillRef>
    <cs:effectRef idx="1"/>
    <cs:fontRef idx="minor">
      <a:schemeClr val="dk1"/>
    </cs:fontRef>
    <cs:spPr>
      <a:ln w="9525">
        <a:solidFill>
          <a:schemeClr val="phClr">
            <a:shade val="95000"/>
          </a:schemeClr>
        </a:solidFill>
        <a:round/>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ymbol="circle" size="4"/>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alpha val="33000"/>
          </a:schemeClr>
        </a:solidFill>
        <a:round/>
      </a:ln>
    </cs:spPr>
  </cs:dropLine>
  <cs:errorBar>
    <cs:lnRef idx="0"/>
    <cs:fillRef idx="0"/>
    <cs:effectRef idx="0"/>
    <cs:fontRef idx="minor">
      <a:schemeClr val="dk1"/>
    </cs:fontRef>
    <cs:spPr>
      <a:ln w="9525">
        <a:solidFill>
          <a:schemeClr val="dk1">
            <a:lumMod val="65000"/>
            <a:lumOff val="35000"/>
          </a:schemeClr>
        </a:solidFill>
      </a:ln>
    </cs:spPr>
  </cs:errorBar>
  <cs:floor>
    <cs:lnRef idx="0"/>
    <cs:fillRef idx="0"/>
    <cs:effectRef idx="0"/>
    <cs:fontRef idx="minor">
      <a:schemeClr val="dk1"/>
    </cs:fontRef>
  </cs:floor>
  <cs:gridlineMajor>
    <cs:lnRef idx="0"/>
    <cs:fillRef idx="0"/>
    <cs:effectRef idx="0"/>
    <cs:fontRef idx="minor">
      <a:schemeClr val="dk1"/>
    </cs:fontRef>
    <cs:spPr>
      <a:ln>
        <a:solidFill>
          <a:schemeClr val="dk1">
            <a:lumMod val="15000"/>
            <a:lumOff val="85000"/>
          </a:schemeClr>
        </a:solidFill>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35000"/>
            <a:lumOff val="65000"/>
          </a:schemeClr>
        </a:solidFill>
      </a:ln>
    </cs:spPr>
  </cs:hiLoLine>
  <cs:leaderLine>
    <cs:lnRef idx="0"/>
    <cs:fillRef idx="0"/>
    <cs:effectRef idx="0"/>
    <cs:fontRef idx="minor">
      <a:schemeClr val="dk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gradFill rotWithShape="0">
        <a:gsLst>
          <a:gs pos="0">
            <a:schemeClr val="lt1"/>
          </a:gs>
          <a:gs pos="100000">
            <a:schemeClr val="lt1">
              <a:lumMod val="95000"/>
            </a:schemeClr>
          </a:gs>
        </a:gsLst>
        <a:lin ang="5400000" scaled="0"/>
      </a:gradFill>
    </cs:spPr>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35000"/>
            <a:lumOff val="65000"/>
          </a:schemeClr>
        </a:solidFill>
        <a:prstDash val="dash"/>
      </a:ln>
    </cs:spPr>
  </cs:seriesLine>
  <cs:title>
    <cs:lnRef idx="0"/>
    <cs:fillRef idx="0"/>
    <cs:effectRef idx="0"/>
    <cs:fontRef idx="minor">
      <a:schemeClr val="dk1">
        <a:lumMod val="50000"/>
        <a:lumOff val="50000"/>
      </a:schemeClr>
    </cs:fontRef>
    <cs:defRPr sz="1400" kern="1200" cap="none" spc="2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65000"/>
        <a:lumOff val="35000"/>
      </a:schemeClr>
    </cs:fontRef>
    <cs:defRPr sz="900" kern="1200" spc="20" baseline="0"/>
  </cs:valueAxis>
  <cs:wall>
    <cs:lnRef idx="0"/>
    <cs:fillRef idx="0"/>
    <cs:effectRef idx="0"/>
    <cs:fontRef idx="minor">
      <a:schemeClr val="dk1"/>
    </cs:fontRef>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D45296F7F2444F3C8CDB43DA2E9FADD3</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15db439-4092-4af9-9534-0abbd4b9b1af}">
  <ds:schemaRefs/>
</ds:datastoreItem>
</file>

<file path=docProps/app.xml><?xml version="1.0" encoding="utf-8"?>
<Properties xmlns="http://schemas.openxmlformats.org/officeDocument/2006/extended-properties" xmlns:vt="http://schemas.openxmlformats.org/officeDocument/2006/docPropsVTypes">
  <Template>Normal.dotm</Template>
  <Company>云南省财政厅</Company>
  <Pages>15</Pages>
  <Words>6448</Words>
  <Characters>7786</Characters>
  <Lines>0</Lines>
  <Paragraphs>0</Paragraphs>
  <TotalTime>57</TotalTime>
  <ScaleCrop>false</ScaleCrop>
  <LinksUpToDate>false</LinksUpToDate>
  <CharactersWithSpaces>7822</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2024-06-03T01:34:00Z</dcterms:created>
  <dc:creator>李瑞婷_x0028_拟稿_x0029_</dc:creator>
  <cp:lastModifiedBy>User</cp:lastModifiedBy>
  <cp:lastPrinted>2024-07-30T06:24:00Z</cp:lastPrinted>
  <dcterms:modified xsi:type="dcterms:W3CDTF">2026-09-15T06:25:07Z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654B16332CAD453DB134509E32196782_13</vt:lpwstr>
  </property>
  <property fmtid="{D5CDD505-2E9C-101B-9397-08002B2CF9AE}" pid="4" name="KSOTemplateDocerSaveRecord">
    <vt:lpwstr>eyJoZGlkIjoiOGQyMTcxMTk1ODhjOGYyZDdkNTdlYmNlZWFmMDA1OGYiLCJ1c2VySWQiOiI1ODU2MzM2MzMifQ==</vt:lpwstr>
  </property>
</Properties>
</file>