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B8D90">
      <w:pPr>
        <w:keepNext w:val="0"/>
        <w:keepLines w:val="0"/>
        <w:pageBreakBefore w:val="0"/>
        <w:kinsoku/>
        <w:wordWrap/>
        <w:overflowPunct/>
        <w:topLinePunct w:val="0"/>
        <w:autoSpaceDE/>
        <w:autoSpaceDN/>
        <w:bidi w:val="0"/>
        <w:adjustRightInd/>
        <w:spacing w:line="590" w:lineRule="exact"/>
        <w:jc w:val="center"/>
        <w:textAlignment w:val="auto"/>
        <w:rPr>
          <w:rFonts w:hint="eastAsia" w:ascii="方正小标宋_GBK" w:hAnsi="方正小标宋_GBK" w:eastAsia="方正小标宋_GBK" w:cs="方正小标宋_GBK"/>
          <w:sz w:val="44"/>
          <w:szCs w:val="44"/>
          <w:highlight w:val="none"/>
          <w:lang w:val="zh-CN" w:eastAsia="zh-CN"/>
        </w:rPr>
      </w:pPr>
      <w:r>
        <w:rPr>
          <w:rFonts w:hint="eastAsia" w:ascii="方正小标宋_GBK" w:hAnsi="方正小标宋_GBK" w:eastAsia="方正小标宋_GBK" w:cs="方正小标宋_GBK"/>
          <w:sz w:val="44"/>
          <w:szCs w:val="44"/>
          <w:highlight w:val="none"/>
          <w:lang w:val="zh-CN" w:eastAsia="zh-CN"/>
        </w:rPr>
        <w:t>玉溪市急救中心</w:t>
      </w:r>
      <w:r>
        <w:rPr>
          <w:rFonts w:hint="eastAsia" w:ascii="方正小标宋_GBK" w:hAnsi="方正小标宋_GBK" w:eastAsia="方正小标宋_GBK" w:cs="方正小标宋_GBK"/>
          <w:sz w:val="44"/>
          <w:szCs w:val="44"/>
          <w:highlight w:val="none"/>
          <w:lang w:val="en-US" w:eastAsia="zh-CN"/>
        </w:rPr>
        <w:t>2025年度</w:t>
      </w:r>
      <w:r>
        <w:rPr>
          <w:rFonts w:hint="eastAsia" w:ascii="方正小标宋_GBK" w:hAnsi="方正小标宋_GBK" w:eastAsia="方正小标宋_GBK" w:cs="方正小标宋_GBK"/>
          <w:sz w:val="44"/>
          <w:szCs w:val="44"/>
          <w:highlight w:val="none"/>
          <w:lang w:val="zh-CN" w:eastAsia="zh-CN"/>
        </w:rPr>
        <w:t>部门决算</w:t>
      </w:r>
    </w:p>
    <w:p w14:paraId="26A9FEFD">
      <w:pPr>
        <w:keepNext w:val="0"/>
        <w:keepLines w:val="0"/>
        <w:pageBreakBefore w:val="0"/>
        <w:kinsoku/>
        <w:overflowPunct/>
        <w:autoSpaceDN/>
        <w:bidi w:val="0"/>
        <w:adjustRightInd/>
        <w:spacing w:line="590" w:lineRule="exact"/>
        <w:jc w:val="center"/>
        <w:textAlignment w:val="auto"/>
        <w:rPr>
          <w:rFonts w:hint="eastAsia" w:ascii="方正小标宋简体" w:hAnsi="方正小标宋简体" w:eastAsia="方正小标宋简体" w:cs="方正小标宋简体"/>
          <w:sz w:val="36"/>
          <w:szCs w:val="36"/>
          <w:highlight w:val="none"/>
        </w:rPr>
      </w:pPr>
    </w:p>
    <w:p w14:paraId="43FCBB3E">
      <w:pPr>
        <w:keepNext w:val="0"/>
        <w:keepLines w:val="0"/>
        <w:pageBreakBefore w:val="0"/>
        <w:kinsoku/>
        <w:overflowPunct/>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黑体_GBK" w:hAnsi="方正黑体_GBK" w:eastAsia="方正黑体_GBK" w:cs="方正黑体_GBK"/>
          <w:sz w:val="44"/>
          <w:szCs w:val="44"/>
          <w:highlight w:val="none"/>
          <w:lang w:eastAsia="zh-CN"/>
        </w:rPr>
        <w:t>目录</w:t>
      </w:r>
    </w:p>
    <w:p w14:paraId="18497CF3">
      <w:pPr>
        <w:keepNext w:val="0"/>
        <w:keepLines w:val="0"/>
        <w:pageBreakBefore w:val="0"/>
        <w:kinsoku/>
        <w:overflowPunct/>
        <w:autoSpaceDN/>
        <w:bidi w:val="0"/>
        <w:adjustRightInd/>
        <w:spacing w:line="590" w:lineRule="exact"/>
        <w:jc w:val="left"/>
        <w:textAlignment w:val="auto"/>
        <w:rPr>
          <w:rFonts w:hint="eastAsia" w:ascii="黑体" w:hAnsi="黑体" w:eastAsia="黑体"/>
          <w:sz w:val="30"/>
          <w:szCs w:val="30"/>
          <w:highlight w:val="none"/>
        </w:rPr>
      </w:pPr>
    </w:p>
    <w:p w14:paraId="30355099">
      <w:pPr>
        <w:keepNext w:val="0"/>
        <w:keepLines w:val="0"/>
        <w:pageBreakBefore w:val="0"/>
        <w:kinsoku/>
        <w:overflowPunct/>
        <w:autoSpaceDN/>
        <w:bidi w:val="0"/>
        <w:adjustRightInd/>
        <w:spacing w:line="590" w:lineRule="exact"/>
        <w:jc w:val="left"/>
        <w:textAlignment w:val="auto"/>
        <w:outlineLvl w:val="0"/>
        <w:rPr>
          <w:rFonts w:hint="eastAsia" w:ascii="黑体" w:hAnsi="黑体" w:eastAsia="黑体"/>
          <w:sz w:val="30"/>
          <w:szCs w:val="30"/>
          <w:highlight w:val="none"/>
        </w:rPr>
      </w:pPr>
      <w:r>
        <w:rPr>
          <w:rFonts w:hint="eastAsia" w:ascii="方正黑体_GBK" w:hAnsi="方正黑体_GBK" w:eastAsia="方正黑体_GBK" w:cs="方正黑体_GBK"/>
          <w:sz w:val="32"/>
          <w:szCs w:val="32"/>
          <w:highlight w:val="none"/>
        </w:rPr>
        <w:t xml:space="preserve">第一部分  </w:t>
      </w:r>
      <w:r>
        <w:rPr>
          <w:rFonts w:hint="eastAsia" w:ascii="方正黑体_GBK" w:hAnsi="方正黑体_GBK" w:eastAsia="方正黑体_GBK" w:cs="方正黑体_GBK"/>
          <w:sz w:val="32"/>
          <w:szCs w:val="32"/>
          <w:highlight w:val="none"/>
          <w:lang w:eastAsia="zh-CN"/>
        </w:rPr>
        <w:t>单位</w:t>
      </w:r>
      <w:r>
        <w:rPr>
          <w:rFonts w:hint="eastAsia" w:ascii="方正黑体_GBK" w:hAnsi="方正黑体_GBK" w:eastAsia="方正黑体_GBK" w:cs="方正黑体_GBK"/>
          <w:sz w:val="32"/>
          <w:szCs w:val="32"/>
          <w:highlight w:val="none"/>
        </w:rPr>
        <w:t>概况</w:t>
      </w:r>
    </w:p>
    <w:p w14:paraId="794DF3A7">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rPr>
        <w:t>一、主要职</w:t>
      </w:r>
      <w:r>
        <w:rPr>
          <w:rFonts w:hint="eastAsia" w:ascii="方正楷体_GBK" w:hAnsi="方正楷体_GBK" w:eastAsia="方正楷体_GBK" w:cs="方正楷体_GBK"/>
          <w:sz w:val="32"/>
          <w:szCs w:val="32"/>
          <w:highlight w:val="none"/>
          <w:lang w:eastAsia="zh-CN"/>
        </w:rPr>
        <w:t>责</w:t>
      </w:r>
    </w:p>
    <w:p w14:paraId="00AF6714">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rPr>
        <w:t>二、</w:t>
      </w:r>
      <w:r>
        <w:rPr>
          <w:rFonts w:hint="eastAsia" w:ascii="方正楷体_GBK" w:hAnsi="方正楷体_GBK" w:eastAsia="方正楷体_GBK" w:cs="方正楷体_GBK"/>
          <w:sz w:val="32"/>
          <w:szCs w:val="32"/>
          <w:highlight w:val="none"/>
          <w:lang w:eastAsia="zh-CN"/>
        </w:rPr>
        <w:t>基本情况</w:t>
      </w:r>
    </w:p>
    <w:p w14:paraId="731BBF03">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lang w:eastAsia="zh-CN"/>
        </w:rPr>
        <w:t>三、重点工作概述</w:t>
      </w:r>
    </w:p>
    <w:p w14:paraId="48B4B3C0">
      <w:pPr>
        <w:keepNext w:val="0"/>
        <w:keepLines w:val="0"/>
        <w:pageBreakBefore w:val="0"/>
        <w:kinsoku/>
        <w:overflowPunct/>
        <w:autoSpaceDN/>
        <w:bidi w:val="0"/>
        <w:adjustRightInd/>
        <w:spacing w:line="590" w:lineRule="exact"/>
        <w:jc w:val="left"/>
        <w:textAlignment w:val="auto"/>
        <w:outlineLvl w:val="0"/>
        <w:rPr>
          <w:rFonts w:hint="eastAsia" w:ascii="黑体" w:hAnsi="黑体" w:eastAsia="黑体"/>
          <w:sz w:val="30"/>
          <w:szCs w:val="30"/>
          <w:highlight w:val="none"/>
        </w:rPr>
      </w:pPr>
      <w:r>
        <w:rPr>
          <w:rFonts w:hint="eastAsia" w:ascii="方正黑体_GBK" w:hAnsi="方正黑体_GBK" w:eastAsia="方正黑体_GBK" w:cs="方正黑体_GBK"/>
          <w:sz w:val="32"/>
          <w:szCs w:val="32"/>
          <w:highlight w:val="none"/>
        </w:rPr>
        <w:t xml:space="preserve">第二部分  </w:t>
      </w:r>
      <w:r>
        <w:rPr>
          <w:rFonts w:hint="eastAsia" w:ascii="方正黑体_GBK" w:hAnsi="方正黑体_GBK" w:eastAsia="方正黑体_GBK" w:cs="方正黑体_GBK"/>
          <w:sz w:val="32"/>
          <w:szCs w:val="32"/>
          <w:highlight w:val="none"/>
          <w:lang w:val="en-US" w:eastAsia="zh-CN"/>
        </w:rPr>
        <w:t>2025年度</w:t>
      </w:r>
      <w:r>
        <w:rPr>
          <w:rFonts w:hint="eastAsia" w:ascii="方正黑体_GBK" w:hAnsi="方正黑体_GBK" w:eastAsia="方正黑体_GBK" w:cs="方正黑体_GBK"/>
          <w:sz w:val="32"/>
          <w:szCs w:val="32"/>
          <w:highlight w:val="none"/>
        </w:rPr>
        <w:t>部门决算表</w:t>
      </w:r>
    </w:p>
    <w:p w14:paraId="13ADF303">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一、收入支出决算表</w:t>
      </w:r>
    </w:p>
    <w:p w14:paraId="5D8EF660">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二、收入决算表</w:t>
      </w:r>
    </w:p>
    <w:p w14:paraId="7D3211CC">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三、支出决算表</w:t>
      </w:r>
    </w:p>
    <w:p w14:paraId="427256FE">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四、财政拨款收入支出决算表</w:t>
      </w:r>
    </w:p>
    <w:p w14:paraId="23471EA3">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五、一般公共预算财政拨款收入支出决算表</w:t>
      </w:r>
    </w:p>
    <w:p w14:paraId="2BEFECC8">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六、一般公共预算财政拨款基本支出决算表</w:t>
      </w:r>
    </w:p>
    <w:p w14:paraId="4663A417">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rPr>
        <w:t>七、</w:t>
      </w:r>
      <w:r>
        <w:rPr>
          <w:rFonts w:hint="eastAsia" w:ascii="方正楷体_GBK" w:hAnsi="方正楷体_GBK" w:eastAsia="方正楷体_GBK" w:cs="方正楷体_GBK"/>
          <w:sz w:val="32"/>
          <w:szCs w:val="32"/>
          <w:highlight w:val="none"/>
          <w:lang w:eastAsia="zh-CN"/>
        </w:rPr>
        <w:t>一般公共预算财政拨款项目支出决算表</w:t>
      </w:r>
    </w:p>
    <w:p w14:paraId="4A32DAAA">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eastAsia="zh-CN"/>
        </w:rPr>
        <w:t>八</w:t>
      </w:r>
      <w:r>
        <w:rPr>
          <w:rFonts w:hint="eastAsia" w:ascii="方正楷体_GBK" w:hAnsi="方正楷体_GBK" w:eastAsia="方正楷体_GBK" w:cs="方正楷体_GBK"/>
          <w:sz w:val="32"/>
          <w:szCs w:val="32"/>
          <w:highlight w:val="none"/>
        </w:rPr>
        <w:t>、政府性基金预算财政拨款收入支出决算表</w:t>
      </w:r>
    </w:p>
    <w:p w14:paraId="6FA5BAFA">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九、国有资本经营预算财政拨款收入支出决算表</w:t>
      </w:r>
    </w:p>
    <w:p w14:paraId="540E701D">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eastAsia="zh-CN"/>
        </w:rPr>
        <w:t>十</w:t>
      </w:r>
      <w:r>
        <w:rPr>
          <w:rFonts w:hint="eastAsia" w:ascii="方正楷体_GBK" w:hAnsi="方正楷体_GBK" w:eastAsia="方正楷体_GBK" w:cs="方正楷体_GBK"/>
          <w:sz w:val="32"/>
          <w:szCs w:val="32"/>
          <w:highlight w:val="none"/>
        </w:rPr>
        <w:t>、</w:t>
      </w:r>
      <w:r>
        <w:rPr>
          <w:rFonts w:hint="eastAsia" w:ascii="方正楷体_GBK" w:hAnsi="方正楷体_GBK" w:eastAsia="方正楷体_GBK" w:cs="方正楷体_GBK"/>
          <w:sz w:val="32"/>
          <w:szCs w:val="32"/>
          <w:highlight w:val="none"/>
          <w:lang w:eastAsia="zh-CN"/>
        </w:rPr>
        <w:t>财政拨款</w:t>
      </w:r>
      <w:r>
        <w:rPr>
          <w:rFonts w:hint="eastAsia" w:ascii="方正楷体_GBK" w:hAnsi="方正楷体_GBK" w:eastAsia="方正楷体_GBK" w:cs="方正楷体_GBK"/>
          <w:sz w:val="32"/>
          <w:szCs w:val="32"/>
          <w:highlight w:val="none"/>
        </w:rPr>
        <w:t>“三公”经费、行政参公单位机关运行经费情况表</w:t>
      </w:r>
    </w:p>
    <w:p w14:paraId="7F68B6B8">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十一、一般公共预算财政拨款“三公”经费情况表</w:t>
      </w:r>
    </w:p>
    <w:p w14:paraId="7A8ECF77">
      <w:pPr>
        <w:keepNext w:val="0"/>
        <w:keepLines w:val="0"/>
        <w:pageBreakBefore w:val="0"/>
        <w:kinsoku/>
        <w:overflowPunct/>
        <w:autoSpaceDN/>
        <w:bidi w:val="0"/>
        <w:adjustRightInd/>
        <w:spacing w:line="590" w:lineRule="exact"/>
        <w:jc w:val="left"/>
        <w:textAlignment w:val="auto"/>
        <w:outlineLvl w:val="0"/>
        <w:rPr>
          <w:rFonts w:hint="eastAsia" w:ascii="黑体" w:hAnsi="黑体" w:eastAsia="黑体"/>
          <w:sz w:val="30"/>
          <w:szCs w:val="30"/>
          <w:highlight w:val="none"/>
        </w:rPr>
      </w:pPr>
      <w:r>
        <w:rPr>
          <w:rFonts w:hint="eastAsia" w:ascii="方正黑体_GBK" w:hAnsi="方正黑体_GBK" w:eastAsia="方正黑体_GBK" w:cs="方正黑体_GBK"/>
          <w:sz w:val="32"/>
          <w:szCs w:val="32"/>
          <w:highlight w:val="none"/>
        </w:rPr>
        <w:t>第三部</w:t>
      </w:r>
      <w:r>
        <w:rPr>
          <w:rFonts w:hint="eastAsia" w:ascii="方正黑体_GBK" w:hAnsi="方正黑体_GBK" w:eastAsia="方正黑体_GBK" w:cs="方正黑体_GBK"/>
          <w:sz w:val="32"/>
          <w:szCs w:val="32"/>
          <w:highlight w:val="none"/>
          <w:lang w:eastAsia="zh-CN"/>
        </w:rPr>
        <w:t>分</w:t>
      </w:r>
      <w:r>
        <w:rPr>
          <w:rFonts w:hint="eastAsia" w:ascii="方正黑体_GBK" w:hAnsi="方正黑体_GBK" w:eastAsia="方正黑体_GBK" w:cs="方正黑体_GBK"/>
          <w:sz w:val="32"/>
          <w:szCs w:val="32"/>
          <w:highlight w:val="none"/>
        </w:rPr>
        <w:t xml:space="preserve">  </w:t>
      </w:r>
      <w:r>
        <w:rPr>
          <w:rFonts w:hint="eastAsia" w:ascii="方正黑体_GBK" w:hAnsi="方正黑体_GBK" w:eastAsia="方正黑体_GBK" w:cs="方正黑体_GBK"/>
          <w:sz w:val="32"/>
          <w:szCs w:val="32"/>
          <w:highlight w:val="none"/>
          <w:lang w:val="en-US" w:eastAsia="zh-CN"/>
        </w:rPr>
        <w:t>2025年度</w:t>
      </w:r>
      <w:r>
        <w:rPr>
          <w:rFonts w:hint="eastAsia" w:ascii="方正黑体_GBK" w:hAnsi="方正黑体_GBK" w:eastAsia="方正黑体_GBK" w:cs="方正黑体_GBK"/>
          <w:sz w:val="32"/>
          <w:szCs w:val="32"/>
          <w:highlight w:val="none"/>
        </w:rPr>
        <w:t>部门决算情况说明</w:t>
      </w:r>
    </w:p>
    <w:p w14:paraId="2D8F3FE8">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一、收入决算情况说明</w:t>
      </w:r>
    </w:p>
    <w:p w14:paraId="637849C4">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二、支出决算情况说明</w:t>
      </w:r>
    </w:p>
    <w:p w14:paraId="69E513D0">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三、一般公共预算财政拨款支出决算情况说明</w:t>
      </w:r>
    </w:p>
    <w:p w14:paraId="73938CA3">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四、财政拨款“三公”经费支出决算情况说明</w:t>
      </w:r>
    </w:p>
    <w:p w14:paraId="1D30B152">
      <w:pPr>
        <w:keepNext w:val="0"/>
        <w:keepLines w:val="0"/>
        <w:pageBreakBefore w:val="0"/>
        <w:widowControl/>
        <w:kinsoku/>
        <w:overflowPunct/>
        <w:autoSpaceDN/>
        <w:bidi w:val="0"/>
        <w:adjustRightInd/>
        <w:snapToGrid w:val="0"/>
        <w:spacing w:before="100" w:after="100" w:line="590" w:lineRule="exact"/>
        <w:jc w:val="left"/>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eastAsia="zh-CN"/>
        </w:rPr>
        <w:t>第四部分</w:t>
      </w:r>
      <w:r>
        <w:rPr>
          <w:rFonts w:hint="eastAsia" w:ascii="方正黑体_GBK" w:hAnsi="方正黑体_GBK" w:eastAsia="方正黑体_GBK" w:cs="方正黑体_GBK"/>
          <w:sz w:val="32"/>
          <w:szCs w:val="32"/>
          <w:highlight w:val="none"/>
          <w:lang w:val="en-US" w:eastAsia="zh-CN"/>
        </w:rPr>
        <w:t xml:space="preserve">  </w:t>
      </w:r>
      <w:r>
        <w:rPr>
          <w:rFonts w:hint="eastAsia" w:ascii="方正黑体_GBK" w:hAnsi="方正黑体_GBK" w:eastAsia="方正黑体_GBK" w:cs="方正黑体_GBK"/>
          <w:sz w:val="32"/>
          <w:szCs w:val="32"/>
          <w:highlight w:val="none"/>
        </w:rPr>
        <w:t>其他重要事项及相关口径情况说明</w:t>
      </w:r>
    </w:p>
    <w:p w14:paraId="1339F080">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lang w:eastAsia="zh-CN"/>
        </w:rPr>
        <w:t>一、</w:t>
      </w:r>
      <w:r>
        <w:rPr>
          <w:rFonts w:hint="eastAsia" w:ascii="方正楷体_GBK" w:hAnsi="方正楷体_GBK" w:eastAsia="方正楷体_GBK" w:cs="方正楷体_GBK"/>
          <w:sz w:val="32"/>
          <w:szCs w:val="32"/>
          <w:highlight w:val="none"/>
        </w:rPr>
        <w:t>机关运行经费支出情况</w:t>
      </w:r>
    </w:p>
    <w:p w14:paraId="1EFC2946">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lang w:eastAsia="zh-CN"/>
        </w:rPr>
        <w:t>二、</w:t>
      </w:r>
      <w:r>
        <w:rPr>
          <w:rFonts w:hint="eastAsia" w:ascii="方正楷体_GBK" w:hAnsi="方正楷体_GBK" w:eastAsia="方正楷体_GBK" w:cs="方正楷体_GBK"/>
          <w:sz w:val="32"/>
          <w:szCs w:val="32"/>
          <w:highlight w:val="none"/>
        </w:rPr>
        <w:t>国有资产占用情况</w:t>
      </w:r>
    </w:p>
    <w:p w14:paraId="53B6CA32">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eastAsia="zh-CN"/>
        </w:rPr>
      </w:pPr>
      <w:r>
        <w:rPr>
          <w:rFonts w:hint="eastAsia" w:ascii="方正楷体_GBK" w:hAnsi="方正楷体_GBK" w:eastAsia="方正楷体_GBK" w:cs="方正楷体_GBK"/>
          <w:sz w:val="32"/>
          <w:szCs w:val="32"/>
          <w:highlight w:val="none"/>
          <w:lang w:eastAsia="zh-CN"/>
        </w:rPr>
        <w:t>三、</w:t>
      </w:r>
      <w:r>
        <w:rPr>
          <w:rFonts w:hint="eastAsia" w:ascii="方正楷体_GBK" w:hAnsi="方正楷体_GBK" w:eastAsia="方正楷体_GBK" w:cs="方正楷体_GBK"/>
          <w:sz w:val="32"/>
          <w:szCs w:val="32"/>
          <w:highlight w:val="none"/>
        </w:rPr>
        <w:t>政府采购支出情况</w:t>
      </w:r>
    </w:p>
    <w:p w14:paraId="2FC0E8BF">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eastAsia="zh-CN"/>
        </w:rPr>
        <w:t>四、</w:t>
      </w:r>
      <w:r>
        <w:rPr>
          <w:rFonts w:hint="eastAsia" w:ascii="方正楷体_GBK" w:hAnsi="方正楷体_GBK" w:eastAsia="方正楷体_GBK" w:cs="方正楷体_GBK"/>
          <w:sz w:val="32"/>
          <w:szCs w:val="32"/>
          <w:highlight w:val="none"/>
          <w:lang w:val="en-US" w:eastAsia="zh-CN"/>
        </w:rPr>
        <w:t>单位绩效自评情况</w:t>
      </w:r>
    </w:p>
    <w:p w14:paraId="5B51F2CC">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eastAsia="zh-CN"/>
        </w:rPr>
        <w:t>五、</w:t>
      </w:r>
      <w:r>
        <w:rPr>
          <w:rFonts w:hint="eastAsia" w:ascii="方正楷体_GBK" w:hAnsi="方正楷体_GBK" w:eastAsia="方正楷体_GBK" w:cs="方正楷体_GBK"/>
          <w:sz w:val="32"/>
          <w:szCs w:val="32"/>
          <w:highlight w:val="none"/>
          <w:lang w:val="en-US" w:eastAsia="zh-CN"/>
        </w:rPr>
        <w:t>其他重要事项情况说明</w:t>
      </w:r>
    </w:p>
    <w:p w14:paraId="4CC401AB">
      <w:pPr>
        <w:keepNext w:val="0"/>
        <w:keepLines w:val="0"/>
        <w:pageBreakBefore w:val="0"/>
        <w:kinsoku/>
        <w:overflowPunct/>
        <w:autoSpaceDN/>
        <w:bidi w:val="0"/>
        <w:adjustRightInd/>
        <w:spacing w:line="590" w:lineRule="exact"/>
        <w:jc w:val="left"/>
        <w:textAlignment w:val="auto"/>
        <w:outlineLvl w:val="1"/>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六、相关口径说明</w:t>
      </w:r>
    </w:p>
    <w:p w14:paraId="6930FC8A">
      <w:pPr>
        <w:keepNext w:val="0"/>
        <w:keepLines w:val="0"/>
        <w:pageBreakBefore w:val="0"/>
        <w:widowControl/>
        <w:kinsoku/>
        <w:overflowPunct/>
        <w:autoSpaceDN/>
        <w:bidi w:val="0"/>
        <w:adjustRightInd/>
        <w:snapToGrid w:val="0"/>
        <w:spacing w:before="100" w:after="100" w:line="590" w:lineRule="exact"/>
        <w:jc w:val="left"/>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eastAsia="zh-CN"/>
        </w:rPr>
        <w:t>五</w:t>
      </w:r>
      <w:r>
        <w:rPr>
          <w:rFonts w:hint="eastAsia" w:ascii="方正黑体_GBK" w:hAnsi="方正黑体_GBK" w:eastAsia="方正黑体_GBK" w:cs="方正黑体_GBK"/>
          <w:sz w:val="32"/>
          <w:szCs w:val="32"/>
          <w:highlight w:val="none"/>
        </w:rPr>
        <w:t>部分  名词解释</w:t>
      </w:r>
    </w:p>
    <w:p w14:paraId="01182A35">
      <w:pPr>
        <w:keepNext w:val="0"/>
        <w:keepLines w:val="0"/>
        <w:pageBreakBefore w:val="0"/>
        <w:kinsoku/>
        <w:overflowPunct/>
        <w:autoSpaceDN/>
        <w:bidi w:val="0"/>
        <w:adjustRightInd/>
        <w:spacing w:line="590" w:lineRule="exact"/>
        <w:jc w:val="center"/>
        <w:textAlignment w:val="auto"/>
        <w:rPr>
          <w:rFonts w:hint="eastAsia" w:ascii="黑体" w:hAnsi="黑体" w:eastAsia="黑体"/>
          <w:sz w:val="32"/>
          <w:szCs w:val="32"/>
          <w:highlight w:val="none"/>
        </w:rPr>
      </w:pPr>
    </w:p>
    <w:p w14:paraId="6F6769A7">
      <w:pPr>
        <w:keepNext w:val="0"/>
        <w:keepLines w:val="0"/>
        <w:pageBreakBefore w:val="0"/>
        <w:kinsoku/>
        <w:overflowPunct/>
        <w:autoSpaceDN/>
        <w:bidi w:val="0"/>
        <w:adjustRightInd/>
        <w:spacing w:line="590" w:lineRule="exact"/>
        <w:jc w:val="center"/>
        <w:textAlignment w:val="auto"/>
        <w:rPr>
          <w:rFonts w:hint="eastAsia" w:ascii="黑体" w:hAnsi="黑体" w:eastAsia="黑体"/>
          <w:sz w:val="32"/>
          <w:szCs w:val="32"/>
          <w:highlight w:val="none"/>
        </w:rPr>
      </w:pPr>
    </w:p>
    <w:p w14:paraId="30CEE02F">
      <w:pPr>
        <w:pStyle w:val="2"/>
        <w:rPr>
          <w:rFonts w:hint="eastAsia" w:ascii="黑体" w:hAnsi="黑体" w:eastAsia="黑体"/>
          <w:sz w:val="32"/>
          <w:szCs w:val="32"/>
          <w:highlight w:val="none"/>
        </w:rPr>
      </w:pPr>
    </w:p>
    <w:p w14:paraId="5D9402E7">
      <w:pPr>
        <w:rPr>
          <w:rFonts w:hint="eastAsia"/>
        </w:rPr>
      </w:pPr>
    </w:p>
    <w:p w14:paraId="15154A0D">
      <w:pPr>
        <w:keepNext w:val="0"/>
        <w:keepLines w:val="0"/>
        <w:pageBreakBefore w:val="0"/>
        <w:kinsoku/>
        <w:overflowPunct/>
        <w:autoSpaceDN/>
        <w:bidi w:val="0"/>
        <w:adjustRightInd/>
        <w:spacing w:line="590" w:lineRule="exact"/>
        <w:jc w:val="center"/>
        <w:textAlignment w:val="auto"/>
        <w:rPr>
          <w:rFonts w:hint="eastAsia" w:ascii="黑体" w:hAnsi="黑体" w:eastAsia="黑体"/>
          <w:sz w:val="32"/>
          <w:szCs w:val="32"/>
          <w:highlight w:val="none"/>
        </w:rPr>
      </w:pPr>
    </w:p>
    <w:p w14:paraId="1C0FFB26">
      <w:pPr>
        <w:keepNext w:val="0"/>
        <w:keepLines w:val="0"/>
        <w:pageBreakBefore w:val="0"/>
        <w:kinsoku/>
        <w:overflowPunct/>
        <w:autoSpaceDN/>
        <w:bidi w:val="0"/>
        <w:adjustRightInd/>
        <w:spacing w:line="590" w:lineRule="exact"/>
        <w:jc w:val="center"/>
        <w:textAlignment w:val="auto"/>
        <w:rPr>
          <w:rFonts w:hint="eastAsia" w:ascii="黑体" w:hAnsi="黑体" w:eastAsia="黑体"/>
          <w:sz w:val="32"/>
          <w:szCs w:val="32"/>
          <w:highlight w:val="none"/>
        </w:rPr>
      </w:pPr>
    </w:p>
    <w:p w14:paraId="42248BB0">
      <w:pPr>
        <w:keepNext w:val="0"/>
        <w:keepLines w:val="0"/>
        <w:pageBreakBefore w:val="0"/>
        <w:kinsoku/>
        <w:overflowPunct/>
        <w:autoSpaceDN/>
        <w:bidi w:val="0"/>
        <w:adjustRightInd/>
        <w:spacing w:line="590" w:lineRule="exact"/>
        <w:jc w:val="center"/>
        <w:textAlignment w:val="auto"/>
        <w:rPr>
          <w:rFonts w:hint="eastAsia" w:ascii="黑体" w:hAnsi="黑体" w:eastAsia="黑体"/>
          <w:sz w:val="32"/>
          <w:szCs w:val="32"/>
          <w:highlight w:val="none"/>
        </w:rPr>
      </w:pPr>
    </w:p>
    <w:p w14:paraId="5686D6C2">
      <w:pPr>
        <w:keepNext w:val="0"/>
        <w:keepLines w:val="0"/>
        <w:pageBreakBefore w:val="0"/>
        <w:kinsoku/>
        <w:overflowPunct/>
        <w:autoSpaceDN/>
        <w:bidi w:val="0"/>
        <w:adjustRightInd/>
        <w:spacing w:line="590" w:lineRule="exact"/>
        <w:jc w:val="center"/>
        <w:textAlignment w:val="auto"/>
        <w:rPr>
          <w:rFonts w:hint="eastAsia" w:ascii="黑体" w:hAnsi="黑体" w:eastAsia="黑体"/>
          <w:sz w:val="32"/>
          <w:szCs w:val="32"/>
          <w:highlight w:val="none"/>
        </w:rPr>
      </w:pPr>
    </w:p>
    <w:p w14:paraId="6E5217C5">
      <w:pPr>
        <w:pStyle w:val="2"/>
        <w:rPr>
          <w:rFonts w:hint="eastAsia"/>
        </w:rPr>
      </w:pPr>
    </w:p>
    <w:p w14:paraId="406B8794">
      <w:pPr>
        <w:keepNext w:val="0"/>
        <w:keepLines w:val="0"/>
        <w:pageBreakBefore w:val="0"/>
        <w:kinsoku/>
        <w:overflowPunct/>
        <w:autoSpaceDN/>
        <w:bidi w:val="0"/>
        <w:adjustRightInd/>
        <w:spacing w:line="590" w:lineRule="exact"/>
        <w:jc w:val="center"/>
        <w:textAlignment w:val="auto"/>
        <w:rPr>
          <w:rFonts w:hint="eastAsia" w:ascii="黑体" w:hAnsi="黑体" w:eastAsia="黑体"/>
          <w:sz w:val="32"/>
          <w:szCs w:val="32"/>
          <w:highlight w:val="none"/>
        </w:rPr>
      </w:pPr>
    </w:p>
    <w:p w14:paraId="41C2C1CD">
      <w:pPr>
        <w:keepNext w:val="0"/>
        <w:keepLines w:val="0"/>
        <w:pageBreakBefore w:val="0"/>
        <w:kinsoku/>
        <w:overflowPunct/>
        <w:autoSpaceDN/>
        <w:bidi w:val="0"/>
        <w:adjustRightInd/>
        <w:spacing w:line="590" w:lineRule="exact"/>
        <w:jc w:val="both"/>
        <w:textAlignment w:val="auto"/>
        <w:rPr>
          <w:rFonts w:hint="eastAsia" w:ascii="黑体" w:hAnsi="黑体" w:eastAsia="黑体"/>
          <w:sz w:val="32"/>
          <w:szCs w:val="32"/>
          <w:highlight w:val="none"/>
        </w:rPr>
      </w:pPr>
    </w:p>
    <w:p w14:paraId="35466121">
      <w:pPr>
        <w:keepNext w:val="0"/>
        <w:keepLines w:val="0"/>
        <w:pageBreakBefore w:val="0"/>
        <w:kinsoku/>
        <w:overflowPunct/>
        <w:autoSpaceDN/>
        <w:bidi w:val="0"/>
        <w:adjustRightInd/>
        <w:spacing w:line="590" w:lineRule="exact"/>
        <w:jc w:val="center"/>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 xml:space="preserve">第一部分  </w:t>
      </w:r>
      <w:r>
        <w:rPr>
          <w:rFonts w:hint="eastAsia" w:ascii="方正黑体_GBK" w:hAnsi="方正黑体_GBK" w:eastAsia="方正黑体_GBK" w:cs="方正黑体_GBK"/>
          <w:sz w:val="32"/>
          <w:szCs w:val="32"/>
          <w:highlight w:val="none"/>
          <w:lang w:eastAsia="zh-CN"/>
        </w:rPr>
        <w:t>单位</w:t>
      </w:r>
      <w:r>
        <w:rPr>
          <w:rFonts w:hint="eastAsia" w:ascii="方正黑体_GBK" w:hAnsi="方正黑体_GBK" w:eastAsia="方正黑体_GBK" w:cs="方正黑体_GBK"/>
          <w:sz w:val="32"/>
          <w:szCs w:val="32"/>
          <w:highlight w:val="none"/>
        </w:rPr>
        <w:t>概况</w:t>
      </w:r>
    </w:p>
    <w:p w14:paraId="12306F1E">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一、主要职责</w:t>
      </w:r>
    </w:p>
    <w:p w14:paraId="2AD8E7F1">
      <w:pPr>
        <w:keepNext w:val="0"/>
        <w:keepLines w:val="0"/>
        <w:pageBreakBefore w:val="0"/>
        <w:numPr>
          <w:ilvl w:val="0"/>
          <w:numId w:val="0"/>
        </w:numPr>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玉溪市急救中心是市卫健委下属的财政全额拨款事业单位，其主要负责玉溪市区的院前急救任务；转院、返送病人任务；突发公共卫生事件的应急救护工作；玉溪市大型会议、活动的卫生服务保障；对广大市民医疗咨询、培训任务；对县区急救中心（站）的业务指导及培训。</w:t>
      </w:r>
    </w:p>
    <w:p w14:paraId="3E345645">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二、基本情况</w:t>
      </w:r>
    </w:p>
    <w:p w14:paraId="36CFF4B9">
      <w:pPr>
        <w:keepNext w:val="0"/>
        <w:keepLines w:val="0"/>
        <w:pageBreakBefore w:val="0"/>
        <w:kinsoku/>
        <w:overflowPunct/>
        <w:topLinePunct w:val="0"/>
        <w:autoSpaceDE/>
        <w:autoSpaceDN/>
        <w:bidi w:val="0"/>
        <w:adjustRightInd/>
        <w:spacing w:line="590" w:lineRule="exact"/>
        <w:ind w:firstLine="640" w:firstLineChars="200"/>
        <w:textAlignment w:val="auto"/>
        <w:outlineLvl w:val="2"/>
        <w:rPr>
          <w:rFonts w:ascii="楷体" w:hAnsi="楷体" w:eastAsia="楷体"/>
          <w:sz w:val="32"/>
          <w:szCs w:val="32"/>
        </w:rPr>
      </w:pPr>
      <w:r>
        <w:rPr>
          <w:rFonts w:hint="eastAsia" w:ascii="方正楷体_GBK" w:hAnsi="方正楷体_GBK" w:eastAsia="方正楷体_GBK" w:cs="方正楷体_GBK"/>
          <w:sz w:val="32"/>
          <w:szCs w:val="32"/>
        </w:rPr>
        <w:t>（一）机构设置情况</w:t>
      </w:r>
    </w:p>
    <w:p w14:paraId="16C6D21F">
      <w:pPr>
        <w:keepNext w:val="0"/>
        <w:keepLines w:val="0"/>
        <w:pageBreakBefore w:val="0"/>
        <w:numPr>
          <w:ilvl w:val="0"/>
          <w:numId w:val="0"/>
        </w:numPr>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我中心共设置9个内设机构，包括：党政办公室、调度科、急救科、科教培训科、医务科、护理部、车管科、后勤保障科、财务科。</w:t>
      </w:r>
    </w:p>
    <w:p w14:paraId="24A3BD22">
      <w:pPr>
        <w:keepNext w:val="0"/>
        <w:keepLines w:val="0"/>
        <w:pageBreakBefore w:val="0"/>
        <w:numPr>
          <w:ilvl w:val="0"/>
          <w:numId w:val="0"/>
        </w:numPr>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我单位为基层预算单位，无下属单位。</w:t>
      </w:r>
    </w:p>
    <w:p w14:paraId="652BE279">
      <w:pPr>
        <w:keepNext w:val="0"/>
        <w:keepLines w:val="0"/>
        <w:pageBreakBefore w:val="0"/>
        <w:kinsoku/>
        <w:overflowPunct/>
        <w:topLinePunct w:val="0"/>
        <w:autoSpaceDE/>
        <w:autoSpaceDN/>
        <w:bidi w:val="0"/>
        <w:adjustRightInd/>
        <w:spacing w:line="590" w:lineRule="exact"/>
        <w:ind w:firstLine="640" w:firstLineChars="200"/>
        <w:textAlignment w:val="auto"/>
        <w:outlineLvl w:val="2"/>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（二）决算单位构成</w:t>
      </w:r>
    </w:p>
    <w:p w14:paraId="5F89E7AD">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我单位作为玉溪市卫生健康委员会的二级预算单位纳入2025年度部门决算编报范围。</w:t>
      </w:r>
    </w:p>
    <w:p w14:paraId="14AE32D7">
      <w:pPr>
        <w:keepNext w:val="0"/>
        <w:keepLines w:val="0"/>
        <w:pageBreakBefore w:val="0"/>
        <w:kinsoku/>
        <w:overflowPunct/>
        <w:topLinePunct w:val="0"/>
        <w:autoSpaceDE/>
        <w:autoSpaceDN/>
        <w:bidi w:val="0"/>
        <w:adjustRightInd/>
        <w:spacing w:line="590" w:lineRule="exact"/>
        <w:ind w:firstLine="640" w:firstLineChars="200"/>
        <w:textAlignment w:val="auto"/>
        <w:outlineLvl w:val="2"/>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 xml:space="preserve">（三）单位人员和车辆的编制及实有情况 </w:t>
      </w:r>
    </w:p>
    <w:p w14:paraId="363AAE67">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我单位2025年末编制内实有人员45人。包括财政拨款开支经费的：公务员0人，参照公务员法管理人员0人，事业管理人员和专业技术人员45人，机关和事业工人0人；经费自理人员0人。</w:t>
      </w:r>
    </w:p>
    <w:p w14:paraId="3FE2E793">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我单位2025年末其他人员0人。包括财政拨款开支经费的人员0人；经费自理人员0人。</w:t>
      </w:r>
    </w:p>
    <w:p w14:paraId="4CDAC565">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年末尚未移交养老保险基金发放养老金的离退休人员共计0人（离休0人，退休0人）。年末由养老保险基金发放养老金的离退休人员5人（离休0人，退休5人）。年末学生0人。年末遗属0人。</w:t>
      </w:r>
    </w:p>
    <w:p w14:paraId="1E9481D9">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车辆编制23辆，在编实有车辆17辆，超编0辆。</w:t>
      </w:r>
    </w:p>
    <w:p w14:paraId="2407E243">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方正黑体_GBK" w:hAnsi="方正黑体_GBK" w:eastAsia="方正黑体_GBK" w:cs="方正黑体_GBK"/>
          <w:sz w:val="32"/>
          <w:szCs w:val="32"/>
        </w:rPr>
      </w:pPr>
      <w:r>
        <w:rPr>
          <w:rFonts w:hint="eastAsia" w:ascii="黑体" w:hAnsi="黑体" w:eastAsia="黑体"/>
          <w:sz w:val="30"/>
          <w:szCs w:val="30"/>
        </w:rPr>
        <w:t>三、重点工作概述</w:t>
      </w:r>
    </w:p>
    <w:p w14:paraId="60CC1B9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sz w:val="32"/>
          <w:szCs w:val="32"/>
          <w:lang w:val="en-US" w:eastAsia="zh-CN"/>
        </w:rPr>
        <w:t>（一）坚决贯彻落实</w:t>
      </w:r>
      <w:r>
        <w:rPr>
          <w:rFonts w:hint="eastAsia" w:ascii="Times New Roman" w:hAnsi="Times New Roman" w:eastAsia="方正楷体_GBK" w:cs="Times New Roman"/>
          <w:sz w:val="32"/>
          <w:szCs w:val="32"/>
          <w:lang w:val="en-US" w:eastAsia="zh-CN"/>
        </w:rPr>
        <w:t>党中央决策部署</w:t>
      </w:r>
      <w:r>
        <w:rPr>
          <w:rFonts w:hint="default" w:ascii="Times New Roman" w:hAnsi="Times New Roman" w:eastAsia="方正楷体_GBK" w:cs="Times New Roman"/>
          <w:sz w:val="32"/>
          <w:szCs w:val="32"/>
          <w:lang w:val="en-US" w:eastAsia="zh-CN"/>
        </w:rPr>
        <w:t>和省市工作要求。</w:t>
      </w:r>
      <w:r>
        <w:rPr>
          <w:rFonts w:hint="eastAsia" w:ascii="Times New Roman" w:hAnsi="Times New Roman" w:eastAsia="方正仿宋_GBK" w:cs="Times New Roman"/>
          <w:sz w:val="32"/>
          <w:szCs w:val="32"/>
          <w:lang w:val="en-US" w:eastAsia="zh-CN"/>
        </w:rPr>
        <w:t>一是强化理论武装，筑牢思想根基；二是</w:t>
      </w:r>
      <w:r>
        <w:rPr>
          <w:rFonts w:hint="default" w:ascii="Times New Roman" w:hAnsi="Times New Roman" w:eastAsia="方正仿宋_GBK" w:cs="Times New Roman"/>
          <w:sz w:val="32"/>
          <w:szCs w:val="32"/>
          <w:lang w:val="en-US" w:eastAsia="zh-CN"/>
        </w:rPr>
        <w:t>持续正风肃纪，深化作风建设</w:t>
      </w:r>
      <w:r>
        <w:rPr>
          <w:rFonts w:hint="eastAsia" w:ascii="Times New Roman" w:hAnsi="Times New Roman" w:eastAsia="方正仿宋_GBK" w:cs="Times New Roman"/>
          <w:sz w:val="32"/>
          <w:szCs w:val="32"/>
          <w:lang w:val="en-US" w:eastAsia="zh-CN"/>
        </w:rPr>
        <w:t>；三是</w:t>
      </w:r>
      <w:r>
        <w:rPr>
          <w:rFonts w:hint="default" w:ascii="Times New Roman" w:hAnsi="Times New Roman" w:eastAsia="方正仿宋_GBK" w:cs="Times New Roman"/>
          <w:sz w:val="32"/>
          <w:szCs w:val="32"/>
          <w:lang w:val="en-US" w:eastAsia="zh-CN"/>
        </w:rPr>
        <w:t>聚焦清廉建设，涵养廉洁生态</w:t>
      </w:r>
      <w:r>
        <w:rPr>
          <w:rFonts w:hint="eastAsia" w:ascii="Times New Roman" w:hAnsi="Times New Roman" w:eastAsia="方正仿宋_GBK" w:cs="Times New Roman"/>
          <w:sz w:val="32"/>
          <w:szCs w:val="32"/>
          <w:lang w:val="en-US" w:eastAsia="zh-CN"/>
        </w:rPr>
        <w:t>；四是</w:t>
      </w:r>
      <w:r>
        <w:rPr>
          <w:rFonts w:hint="default" w:ascii="Times New Roman" w:hAnsi="Times New Roman" w:eastAsia="方正仿宋_GBK" w:cs="Times New Roman"/>
          <w:sz w:val="32"/>
          <w:szCs w:val="32"/>
          <w:lang w:val="en-US" w:eastAsia="zh-CN"/>
        </w:rPr>
        <w:t>强化思想建设，落实意识形态工作责任制。</w:t>
      </w:r>
    </w:p>
    <w:p w14:paraId="77ACFC6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（二）扎实推进平安玉溪建设与安全生产工作，筑牢院前急救保障防线。</w:t>
      </w:r>
      <w:r>
        <w:rPr>
          <w:rFonts w:hint="eastAsia" w:ascii="Times New Roman" w:hAnsi="Times New Roman" w:eastAsia="方正仿宋_GBK" w:cs="Times New Roman"/>
          <w:sz w:val="32"/>
          <w:szCs w:val="32"/>
          <w:lang w:val="en-US" w:eastAsia="zh-CN"/>
        </w:rPr>
        <w:t>一是严格落实消防安全责任；二是</w:t>
      </w:r>
      <w:r>
        <w:rPr>
          <w:rFonts w:hint="default" w:ascii="Times New Roman" w:hAnsi="Times New Roman" w:eastAsia="方正仿宋_GBK" w:cs="Times New Roman"/>
          <w:sz w:val="32"/>
          <w:szCs w:val="32"/>
          <w:lang w:val="en-US" w:eastAsia="zh-CN"/>
        </w:rPr>
        <w:t>强化治安保卫工作</w:t>
      </w:r>
      <w:r>
        <w:rPr>
          <w:rFonts w:hint="eastAsia" w:ascii="Times New Roman" w:hAnsi="Times New Roman" w:eastAsia="方正仿宋_GBK" w:cs="Times New Roman"/>
          <w:sz w:val="32"/>
          <w:szCs w:val="32"/>
          <w:lang w:val="en-US" w:eastAsia="zh-CN"/>
        </w:rPr>
        <w:t>；三是</w:t>
      </w:r>
      <w:r>
        <w:rPr>
          <w:rFonts w:hint="default" w:ascii="Times New Roman" w:hAnsi="Times New Roman" w:eastAsia="方正仿宋_GBK" w:cs="Times New Roman"/>
          <w:sz w:val="32"/>
          <w:szCs w:val="32"/>
          <w:lang w:val="en-US" w:eastAsia="zh-CN"/>
        </w:rPr>
        <w:t>强化医疗安全保障。</w:t>
      </w:r>
    </w:p>
    <w:p w14:paraId="6123E7A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（三）高质量项目建设成效显著，“玉溪模式”获广泛推广。</w:t>
      </w:r>
      <w:r>
        <w:rPr>
          <w:rFonts w:hint="eastAsia" w:ascii="Times New Roman" w:hAnsi="Times New Roman" w:eastAsia="方正仿宋_GBK" w:cs="Times New Roman"/>
          <w:sz w:val="32"/>
          <w:szCs w:val="32"/>
          <w:lang w:val="en-US" w:eastAsia="zh-CN"/>
        </w:rPr>
        <w:t>一是项目推进有序，绩效指标全面完成。</w:t>
      </w:r>
      <w:r>
        <w:rPr>
          <w:rFonts w:hint="default" w:ascii="Times New Roman" w:hAnsi="Times New Roman" w:eastAsia="方正仿宋_GBK" w:cs="Times New Roman"/>
          <w:sz w:val="32"/>
          <w:szCs w:val="32"/>
          <w:lang w:val="en-US" w:eastAsia="zh-CN"/>
        </w:rPr>
        <w:t>项目20项绩效指标均达成预期目标，核心服务指标表现优异：120呼救电话10秒内接听率、平均接听时间、平均出车时间、危重症患者抢救有效率、心肺复苏成功率等关键指标均优于国家平均水平；全市规划纳入院前急救体系的58家乡镇卫生院已100%接入市级调度平台，全市院前急救</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一张网</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格局初步形成</w:t>
      </w:r>
      <w:r>
        <w:rPr>
          <w:rFonts w:hint="eastAsia" w:ascii="Times New Roman" w:hAnsi="Times New Roman" w:eastAsia="方正仿宋_GBK" w:cs="Times New Roman"/>
          <w:sz w:val="32"/>
          <w:szCs w:val="32"/>
          <w:lang w:val="en-US" w:eastAsia="zh-CN"/>
        </w:rPr>
        <w:t>；二是</w:t>
      </w:r>
      <w:r>
        <w:rPr>
          <w:rFonts w:hint="default" w:ascii="Times New Roman" w:hAnsi="Times New Roman" w:eastAsia="方正仿宋_GBK" w:cs="Times New Roman"/>
          <w:sz w:val="32"/>
          <w:szCs w:val="32"/>
          <w:lang w:val="en-US" w:eastAsia="zh-CN"/>
        </w:rPr>
        <w:t>示范效应凸显，成果转化成效显著。3月28日玉溪市院前院内协同救治平台暨5G救护车启用仪式顺利举行，标志着玉溪市120急救正式迈入5G时代，实现患者</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上车即入院</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目标，有效提升急危重症患者急救效率和救治成功率。2025年7月以来，成功组织开展全国院前急救调度员培训4期，填补全国120调度员系统培训空白，吸引国内多个省市28家单位100余名调度员参与培训并取得预期成效</w:t>
      </w:r>
      <w:r>
        <w:rPr>
          <w:rFonts w:hint="eastAsia" w:ascii="Times New Roman" w:hAnsi="Times New Roman" w:eastAsia="方正仿宋_GBK" w:cs="Times New Roman"/>
          <w:sz w:val="32"/>
          <w:szCs w:val="32"/>
          <w:lang w:val="en-US" w:eastAsia="zh-CN"/>
        </w:rPr>
        <w:t>。</w:t>
      </w:r>
    </w:p>
    <w:p w14:paraId="7588524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（四）院前急救业务高质量发展，服务群众能力持续提升。</w:t>
      </w:r>
      <w:r>
        <w:rPr>
          <w:rFonts w:hint="eastAsia" w:ascii="Times New Roman" w:hAnsi="Times New Roman" w:eastAsia="方正仿宋_GBK" w:cs="Times New Roman"/>
          <w:sz w:val="32"/>
          <w:szCs w:val="32"/>
          <w:lang w:val="en-US" w:eastAsia="zh-CN"/>
        </w:rPr>
        <w:t>一是</w:t>
      </w:r>
      <w:r>
        <w:rPr>
          <w:rFonts w:hint="default" w:ascii="Times New Roman" w:hAnsi="Times New Roman" w:eastAsia="方正仿宋_GBK" w:cs="Times New Roman"/>
          <w:sz w:val="32"/>
          <w:szCs w:val="32"/>
          <w:lang w:val="en-US" w:eastAsia="zh-CN"/>
        </w:rPr>
        <w:t>精准落实调度任务，核心指标稳步优化。2025年，中心累计完成120数字电话接通16.0</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万次、有效调度2.9</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万次、院前有效派诊2.11万次、有效转运返送0.83万次，完成各类重大活动服务保障379次；日均完成有效院前急救63次、有效转运返送27次。急救电话平均接听时间不超过3秒，调度派车平均时间不超过1分钟，全年回车率0.89%，患者满意度达99.99%。全年共处置重大突发公共卫生事件34起，累计调派救护车68台次、救援人员211人次；通过</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急救优先分级调度系统</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（MPDS）指导院前救治1.9</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lang w:val="en-US" w:eastAsia="zh-CN"/>
        </w:rPr>
        <w:t>万人次。中心成功通过国际绩优认证，成为云南省首家通过该认证的州市级急救中心</w:t>
      </w:r>
      <w:r>
        <w:rPr>
          <w:rFonts w:hint="eastAsia" w:ascii="Times New Roman" w:hAnsi="Times New Roman" w:eastAsia="方正仿宋_GBK" w:cs="Times New Roman"/>
          <w:sz w:val="32"/>
          <w:szCs w:val="32"/>
          <w:lang w:val="en-US" w:eastAsia="zh-CN"/>
        </w:rPr>
        <w:t>；二是</w:t>
      </w:r>
      <w:r>
        <w:rPr>
          <w:rFonts w:hint="default" w:ascii="Times New Roman" w:hAnsi="Times New Roman" w:eastAsia="方正仿宋_GBK" w:cs="Times New Roman"/>
          <w:sz w:val="32"/>
          <w:szCs w:val="32"/>
          <w:lang w:val="en-US" w:eastAsia="zh-CN"/>
        </w:rPr>
        <w:t>强化医疗质量管控，诊疗规范持续夯实。</w:t>
      </w:r>
      <w:r>
        <w:rPr>
          <w:rFonts w:hint="eastAsia" w:ascii="Times New Roman" w:hAnsi="Times New Roman" w:eastAsia="方正仿宋_GBK" w:cs="Times New Roman"/>
          <w:sz w:val="32"/>
          <w:szCs w:val="32"/>
          <w:lang w:val="en-US" w:eastAsia="zh-CN"/>
        </w:rPr>
        <w:t>其一，</w:t>
      </w:r>
      <w:r>
        <w:rPr>
          <w:rFonts w:hint="default" w:ascii="Times New Roman" w:hAnsi="Times New Roman" w:eastAsia="方正仿宋_GBK" w:cs="Times New Roman"/>
          <w:sz w:val="32"/>
          <w:szCs w:val="32"/>
          <w:lang w:val="en-US" w:eastAsia="zh-CN"/>
        </w:rPr>
        <w:t>完善质量控制体系。全面修订完善十一项急救医疗核心制度，构建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有章可循、有据可依</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的医疗质量管理体系，为质量管控工作奠定坚实基础。</w:t>
      </w:r>
      <w:r>
        <w:rPr>
          <w:rFonts w:hint="eastAsia" w:ascii="Times New Roman" w:hAnsi="Times New Roman" w:eastAsia="方正仿宋_GBK" w:cs="Times New Roman"/>
          <w:sz w:val="32"/>
          <w:szCs w:val="32"/>
          <w:lang w:val="en-US" w:eastAsia="zh-CN"/>
        </w:rPr>
        <w:t>其</w:t>
      </w:r>
      <w:r>
        <w:rPr>
          <w:rFonts w:hint="default"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加大质量督查力度。每月定期开展医疗质量专项检查，覆盖病历书写（运行质量、终末质量）、处方点评、合理检查及医疗核心制度执行等关键环节。2025年累计抽查病历8</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160份，其中甲级病历8</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137份、乙级病历23份，点评处方240份，医疗质量稳步提升。</w:t>
      </w:r>
      <w:r>
        <w:rPr>
          <w:rFonts w:hint="eastAsia" w:ascii="Times New Roman" w:hAnsi="Times New Roman" w:eastAsia="方正仿宋_GBK" w:cs="Times New Roman"/>
          <w:sz w:val="32"/>
          <w:szCs w:val="32"/>
          <w:lang w:val="en-US" w:eastAsia="zh-CN"/>
        </w:rPr>
        <w:t>其</w:t>
      </w:r>
      <w:r>
        <w:rPr>
          <w:rFonts w:hint="default" w:ascii="Times New Roman" w:hAnsi="Times New Roman" w:eastAsia="方正仿宋_GBK" w:cs="Times New Roman"/>
          <w:sz w:val="32"/>
          <w:szCs w:val="32"/>
          <w:lang w:val="en-US" w:eastAsia="zh-CN"/>
        </w:rPr>
        <w:t>三</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深化质量分析整改。全年开展急救质量分析会12次，针对信访投诉、服务不满意事项深入排查问题根源，制定针对性改进措施，及时反馈不良信息并督促整改落实，从源头上防范化解医疗风险</w:t>
      </w:r>
      <w:r>
        <w:rPr>
          <w:rFonts w:hint="eastAsia" w:ascii="Times New Roman" w:hAnsi="Times New Roman" w:eastAsia="方正仿宋_GBK" w:cs="Times New Roman"/>
          <w:sz w:val="32"/>
          <w:szCs w:val="32"/>
          <w:lang w:val="en-US" w:eastAsia="zh-CN"/>
        </w:rPr>
        <w:t>；三是</w:t>
      </w:r>
      <w:r>
        <w:rPr>
          <w:rFonts w:hint="default" w:ascii="Times New Roman" w:hAnsi="Times New Roman" w:eastAsia="方正仿宋_GBK" w:cs="Times New Roman"/>
          <w:sz w:val="32"/>
          <w:szCs w:val="32"/>
          <w:lang w:val="en-US" w:eastAsia="zh-CN"/>
        </w:rPr>
        <w:t>开展全方位技能培训，急救素养全面提升。以120急救日、世界急救日、科普大篷车、科普宣传月等活动为载体，开展覆盖基层医生、企业安全员、事业单位干部职工、高校学生及社会公众的急救技能培训76次，培训学员1.8</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万人次，其中社会公众1.5</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lang w:val="en-US" w:eastAsia="zh-CN"/>
        </w:rPr>
        <w:t>万人次、青少年0.1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万人次、专业技术人员0.15万人次；完成村级急救点AED志愿者培训4</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799人，有效提升公众及应急救援人员突发意外伤害自救互救能力。实施玉溪市基层医疗人员技能培训计划，开展急诊急救和儿科常见疾病诊疗培训15期，培训人员595人，组织8批次跟车实践培训，切实提升基层医疗人员急救业务能力</w:t>
      </w:r>
      <w:r>
        <w:rPr>
          <w:rFonts w:hint="eastAsia" w:ascii="Times New Roman" w:hAnsi="Times New Roman" w:eastAsia="方正仿宋_GBK" w:cs="Times New Roman"/>
          <w:sz w:val="32"/>
          <w:szCs w:val="32"/>
          <w:lang w:val="en-US" w:eastAsia="zh-CN"/>
        </w:rPr>
        <w:t>；四是</w:t>
      </w:r>
      <w:r>
        <w:rPr>
          <w:rFonts w:hint="default" w:ascii="Times New Roman" w:hAnsi="Times New Roman" w:eastAsia="方正仿宋_GBK" w:cs="Times New Roman"/>
          <w:sz w:val="32"/>
          <w:szCs w:val="32"/>
          <w:lang w:val="en-US" w:eastAsia="zh-CN"/>
        </w:rPr>
        <w:t>精准保障重大活动，服务效能获得认可。圆满完成云南省青少年运动会、全国大学生篮球联赛、中国足协U系列足球赛、玉溪马拉松、澄江抚仙湖马拉松、中国足球超级联赛、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同升国旗 同唱国歌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活动、云南省消防救援人员岗位大练兵等重大会议活动、体育赛事，以及市中级人民法院重大案件审理等医疗保障任务。累计参与保障372趟次，投入保障人员1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116人次，保障天数189天，服务覆盖约39万人，各项保障任务均</w:t>
      </w:r>
      <w:r>
        <w:rPr>
          <w:rFonts w:hint="eastAsia" w:ascii="Times New Roman" w:hAnsi="Times New Roman" w:eastAsia="方正仿宋_GBK" w:cs="Times New Roman"/>
          <w:sz w:val="32"/>
          <w:szCs w:val="32"/>
          <w:lang w:val="en-US" w:eastAsia="zh-CN"/>
        </w:rPr>
        <w:t>获得</w:t>
      </w:r>
      <w:r>
        <w:rPr>
          <w:rFonts w:hint="default" w:ascii="Times New Roman" w:hAnsi="Times New Roman" w:eastAsia="方正仿宋_GBK" w:cs="Times New Roman"/>
          <w:sz w:val="32"/>
          <w:szCs w:val="32"/>
          <w:lang w:val="en-US" w:eastAsia="zh-CN"/>
        </w:rPr>
        <w:t>上级部门肯定</w:t>
      </w:r>
      <w:r>
        <w:rPr>
          <w:rFonts w:hint="eastAsia" w:ascii="Times New Roman" w:hAnsi="Times New Roman" w:eastAsia="方正仿宋_GBK" w:cs="Times New Roman"/>
          <w:sz w:val="32"/>
          <w:szCs w:val="32"/>
          <w:lang w:val="en-US" w:eastAsia="zh-CN"/>
        </w:rPr>
        <w:t>；五是</w:t>
      </w:r>
      <w:r>
        <w:rPr>
          <w:rFonts w:hint="default" w:ascii="Times New Roman" w:hAnsi="Times New Roman" w:eastAsia="方正仿宋_GBK" w:cs="Times New Roman"/>
          <w:sz w:val="32"/>
          <w:szCs w:val="32"/>
          <w:lang w:val="en-US" w:eastAsia="zh-CN"/>
        </w:rPr>
        <w:t>强化卫生应急建设，救援能力持续增强。2025年共组织开展各级卫生应急演练6次，其中省级演练1次、市级演练3次、中心自主演练2次；加强应急队伍建设</w:t>
      </w:r>
      <w:r>
        <w:rPr>
          <w:rFonts w:hint="eastAsia" w:ascii="Times New Roman" w:hAnsi="Times New Roman" w:eastAsia="方正仿宋_GBK" w:cs="Times New Roman"/>
          <w:sz w:val="32"/>
          <w:szCs w:val="32"/>
          <w:lang w:val="en-US" w:eastAsia="zh-CN"/>
        </w:rPr>
        <w:t>和物资储备</w:t>
      </w:r>
      <w:r>
        <w:rPr>
          <w:rFonts w:hint="default" w:ascii="Times New Roman" w:hAnsi="Times New Roman" w:eastAsia="方正仿宋_GBK" w:cs="Times New Roman"/>
          <w:sz w:val="32"/>
          <w:szCs w:val="32"/>
          <w:lang w:val="en-US" w:eastAsia="zh-CN"/>
        </w:rPr>
        <w:t>管理，组建30人专业卫生应急队伍，配齐个人救援装备，全面提升院前应急救援能力</w:t>
      </w:r>
      <w:r>
        <w:rPr>
          <w:rFonts w:hint="eastAsia" w:ascii="Times New Roman" w:hAnsi="Times New Roman" w:eastAsia="方正仿宋_GBK" w:cs="Times New Roman"/>
          <w:sz w:val="32"/>
          <w:szCs w:val="32"/>
          <w:lang w:val="en-US" w:eastAsia="zh-CN"/>
        </w:rPr>
        <w:t>；六是</w:t>
      </w:r>
      <w:r>
        <w:rPr>
          <w:rFonts w:hint="default" w:ascii="Times New Roman" w:hAnsi="Times New Roman" w:eastAsia="方正仿宋_GBK" w:cs="Times New Roman"/>
          <w:sz w:val="32"/>
          <w:szCs w:val="32"/>
          <w:lang w:val="en-US" w:eastAsia="zh-CN"/>
        </w:rPr>
        <w:t>加强人才队伍建设，专业素养稳步提升。2025年选派4名专业技术人员赴浙江丽水参加水上救援培训，2名赴西安参加战场救援培训，20名参加野外严重创伤培训，6名AHA导师参加导师复训。成功举办</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玉溪市第二届急救技能大赛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，中心参赛团队斩获高级生命支持团队第一名、应急救护团队第一名，参赛人员分获医生个人全能第一名、护士个人全能第一名、驾驶员技能第一名；顺利举办</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2025年玉溪市基层卫生健康服务技能竞赛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，有效以赛促学提升队伍专业能力</w:t>
      </w:r>
      <w:r>
        <w:rPr>
          <w:rFonts w:hint="eastAsia" w:ascii="Times New Roman" w:hAnsi="Times New Roman" w:eastAsia="方正仿宋_GBK" w:cs="Times New Roman"/>
          <w:sz w:val="32"/>
          <w:szCs w:val="32"/>
          <w:lang w:val="en-US" w:eastAsia="zh-CN"/>
        </w:rPr>
        <w:t>；七是</w:t>
      </w:r>
      <w:r>
        <w:rPr>
          <w:rFonts w:hint="default" w:ascii="Times New Roman" w:hAnsi="Times New Roman" w:eastAsia="方正仿宋_GBK" w:cs="Times New Roman"/>
          <w:sz w:val="32"/>
          <w:szCs w:val="32"/>
          <w:lang w:val="en-US" w:eastAsia="zh-CN"/>
        </w:rPr>
        <w:t>规范应急救助基金管理，保障困难群众救治。严格履行应急救助基金管理职责，2025年开展2轮应急救助基金申报评审工作，共接收17家医疗单位申报材料131份。经专家评审，119份材料符合救助条件，涉及基金支付金额40.03万元，为无主人员、低收入群体及时获得医疗救治提供坚实经费保障</w:t>
      </w:r>
      <w:r>
        <w:rPr>
          <w:rFonts w:hint="eastAsia" w:ascii="Times New Roman" w:hAnsi="Times New Roman" w:eastAsia="方正仿宋_GBK" w:cs="Times New Roman"/>
          <w:sz w:val="32"/>
          <w:szCs w:val="32"/>
          <w:lang w:val="en-US" w:eastAsia="zh-CN"/>
        </w:rPr>
        <w:t>；八是聚焦急救资源短板弱项，</w:t>
      </w:r>
      <w:r>
        <w:rPr>
          <w:rFonts w:hint="default" w:ascii="Times New Roman" w:hAnsi="Times New Roman" w:eastAsia="方正仿宋_GBK" w:cs="Times New Roman"/>
          <w:sz w:val="32"/>
          <w:szCs w:val="32"/>
          <w:lang w:val="en-US" w:eastAsia="zh-CN"/>
        </w:rPr>
        <w:t>为群众办实事</w:t>
      </w:r>
      <w:r>
        <w:rPr>
          <w:rFonts w:hint="eastAsia" w:ascii="Times New Roman" w:hAnsi="Times New Roman" w:eastAsia="方正仿宋_GBK" w:cs="Times New Roman"/>
          <w:sz w:val="32"/>
          <w:szCs w:val="32"/>
          <w:lang w:val="en-US" w:eastAsia="zh-CN"/>
        </w:rPr>
        <w:t>走深走实</w:t>
      </w:r>
      <w:r>
        <w:rPr>
          <w:rFonts w:hint="default" w:ascii="Times New Roman" w:hAnsi="Times New Roman" w:eastAsia="方正仿宋_GBK" w:cs="Times New Roman"/>
          <w:sz w:val="32"/>
          <w:szCs w:val="32"/>
          <w:lang w:val="en-US" w:eastAsia="zh-CN"/>
        </w:rPr>
        <w:t>。玉溪市急救中心直属市儿童医院急救站5月6日建成投入使用，提升了红塔区北片区</w:t>
      </w:r>
      <w:r>
        <w:rPr>
          <w:rFonts w:hint="eastAsia" w:ascii="Times New Roman" w:hAnsi="Times New Roman" w:eastAsia="方正仿宋_GBK" w:cs="Times New Roman"/>
          <w:sz w:val="32"/>
          <w:szCs w:val="32"/>
          <w:lang w:val="en-US" w:eastAsia="zh-CN"/>
        </w:rPr>
        <w:t>院前</w:t>
      </w:r>
      <w:r>
        <w:rPr>
          <w:rFonts w:hint="default" w:ascii="Times New Roman" w:hAnsi="Times New Roman" w:eastAsia="方正仿宋_GBK" w:cs="Times New Roman"/>
          <w:sz w:val="32"/>
          <w:szCs w:val="32"/>
          <w:lang w:val="en-US" w:eastAsia="zh-CN"/>
        </w:rPr>
        <w:t>急救效率。9月底通过</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急救科普大篷车</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方式，</w:t>
      </w:r>
      <w:r>
        <w:rPr>
          <w:rFonts w:hint="eastAsia" w:ascii="Times New Roman" w:hAnsi="Times New Roman" w:eastAsia="方正仿宋_GBK" w:cs="Times New Roman"/>
          <w:sz w:val="32"/>
          <w:szCs w:val="32"/>
          <w:lang w:val="en-US" w:eastAsia="zh-CN"/>
        </w:rPr>
        <w:t>组织急救专家团队深入新平彝族傣族自治县</w:t>
      </w:r>
      <w:r>
        <w:rPr>
          <w:rFonts w:hint="default" w:ascii="Times New Roman" w:hAnsi="Times New Roman" w:eastAsia="方正仿宋_GBK" w:cs="Times New Roman"/>
          <w:sz w:val="32"/>
          <w:szCs w:val="32"/>
          <w:lang w:val="en-US" w:eastAsia="zh-CN"/>
        </w:rPr>
        <w:t>平掌乡中学、卫生院、曼干村社区及卫生室，因地制宜开展医护人员及村社区干部急救知识技能学习培训，培训人数达300余人。</w:t>
      </w:r>
    </w:p>
    <w:p w14:paraId="4DD0D88B">
      <w:pPr>
        <w:keepNext w:val="0"/>
        <w:keepLines w:val="0"/>
        <w:pageBreakBefore w:val="0"/>
        <w:kinsoku/>
        <w:overflowPunct/>
        <w:autoSpaceDN/>
        <w:bidi w:val="0"/>
        <w:adjustRightInd/>
        <w:spacing w:line="590" w:lineRule="exact"/>
        <w:jc w:val="center"/>
        <w:textAlignment w:val="auto"/>
        <w:outlineLvl w:val="0"/>
        <w:rPr>
          <w:rFonts w:hint="eastAsia" w:ascii="黑体" w:hAnsi="黑体" w:eastAsia="黑体"/>
          <w:sz w:val="32"/>
          <w:szCs w:val="32"/>
          <w:highlight w:val="none"/>
        </w:rPr>
      </w:pPr>
    </w:p>
    <w:p w14:paraId="14849806">
      <w:pPr>
        <w:keepNext w:val="0"/>
        <w:keepLines w:val="0"/>
        <w:pageBreakBefore w:val="0"/>
        <w:widowControl w:val="0"/>
        <w:kinsoku/>
        <w:wordWrap/>
        <w:overflowPunct/>
        <w:topLinePunct/>
        <w:autoSpaceDE/>
        <w:autoSpaceDN/>
        <w:bidi w:val="0"/>
        <w:adjustRightInd/>
        <w:snapToGrid/>
        <w:spacing w:line="590" w:lineRule="exact"/>
        <w:jc w:val="center"/>
        <w:textAlignment w:val="auto"/>
        <w:outlineLvl w:val="0"/>
        <w:rPr>
          <w:rFonts w:hint="eastAsia" w:ascii="黑体" w:hAnsi="黑体" w:eastAsia="黑体"/>
          <w:sz w:val="32"/>
          <w:szCs w:val="32"/>
          <w:highlight w:val="none"/>
        </w:rPr>
      </w:pPr>
      <w:r>
        <w:rPr>
          <w:rFonts w:hint="eastAsia" w:ascii="方正黑体_GBK" w:hAnsi="方正黑体_GBK" w:eastAsia="方正黑体_GBK" w:cs="方正黑体_GBK"/>
          <w:sz w:val="32"/>
          <w:szCs w:val="32"/>
          <w:highlight w:val="none"/>
        </w:rPr>
        <w:t xml:space="preserve">第二部分  </w:t>
      </w:r>
      <w:r>
        <w:rPr>
          <w:rFonts w:hint="eastAsia" w:ascii="方正黑体_GBK" w:hAnsi="方正黑体_GBK" w:eastAsia="方正黑体_GBK" w:cs="方正黑体_GBK"/>
          <w:sz w:val="32"/>
          <w:szCs w:val="32"/>
          <w:highlight w:val="none"/>
          <w:lang w:val="en-US" w:eastAsia="zh-CN"/>
        </w:rPr>
        <w:t>2025年度</w:t>
      </w:r>
      <w:r>
        <w:rPr>
          <w:rFonts w:hint="eastAsia" w:ascii="方正黑体_GBK" w:hAnsi="方正黑体_GBK" w:eastAsia="方正黑体_GBK" w:cs="方正黑体_GBK"/>
          <w:sz w:val="32"/>
          <w:szCs w:val="32"/>
          <w:highlight w:val="none"/>
        </w:rPr>
        <w:t>部门决算表</w:t>
      </w:r>
    </w:p>
    <w:p w14:paraId="188AB10B">
      <w:pPr>
        <w:keepNext w:val="0"/>
        <w:keepLines w:val="0"/>
        <w:pageBreakBefore w:val="0"/>
        <w:widowControl w:val="0"/>
        <w:kinsoku/>
        <w:wordWrap/>
        <w:overflowPunct/>
        <w:topLinePunct/>
        <w:autoSpaceDE/>
        <w:autoSpaceDN/>
        <w:bidi w:val="0"/>
        <w:adjustRightInd/>
        <w:snapToGrid/>
        <w:spacing w:line="590" w:lineRule="exact"/>
        <w:ind w:firstLine="640" w:firstLineChars="200"/>
        <w:jc w:val="center"/>
        <w:textAlignment w:val="auto"/>
        <w:outlineLvl w:val="1"/>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（详见附件）</w:t>
      </w:r>
    </w:p>
    <w:p w14:paraId="687B1D5E">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lang w:eastAsia="zh-CN"/>
        </w:rPr>
        <w:t>本单位</w:t>
      </w:r>
      <w:r>
        <w:rPr>
          <w:rFonts w:hint="default" w:ascii="Times New Roman" w:hAnsi="Times New Roman" w:eastAsia="方正仿宋_GBK" w:cs="Times New Roman"/>
          <w:sz w:val="32"/>
          <w:szCs w:val="32"/>
          <w:lang w:val="en-US" w:eastAsia="zh-CN"/>
        </w:rPr>
        <w:t>2025年度没有政府性基金收入，也没有使用政府性基金安排的支出，故</w:t>
      </w:r>
      <w:r>
        <w:rPr>
          <w:rFonts w:hint="default" w:ascii="Times New Roman" w:hAnsi="Times New Roman" w:eastAsia="方正仿宋_GBK" w:cs="Times New Roman"/>
          <w:sz w:val="32"/>
          <w:szCs w:val="32"/>
        </w:rPr>
        <w:t>《政府性基金预算财政拨款收入支出决算表》</w:t>
      </w:r>
      <w:r>
        <w:rPr>
          <w:rFonts w:hint="default" w:ascii="Times New Roman" w:hAnsi="Times New Roman" w:eastAsia="方正仿宋_GBK" w:cs="Times New Roman"/>
          <w:sz w:val="32"/>
          <w:szCs w:val="32"/>
          <w:lang w:eastAsia="zh-CN"/>
        </w:rPr>
        <w:t>为空表，无数据；本单位</w:t>
      </w:r>
      <w:r>
        <w:rPr>
          <w:rFonts w:hint="default" w:ascii="Times New Roman" w:hAnsi="Times New Roman" w:eastAsia="方正仿宋_GBK" w:cs="Times New Roman"/>
          <w:sz w:val="32"/>
          <w:szCs w:val="32"/>
          <w:lang w:val="en-US" w:eastAsia="zh-CN"/>
        </w:rPr>
        <w:t>2025年度没有国有资本经营预算财政拨款收入，也没有使用国有资本经营财政拨款支出，故</w:t>
      </w:r>
      <w:r>
        <w:rPr>
          <w:rFonts w:hint="default" w:ascii="Times New Roman" w:hAnsi="Times New Roman" w:eastAsia="方正仿宋_GBK" w:cs="Times New Roman"/>
          <w:sz w:val="32"/>
          <w:szCs w:val="32"/>
        </w:rPr>
        <w:t>《国有资本经营预算财政拨款支出决算表》</w:t>
      </w:r>
      <w:r>
        <w:rPr>
          <w:rFonts w:hint="default" w:ascii="Times New Roman" w:hAnsi="Times New Roman" w:eastAsia="方正仿宋_GBK" w:cs="Times New Roman"/>
          <w:sz w:val="32"/>
          <w:szCs w:val="32"/>
          <w:lang w:eastAsia="zh-CN"/>
        </w:rPr>
        <w:t>为空表，无数据。</w:t>
      </w:r>
    </w:p>
    <w:p w14:paraId="7E70E798">
      <w:pPr>
        <w:keepNext w:val="0"/>
        <w:keepLines w:val="0"/>
        <w:pageBreakBefore w:val="0"/>
        <w:widowControl w:val="0"/>
        <w:kinsoku/>
        <w:wordWrap/>
        <w:overflowPunct/>
        <w:topLinePunct/>
        <w:autoSpaceDE/>
        <w:autoSpaceDN/>
        <w:bidi w:val="0"/>
        <w:adjustRightInd/>
        <w:snapToGrid/>
        <w:spacing w:line="590" w:lineRule="exact"/>
        <w:jc w:val="center"/>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第三部</w:t>
      </w:r>
      <w:r>
        <w:rPr>
          <w:rFonts w:hint="eastAsia" w:ascii="方正黑体_GBK" w:hAnsi="方正黑体_GBK" w:eastAsia="方正黑体_GBK" w:cs="方正黑体_GBK"/>
          <w:sz w:val="32"/>
          <w:szCs w:val="32"/>
          <w:highlight w:val="none"/>
          <w:lang w:eastAsia="zh-CN"/>
        </w:rPr>
        <w:t>分</w:t>
      </w:r>
      <w:r>
        <w:rPr>
          <w:rFonts w:hint="eastAsia" w:ascii="方正黑体_GBK" w:hAnsi="方正黑体_GBK" w:eastAsia="方正黑体_GBK" w:cs="方正黑体_GBK"/>
          <w:sz w:val="32"/>
          <w:szCs w:val="32"/>
          <w:highlight w:val="none"/>
        </w:rPr>
        <w:t xml:space="preserve">  </w:t>
      </w:r>
      <w:r>
        <w:rPr>
          <w:rFonts w:hint="eastAsia" w:ascii="方正黑体_GBK" w:hAnsi="方正黑体_GBK" w:eastAsia="方正黑体_GBK" w:cs="方正黑体_GBK"/>
          <w:sz w:val="32"/>
          <w:szCs w:val="32"/>
          <w:highlight w:val="none"/>
          <w:lang w:val="en-US" w:eastAsia="zh-CN"/>
        </w:rPr>
        <w:t>2025年度</w:t>
      </w:r>
      <w:r>
        <w:rPr>
          <w:rFonts w:hint="eastAsia" w:ascii="方正黑体_GBK" w:hAnsi="方正黑体_GBK" w:eastAsia="方正黑体_GBK" w:cs="方正黑体_GBK"/>
          <w:sz w:val="32"/>
          <w:szCs w:val="32"/>
          <w:highlight w:val="none"/>
        </w:rPr>
        <w:t>部门决算情况说明</w:t>
      </w:r>
    </w:p>
    <w:p w14:paraId="2A5F33C9">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一、收入决算情况说明</w:t>
      </w:r>
    </w:p>
    <w:p w14:paraId="0EBBB7EB">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zh-CN" w:eastAsia="zh-CN"/>
        </w:rPr>
        <w:t>玉溪市急救中心</w:t>
      </w:r>
      <w:r>
        <w:rPr>
          <w:rFonts w:hint="eastAsia" w:ascii="Times New Roman" w:hAnsi="Times New Roman" w:eastAsia="方正仿宋_GBK" w:cs="Times New Roman"/>
          <w:sz w:val="32"/>
          <w:szCs w:val="32"/>
          <w:lang w:val="en-US" w:eastAsia="zh-CN"/>
        </w:rPr>
        <w:t>2025年度</w:t>
      </w:r>
      <w:r>
        <w:rPr>
          <w:rFonts w:hint="eastAsia" w:ascii="Times New Roman" w:hAnsi="Times New Roman" w:eastAsia="方正仿宋_GBK" w:cs="Times New Roman"/>
          <w:sz w:val="32"/>
          <w:szCs w:val="32"/>
          <w:lang w:eastAsia="zh-CN"/>
        </w:rPr>
        <w:t>收入合计</w:t>
      </w:r>
      <w:r>
        <w:rPr>
          <w:rFonts w:hint="eastAsia" w:ascii="Times New Roman" w:hAnsi="Times New Roman" w:eastAsia="方正仿宋_GBK" w:cs="Times New Roman"/>
          <w:sz w:val="32"/>
          <w:szCs w:val="32"/>
          <w:lang w:val="zh-CN" w:eastAsia="zh-CN"/>
        </w:rPr>
        <w:t>23</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101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104.34</w:t>
      </w:r>
      <w:r>
        <w:rPr>
          <w:rFonts w:hint="eastAsia" w:ascii="Times New Roman" w:hAnsi="Times New Roman" w:eastAsia="方正仿宋_GBK" w:cs="Times New Roman"/>
          <w:sz w:val="32"/>
          <w:szCs w:val="32"/>
          <w:lang w:eastAsia="zh-CN"/>
        </w:rPr>
        <w:t>元。其中：财政拨款收入</w:t>
      </w:r>
      <w:r>
        <w:rPr>
          <w:rFonts w:hint="eastAsia" w:ascii="Times New Roman" w:hAnsi="Times New Roman" w:eastAsia="方正仿宋_GBK" w:cs="Times New Roman"/>
          <w:sz w:val="32"/>
          <w:szCs w:val="32"/>
          <w:lang w:val="zh-CN" w:eastAsia="zh-CN"/>
        </w:rPr>
        <w:t>16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862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278.62</w:t>
      </w:r>
      <w:r>
        <w:rPr>
          <w:rFonts w:hint="eastAsia" w:ascii="Times New Roman" w:hAnsi="Times New Roman" w:eastAsia="方正仿宋_GBK" w:cs="Times New Roman"/>
          <w:sz w:val="32"/>
          <w:szCs w:val="32"/>
          <w:lang w:eastAsia="zh-CN"/>
        </w:rPr>
        <w:t>元，占总收入的</w:t>
      </w:r>
      <w:r>
        <w:rPr>
          <w:rFonts w:hint="eastAsia" w:ascii="Times New Roman" w:hAnsi="Times New Roman" w:eastAsia="方正仿宋_GBK" w:cs="Times New Roman"/>
          <w:sz w:val="32"/>
          <w:szCs w:val="32"/>
          <w:lang w:val="zh-CN" w:eastAsia="zh-CN"/>
        </w:rPr>
        <w:t>72.99</w:t>
      </w:r>
      <w:r>
        <w:rPr>
          <w:rFonts w:hint="eastAsia" w:ascii="Times New Roman" w:hAnsi="Times New Roman" w:eastAsia="方正仿宋_GBK" w:cs="Times New Roman"/>
          <w:sz w:val="32"/>
          <w:szCs w:val="32"/>
          <w:lang w:eastAsia="zh-CN"/>
        </w:rPr>
        <w:t>%；上级补助收入</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元，占总收入的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%；事业收入</w:t>
      </w:r>
      <w:r>
        <w:rPr>
          <w:rFonts w:hint="eastAsia" w:ascii="Times New Roman" w:hAnsi="Times New Roman" w:eastAsia="方正仿宋_GBK" w:cs="Times New Roman"/>
          <w:sz w:val="32"/>
          <w:szCs w:val="32"/>
          <w:lang w:val="zh-CN" w:eastAsia="zh-CN"/>
        </w:rPr>
        <w:t>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926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945.72</w:t>
      </w:r>
      <w:r>
        <w:rPr>
          <w:rFonts w:hint="eastAsia" w:ascii="Times New Roman" w:hAnsi="Times New Roman" w:eastAsia="方正仿宋_GBK" w:cs="Times New Roman"/>
          <w:sz w:val="32"/>
          <w:szCs w:val="32"/>
          <w:lang w:eastAsia="zh-CN"/>
        </w:rPr>
        <w:t>元（含教育收费</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元），占总收入的</w:t>
      </w:r>
      <w:r>
        <w:rPr>
          <w:rFonts w:hint="eastAsia" w:ascii="Times New Roman" w:hAnsi="Times New Roman" w:eastAsia="方正仿宋_GBK" w:cs="Times New Roman"/>
          <w:sz w:val="32"/>
          <w:szCs w:val="32"/>
          <w:lang w:val="zh-CN" w:eastAsia="zh-CN"/>
        </w:rPr>
        <w:t>21.33</w:t>
      </w:r>
      <w:r>
        <w:rPr>
          <w:rFonts w:hint="eastAsia" w:ascii="Times New Roman" w:hAnsi="Times New Roman" w:eastAsia="方正仿宋_GBK" w:cs="Times New Roman"/>
          <w:sz w:val="32"/>
          <w:szCs w:val="32"/>
          <w:lang w:eastAsia="zh-CN"/>
        </w:rPr>
        <w:t>%；经营收入</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元，占总收入的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%；附属单位上缴收入</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元，占总收入的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%；其他收入</w:t>
      </w:r>
      <w:r>
        <w:rPr>
          <w:rFonts w:hint="eastAsia" w:ascii="Times New Roman" w:hAnsi="Times New Roman" w:eastAsia="方正仿宋_GBK" w:cs="Times New Roman"/>
          <w:sz w:val="32"/>
          <w:szCs w:val="32"/>
          <w:lang w:val="zh-CN" w:eastAsia="zh-CN"/>
        </w:rPr>
        <w:t>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311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880.00</w:t>
      </w:r>
      <w:r>
        <w:rPr>
          <w:rFonts w:hint="eastAsia" w:ascii="Times New Roman" w:hAnsi="Times New Roman" w:eastAsia="方正仿宋_GBK" w:cs="Times New Roman"/>
          <w:sz w:val="32"/>
          <w:szCs w:val="32"/>
          <w:lang w:eastAsia="zh-CN"/>
        </w:rPr>
        <w:t>元，占总收入的</w:t>
      </w:r>
      <w:r>
        <w:rPr>
          <w:rFonts w:hint="eastAsia" w:ascii="Times New Roman" w:hAnsi="Times New Roman" w:eastAsia="方正仿宋_GBK" w:cs="Times New Roman"/>
          <w:sz w:val="32"/>
          <w:szCs w:val="32"/>
          <w:lang w:val="zh-CN" w:eastAsia="zh-CN"/>
        </w:rPr>
        <w:t>5.68</w:t>
      </w:r>
      <w:r>
        <w:rPr>
          <w:rFonts w:hint="eastAsia" w:ascii="Times New Roman" w:hAnsi="Times New Roman" w:eastAsia="方正仿宋_GBK" w:cs="Times New Roman"/>
          <w:sz w:val="32"/>
          <w:szCs w:val="32"/>
          <w:lang w:eastAsia="zh-CN"/>
        </w:rPr>
        <w:t>%。</w:t>
      </w:r>
    </w:p>
    <w:p w14:paraId="65B500A6">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与上年相比，收入合计</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20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164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954.87</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46.61</w:t>
      </w:r>
      <w:r>
        <w:rPr>
          <w:rFonts w:hint="eastAsia" w:ascii="Times New Roman" w:hAnsi="Times New Roman" w:eastAsia="方正仿宋_GBK" w:cs="Times New Roman"/>
          <w:sz w:val="32"/>
          <w:szCs w:val="32"/>
          <w:lang w:eastAsia="zh-CN"/>
        </w:rPr>
        <w:t>%。其中：财政拨款收入</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21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945.39</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56.48</w:t>
      </w:r>
      <w:r>
        <w:rPr>
          <w:rFonts w:hint="eastAsia" w:ascii="Times New Roman" w:hAnsi="Times New Roman" w:eastAsia="方正仿宋_GBK" w:cs="Times New Roman"/>
          <w:sz w:val="32"/>
          <w:szCs w:val="32"/>
          <w:lang w:eastAsia="zh-CN"/>
        </w:rPr>
        <w:t>%；上级补助收入</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%；事业收入增加</w:t>
      </w:r>
      <w:r>
        <w:rPr>
          <w:rFonts w:hint="eastAsia" w:ascii="Times New Roman" w:hAnsi="Times New Roman" w:eastAsia="方正仿宋_GBK" w:cs="Times New Roman"/>
          <w:sz w:val="32"/>
          <w:szCs w:val="32"/>
          <w:lang w:val="zh-CN" w:eastAsia="zh-CN"/>
        </w:rPr>
        <w:t>436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617.76</w:t>
      </w:r>
      <w:r>
        <w:rPr>
          <w:rFonts w:hint="eastAsia" w:ascii="Times New Roman" w:hAnsi="Times New Roman" w:eastAsia="方正仿宋_GBK" w:cs="Times New Roman"/>
          <w:sz w:val="32"/>
          <w:szCs w:val="32"/>
          <w:lang w:eastAsia="zh-CN"/>
        </w:rPr>
        <w:t>元，增长</w:t>
      </w:r>
      <w:r>
        <w:rPr>
          <w:rFonts w:hint="eastAsia" w:ascii="Times New Roman" w:hAnsi="Times New Roman" w:eastAsia="方正仿宋_GBK" w:cs="Times New Roman"/>
          <w:sz w:val="32"/>
          <w:szCs w:val="32"/>
          <w:lang w:val="zh-CN" w:eastAsia="zh-CN"/>
        </w:rPr>
        <w:t>9.72</w:t>
      </w:r>
      <w:r>
        <w:rPr>
          <w:rFonts w:hint="eastAsia" w:ascii="Times New Roman" w:hAnsi="Times New Roman" w:eastAsia="方正仿宋_GBK" w:cs="Times New Roman"/>
          <w:sz w:val="32"/>
          <w:szCs w:val="32"/>
          <w:lang w:eastAsia="zh-CN"/>
        </w:rPr>
        <w:t>%；经营收入</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%；附属单位上缴收入</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%；其他收入增加</w:t>
      </w:r>
      <w:r>
        <w:rPr>
          <w:rFonts w:hint="eastAsia" w:ascii="Times New Roman" w:hAnsi="Times New Roman" w:eastAsia="方正仿宋_GBK" w:cs="Times New Roman"/>
          <w:sz w:val="32"/>
          <w:szCs w:val="32"/>
          <w:lang w:val="zh-CN" w:eastAsia="zh-CN"/>
        </w:rPr>
        <w:t>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278</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372.76</w:t>
      </w:r>
      <w:r>
        <w:rPr>
          <w:rFonts w:hint="eastAsia" w:ascii="Times New Roman" w:hAnsi="Times New Roman" w:eastAsia="方正仿宋_GBK" w:cs="Times New Roman"/>
          <w:sz w:val="32"/>
          <w:szCs w:val="32"/>
          <w:lang w:eastAsia="zh-CN"/>
        </w:rPr>
        <w:t>元，增长</w:t>
      </w:r>
      <w:r>
        <w:rPr>
          <w:rFonts w:hint="eastAsia" w:ascii="Times New Roman" w:hAnsi="Times New Roman" w:eastAsia="方正仿宋_GBK" w:cs="Times New Roman"/>
          <w:sz w:val="32"/>
          <w:szCs w:val="32"/>
          <w:lang w:val="zh-CN" w:eastAsia="zh-CN"/>
        </w:rPr>
        <w:t>3</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815.21</w:t>
      </w:r>
      <w:r>
        <w:rPr>
          <w:rFonts w:hint="eastAsia" w:ascii="Times New Roman" w:hAnsi="Times New Roman" w:eastAsia="方正仿宋_GBK" w:cs="Times New Roman"/>
          <w:sz w:val="32"/>
          <w:szCs w:val="32"/>
          <w:lang w:eastAsia="zh-CN"/>
        </w:rPr>
        <w:t>%。</w:t>
      </w:r>
    </w:p>
    <w:p w14:paraId="209F77CC">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与上年相比，财政拨款收入减少</w:t>
      </w:r>
      <w:r>
        <w:rPr>
          <w:rFonts w:hint="eastAsia" w:ascii="Times New Roman" w:hAnsi="Times New Roman" w:eastAsia="方正仿宋_GBK" w:cs="Times New Roman"/>
          <w:sz w:val="32"/>
          <w:szCs w:val="32"/>
          <w:lang w:val="zh-CN" w:eastAsia="zh-CN"/>
        </w:rPr>
        <w:t>21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945.39</w:t>
      </w:r>
      <w:r>
        <w:rPr>
          <w:rFonts w:hint="eastAsia" w:ascii="Times New Roman" w:hAnsi="Times New Roman" w:eastAsia="方正仿宋_GBK" w:cs="Times New Roman"/>
          <w:sz w:val="32"/>
          <w:szCs w:val="32"/>
          <w:lang w:eastAsia="zh-CN"/>
        </w:rPr>
        <w:t>元，主要原因是：</w:t>
      </w:r>
      <w:r>
        <w:rPr>
          <w:rFonts w:hint="default" w:ascii="Times New Roman" w:hAnsi="Times New Roman" w:eastAsia="方正仿宋_GBK" w:cs="Times New Roman"/>
          <w:sz w:val="32"/>
          <w:szCs w:val="32"/>
          <w:lang w:val="en-US" w:eastAsia="zh-CN"/>
        </w:rPr>
        <w:t>①</w:t>
      </w:r>
      <w:r>
        <w:rPr>
          <w:rFonts w:hint="eastAsia" w:ascii="Times New Roman" w:hAnsi="Times New Roman" w:eastAsia="方正仿宋_GBK" w:cs="Times New Roman"/>
          <w:sz w:val="32"/>
          <w:szCs w:val="32"/>
          <w:lang w:val="en-US" w:eastAsia="zh-CN"/>
        </w:rPr>
        <w:t>2025</w:t>
      </w:r>
      <w:r>
        <w:rPr>
          <w:rFonts w:hint="default" w:ascii="Times New Roman" w:hAnsi="Times New Roman" w:eastAsia="方正仿宋_GBK" w:cs="Times New Roman"/>
          <w:sz w:val="32"/>
          <w:szCs w:val="32"/>
          <w:lang w:val="en-US" w:eastAsia="zh-CN"/>
        </w:rPr>
        <w:t>年度核拨高质量发展项目经费</w:t>
      </w:r>
      <w:r>
        <w:rPr>
          <w:rFonts w:hint="eastAsia" w:ascii="Times New Roman" w:hAnsi="Times New Roman" w:eastAsia="方正仿宋_GBK" w:cs="Times New Roman"/>
          <w:sz w:val="32"/>
          <w:szCs w:val="32"/>
          <w:lang w:val="en-US" w:eastAsia="zh-CN"/>
        </w:rPr>
        <w:t>4,043,588.79</w:t>
      </w:r>
      <w:r>
        <w:rPr>
          <w:rFonts w:hint="default" w:ascii="Times New Roman" w:hAnsi="Times New Roman" w:eastAsia="方正仿宋_GBK" w:cs="Times New Roman"/>
          <w:sz w:val="32"/>
          <w:szCs w:val="32"/>
          <w:lang w:val="en-US" w:eastAsia="zh-CN"/>
        </w:rPr>
        <w:t>元，三年行动基层医疗卫生人员技能培训项目经费</w:t>
      </w:r>
      <w:r>
        <w:rPr>
          <w:rFonts w:hint="eastAsia" w:ascii="Times New Roman" w:hAnsi="Times New Roman" w:eastAsia="方正仿宋_GBK" w:cs="Times New Roman"/>
          <w:sz w:val="32"/>
          <w:szCs w:val="32"/>
          <w:lang w:val="en-US" w:eastAsia="zh-CN"/>
        </w:rPr>
        <w:t>1,141,346.50</w:t>
      </w:r>
      <w:r>
        <w:rPr>
          <w:rFonts w:hint="default" w:ascii="Times New Roman" w:hAnsi="Times New Roman" w:eastAsia="方正仿宋_GBK" w:cs="Times New Roman"/>
          <w:sz w:val="32"/>
          <w:szCs w:val="32"/>
          <w:lang w:val="en-US" w:eastAsia="zh-CN"/>
        </w:rPr>
        <w:t>元，省级名医人才培养经费</w:t>
      </w:r>
      <w:r>
        <w:rPr>
          <w:rFonts w:hint="eastAsia" w:ascii="Times New Roman" w:hAnsi="Times New Roman" w:eastAsia="方正仿宋_GBK" w:cs="Times New Roman"/>
          <w:sz w:val="32"/>
          <w:szCs w:val="32"/>
          <w:lang w:val="en-US" w:eastAsia="zh-CN"/>
        </w:rPr>
        <w:t>121,173.41</w:t>
      </w:r>
      <w:r>
        <w:rPr>
          <w:rFonts w:hint="default" w:ascii="Times New Roman" w:hAnsi="Times New Roman" w:eastAsia="方正仿宋_GBK" w:cs="Times New Roman"/>
          <w:sz w:val="32"/>
          <w:szCs w:val="32"/>
          <w:lang w:val="en-US" w:eastAsia="zh-CN"/>
        </w:rPr>
        <w:t>元项目经费，合计</w:t>
      </w:r>
      <w:r>
        <w:rPr>
          <w:rFonts w:hint="eastAsia" w:ascii="Times New Roman" w:hAnsi="Times New Roman" w:eastAsia="方正仿宋_GBK" w:cs="Times New Roman"/>
          <w:sz w:val="32"/>
          <w:szCs w:val="32"/>
          <w:lang w:val="en-US" w:eastAsia="zh-CN"/>
        </w:rPr>
        <w:t>5,306,108.70</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②</w:t>
      </w:r>
      <w:r>
        <w:rPr>
          <w:rFonts w:hint="eastAsia" w:ascii="Times New Roman" w:hAnsi="Times New Roman" w:eastAsia="方正仿宋_GBK" w:cs="Times New Roman"/>
          <w:sz w:val="32"/>
          <w:szCs w:val="32"/>
          <w:lang w:val="en-US" w:eastAsia="zh-CN"/>
        </w:rPr>
        <w:t>2024</w:t>
      </w:r>
      <w:r>
        <w:rPr>
          <w:rFonts w:hint="default" w:ascii="Times New Roman" w:hAnsi="Times New Roman" w:eastAsia="方正仿宋_GBK" w:cs="Times New Roman"/>
          <w:sz w:val="32"/>
          <w:szCs w:val="32"/>
          <w:lang w:val="en-US" w:eastAsia="zh-CN"/>
        </w:rPr>
        <w:t>年度核拨院前急救能力提升经费</w:t>
      </w:r>
      <w:r>
        <w:rPr>
          <w:rFonts w:hint="eastAsia" w:ascii="Times New Roman" w:hAnsi="Times New Roman" w:eastAsia="方正仿宋_GBK" w:cs="Times New Roman"/>
          <w:sz w:val="32"/>
          <w:szCs w:val="32"/>
          <w:lang w:val="en-US" w:eastAsia="zh-CN"/>
        </w:rPr>
        <w:t>89,940.00</w:t>
      </w:r>
      <w:r>
        <w:rPr>
          <w:rFonts w:hint="default" w:ascii="Times New Roman" w:hAnsi="Times New Roman" w:eastAsia="方正仿宋_GBK" w:cs="Times New Roman"/>
          <w:sz w:val="32"/>
          <w:szCs w:val="32"/>
          <w:lang w:val="en-US" w:eastAsia="zh-CN"/>
        </w:rPr>
        <w:t>元，高质量发展项目经费</w:t>
      </w:r>
      <w:r>
        <w:rPr>
          <w:rFonts w:hint="eastAsia" w:ascii="Times New Roman" w:hAnsi="Times New Roman" w:eastAsia="方正仿宋_GBK" w:cs="Times New Roman"/>
          <w:sz w:val="32"/>
          <w:szCs w:val="32"/>
          <w:lang w:val="en-US" w:eastAsia="zh-CN"/>
        </w:rPr>
        <w:t>26,377,787.40</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疫情防控人员补助</w:t>
      </w:r>
      <w:r>
        <w:rPr>
          <w:rFonts w:hint="default" w:ascii="Times New Roman" w:hAnsi="Times New Roman" w:eastAsia="方正仿宋_GBK" w:cs="Times New Roman"/>
          <w:sz w:val="32"/>
          <w:szCs w:val="32"/>
          <w:lang w:val="en-US" w:eastAsia="zh-CN"/>
        </w:rPr>
        <w:t>经费</w:t>
      </w:r>
      <w:r>
        <w:rPr>
          <w:rFonts w:hint="eastAsia" w:ascii="Times New Roman" w:hAnsi="Times New Roman" w:eastAsia="方正仿宋_GBK" w:cs="Times New Roman"/>
          <w:sz w:val="32"/>
          <w:szCs w:val="32"/>
          <w:lang w:val="en-US" w:eastAsia="zh-CN"/>
        </w:rPr>
        <w:t>38,140.00</w:t>
      </w:r>
      <w:r>
        <w:rPr>
          <w:rFonts w:hint="default" w:ascii="Times New Roman" w:hAnsi="Times New Roman" w:eastAsia="方正仿宋_GBK" w:cs="Times New Roman"/>
          <w:sz w:val="32"/>
          <w:szCs w:val="32"/>
          <w:lang w:val="en-US" w:eastAsia="zh-CN"/>
        </w:rPr>
        <w:t>元，三年行动基层医疗卫生人员技能培训项目经费</w:t>
      </w:r>
      <w:r>
        <w:rPr>
          <w:rFonts w:hint="eastAsia" w:ascii="Times New Roman" w:hAnsi="Times New Roman" w:eastAsia="方正仿宋_GBK" w:cs="Times New Roman"/>
          <w:sz w:val="32"/>
          <w:szCs w:val="32"/>
          <w:lang w:val="en-US" w:eastAsia="zh-CN"/>
        </w:rPr>
        <w:t>1,086,834.00</w:t>
      </w:r>
      <w:r>
        <w:rPr>
          <w:rFonts w:hint="default" w:ascii="Times New Roman" w:hAnsi="Times New Roman" w:eastAsia="方正仿宋_GBK" w:cs="Times New Roman"/>
          <w:sz w:val="32"/>
          <w:szCs w:val="32"/>
          <w:lang w:val="en-US" w:eastAsia="zh-CN"/>
        </w:rPr>
        <w:t>元，省级名医人才培养经费</w:t>
      </w:r>
      <w:r>
        <w:rPr>
          <w:rFonts w:hint="eastAsia" w:ascii="Times New Roman" w:hAnsi="Times New Roman" w:eastAsia="方正仿宋_GBK" w:cs="Times New Roman"/>
          <w:sz w:val="32"/>
          <w:szCs w:val="32"/>
          <w:lang w:val="en-US" w:eastAsia="zh-CN"/>
        </w:rPr>
        <w:t>96,413.59</w:t>
      </w:r>
      <w:r>
        <w:rPr>
          <w:rFonts w:hint="default" w:ascii="Times New Roman" w:hAnsi="Times New Roman" w:eastAsia="方正仿宋_GBK" w:cs="Times New Roman"/>
          <w:sz w:val="32"/>
          <w:szCs w:val="32"/>
          <w:lang w:val="en-US" w:eastAsia="zh-CN"/>
        </w:rPr>
        <w:t>元等项目经费，合计</w:t>
      </w:r>
      <w:r>
        <w:rPr>
          <w:rFonts w:hint="eastAsia" w:ascii="Times New Roman" w:hAnsi="Times New Roman" w:eastAsia="方正仿宋_GBK" w:cs="Times New Roman"/>
          <w:sz w:val="32"/>
          <w:szCs w:val="32"/>
          <w:lang w:val="en-US" w:eastAsia="zh-CN"/>
        </w:rPr>
        <w:t>27,689,114.99</w:t>
      </w:r>
      <w:r>
        <w:rPr>
          <w:rFonts w:hint="default" w:ascii="Times New Roman" w:hAnsi="Times New Roman" w:eastAsia="方正仿宋_GBK" w:cs="Times New Roman"/>
          <w:sz w:val="32"/>
          <w:szCs w:val="32"/>
          <w:lang w:val="en-US" w:eastAsia="zh-CN"/>
        </w:rPr>
        <w:t>元。两年财政拨款项目经费相抵后，202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项目经费</w:t>
      </w:r>
      <w:r>
        <w:rPr>
          <w:rFonts w:hint="default" w:ascii="Times New Roman" w:hAnsi="Times New Roman" w:eastAsia="方正仿宋_GBK" w:cs="Times New Roman"/>
          <w:sz w:val="32"/>
          <w:szCs w:val="32"/>
          <w:lang w:val="en-US" w:eastAsia="zh-CN"/>
        </w:rPr>
        <w:t>较202</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2</w:t>
      </w:r>
      <w:r>
        <w:rPr>
          <w:rFonts w:hint="eastAsia" w:ascii="Times New Roman" w:hAnsi="Times New Roman" w:eastAsia="方正仿宋_GBK" w:cs="Times New Roman"/>
          <w:sz w:val="32"/>
          <w:szCs w:val="32"/>
          <w:lang w:val="en-US" w:eastAsia="zh-CN"/>
        </w:rPr>
        <w:t>2,383,006.29</w:t>
      </w:r>
      <w:r>
        <w:rPr>
          <w:rFonts w:hint="eastAsia"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lang w:val="en-US" w:eastAsia="zh-CN"/>
        </w:rPr>
        <w:t>；③编制内人员养老、医疗、住房公积金等社保费及绩效工资202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年较202</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增加464,535.39</w:t>
      </w:r>
      <w:r>
        <w:rPr>
          <w:rFonts w:hint="default" w:ascii="Times New Roman" w:hAnsi="Times New Roman" w:eastAsia="方正仿宋_GBK" w:cs="Times New Roman"/>
          <w:sz w:val="32"/>
          <w:szCs w:val="32"/>
          <w:lang w:val="en-US" w:eastAsia="zh-CN"/>
        </w:rPr>
        <w:t>元；④物业管理费、办公费、培训费等日常公用经费</w:t>
      </w:r>
      <w:r>
        <w:rPr>
          <w:rFonts w:hint="eastAsia" w:ascii="Times New Roman" w:hAnsi="Times New Roman" w:eastAsia="方正仿宋_GBK" w:cs="Times New Roman"/>
          <w:sz w:val="32"/>
          <w:szCs w:val="32"/>
          <w:lang w:val="en-US" w:eastAsia="zh-CN"/>
        </w:rPr>
        <w:t>增加50,526.51</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⑤</w:t>
      </w:r>
      <w:r>
        <w:rPr>
          <w:rFonts w:hint="default" w:ascii="Times New Roman" w:hAnsi="Times New Roman" w:eastAsia="方正仿宋_GBK" w:cs="Times New Roman"/>
          <w:sz w:val="32"/>
          <w:szCs w:val="32"/>
          <w:lang w:val="en-US" w:eastAsia="zh-CN"/>
        </w:rPr>
        <w:t>生活补助等经费增加</w:t>
      </w:r>
      <w:r>
        <w:rPr>
          <w:rFonts w:hint="eastAsia" w:ascii="Times New Roman" w:hAnsi="Times New Roman" w:eastAsia="方正仿宋_GBK" w:cs="Times New Roman"/>
          <w:sz w:val="32"/>
          <w:szCs w:val="32"/>
          <w:lang w:val="en-US" w:eastAsia="zh-CN"/>
        </w:rPr>
        <w:t>4,400.00</w:t>
      </w:r>
      <w:r>
        <w:rPr>
          <w:rFonts w:hint="default" w:ascii="Times New Roman" w:hAnsi="Times New Roman" w:eastAsia="方正仿宋_GBK" w:cs="Times New Roman"/>
          <w:sz w:val="32"/>
          <w:szCs w:val="32"/>
          <w:lang w:val="en-US" w:eastAsia="zh-CN"/>
        </w:rPr>
        <w:t>元；⑥</w:t>
      </w:r>
      <w:r>
        <w:rPr>
          <w:rFonts w:hint="eastAsia" w:ascii="Times New Roman" w:hAnsi="Times New Roman" w:eastAsia="方正仿宋_GBK" w:cs="Times New Roman"/>
          <w:sz w:val="32"/>
          <w:szCs w:val="32"/>
          <w:lang w:val="en-US" w:eastAsia="zh-CN"/>
        </w:rPr>
        <w:t>办公设备购置减少16,401.00元</w:t>
      </w:r>
      <w:r>
        <w:rPr>
          <w:rFonts w:hint="default" w:ascii="Times New Roman" w:hAnsi="Times New Roman" w:eastAsia="方正仿宋_GBK" w:cs="Times New Roman"/>
          <w:sz w:val="32"/>
          <w:szCs w:val="32"/>
          <w:lang w:val="en-US" w:eastAsia="zh-CN"/>
        </w:rPr>
        <w:t>。两年财政拨款</w:t>
      </w:r>
      <w:r>
        <w:rPr>
          <w:rFonts w:hint="eastAsia" w:ascii="Times New Roman" w:hAnsi="Times New Roman" w:eastAsia="方正仿宋_GBK" w:cs="Times New Roman"/>
          <w:sz w:val="32"/>
          <w:szCs w:val="32"/>
          <w:lang w:val="en-US" w:eastAsia="zh-CN"/>
        </w:rPr>
        <w:t>基本支出</w:t>
      </w:r>
      <w:r>
        <w:rPr>
          <w:rFonts w:hint="default" w:ascii="Times New Roman" w:hAnsi="Times New Roman" w:eastAsia="方正仿宋_GBK" w:cs="Times New Roman"/>
          <w:sz w:val="32"/>
          <w:szCs w:val="32"/>
          <w:lang w:val="en-US" w:eastAsia="zh-CN"/>
        </w:rPr>
        <w:t>经费相抵后，20</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lang w:val="en-US" w:eastAsia="zh-CN"/>
        </w:rPr>
        <w:t>年较202</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增加503,060.90</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故财政拨款收入与上年相比，</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21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945.39</w:t>
      </w:r>
      <w:r>
        <w:rPr>
          <w:rFonts w:hint="default" w:ascii="Times New Roman" w:hAnsi="Times New Roman" w:eastAsia="方正仿宋_GBK" w:cs="Times New Roman"/>
          <w:sz w:val="32"/>
          <w:szCs w:val="32"/>
          <w:lang w:val="en-US" w:eastAsia="zh-CN"/>
        </w:rPr>
        <w:t>元。</w:t>
      </w:r>
    </w:p>
    <w:p w14:paraId="3F3DDEA6">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与上年相比，事业收入增加</w:t>
      </w:r>
      <w:r>
        <w:rPr>
          <w:rFonts w:hint="eastAsia" w:ascii="Times New Roman" w:hAnsi="Times New Roman" w:eastAsia="方正仿宋_GBK" w:cs="Times New Roman"/>
          <w:sz w:val="32"/>
          <w:szCs w:val="32"/>
          <w:lang w:val="zh-CN" w:eastAsia="zh-CN"/>
        </w:rPr>
        <w:t>436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617.76</w:t>
      </w:r>
      <w:r>
        <w:rPr>
          <w:rFonts w:hint="default" w:ascii="Times New Roman" w:hAnsi="Times New Roman" w:eastAsia="方正仿宋_GBK" w:cs="Times New Roman"/>
          <w:sz w:val="32"/>
          <w:szCs w:val="32"/>
          <w:lang w:val="en-US" w:eastAsia="zh-CN"/>
        </w:rPr>
        <w:t>元。主要原因是：转运、转院病人业务增长及医疗服务保障、院前急救培训收入增加。</w:t>
      </w:r>
    </w:p>
    <w:p w14:paraId="3677AC0E">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与上年相比，</w:t>
      </w:r>
      <w:r>
        <w:rPr>
          <w:rFonts w:hint="eastAsia" w:ascii="Times New Roman" w:hAnsi="Times New Roman" w:eastAsia="方正仿宋_GBK" w:cs="Times New Roman"/>
          <w:sz w:val="32"/>
          <w:szCs w:val="32"/>
          <w:lang w:eastAsia="zh-CN"/>
        </w:rPr>
        <w:t>其他</w:t>
      </w:r>
      <w:r>
        <w:rPr>
          <w:rFonts w:hint="default" w:ascii="Times New Roman" w:hAnsi="Times New Roman" w:eastAsia="方正仿宋_GBK" w:cs="Times New Roman"/>
          <w:sz w:val="32"/>
          <w:szCs w:val="32"/>
          <w:lang w:eastAsia="zh-CN"/>
        </w:rPr>
        <w:t>收入增加</w:t>
      </w:r>
      <w:r>
        <w:rPr>
          <w:rFonts w:hint="eastAsia" w:ascii="Times New Roman" w:hAnsi="Times New Roman" w:eastAsia="方正仿宋_GBK" w:cs="Times New Roman"/>
          <w:sz w:val="32"/>
          <w:szCs w:val="32"/>
          <w:lang w:val="zh-CN" w:eastAsia="zh-CN"/>
        </w:rPr>
        <w:t>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278</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372.76</w:t>
      </w:r>
      <w:r>
        <w:rPr>
          <w:rFonts w:hint="default" w:ascii="Times New Roman" w:hAnsi="Times New Roman" w:eastAsia="方正仿宋_GBK" w:cs="Times New Roman"/>
          <w:sz w:val="32"/>
          <w:szCs w:val="32"/>
          <w:lang w:val="en-US" w:eastAsia="zh-CN"/>
        </w:rPr>
        <w:t>元。主要原因是：</w:t>
      </w:r>
      <w:r>
        <w:rPr>
          <w:rFonts w:hint="eastAsia" w:ascii="Times New Roman" w:hAnsi="Times New Roman" w:eastAsia="方正仿宋_GBK" w:cs="Times New Roman"/>
          <w:sz w:val="32"/>
          <w:szCs w:val="32"/>
          <w:lang w:val="en-US" w:eastAsia="zh-CN"/>
        </w:rPr>
        <w:t>2025年宁波凯福莱特公司跨年退回高质量项目款1,261,880.00元，收到兴玉名医补助50,000.00元，合计1,311,880.00元，2024年度核拨应急救助基金33,507.24元。故2025年其他收入较上年增加</w:t>
      </w:r>
      <w:r>
        <w:rPr>
          <w:rFonts w:hint="eastAsia" w:ascii="Times New Roman" w:hAnsi="Times New Roman" w:eastAsia="方正仿宋_GBK" w:cs="Times New Roman"/>
          <w:sz w:val="32"/>
          <w:szCs w:val="32"/>
          <w:lang w:val="zh-CN" w:eastAsia="zh-CN"/>
        </w:rPr>
        <w:t>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278</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372.76</w:t>
      </w:r>
      <w:r>
        <w:rPr>
          <w:rFonts w:hint="default" w:ascii="Times New Roman" w:hAnsi="Times New Roman" w:eastAsia="方正仿宋_GBK" w:cs="Times New Roman"/>
          <w:sz w:val="32"/>
          <w:szCs w:val="32"/>
          <w:lang w:val="en-US" w:eastAsia="zh-CN"/>
        </w:rPr>
        <w:t>元。</w:t>
      </w:r>
    </w:p>
    <w:p w14:paraId="657659AC">
      <w:pPr>
        <w:keepNext w:val="0"/>
        <w:keepLines w:val="0"/>
        <w:pageBreakBefore w:val="0"/>
        <w:kinsoku/>
        <w:overflowPunct/>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二、支出决算情况说明</w:t>
      </w:r>
    </w:p>
    <w:p w14:paraId="0424A1FC">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zh-CN" w:eastAsia="zh-CN"/>
        </w:rPr>
        <w:t>玉溪市急救中心</w:t>
      </w:r>
      <w:r>
        <w:rPr>
          <w:rFonts w:hint="eastAsia" w:ascii="Times New Roman" w:hAnsi="Times New Roman" w:eastAsia="方正仿宋_GBK" w:cs="Times New Roman"/>
          <w:sz w:val="32"/>
          <w:szCs w:val="32"/>
          <w:lang w:val="en-US" w:eastAsia="zh-CN"/>
        </w:rPr>
        <w:t>2025年度</w:t>
      </w:r>
      <w:r>
        <w:rPr>
          <w:rFonts w:hint="eastAsia" w:ascii="Times New Roman" w:hAnsi="Times New Roman" w:eastAsia="方正仿宋_GBK" w:cs="Times New Roman"/>
          <w:sz w:val="32"/>
          <w:szCs w:val="32"/>
          <w:lang w:eastAsia="zh-CN"/>
        </w:rPr>
        <w:t>支出合计</w:t>
      </w:r>
      <w:r>
        <w:rPr>
          <w:rFonts w:hint="eastAsia" w:ascii="Times New Roman" w:hAnsi="Times New Roman" w:eastAsia="方正仿宋_GBK" w:cs="Times New Roman"/>
          <w:sz w:val="32"/>
          <w:szCs w:val="32"/>
          <w:lang w:val="zh-CN" w:eastAsia="zh-CN"/>
        </w:rPr>
        <w:t>25</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129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036.81</w:t>
      </w:r>
      <w:r>
        <w:rPr>
          <w:rFonts w:hint="eastAsia" w:ascii="Times New Roman" w:hAnsi="Times New Roman" w:eastAsia="方正仿宋_GBK" w:cs="Times New Roman"/>
          <w:sz w:val="32"/>
          <w:szCs w:val="32"/>
          <w:lang w:eastAsia="zh-CN"/>
        </w:rPr>
        <w:t>元。其中：基本支出</w:t>
      </w:r>
      <w:r>
        <w:rPr>
          <w:rFonts w:hint="eastAsia" w:ascii="Times New Roman" w:hAnsi="Times New Roman" w:eastAsia="方正仿宋_GBK" w:cs="Times New Roman"/>
          <w:sz w:val="32"/>
          <w:szCs w:val="32"/>
          <w:lang w:val="zh-CN" w:eastAsia="zh-CN"/>
        </w:rPr>
        <w:t>14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764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826.08</w:t>
      </w:r>
      <w:r>
        <w:rPr>
          <w:rFonts w:hint="eastAsia" w:ascii="Times New Roman" w:hAnsi="Times New Roman" w:eastAsia="方正仿宋_GBK" w:cs="Times New Roman"/>
          <w:sz w:val="32"/>
          <w:szCs w:val="32"/>
          <w:lang w:eastAsia="zh-CN"/>
        </w:rPr>
        <w:t>元，占总支出的</w:t>
      </w:r>
      <w:r>
        <w:rPr>
          <w:rFonts w:hint="eastAsia" w:ascii="Times New Roman" w:hAnsi="Times New Roman" w:eastAsia="方正仿宋_GBK" w:cs="Times New Roman"/>
          <w:sz w:val="32"/>
          <w:szCs w:val="32"/>
          <w:lang w:val="zh-CN" w:eastAsia="zh-CN"/>
        </w:rPr>
        <w:t>58.76</w:t>
      </w:r>
      <w:r>
        <w:rPr>
          <w:rFonts w:hint="eastAsia" w:ascii="Times New Roman" w:hAnsi="Times New Roman" w:eastAsia="方正仿宋_GBK" w:cs="Times New Roman"/>
          <w:sz w:val="32"/>
          <w:szCs w:val="32"/>
          <w:lang w:eastAsia="zh-CN"/>
        </w:rPr>
        <w:t>％；项目支出</w:t>
      </w:r>
      <w:r>
        <w:rPr>
          <w:rFonts w:hint="eastAsia" w:ascii="Times New Roman" w:hAnsi="Times New Roman" w:eastAsia="方正仿宋_GBK" w:cs="Times New Roman"/>
          <w:sz w:val="32"/>
          <w:szCs w:val="32"/>
          <w:lang w:val="zh-CN" w:eastAsia="zh-CN"/>
        </w:rPr>
        <w:t>10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364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210.73</w:t>
      </w:r>
      <w:r>
        <w:rPr>
          <w:rFonts w:hint="eastAsia" w:ascii="Times New Roman" w:hAnsi="Times New Roman" w:eastAsia="方正仿宋_GBK" w:cs="Times New Roman"/>
          <w:sz w:val="32"/>
          <w:szCs w:val="32"/>
          <w:lang w:eastAsia="zh-CN"/>
        </w:rPr>
        <w:t>元，占总支出的</w:t>
      </w:r>
      <w:r>
        <w:rPr>
          <w:rFonts w:hint="eastAsia" w:ascii="Times New Roman" w:hAnsi="Times New Roman" w:eastAsia="方正仿宋_GBK" w:cs="Times New Roman"/>
          <w:sz w:val="32"/>
          <w:szCs w:val="32"/>
          <w:lang w:val="zh-CN" w:eastAsia="zh-CN"/>
        </w:rPr>
        <w:t>41.24</w:t>
      </w:r>
      <w:r>
        <w:rPr>
          <w:rFonts w:hint="eastAsia" w:ascii="Times New Roman" w:hAnsi="Times New Roman" w:eastAsia="方正仿宋_GBK" w:cs="Times New Roman"/>
          <w:sz w:val="32"/>
          <w:szCs w:val="32"/>
          <w:lang w:eastAsia="zh-CN"/>
        </w:rPr>
        <w:t>％；上缴上级支出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元，占总支出的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％；经营支出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元，占总支出的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％；对附属单位补助支出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元，占总支出的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w:t>
      </w:r>
    </w:p>
    <w:p w14:paraId="59E7B822">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与上年相比，支出合计</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709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407.71</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41.34</w:t>
      </w:r>
      <w:r>
        <w:rPr>
          <w:rFonts w:hint="eastAsia" w:ascii="Times New Roman" w:hAnsi="Times New Roman" w:eastAsia="方正仿宋_GBK" w:cs="Times New Roman"/>
          <w:sz w:val="32"/>
          <w:szCs w:val="32"/>
          <w:lang w:eastAsia="zh-CN"/>
        </w:rPr>
        <w:t>%。其中：基本支出增加</w:t>
      </w:r>
      <w:r>
        <w:rPr>
          <w:rFonts w:hint="eastAsia" w:ascii="Times New Roman" w:hAnsi="Times New Roman" w:eastAsia="方正仿宋_GBK" w:cs="Times New Roman"/>
          <w:sz w:val="32"/>
          <w:szCs w:val="32"/>
          <w:lang w:val="zh-CN" w:eastAsia="zh-CN"/>
        </w:rPr>
        <w:t>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085.86</w:t>
      </w:r>
      <w:r>
        <w:rPr>
          <w:rFonts w:hint="eastAsia" w:ascii="Times New Roman" w:hAnsi="Times New Roman" w:eastAsia="方正仿宋_GBK" w:cs="Times New Roman"/>
          <w:sz w:val="32"/>
          <w:szCs w:val="32"/>
          <w:lang w:eastAsia="zh-CN"/>
        </w:rPr>
        <w:t>元，增长</w:t>
      </w:r>
      <w:r>
        <w:rPr>
          <w:rFonts w:hint="eastAsia" w:ascii="Times New Roman" w:hAnsi="Times New Roman" w:eastAsia="方正仿宋_GBK" w:cs="Times New Roman"/>
          <w:sz w:val="32"/>
          <w:szCs w:val="32"/>
          <w:lang w:val="zh-CN" w:eastAsia="zh-CN"/>
        </w:rPr>
        <w:t>7.40</w:t>
      </w:r>
      <w:r>
        <w:rPr>
          <w:rFonts w:hint="eastAsia" w:ascii="Times New Roman" w:hAnsi="Times New Roman" w:eastAsia="方正仿宋_GBK" w:cs="Times New Roman"/>
          <w:sz w:val="32"/>
          <w:szCs w:val="32"/>
          <w:lang w:eastAsia="zh-CN"/>
        </w:rPr>
        <w:t>%；项目支出</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18</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726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493.57</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64.37</w:t>
      </w:r>
      <w:r>
        <w:rPr>
          <w:rFonts w:hint="eastAsia" w:ascii="Times New Roman" w:hAnsi="Times New Roman" w:eastAsia="方正仿宋_GBK" w:cs="Times New Roman"/>
          <w:sz w:val="32"/>
          <w:szCs w:val="32"/>
          <w:lang w:eastAsia="zh-CN"/>
        </w:rPr>
        <w:t>%；上缴上级支出</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%；经营支出</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%；对附属单位补助支出</w:t>
      </w:r>
      <w:r>
        <w:rPr>
          <w:rFonts w:hint="eastAsia" w:ascii="Times New Roman" w:hAnsi="Times New Roman" w:eastAsia="方正仿宋_GBK" w:cs="Times New Roman"/>
          <w:sz w:val="32"/>
          <w:szCs w:val="32"/>
          <w:lang w:val="en-US" w:eastAsia="zh-CN"/>
        </w:rPr>
        <w:t>减少</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元，</w:t>
      </w:r>
      <w:r>
        <w:rPr>
          <w:rFonts w:hint="eastAsia" w:ascii="Times New Roman" w:hAnsi="Times New Roman" w:eastAsia="方正仿宋_GBK" w:cs="Times New Roman"/>
          <w:sz w:val="32"/>
          <w:szCs w:val="32"/>
          <w:lang w:val="en-US" w:eastAsia="zh-CN"/>
        </w:rPr>
        <w:t>下降</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主要原因是：</w:t>
      </w:r>
      <w:r>
        <w:rPr>
          <w:rFonts w:hint="default" w:ascii="Times New Roman" w:hAnsi="Times New Roman" w:eastAsia="方正仿宋_GBK" w:cs="Times New Roman"/>
          <w:sz w:val="32"/>
          <w:szCs w:val="32"/>
          <w:lang w:val="en-US" w:eastAsia="zh-CN"/>
        </w:rPr>
        <w:t>①</w:t>
      </w:r>
      <w:r>
        <w:rPr>
          <w:rFonts w:hint="default" w:ascii="Times New Roman" w:hAnsi="Times New Roman" w:eastAsia="方正仿宋_GBK" w:cs="Times New Roman"/>
          <w:sz w:val="32"/>
          <w:szCs w:val="32"/>
          <w:lang w:eastAsia="zh-CN"/>
        </w:rPr>
        <w:t>编内人员</w:t>
      </w:r>
      <w:r>
        <w:rPr>
          <w:rFonts w:hint="eastAsia" w:ascii="Times New Roman" w:hAnsi="Times New Roman" w:eastAsia="方正仿宋_GBK" w:cs="Times New Roman"/>
          <w:sz w:val="32"/>
          <w:szCs w:val="32"/>
          <w:lang w:eastAsia="zh-CN"/>
        </w:rPr>
        <w:t>增加</w:t>
      </w:r>
      <w:r>
        <w:rPr>
          <w:rFonts w:hint="default" w:ascii="Times New Roman" w:hAnsi="Times New Roman" w:eastAsia="方正仿宋_GBK" w:cs="Times New Roman"/>
          <w:sz w:val="32"/>
          <w:szCs w:val="32"/>
          <w:lang w:eastAsia="zh-CN"/>
        </w:rPr>
        <w:t>工资</w:t>
      </w:r>
      <w:r>
        <w:rPr>
          <w:rFonts w:hint="eastAsia"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lang w:eastAsia="zh-CN"/>
        </w:rPr>
        <w:t>社保</w:t>
      </w:r>
      <w:r>
        <w:rPr>
          <w:rFonts w:hint="eastAsia" w:ascii="Times New Roman" w:hAnsi="Times New Roman" w:eastAsia="方正仿宋_GBK" w:cs="Times New Roman"/>
          <w:sz w:val="32"/>
          <w:szCs w:val="32"/>
          <w:lang w:eastAsia="zh-CN"/>
        </w:rPr>
        <w:t>、奖励性绩效增量增加</w:t>
      </w:r>
      <w:r>
        <w:rPr>
          <w:rFonts w:hint="default" w:ascii="Times New Roman" w:hAnsi="Times New Roman" w:eastAsia="方正仿宋_GBK" w:cs="Times New Roman"/>
          <w:sz w:val="32"/>
          <w:szCs w:val="32"/>
          <w:lang w:eastAsia="zh-CN"/>
        </w:rPr>
        <w:t>等</w:t>
      </w:r>
      <w:r>
        <w:rPr>
          <w:rFonts w:hint="eastAsia" w:ascii="Times New Roman" w:hAnsi="Times New Roman" w:eastAsia="方正仿宋_GBK" w:cs="Times New Roman"/>
          <w:sz w:val="32"/>
          <w:szCs w:val="32"/>
          <w:lang w:eastAsia="zh-CN"/>
        </w:rPr>
        <w:t>使人员类</w:t>
      </w:r>
      <w:r>
        <w:rPr>
          <w:rFonts w:hint="default" w:ascii="Times New Roman" w:hAnsi="Times New Roman" w:eastAsia="方正仿宋_GBK" w:cs="Times New Roman"/>
          <w:sz w:val="32"/>
          <w:szCs w:val="32"/>
          <w:lang w:eastAsia="zh-CN"/>
        </w:rPr>
        <w:t>基本支出</w:t>
      </w:r>
      <w:r>
        <w:rPr>
          <w:rFonts w:hint="eastAsia" w:ascii="Times New Roman" w:hAnsi="Times New Roman" w:eastAsia="方正仿宋_GBK" w:cs="Times New Roman"/>
          <w:sz w:val="32"/>
          <w:szCs w:val="32"/>
          <w:lang w:val="en-US" w:eastAsia="zh-CN"/>
        </w:rPr>
        <w:t>895,351.30</w:t>
      </w:r>
      <w:r>
        <w:rPr>
          <w:rFonts w:hint="default" w:ascii="Times New Roman" w:hAnsi="Times New Roman" w:eastAsia="方正仿宋_GBK" w:cs="Times New Roman"/>
          <w:sz w:val="32"/>
          <w:szCs w:val="32"/>
          <w:lang w:val="en-US" w:eastAsia="zh-CN"/>
        </w:rPr>
        <w:t>元；②</w:t>
      </w:r>
      <w:r>
        <w:rPr>
          <w:rFonts w:hint="eastAsia" w:ascii="Times New Roman" w:hAnsi="Times New Roman" w:eastAsia="方正仿宋_GBK" w:cs="Times New Roman"/>
          <w:sz w:val="32"/>
          <w:szCs w:val="32"/>
          <w:lang w:val="en-US" w:eastAsia="zh-CN"/>
        </w:rPr>
        <w:t>培训费、办公费、水电费等日常公用类基本支出增加121,734.56元；</w:t>
      </w:r>
      <w:r>
        <w:rPr>
          <w:rFonts w:hint="default" w:ascii="Times New Roman" w:hAnsi="Times New Roman" w:eastAsia="方正仿宋_GBK" w:cs="Times New Roman"/>
          <w:sz w:val="32"/>
          <w:szCs w:val="32"/>
          <w:lang w:val="en-US" w:eastAsia="zh-CN"/>
        </w:rPr>
        <w:t>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年度</w:t>
      </w:r>
      <w:r>
        <w:rPr>
          <w:rFonts w:hint="eastAsia" w:ascii="Times New Roman" w:hAnsi="Times New Roman" w:eastAsia="方正仿宋_GBK" w:cs="Times New Roman"/>
          <w:sz w:val="32"/>
          <w:szCs w:val="32"/>
          <w:lang w:val="en-US" w:eastAsia="zh-CN"/>
        </w:rPr>
        <w:t>，随着</w:t>
      </w:r>
      <w:r>
        <w:rPr>
          <w:rFonts w:hint="default" w:ascii="Times New Roman" w:hAnsi="Times New Roman" w:eastAsia="方正仿宋_GBK" w:cs="Times New Roman"/>
          <w:sz w:val="32"/>
          <w:szCs w:val="32"/>
          <w:lang w:val="en-US" w:eastAsia="zh-CN"/>
        </w:rPr>
        <w:t>公立医院改革与高质量发展项目</w:t>
      </w:r>
      <w:r>
        <w:rPr>
          <w:rFonts w:hint="eastAsia" w:ascii="Times New Roman" w:hAnsi="Times New Roman" w:eastAsia="方正仿宋_GBK" w:cs="Times New Roman"/>
          <w:sz w:val="32"/>
          <w:szCs w:val="32"/>
          <w:lang w:val="en-US" w:eastAsia="zh-CN"/>
        </w:rPr>
        <w:t>接近尾声</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项目支出减少22,334,198.61</w:t>
      </w:r>
      <w:r>
        <w:rPr>
          <w:rFonts w:hint="default" w:ascii="Times New Roman" w:hAnsi="Times New Roman" w:eastAsia="方正仿宋_GBK" w:cs="Times New Roman"/>
          <w:sz w:val="32"/>
          <w:szCs w:val="32"/>
          <w:lang w:val="en-US" w:eastAsia="zh-CN"/>
        </w:rPr>
        <w:t>元；④开展三年行动基层医疗卫生人员技能培训项目，</w:t>
      </w:r>
      <w:r>
        <w:rPr>
          <w:rFonts w:hint="eastAsia" w:ascii="Times New Roman" w:hAnsi="Times New Roman" w:eastAsia="方正仿宋_GBK" w:cs="Times New Roman"/>
          <w:sz w:val="32"/>
          <w:szCs w:val="32"/>
          <w:lang w:val="en-US" w:eastAsia="zh-CN"/>
        </w:rPr>
        <w:t>支出</w:t>
      </w:r>
      <w:r>
        <w:rPr>
          <w:rFonts w:hint="default" w:ascii="Times New Roman" w:hAnsi="Times New Roman" w:eastAsia="方正仿宋_GBK" w:cs="Times New Roman"/>
          <w:sz w:val="32"/>
          <w:szCs w:val="32"/>
          <w:lang w:val="en-US" w:eastAsia="zh-CN"/>
        </w:rPr>
        <w:t>增加</w:t>
      </w:r>
      <w:r>
        <w:rPr>
          <w:rFonts w:hint="eastAsia" w:ascii="Times New Roman" w:hAnsi="Times New Roman" w:eastAsia="方正仿宋_GBK" w:cs="Times New Roman"/>
          <w:sz w:val="32"/>
          <w:szCs w:val="32"/>
          <w:lang w:val="en-US" w:eastAsia="zh-CN"/>
        </w:rPr>
        <w:t>54,512.50</w:t>
      </w:r>
      <w:r>
        <w:rPr>
          <w:rFonts w:hint="default" w:ascii="Times New Roman" w:hAnsi="Times New Roman" w:eastAsia="方正仿宋_GBK" w:cs="Times New Roman"/>
          <w:sz w:val="32"/>
          <w:szCs w:val="32"/>
          <w:lang w:val="en-US" w:eastAsia="zh-CN"/>
        </w:rPr>
        <w:t>元；⑤省级名医人才培养经费</w:t>
      </w:r>
      <w:r>
        <w:rPr>
          <w:rFonts w:hint="eastAsia" w:ascii="Times New Roman" w:hAnsi="Times New Roman" w:eastAsia="方正仿宋_GBK" w:cs="Times New Roman"/>
          <w:sz w:val="32"/>
          <w:szCs w:val="32"/>
          <w:lang w:val="en-US" w:eastAsia="zh-CN"/>
        </w:rPr>
        <w:t>支出增加24,759.82</w:t>
      </w:r>
      <w:r>
        <w:rPr>
          <w:rFonts w:hint="default" w:ascii="Times New Roman" w:hAnsi="Times New Roman" w:eastAsia="方正仿宋_GBK" w:cs="Times New Roman"/>
          <w:sz w:val="32"/>
          <w:szCs w:val="32"/>
          <w:lang w:val="en-US" w:eastAsia="zh-CN"/>
        </w:rPr>
        <w:t>元；⑥院前急救能力提升项目经费减少</w:t>
      </w:r>
      <w:r>
        <w:rPr>
          <w:rFonts w:hint="eastAsia" w:ascii="Times New Roman" w:hAnsi="Times New Roman" w:eastAsia="方正仿宋_GBK" w:cs="Times New Roman"/>
          <w:sz w:val="32"/>
          <w:szCs w:val="32"/>
          <w:lang w:val="en-US" w:eastAsia="zh-CN"/>
        </w:rPr>
        <w:t>89,940.00</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⑦</w:t>
      </w:r>
      <w:r>
        <w:rPr>
          <w:rFonts w:hint="default" w:ascii="Times New Roman" w:hAnsi="Times New Roman" w:eastAsia="方正仿宋_GBK" w:cs="Times New Roman"/>
          <w:sz w:val="32"/>
          <w:szCs w:val="32"/>
          <w:lang w:val="en-US" w:eastAsia="zh-CN"/>
        </w:rPr>
        <w:t>疫情防控人员补助等项目经费减少</w:t>
      </w:r>
      <w:r>
        <w:rPr>
          <w:rFonts w:hint="eastAsia" w:ascii="Times New Roman" w:hAnsi="Times New Roman" w:eastAsia="方正仿宋_GBK" w:cs="Times New Roman"/>
          <w:sz w:val="32"/>
          <w:szCs w:val="32"/>
          <w:lang w:val="en-US" w:eastAsia="zh-CN"/>
        </w:rPr>
        <w:t>38,140.00</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；⑧为配合高质量项目实施，用历年自有资金结余购置6辆救护车，致事业支出增加3,656,512.72元，以上7项支出相抵后，合计减少</w:t>
      </w:r>
      <w:r>
        <w:rPr>
          <w:rFonts w:hint="eastAsia" w:ascii="Times New Roman" w:hAnsi="Times New Roman" w:eastAsia="方正仿宋_GBK" w:cs="Times New Roman"/>
          <w:sz w:val="32"/>
          <w:szCs w:val="32"/>
          <w:lang w:val="zh-CN" w:eastAsia="zh-CN"/>
        </w:rPr>
        <w:t>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709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407.71</w:t>
      </w:r>
      <w:r>
        <w:rPr>
          <w:rFonts w:hint="eastAsia" w:ascii="Times New Roman" w:hAnsi="Times New Roman" w:eastAsia="方正仿宋_GBK" w:cs="Times New Roman"/>
          <w:sz w:val="32"/>
          <w:szCs w:val="32"/>
          <w:lang w:eastAsia="zh-CN"/>
        </w:rPr>
        <w:t>元。</w:t>
      </w:r>
    </w:p>
    <w:p w14:paraId="6E4FB1C1">
      <w:pPr>
        <w:keepNext w:val="0"/>
        <w:keepLines w:val="0"/>
        <w:pageBreakBefore w:val="0"/>
        <w:widowControl/>
        <w:kinsoku/>
        <w:overflowPunct/>
        <w:autoSpaceDN/>
        <w:bidi w:val="0"/>
        <w:adjustRightInd/>
        <w:snapToGrid w:val="0"/>
        <w:spacing w:before="100" w:after="100" w:line="59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（一）基本支出情况</w:t>
      </w:r>
    </w:p>
    <w:p w14:paraId="48CBFD7B">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2025年度</w:t>
      </w:r>
      <w:r>
        <w:rPr>
          <w:rFonts w:hint="eastAsia" w:ascii="Times New Roman" w:hAnsi="Times New Roman" w:eastAsia="方正仿宋_GBK" w:cs="Times New Roman"/>
          <w:sz w:val="32"/>
          <w:szCs w:val="32"/>
          <w:lang w:eastAsia="zh-CN"/>
        </w:rPr>
        <w:t>用于保障</w:t>
      </w:r>
      <w:r>
        <w:rPr>
          <w:rFonts w:hint="eastAsia" w:ascii="Times New Roman" w:hAnsi="Times New Roman" w:eastAsia="方正仿宋_GBK" w:cs="Times New Roman"/>
          <w:sz w:val="32"/>
          <w:szCs w:val="32"/>
          <w:lang w:val="zh-CN" w:eastAsia="zh-CN"/>
        </w:rPr>
        <w:t>玉溪市急救中心</w:t>
      </w:r>
      <w:r>
        <w:rPr>
          <w:rFonts w:hint="eastAsia" w:ascii="Times New Roman" w:hAnsi="Times New Roman" w:eastAsia="方正仿宋_GBK" w:cs="Times New Roman"/>
          <w:sz w:val="32"/>
          <w:szCs w:val="32"/>
          <w:lang w:eastAsia="zh-CN"/>
        </w:rPr>
        <w:t>机构正常运转的日常支出</w:t>
      </w:r>
      <w:r>
        <w:rPr>
          <w:rFonts w:hint="eastAsia" w:ascii="Times New Roman" w:hAnsi="Times New Roman" w:eastAsia="方正仿宋_GBK" w:cs="Times New Roman"/>
          <w:sz w:val="32"/>
          <w:szCs w:val="32"/>
          <w:lang w:val="zh-CN" w:eastAsia="zh-CN"/>
        </w:rPr>
        <w:t>14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764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826.08</w:t>
      </w:r>
      <w:r>
        <w:rPr>
          <w:rFonts w:hint="eastAsia" w:ascii="Times New Roman" w:hAnsi="Times New Roman" w:eastAsia="方正仿宋_GBK" w:cs="Times New Roman"/>
          <w:sz w:val="32"/>
          <w:szCs w:val="32"/>
          <w:lang w:eastAsia="zh-CN"/>
        </w:rPr>
        <w:t>元。其中：基本工资、津贴补贴等人员经费支出</w:t>
      </w:r>
      <w:r>
        <w:rPr>
          <w:rFonts w:hint="eastAsia" w:ascii="Times New Roman" w:hAnsi="Times New Roman" w:eastAsia="方正仿宋_GBK" w:cs="Times New Roman"/>
          <w:sz w:val="32"/>
          <w:szCs w:val="32"/>
          <w:lang w:val="zh-CN" w:eastAsia="zh-CN"/>
        </w:rPr>
        <w:t>11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632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475.34</w:t>
      </w:r>
      <w:r>
        <w:rPr>
          <w:rFonts w:hint="eastAsia" w:ascii="Times New Roman" w:hAnsi="Times New Roman" w:eastAsia="方正仿宋_GBK" w:cs="Times New Roman"/>
          <w:sz w:val="32"/>
          <w:szCs w:val="32"/>
          <w:lang w:eastAsia="zh-CN"/>
        </w:rPr>
        <w:t>元，占基本支出的</w:t>
      </w:r>
      <w:r>
        <w:rPr>
          <w:rFonts w:hint="eastAsia" w:ascii="Times New Roman" w:hAnsi="Times New Roman" w:eastAsia="方正仿宋_GBK" w:cs="Times New Roman"/>
          <w:sz w:val="32"/>
          <w:szCs w:val="32"/>
          <w:lang w:val="zh-CN" w:eastAsia="zh-CN"/>
        </w:rPr>
        <w:t>78.79</w:t>
      </w:r>
      <w:r>
        <w:rPr>
          <w:rFonts w:hint="eastAsia" w:ascii="Times New Roman" w:hAnsi="Times New Roman" w:eastAsia="方正仿宋_GBK" w:cs="Times New Roman"/>
          <w:sz w:val="32"/>
          <w:szCs w:val="32"/>
          <w:lang w:eastAsia="zh-CN"/>
        </w:rPr>
        <w:t>％；办公费、印刷费、水电费、办公设备购置等公用经费</w:t>
      </w:r>
      <w:r>
        <w:rPr>
          <w:rFonts w:hint="eastAsia" w:ascii="Times New Roman" w:hAnsi="Times New Roman" w:eastAsia="方正仿宋_GBK" w:cs="Times New Roman"/>
          <w:sz w:val="32"/>
          <w:szCs w:val="32"/>
          <w:lang w:val="zh-CN" w:eastAsia="zh-CN"/>
        </w:rPr>
        <w:t>3</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132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350.74</w:t>
      </w:r>
      <w:r>
        <w:rPr>
          <w:rFonts w:hint="eastAsia" w:ascii="Times New Roman" w:hAnsi="Times New Roman" w:eastAsia="方正仿宋_GBK" w:cs="Times New Roman"/>
          <w:sz w:val="32"/>
          <w:szCs w:val="32"/>
          <w:lang w:eastAsia="zh-CN"/>
        </w:rPr>
        <w:t>元，占基本支出的</w:t>
      </w:r>
      <w:r>
        <w:rPr>
          <w:rFonts w:hint="eastAsia" w:ascii="Times New Roman" w:hAnsi="Times New Roman" w:eastAsia="方正仿宋_GBK" w:cs="Times New Roman"/>
          <w:sz w:val="32"/>
          <w:szCs w:val="32"/>
          <w:lang w:val="zh-CN" w:eastAsia="zh-CN"/>
        </w:rPr>
        <w:t>21.21</w:t>
      </w:r>
      <w:r>
        <w:rPr>
          <w:rFonts w:hint="eastAsia" w:ascii="Times New Roman" w:hAnsi="Times New Roman" w:eastAsia="方正仿宋_GBK" w:cs="Times New Roman"/>
          <w:sz w:val="32"/>
          <w:szCs w:val="32"/>
          <w:lang w:eastAsia="zh-CN"/>
        </w:rPr>
        <w:t>％。</w:t>
      </w:r>
    </w:p>
    <w:p w14:paraId="535B1000">
      <w:pPr>
        <w:keepNext w:val="0"/>
        <w:keepLines w:val="0"/>
        <w:pageBreakBefore w:val="0"/>
        <w:widowControl/>
        <w:kinsoku/>
        <w:overflowPunct/>
        <w:autoSpaceDN/>
        <w:bidi w:val="0"/>
        <w:adjustRightInd/>
        <w:snapToGrid w:val="0"/>
        <w:spacing w:before="100" w:after="100" w:line="59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（二）项目支出情况</w:t>
      </w:r>
    </w:p>
    <w:p w14:paraId="27E75B9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2025年度用于保障</w:t>
      </w:r>
      <w:r>
        <w:rPr>
          <w:rFonts w:hint="eastAsia" w:ascii="Times New Roman" w:hAnsi="Times New Roman" w:eastAsia="方正仿宋_GBK" w:cs="Times New Roman"/>
          <w:sz w:val="32"/>
          <w:szCs w:val="32"/>
          <w:lang w:val="zh-CN" w:eastAsia="zh-CN"/>
        </w:rPr>
        <w:t>玉溪市急救中心</w:t>
      </w:r>
      <w:r>
        <w:rPr>
          <w:rFonts w:hint="eastAsia" w:ascii="Times New Roman" w:hAnsi="Times New Roman" w:eastAsia="方正仿宋_GBK" w:cs="Times New Roman"/>
          <w:sz w:val="32"/>
          <w:szCs w:val="32"/>
          <w:lang w:val="en-US" w:eastAsia="zh-CN"/>
        </w:rPr>
        <w:t>为完成特定的行政工作任务或事业发展目标，用于专项业务工作的经费支出</w:t>
      </w:r>
      <w:r>
        <w:rPr>
          <w:rFonts w:hint="eastAsia" w:ascii="Times New Roman" w:hAnsi="Times New Roman" w:eastAsia="方正仿宋_GBK" w:cs="Times New Roman"/>
          <w:sz w:val="32"/>
          <w:szCs w:val="32"/>
          <w:lang w:val="zh-CN" w:eastAsia="zh-CN"/>
        </w:rPr>
        <w:t>10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364</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210.73</w:t>
      </w:r>
      <w:r>
        <w:rPr>
          <w:rFonts w:hint="eastAsia" w:ascii="Times New Roman" w:hAnsi="Times New Roman" w:eastAsia="方正仿宋_GBK" w:cs="Times New Roman"/>
          <w:sz w:val="32"/>
          <w:szCs w:val="32"/>
          <w:lang w:val="en-US" w:eastAsia="zh-CN"/>
        </w:rPr>
        <w:t>元。其中：基本建设类项目支出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w:t>
      </w:r>
    </w:p>
    <w:p w14:paraId="6E49D8F2">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高质量发展示范项目经费4,043,588.79元，主要用于院前院内协同救治和应急指挥两平台建设，实训基地建设和村级急救点建设等。</w:t>
      </w:r>
    </w:p>
    <w:p w14:paraId="7A5A0EF8">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省名医人才发展培养项目经费121,173.41元，主要用于带教研究生及编写论文、著作和科研课题相关费用。</w:t>
      </w:r>
    </w:p>
    <w:p w14:paraId="3737B429">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三年行动基层医疗卫生人员技能培训项目经费</w:t>
      </w:r>
      <w:r>
        <w:rPr>
          <w:rFonts w:hint="eastAsia" w:ascii="Times New Roman" w:hAnsi="Times New Roman" w:eastAsia="方正仿宋_GBK" w:cs="Times New Roman"/>
          <w:sz w:val="32"/>
          <w:szCs w:val="32"/>
          <w:lang w:val="en-US" w:eastAsia="zh-CN"/>
        </w:rPr>
        <w:t>1,141,346.50元，主要用于基层医疗机构卫生人员业务能力提升培训相关费用。</w:t>
      </w:r>
    </w:p>
    <w:p w14:paraId="0A7DB72E">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事业收入专项资金5,058,102.03元，主要用于配套高质量示范项目的开展和实施，购置6辆救护车。</w:t>
      </w:r>
    </w:p>
    <w:p w14:paraId="6F6E68D2">
      <w:pPr>
        <w:keepNext w:val="0"/>
        <w:keepLines w:val="0"/>
        <w:pageBreakBefore w:val="0"/>
        <w:widowControl/>
        <w:kinsoku/>
        <w:overflowPunct/>
        <w:autoSpaceDN/>
        <w:bidi w:val="0"/>
        <w:adjustRightInd/>
        <w:snapToGrid w:val="0"/>
        <w:spacing w:before="100" w:after="100"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三、一般公共预算财政拨款支出决算情况说明</w:t>
      </w:r>
    </w:p>
    <w:p w14:paraId="1148288C">
      <w:pPr>
        <w:keepNext w:val="0"/>
        <w:keepLines w:val="0"/>
        <w:pageBreakBefore w:val="0"/>
        <w:widowControl/>
        <w:kinsoku/>
        <w:overflowPunct/>
        <w:autoSpaceDN/>
        <w:bidi w:val="0"/>
        <w:adjustRightInd/>
        <w:snapToGrid w:val="0"/>
        <w:spacing w:before="100" w:after="100" w:line="59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（一）一般公共预算财政拨款支出决算总体情况</w:t>
      </w:r>
    </w:p>
    <w:p w14:paraId="3DF8B98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zh-CN" w:eastAsia="zh-CN"/>
        </w:rPr>
        <w:t>玉溪市急救中心</w:t>
      </w:r>
      <w:r>
        <w:rPr>
          <w:rFonts w:hint="eastAsia" w:ascii="Times New Roman" w:hAnsi="Times New Roman" w:eastAsia="方正仿宋_GBK" w:cs="Times New Roman"/>
          <w:sz w:val="32"/>
          <w:szCs w:val="32"/>
          <w:lang w:val="en-US" w:eastAsia="zh-CN"/>
        </w:rPr>
        <w:t>2025年度一般公共预算财政拨款支出</w:t>
      </w:r>
      <w:r>
        <w:rPr>
          <w:rFonts w:hint="eastAsia" w:ascii="Times New Roman" w:hAnsi="Times New Roman" w:eastAsia="方正仿宋_GBK" w:cs="Times New Roman"/>
          <w:sz w:val="32"/>
          <w:szCs w:val="32"/>
          <w:lang w:val="zh-CN" w:eastAsia="zh-CN"/>
        </w:rPr>
        <w:t>16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862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278.62</w:t>
      </w:r>
      <w:r>
        <w:rPr>
          <w:rFonts w:hint="eastAsia" w:ascii="Times New Roman" w:hAnsi="Times New Roman" w:eastAsia="方正仿宋_GBK" w:cs="Times New Roman"/>
          <w:sz w:val="32"/>
          <w:szCs w:val="32"/>
          <w:lang w:val="en-US" w:eastAsia="zh-CN"/>
        </w:rPr>
        <w:t>元，占本年支出合计的</w:t>
      </w:r>
      <w:r>
        <w:rPr>
          <w:rFonts w:hint="eastAsia" w:ascii="Times New Roman" w:hAnsi="Times New Roman" w:eastAsia="方正仿宋_GBK" w:cs="Times New Roman"/>
          <w:sz w:val="32"/>
          <w:szCs w:val="32"/>
          <w:lang w:val="zh-CN" w:eastAsia="zh-CN"/>
        </w:rPr>
        <w:t>67.10</w:t>
      </w:r>
      <w:r>
        <w:rPr>
          <w:rFonts w:hint="eastAsia" w:ascii="Times New Roman" w:hAnsi="Times New Roman" w:eastAsia="方正仿宋_GBK" w:cs="Times New Roman"/>
          <w:sz w:val="32"/>
          <w:szCs w:val="32"/>
          <w:lang w:val="en-US" w:eastAsia="zh-CN"/>
        </w:rPr>
        <w:t>%。与上年相比减少</w:t>
      </w:r>
      <w:r>
        <w:rPr>
          <w:rFonts w:hint="eastAsia" w:ascii="Times New Roman" w:hAnsi="Times New Roman" w:eastAsia="方正仿宋_GBK" w:cs="Times New Roman"/>
          <w:sz w:val="32"/>
          <w:szCs w:val="32"/>
          <w:lang w:val="zh-CN" w:eastAsia="zh-CN"/>
        </w:rPr>
        <w:t>21</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945.39</w:t>
      </w:r>
      <w:r>
        <w:rPr>
          <w:rFonts w:hint="eastAsia" w:ascii="Times New Roman" w:hAnsi="Times New Roman" w:eastAsia="方正仿宋_GBK" w:cs="Times New Roman"/>
          <w:sz w:val="32"/>
          <w:szCs w:val="32"/>
          <w:lang w:val="en-US" w:eastAsia="zh-CN"/>
        </w:rPr>
        <w:t>元，下降</w:t>
      </w:r>
      <w:r>
        <w:rPr>
          <w:rFonts w:hint="eastAsia" w:ascii="Times New Roman" w:hAnsi="Times New Roman" w:eastAsia="方正仿宋_GBK" w:cs="Times New Roman"/>
          <w:sz w:val="32"/>
          <w:szCs w:val="32"/>
          <w:lang w:val="zh-CN" w:eastAsia="zh-CN"/>
        </w:rPr>
        <w:t>56.48</w:t>
      </w:r>
      <w:r>
        <w:rPr>
          <w:rFonts w:hint="eastAsia" w:ascii="Times New Roman" w:hAnsi="Times New Roman" w:eastAsia="方正仿宋_GBK" w:cs="Times New Roman"/>
          <w:sz w:val="32"/>
          <w:szCs w:val="32"/>
          <w:lang w:val="en-US" w:eastAsia="zh-CN"/>
        </w:rPr>
        <w:t>%，完成年初预算的</w:t>
      </w:r>
      <w:r>
        <w:rPr>
          <w:rFonts w:hint="eastAsia" w:ascii="Times New Roman" w:hAnsi="Times New Roman" w:eastAsia="方正仿宋_GBK" w:cs="Times New Roman"/>
          <w:sz w:val="32"/>
          <w:szCs w:val="32"/>
          <w:lang w:val="zh-CN" w:eastAsia="zh-CN"/>
        </w:rPr>
        <w:t>159.40</w:t>
      </w:r>
      <w:r>
        <w:rPr>
          <w:rFonts w:hint="eastAsia" w:ascii="Times New Roman" w:hAnsi="Times New Roman" w:eastAsia="方正仿宋_GBK" w:cs="Times New Roman"/>
          <w:sz w:val="32"/>
          <w:szCs w:val="32"/>
          <w:lang w:val="en-US" w:eastAsia="zh-CN"/>
        </w:rPr>
        <w:t>%。</w:t>
      </w:r>
    </w:p>
    <w:p w14:paraId="4C6099AD">
      <w:pPr>
        <w:keepNext w:val="0"/>
        <w:keepLines w:val="0"/>
        <w:pageBreakBefore w:val="0"/>
        <w:widowControl/>
        <w:kinsoku/>
        <w:overflowPunct/>
        <w:autoSpaceDN/>
        <w:bidi w:val="0"/>
        <w:adjustRightInd/>
        <w:snapToGrid w:val="0"/>
        <w:spacing w:before="100" w:after="100" w:line="59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（二）一般公共预算财政拨款支出决算分功能分类科目情况</w:t>
      </w:r>
    </w:p>
    <w:p w14:paraId="6A1BA9A5">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1.一般公共服务（类）支出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20BDC8BC">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2.外交（类）支出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11C00FC9">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3.国防（类）支出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5AAA38FF">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4.公共安全（类）支出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08998608">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5.教育（类）支出0.00元，占一般公共预算财政拨款总支出的0.00%，</w:t>
      </w:r>
      <w:r>
        <w:rPr>
          <w:rFonts w:hint="eastAsia" w:ascii="Times New Roman" w:hAnsi="Times New Roman" w:eastAsia="方正仿宋_GBK" w:cs="Times New Roman"/>
          <w:sz w:val="32"/>
          <w:szCs w:val="32"/>
          <w:lang w:val="zh-CN" w:eastAsia="zh-CN"/>
        </w:rPr>
        <w:t>年初无此项预算。</w:t>
      </w:r>
    </w:p>
    <w:p w14:paraId="580D58D0">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6.科学技术（类）支出0.00元，占一般公共预算财政拨款总支出的0.00%，</w:t>
      </w:r>
      <w:r>
        <w:rPr>
          <w:rFonts w:hint="eastAsia" w:ascii="Times New Roman" w:hAnsi="Times New Roman" w:eastAsia="方正仿宋_GBK" w:cs="Times New Roman"/>
          <w:sz w:val="32"/>
          <w:szCs w:val="32"/>
          <w:lang w:val="zh-CN" w:eastAsia="zh-CN"/>
        </w:rPr>
        <w:t>年初无此项预算。</w:t>
      </w:r>
    </w:p>
    <w:p w14:paraId="6CE98FA5">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7.文化旅游体育与传媒（类）支出0.00元，占一般公共预算财政拨款总支出的0.00%，</w:t>
      </w:r>
      <w:r>
        <w:rPr>
          <w:rFonts w:hint="eastAsia" w:ascii="Times New Roman" w:hAnsi="Times New Roman" w:eastAsia="方正仿宋_GBK" w:cs="Times New Roman"/>
          <w:sz w:val="32"/>
          <w:szCs w:val="32"/>
          <w:lang w:val="zh-CN" w:eastAsia="zh-CN"/>
        </w:rPr>
        <w:t>年初无此项预算。</w:t>
      </w:r>
    </w:p>
    <w:p w14:paraId="3511480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8.社会保障和就业（类）支出978,812.32元，占一般公共预算财政拨款总支出的5.80%，完成年初预算的</w:t>
      </w:r>
      <w:r>
        <w:rPr>
          <w:rFonts w:hint="eastAsia" w:ascii="Times New Roman" w:hAnsi="Times New Roman" w:eastAsia="方正仿宋_GBK" w:cs="Times New Roman"/>
          <w:sz w:val="32"/>
          <w:szCs w:val="32"/>
          <w:lang w:val="zh-CN" w:eastAsia="zh-CN"/>
        </w:rPr>
        <w:t>126.96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主要用于退休人员生活补助、养老保险缴费；造成预决算差异的主要原因是：年中编制内人员增加，故机关事业单位养老保险缴费决算数较上年度有所增加。</w:t>
      </w:r>
    </w:p>
    <w:p w14:paraId="043DCC0E">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9.卫生健康（类）支出</w:t>
      </w:r>
      <w:r>
        <w:rPr>
          <w:rFonts w:hint="eastAsia" w:ascii="Times New Roman" w:hAnsi="Times New Roman" w:eastAsia="方正仿宋_GBK" w:cs="Times New Roman"/>
          <w:sz w:val="32"/>
          <w:szCs w:val="32"/>
          <w:lang w:val="zh-CN" w:eastAsia="zh-CN"/>
        </w:rPr>
        <w:t>15</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066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182.30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89.35</w:t>
      </w:r>
      <w:r>
        <w:rPr>
          <w:rFonts w:hint="eastAsia" w:ascii="Times New Roman" w:hAnsi="Times New Roman" w:eastAsia="方正仿宋_GBK" w:cs="Times New Roman"/>
          <w:sz w:val="32"/>
          <w:szCs w:val="32"/>
          <w:lang w:val="en-US" w:eastAsia="zh-CN"/>
        </w:rPr>
        <w:t>%，完成年初预算的</w:t>
      </w:r>
      <w:r>
        <w:rPr>
          <w:rFonts w:hint="eastAsia" w:ascii="Times New Roman" w:hAnsi="Times New Roman" w:eastAsia="方正仿宋_GBK" w:cs="Times New Roman"/>
          <w:sz w:val="32"/>
          <w:szCs w:val="32"/>
          <w:lang w:val="zh-CN" w:eastAsia="zh-CN"/>
        </w:rPr>
        <w:t>167.17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主要用于编内人员工资等人员基本支出及高质量发展示范项目建设、三年行动基层医疗卫生人员培训、省级名医人才培养等项目支出；造成预决算差异的主要原因是：高质量发展示范项目经费为</w:t>
      </w:r>
      <w:r>
        <w:rPr>
          <w:rFonts w:hint="eastAsia" w:ascii="Times New Roman" w:hAnsi="Times New Roman" w:eastAsia="方正仿宋_GBK" w:cs="Times New Roman"/>
          <w:sz w:val="32"/>
          <w:szCs w:val="32"/>
          <w:lang w:val="en-US" w:eastAsia="zh-CN"/>
        </w:rPr>
        <w:t>上年度结转资金，年初预算数未包含，故预决算差异较大</w:t>
      </w:r>
      <w:r>
        <w:rPr>
          <w:rFonts w:hint="eastAsia" w:ascii="Times New Roman" w:hAnsi="Times New Roman" w:eastAsia="方正仿宋_GBK" w:cs="Times New Roman"/>
          <w:sz w:val="32"/>
          <w:szCs w:val="32"/>
          <w:lang w:val="zh-CN" w:eastAsia="zh-CN"/>
        </w:rPr>
        <w:t>。</w:t>
      </w:r>
    </w:p>
    <w:p w14:paraId="3A89AC5E">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10.节能环保（类）支出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2DD00D0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11.城乡社区（类）支出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11C8397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12.农林水（类）支出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743BD187">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13.交通运输（类）支出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69C08C26">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14.资源勘探工业信息等（类）支出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60B76319">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15.商业服务业等（类）支出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3D29902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16.金融（类）支出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6407C760">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17.援助其他地区（类）支出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67556E4A">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18.自然资源海洋气象等（类）支出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64A7658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19.住房保障（类）支出</w:t>
      </w:r>
      <w:r>
        <w:rPr>
          <w:rFonts w:hint="eastAsia" w:ascii="Times New Roman" w:hAnsi="Times New Roman" w:eastAsia="方正仿宋_GBK" w:cs="Times New Roman"/>
          <w:sz w:val="32"/>
          <w:szCs w:val="32"/>
          <w:lang w:val="zh-CN" w:eastAsia="zh-CN"/>
        </w:rPr>
        <w:t>817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284.00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4.85</w:t>
      </w:r>
      <w:r>
        <w:rPr>
          <w:rFonts w:hint="eastAsia" w:ascii="Times New Roman" w:hAnsi="Times New Roman" w:eastAsia="方正仿宋_GBK" w:cs="Times New Roman"/>
          <w:sz w:val="32"/>
          <w:szCs w:val="32"/>
          <w:lang w:val="en-US" w:eastAsia="zh-CN"/>
        </w:rPr>
        <w:t>%，完成年初预算的</w:t>
      </w:r>
      <w:r>
        <w:rPr>
          <w:rFonts w:hint="eastAsia" w:ascii="Times New Roman" w:hAnsi="Times New Roman" w:eastAsia="方正仿宋_GBK" w:cs="Times New Roman"/>
          <w:sz w:val="32"/>
          <w:szCs w:val="32"/>
          <w:lang w:val="zh-CN" w:eastAsia="zh-CN"/>
        </w:rPr>
        <w:t>102.78</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主要用于缴纳编内人员住房公积金和发放购房补贴；造成预决算差异的主要原因是年中有职工增加，导致存在预决算差异。</w:t>
      </w:r>
    </w:p>
    <w:p w14:paraId="72D8642A">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20.粮油物资储备（类）支出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w:t>
      </w:r>
      <w:r>
        <w:rPr>
          <w:rFonts w:hint="eastAsia" w:ascii="Times New Roman" w:hAnsi="Times New Roman" w:eastAsia="方正仿宋_GBK" w:cs="Times New Roman"/>
          <w:sz w:val="32"/>
          <w:szCs w:val="32"/>
          <w:lang w:val="zh-CN" w:eastAsia="zh-CN"/>
        </w:rPr>
        <w:t>款总支出的0.00%，年初无此项预算。</w:t>
      </w:r>
    </w:p>
    <w:p w14:paraId="5037E6F5">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21.国有资本经营预算（类）支出</w:t>
      </w:r>
      <w:r>
        <w:rPr>
          <w:rFonts w:hint="eastAsia" w:ascii="Times New Roman" w:hAnsi="Times New Roman" w:eastAsia="方正仿宋_GBK" w:cs="Times New Roman"/>
          <w:sz w:val="32"/>
          <w:szCs w:val="32"/>
          <w:lang w:val="zh-CN" w:eastAsia="zh-CN"/>
        </w:rPr>
        <w:t>0.00元，占一般公共预算财政拨款总支出的0.00%，年初无此项预算。</w:t>
      </w:r>
    </w:p>
    <w:p w14:paraId="7D9FDB4A">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22.灾害防治及应急管理（类）支出</w:t>
      </w:r>
      <w:r>
        <w:rPr>
          <w:rFonts w:hint="eastAsia" w:ascii="Times New Roman" w:hAnsi="Times New Roman" w:eastAsia="方正仿宋_GBK" w:cs="Times New Roman"/>
          <w:sz w:val="32"/>
          <w:szCs w:val="32"/>
          <w:lang w:val="zh-CN" w:eastAsia="zh-CN"/>
        </w:rPr>
        <w:t>0.00元，占一般公共预算财政拨款总支出的0.00%，年初无此项预算。</w:t>
      </w:r>
    </w:p>
    <w:p w14:paraId="661C88C0">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23.其他（类）支出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546798BC">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24.债务还本（类）支出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6D7A293A">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25.债务付息（类）支出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元，占一般公共预算财政拨款总支出的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年初无此项预算。</w:t>
      </w:r>
    </w:p>
    <w:p w14:paraId="0D5D720A">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26.抗疫特别国债安排（类）支出</w:t>
      </w:r>
      <w:r>
        <w:rPr>
          <w:rFonts w:hint="default" w:ascii="Times New Roman" w:hAnsi="Times New Roman" w:eastAsia="方正仿宋_GBK" w:cs="Times New Roman"/>
          <w:sz w:val="32"/>
          <w:szCs w:val="32"/>
          <w:lang w:val="zh-CN" w:eastAsia="zh-CN"/>
        </w:rPr>
        <w:t>0.00</w:t>
      </w:r>
      <w:r>
        <w:rPr>
          <w:rFonts w:hint="default" w:ascii="Times New Roman" w:hAnsi="Times New Roman" w:eastAsia="方正仿宋_GBK" w:cs="Times New Roman"/>
          <w:sz w:val="32"/>
          <w:szCs w:val="32"/>
          <w:lang w:val="en-US" w:eastAsia="zh-CN"/>
        </w:rPr>
        <w:t>元，占一般公共预算财政拨款总支出的</w:t>
      </w:r>
      <w:r>
        <w:rPr>
          <w:rFonts w:hint="default" w:ascii="Times New Roman" w:hAnsi="Times New Roman" w:eastAsia="方正仿宋_GBK" w:cs="Times New Roman"/>
          <w:sz w:val="32"/>
          <w:szCs w:val="32"/>
          <w:lang w:val="zh-CN" w:eastAsia="zh-CN"/>
        </w:rPr>
        <w:t>0.00</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zh-CN" w:eastAsia="zh-CN"/>
        </w:rPr>
        <w:t>年初无此项预算。</w:t>
      </w:r>
    </w:p>
    <w:p w14:paraId="02572E0D">
      <w:pPr>
        <w:keepNext w:val="0"/>
        <w:keepLines w:val="0"/>
        <w:pageBreakBefore w:val="0"/>
        <w:widowControl/>
        <w:numPr>
          <w:ilvl w:val="0"/>
          <w:numId w:val="0"/>
        </w:numPr>
        <w:kinsoku/>
        <w:overflowPunct/>
        <w:autoSpaceDN/>
        <w:bidi w:val="0"/>
        <w:adjustRightInd/>
        <w:snapToGrid w:val="0"/>
        <w:spacing w:before="100" w:after="100"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kern w:val="2"/>
          <w:sz w:val="32"/>
          <w:szCs w:val="32"/>
          <w:lang w:val="en-US" w:eastAsia="zh-CN" w:bidi="ar-SA"/>
        </w:rPr>
        <w:t>四、</w:t>
      </w:r>
      <w:r>
        <w:rPr>
          <w:rFonts w:hint="eastAsia" w:ascii="方正黑体_GBK" w:hAnsi="方正黑体_GBK" w:eastAsia="方正黑体_GBK" w:cs="方正黑体_GBK"/>
          <w:sz w:val="32"/>
          <w:szCs w:val="32"/>
          <w:highlight w:val="none"/>
        </w:rPr>
        <w:t>财政拨款“三公”经费支出决算情况说明</w:t>
      </w:r>
    </w:p>
    <w:p w14:paraId="7DB4BCB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outlineLvl w:val="2"/>
        <w:rPr>
          <w:rFonts w:hint="eastAsia" w:ascii="方正楷体_GBK" w:hAnsi="方正楷体_GBK" w:eastAsia="方正楷体_GBK" w:cs="方正楷体_GBK"/>
          <w:kern w:val="0"/>
          <w:sz w:val="32"/>
          <w:szCs w:val="32"/>
          <w:highlight w:val="none"/>
          <w:lang w:val="en-US" w:eastAsia="zh-CN"/>
        </w:rPr>
      </w:pPr>
      <w:r>
        <w:rPr>
          <w:rFonts w:hint="eastAsia" w:ascii="方正楷体_GBK" w:hAnsi="方正楷体_GBK" w:eastAsia="方正楷体_GBK" w:cs="方正楷体_GBK"/>
          <w:kern w:val="0"/>
          <w:sz w:val="32"/>
          <w:szCs w:val="32"/>
          <w:highlight w:val="none"/>
          <w:lang w:val="en-US" w:eastAsia="zh-CN"/>
        </w:rPr>
        <w:t>（一）总体情况</w:t>
      </w:r>
    </w:p>
    <w:p w14:paraId="603701E7">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2025年度财政拨款“三公”经费支出决算中，财政拨款“三公”经费支出年初预算为517,373.37元，决算为</w:t>
      </w:r>
      <w:r>
        <w:rPr>
          <w:rFonts w:hint="eastAsia" w:ascii="Times New Roman" w:hAnsi="Times New Roman" w:eastAsia="方正仿宋_GBK" w:cs="Times New Roman"/>
          <w:sz w:val="32"/>
          <w:szCs w:val="32"/>
          <w:lang w:val="zh-CN" w:eastAsia="zh-CN"/>
        </w:rPr>
        <w:t>517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373.37</w:t>
      </w:r>
      <w:r>
        <w:rPr>
          <w:rFonts w:hint="eastAsia" w:ascii="Times New Roman" w:hAnsi="Times New Roman" w:eastAsia="方正仿宋_GBK" w:cs="Times New Roman"/>
          <w:sz w:val="32"/>
          <w:szCs w:val="32"/>
          <w:lang w:val="en-US" w:eastAsia="zh-CN"/>
        </w:rPr>
        <w:t>元，完成年初预算的</w:t>
      </w:r>
      <w:r>
        <w:rPr>
          <w:rFonts w:hint="eastAsia" w:ascii="Times New Roman" w:hAnsi="Times New Roman" w:eastAsia="方正仿宋_GBK" w:cs="Times New Roman"/>
          <w:sz w:val="32"/>
          <w:szCs w:val="32"/>
          <w:lang w:val="zh-CN" w:eastAsia="zh-CN"/>
        </w:rPr>
        <w:t>100.00</w:t>
      </w:r>
      <w:r>
        <w:rPr>
          <w:rFonts w:hint="eastAsia" w:ascii="Times New Roman" w:hAnsi="Times New Roman" w:eastAsia="方正仿宋_GBK" w:cs="Times New Roman"/>
          <w:sz w:val="32"/>
          <w:szCs w:val="32"/>
          <w:lang w:val="en-US" w:eastAsia="zh-CN"/>
        </w:rPr>
        <w:t>%；支出决算较上年增加</w:t>
      </w:r>
      <w:r>
        <w:rPr>
          <w:rFonts w:hint="eastAsia" w:ascii="Times New Roman" w:hAnsi="Times New Roman" w:eastAsia="方正仿宋_GBK" w:cs="Times New Roman"/>
          <w:sz w:val="32"/>
          <w:szCs w:val="32"/>
          <w:lang w:val="zh-CN" w:eastAsia="zh-CN"/>
        </w:rPr>
        <w:t>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600.00</w:t>
      </w:r>
      <w:r>
        <w:rPr>
          <w:rFonts w:hint="eastAsia" w:ascii="Times New Roman" w:hAnsi="Times New Roman" w:eastAsia="方正仿宋_GBK" w:cs="Times New Roman"/>
          <w:sz w:val="32"/>
          <w:szCs w:val="32"/>
          <w:lang w:val="en-US" w:eastAsia="zh-CN"/>
        </w:rPr>
        <w:t>元，增长</w:t>
      </w:r>
      <w:r>
        <w:rPr>
          <w:rFonts w:hint="eastAsia" w:ascii="Times New Roman" w:hAnsi="Times New Roman" w:eastAsia="方正仿宋_GBK" w:cs="Times New Roman"/>
          <w:sz w:val="32"/>
          <w:szCs w:val="32"/>
          <w:lang w:val="zh-CN" w:eastAsia="zh-CN"/>
        </w:rPr>
        <w:t>18.18</w:t>
      </w:r>
      <w:r>
        <w:rPr>
          <w:rFonts w:hint="eastAsia" w:ascii="Times New Roman" w:hAnsi="Times New Roman" w:eastAsia="方正仿宋_GBK" w:cs="Times New Roman"/>
          <w:sz w:val="32"/>
          <w:szCs w:val="32"/>
          <w:lang w:val="en-US" w:eastAsia="zh-CN"/>
        </w:rPr>
        <w:t>%。</w:t>
      </w:r>
    </w:p>
    <w:p w14:paraId="10B9C43A">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因公出国（境）费用支出年初预算为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元，占财政拨款“三公”经费总支出决算的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%；公务用车购置费支出年初预算为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元，占财政拨款“三公”经费总支出决算的</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%；公务用车运行维护费支出年初预算为</w:t>
      </w:r>
      <w:r>
        <w:rPr>
          <w:rFonts w:hint="eastAsia" w:ascii="Times New Roman" w:hAnsi="Times New Roman" w:eastAsia="方正仿宋_GBK" w:cs="Times New Roman"/>
          <w:sz w:val="32"/>
          <w:szCs w:val="32"/>
          <w:lang w:val="zh-CN" w:eastAsia="zh-CN"/>
        </w:rPr>
        <w:t>515</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373.37</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515</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373.37</w:t>
      </w:r>
      <w:r>
        <w:rPr>
          <w:rFonts w:hint="eastAsia" w:ascii="Times New Roman" w:hAnsi="Times New Roman" w:eastAsia="方正仿宋_GBK" w:cs="Times New Roman"/>
          <w:sz w:val="32"/>
          <w:szCs w:val="32"/>
          <w:lang w:val="en-US" w:eastAsia="zh-CN"/>
        </w:rPr>
        <w:t>元，占财政拨款“三公”经费总支出决算的</w:t>
      </w:r>
      <w:r>
        <w:rPr>
          <w:rFonts w:hint="eastAsia" w:ascii="Times New Roman" w:hAnsi="Times New Roman" w:eastAsia="方正仿宋_GBK" w:cs="Times New Roman"/>
          <w:sz w:val="32"/>
          <w:szCs w:val="32"/>
          <w:lang w:val="zh-CN" w:eastAsia="zh-CN"/>
        </w:rPr>
        <w:t>99.61</w:t>
      </w:r>
      <w:r>
        <w:rPr>
          <w:rFonts w:hint="eastAsia" w:ascii="Times New Roman" w:hAnsi="Times New Roman" w:eastAsia="方正仿宋_GBK" w:cs="Times New Roman"/>
          <w:sz w:val="32"/>
          <w:szCs w:val="32"/>
          <w:lang w:val="en-US" w:eastAsia="zh-CN"/>
        </w:rPr>
        <w:t>%，完成年初预算的</w:t>
      </w:r>
      <w:r>
        <w:rPr>
          <w:rFonts w:hint="eastAsia" w:ascii="Times New Roman" w:hAnsi="Times New Roman" w:eastAsia="方正仿宋_GBK" w:cs="Times New Roman"/>
          <w:sz w:val="32"/>
          <w:szCs w:val="32"/>
          <w:lang w:val="zh-CN" w:eastAsia="zh-CN"/>
        </w:rPr>
        <w:t>100.00</w:t>
      </w:r>
      <w:r>
        <w:rPr>
          <w:rFonts w:hint="eastAsia" w:ascii="Times New Roman" w:hAnsi="Times New Roman" w:eastAsia="方正仿宋_GBK" w:cs="Times New Roman"/>
          <w:sz w:val="32"/>
          <w:szCs w:val="32"/>
          <w:lang w:val="en-US" w:eastAsia="zh-CN"/>
        </w:rPr>
        <w:t>%；公务接待费支出年初预算为</w:t>
      </w:r>
      <w:r>
        <w:rPr>
          <w:rFonts w:hint="eastAsia" w:ascii="Times New Roman" w:hAnsi="Times New Roman" w:eastAsia="方正仿宋_GBK" w:cs="Times New Roman"/>
          <w:sz w:val="32"/>
          <w:szCs w:val="32"/>
          <w:lang w:val="zh-CN" w:eastAsia="zh-CN"/>
        </w:rPr>
        <w:t>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000.00</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000.00</w:t>
      </w:r>
      <w:r>
        <w:rPr>
          <w:rFonts w:hint="eastAsia" w:ascii="Times New Roman" w:hAnsi="Times New Roman" w:eastAsia="方正仿宋_GBK" w:cs="Times New Roman"/>
          <w:sz w:val="32"/>
          <w:szCs w:val="32"/>
          <w:lang w:val="en-US" w:eastAsia="zh-CN"/>
        </w:rPr>
        <w:t>元，占财政拨款“三公”经费总支出决算的</w:t>
      </w:r>
      <w:r>
        <w:rPr>
          <w:rFonts w:hint="eastAsia" w:ascii="Times New Roman" w:hAnsi="Times New Roman" w:eastAsia="方正仿宋_GBK" w:cs="Times New Roman"/>
          <w:sz w:val="32"/>
          <w:szCs w:val="32"/>
          <w:lang w:val="zh-CN" w:eastAsia="zh-CN"/>
        </w:rPr>
        <w:t>0.39</w:t>
      </w:r>
      <w:r>
        <w:rPr>
          <w:rFonts w:hint="eastAsia" w:ascii="Times New Roman" w:hAnsi="Times New Roman" w:eastAsia="方正仿宋_GBK" w:cs="Times New Roman"/>
          <w:sz w:val="32"/>
          <w:szCs w:val="32"/>
          <w:lang w:val="en-US" w:eastAsia="zh-CN"/>
        </w:rPr>
        <w:t>%，完成年初预算的</w:t>
      </w:r>
      <w:r>
        <w:rPr>
          <w:rFonts w:hint="eastAsia" w:ascii="Times New Roman" w:hAnsi="Times New Roman" w:eastAsia="方正仿宋_GBK" w:cs="Times New Roman"/>
          <w:sz w:val="32"/>
          <w:szCs w:val="32"/>
          <w:lang w:val="zh-CN" w:eastAsia="zh-CN"/>
        </w:rPr>
        <w:t>100.00</w:t>
      </w:r>
      <w:r>
        <w:rPr>
          <w:rFonts w:hint="eastAsia" w:ascii="Times New Roman" w:hAnsi="Times New Roman" w:eastAsia="方正仿宋_GBK" w:cs="Times New Roman"/>
          <w:sz w:val="32"/>
          <w:szCs w:val="32"/>
          <w:lang w:val="en-US" w:eastAsia="zh-CN"/>
        </w:rPr>
        <w:t>%。</w:t>
      </w:r>
    </w:p>
    <w:p w14:paraId="54AE4D9D">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因公出国（境）费用支出决算较上年增加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zh-CN" w:eastAsia="zh-CN"/>
        </w:rPr>
        <w:t>上年无此项支出</w:t>
      </w:r>
      <w:r>
        <w:rPr>
          <w:rFonts w:hint="eastAsia" w:ascii="Times New Roman" w:hAnsi="Times New Roman" w:eastAsia="方正仿宋_GBK" w:cs="Times New Roman"/>
          <w:sz w:val="32"/>
          <w:szCs w:val="32"/>
          <w:lang w:val="en-US" w:eastAsia="zh-CN"/>
        </w:rPr>
        <w:t>；公务用车购置费支出决算较上年增加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zh-CN" w:eastAsia="zh-CN"/>
        </w:rPr>
        <w:t>上年无此项支出</w:t>
      </w:r>
      <w:r>
        <w:rPr>
          <w:rFonts w:hint="eastAsia" w:ascii="Times New Roman" w:hAnsi="Times New Roman" w:eastAsia="方正仿宋_GBK" w:cs="Times New Roman"/>
          <w:sz w:val="32"/>
          <w:szCs w:val="32"/>
          <w:lang w:val="en-US" w:eastAsia="zh-CN"/>
        </w:rPr>
        <w:t>；公务用车运行维护费支出决算较上年增加</w:t>
      </w:r>
      <w:r>
        <w:rPr>
          <w:rFonts w:hint="eastAsia" w:ascii="Times New Roman" w:hAnsi="Times New Roman" w:eastAsia="方正仿宋_GBK" w:cs="Times New Roman"/>
          <w:sz w:val="32"/>
          <w:szCs w:val="32"/>
          <w:lang w:val="zh-CN" w:eastAsia="zh-CN"/>
        </w:rPr>
        <w:t>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600.00</w:t>
      </w:r>
      <w:r>
        <w:rPr>
          <w:rFonts w:hint="eastAsia" w:ascii="Times New Roman" w:hAnsi="Times New Roman" w:eastAsia="方正仿宋_GBK" w:cs="Times New Roman"/>
          <w:sz w:val="32"/>
          <w:szCs w:val="32"/>
          <w:lang w:val="en-US" w:eastAsia="zh-CN"/>
        </w:rPr>
        <w:t>元，增长</w:t>
      </w:r>
      <w:r>
        <w:rPr>
          <w:rFonts w:hint="eastAsia" w:ascii="Times New Roman" w:hAnsi="Times New Roman" w:eastAsia="方正仿宋_GBK" w:cs="Times New Roman"/>
          <w:sz w:val="32"/>
          <w:szCs w:val="32"/>
          <w:lang w:val="zh-CN" w:eastAsia="zh-CN"/>
        </w:rPr>
        <w:t>18.27</w:t>
      </w:r>
      <w:r>
        <w:rPr>
          <w:rFonts w:hint="eastAsia" w:ascii="Times New Roman" w:hAnsi="Times New Roman" w:eastAsia="方正仿宋_GBK" w:cs="Times New Roman"/>
          <w:sz w:val="32"/>
          <w:szCs w:val="32"/>
          <w:lang w:val="en-US" w:eastAsia="zh-CN"/>
        </w:rPr>
        <w:t>%；公务接待费支出决算较上年增加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元，增长</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%；具体是国内接待费支出决算</w:t>
      </w:r>
      <w:r>
        <w:rPr>
          <w:rFonts w:hint="eastAsia" w:ascii="Times New Roman" w:hAnsi="Times New Roman" w:eastAsia="方正仿宋_GBK" w:cs="Times New Roman"/>
          <w:sz w:val="32"/>
          <w:szCs w:val="32"/>
          <w:lang w:val="zh-CN" w:eastAsia="zh-CN"/>
        </w:rPr>
        <w:t>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000.00</w:t>
      </w:r>
      <w:r>
        <w:rPr>
          <w:rFonts w:hint="eastAsia" w:ascii="Times New Roman" w:hAnsi="Times New Roman" w:eastAsia="方正仿宋_GBK" w:cs="Times New Roman"/>
          <w:sz w:val="32"/>
          <w:szCs w:val="32"/>
          <w:lang w:val="en-US" w:eastAsia="zh-CN"/>
        </w:rPr>
        <w:t>元（其中：外事接待费支出决算</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元），较上年增加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元，增长</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%；国（境）外接待费支出决算</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元较上年增加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zh-CN" w:eastAsia="zh-CN"/>
        </w:rPr>
        <w:t>上年无此项支出</w:t>
      </w:r>
      <w:r>
        <w:rPr>
          <w:rFonts w:hint="eastAsia" w:ascii="Times New Roman" w:hAnsi="Times New Roman" w:eastAsia="方正仿宋_GBK" w:cs="Times New Roman"/>
          <w:sz w:val="32"/>
          <w:szCs w:val="32"/>
          <w:lang w:val="en-US" w:eastAsia="zh-CN"/>
        </w:rPr>
        <w:t>。</w:t>
      </w:r>
    </w:p>
    <w:p w14:paraId="0EA1D5D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outlineLvl w:val="2"/>
        <w:rPr>
          <w:rFonts w:hint="eastAsia" w:ascii="方正楷体_GBK" w:hAnsi="方正楷体_GBK" w:eastAsia="方正楷体_GBK" w:cs="方正楷体_GBK"/>
          <w:kern w:val="0"/>
          <w:sz w:val="32"/>
          <w:szCs w:val="32"/>
          <w:highlight w:val="none"/>
          <w:lang w:val="en-US" w:eastAsia="zh-CN"/>
        </w:rPr>
      </w:pPr>
      <w:r>
        <w:rPr>
          <w:rFonts w:hint="eastAsia" w:ascii="方正楷体_GBK" w:hAnsi="方正楷体_GBK" w:eastAsia="方正楷体_GBK" w:cs="方正楷体_GBK"/>
          <w:kern w:val="0"/>
          <w:sz w:val="32"/>
          <w:szCs w:val="32"/>
          <w:highlight w:val="none"/>
          <w:lang w:val="en-US" w:eastAsia="zh-CN"/>
        </w:rPr>
        <w:t>（二）一般公共预算财政拨款“三公”经费支出决算情况说明</w:t>
      </w:r>
    </w:p>
    <w:p w14:paraId="0D6D6629">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2025年度一般公共预算财政拨款“三公”经费支出年初预算为</w:t>
      </w:r>
      <w:r>
        <w:rPr>
          <w:rFonts w:hint="eastAsia" w:ascii="Times New Roman" w:hAnsi="Times New Roman" w:eastAsia="方正仿宋_GBK" w:cs="Times New Roman"/>
          <w:sz w:val="32"/>
          <w:szCs w:val="32"/>
          <w:lang w:val="zh-CN" w:eastAsia="zh-CN"/>
        </w:rPr>
        <w:t>517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373.37</w:t>
      </w:r>
      <w:r>
        <w:rPr>
          <w:rFonts w:hint="eastAsia" w:ascii="Times New Roman" w:hAnsi="Times New Roman" w:eastAsia="方正仿宋_GBK" w:cs="Times New Roman"/>
          <w:sz w:val="32"/>
          <w:szCs w:val="32"/>
          <w:lang w:val="en-US" w:eastAsia="zh-CN"/>
        </w:rPr>
        <w:t>元，支出决算为</w:t>
      </w:r>
      <w:r>
        <w:rPr>
          <w:rFonts w:hint="eastAsia" w:ascii="Times New Roman" w:hAnsi="Times New Roman" w:eastAsia="方正仿宋_GBK" w:cs="Times New Roman"/>
          <w:sz w:val="32"/>
          <w:szCs w:val="32"/>
          <w:lang w:val="zh-CN" w:eastAsia="zh-CN"/>
        </w:rPr>
        <w:t>517</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373.37</w:t>
      </w:r>
      <w:r>
        <w:rPr>
          <w:rFonts w:hint="eastAsia" w:ascii="Times New Roman" w:hAnsi="Times New Roman" w:eastAsia="方正仿宋_GBK" w:cs="Times New Roman"/>
          <w:sz w:val="32"/>
          <w:szCs w:val="32"/>
          <w:lang w:val="en-US" w:eastAsia="zh-CN"/>
        </w:rPr>
        <w:t>元，完成年初预算的</w:t>
      </w:r>
      <w:r>
        <w:rPr>
          <w:rFonts w:hint="eastAsia" w:ascii="Times New Roman" w:hAnsi="Times New Roman" w:eastAsia="方正仿宋_GBK" w:cs="Times New Roman"/>
          <w:sz w:val="32"/>
          <w:szCs w:val="32"/>
          <w:lang w:val="zh-CN" w:eastAsia="zh-CN"/>
        </w:rPr>
        <w:t>100.00</w:t>
      </w:r>
      <w:r>
        <w:rPr>
          <w:rFonts w:hint="eastAsia" w:ascii="Times New Roman" w:hAnsi="Times New Roman" w:eastAsia="方正仿宋_GBK" w:cs="Times New Roman"/>
          <w:sz w:val="32"/>
          <w:szCs w:val="32"/>
          <w:lang w:val="en-US" w:eastAsia="zh-CN"/>
        </w:rPr>
        <w:t>%，支出决算较上年增加</w:t>
      </w:r>
      <w:r>
        <w:rPr>
          <w:rFonts w:hint="eastAsia" w:ascii="Times New Roman" w:hAnsi="Times New Roman" w:eastAsia="方正仿宋_GBK" w:cs="Times New Roman"/>
          <w:sz w:val="32"/>
          <w:szCs w:val="32"/>
          <w:lang w:val="zh-CN" w:eastAsia="zh-CN"/>
        </w:rPr>
        <w:t>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600.00</w:t>
      </w:r>
      <w:r>
        <w:rPr>
          <w:rFonts w:hint="eastAsia" w:ascii="Times New Roman" w:hAnsi="Times New Roman" w:eastAsia="方正仿宋_GBK" w:cs="Times New Roman"/>
          <w:sz w:val="32"/>
          <w:szCs w:val="32"/>
          <w:lang w:val="en-US" w:eastAsia="zh-CN"/>
        </w:rPr>
        <w:t>元，增长</w:t>
      </w:r>
      <w:r>
        <w:rPr>
          <w:rFonts w:hint="eastAsia" w:ascii="Times New Roman" w:hAnsi="Times New Roman" w:eastAsia="方正仿宋_GBK" w:cs="Times New Roman"/>
          <w:sz w:val="32"/>
          <w:szCs w:val="32"/>
          <w:lang w:val="zh-CN" w:eastAsia="zh-CN"/>
        </w:rPr>
        <w:t>18.18</w:t>
      </w:r>
      <w:r>
        <w:rPr>
          <w:rFonts w:hint="eastAsia" w:ascii="Times New Roman" w:hAnsi="Times New Roman" w:eastAsia="方正仿宋_GBK" w:cs="Times New Roman"/>
          <w:sz w:val="32"/>
          <w:szCs w:val="32"/>
          <w:lang w:val="en-US" w:eastAsia="zh-CN"/>
        </w:rPr>
        <w:t>%。</w:t>
      </w:r>
    </w:p>
    <w:p w14:paraId="4924A770">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一般公共预算财政拨款“三公”经费支出中：因公出国（境）费用支出年初预算为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元；公务用车购置费支出年初预算为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元；公务用车运行维护费支出年初预算为</w:t>
      </w:r>
      <w:r>
        <w:rPr>
          <w:rFonts w:hint="eastAsia" w:ascii="Times New Roman" w:hAnsi="Times New Roman" w:eastAsia="方正仿宋_GBK" w:cs="Times New Roman"/>
          <w:sz w:val="32"/>
          <w:szCs w:val="32"/>
          <w:lang w:val="zh-CN" w:eastAsia="zh-CN"/>
        </w:rPr>
        <w:t>515</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373.37</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515</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373.37</w:t>
      </w:r>
      <w:r>
        <w:rPr>
          <w:rFonts w:hint="eastAsia" w:ascii="Times New Roman" w:hAnsi="Times New Roman" w:eastAsia="方正仿宋_GBK" w:cs="Times New Roman"/>
          <w:sz w:val="32"/>
          <w:szCs w:val="32"/>
          <w:lang w:val="en-US" w:eastAsia="zh-CN"/>
        </w:rPr>
        <w:t>元，完成年初预算的</w:t>
      </w:r>
      <w:r>
        <w:rPr>
          <w:rFonts w:hint="eastAsia" w:ascii="Times New Roman" w:hAnsi="Times New Roman" w:eastAsia="方正仿宋_GBK" w:cs="Times New Roman"/>
          <w:sz w:val="32"/>
          <w:szCs w:val="32"/>
          <w:lang w:val="zh-CN" w:eastAsia="zh-CN"/>
        </w:rPr>
        <w:t>100.00</w:t>
      </w:r>
      <w:r>
        <w:rPr>
          <w:rFonts w:hint="eastAsia" w:ascii="Times New Roman" w:hAnsi="Times New Roman" w:eastAsia="方正仿宋_GBK" w:cs="Times New Roman"/>
          <w:sz w:val="32"/>
          <w:szCs w:val="32"/>
          <w:lang w:val="en-US" w:eastAsia="zh-CN"/>
        </w:rPr>
        <w:t>%；公务接待费支出年初预算为</w:t>
      </w:r>
      <w:r>
        <w:rPr>
          <w:rFonts w:hint="eastAsia" w:ascii="Times New Roman" w:hAnsi="Times New Roman" w:eastAsia="方正仿宋_GBK" w:cs="Times New Roman"/>
          <w:sz w:val="32"/>
          <w:szCs w:val="32"/>
          <w:lang w:val="zh-CN" w:eastAsia="zh-CN"/>
        </w:rPr>
        <w:t>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000.00</w:t>
      </w:r>
      <w:r>
        <w:rPr>
          <w:rFonts w:hint="eastAsia" w:ascii="Times New Roman" w:hAnsi="Times New Roman" w:eastAsia="方正仿宋_GBK" w:cs="Times New Roman"/>
          <w:sz w:val="32"/>
          <w:szCs w:val="32"/>
          <w:lang w:val="en-US" w:eastAsia="zh-CN"/>
        </w:rPr>
        <w:t>元，决算为</w:t>
      </w:r>
      <w:r>
        <w:rPr>
          <w:rFonts w:hint="eastAsia" w:ascii="Times New Roman" w:hAnsi="Times New Roman" w:eastAsia="方正仿宋_GBK" w:cs="Times New Roman"/>
          <w:sz w:val="32"/>
          <w:szCs w:val="32"/>
          <w:lang w:val="zh-CN" w:eastAsia="zh-CN"/>
        </w:rPr>
        <w:t>2</w:t>
      </w:r>
      <w:r>
        <w:rPr>
          <w:rFonts w:hint="eastAsia" w:ascii="Times New Roman" w:hAnsi="Times New Roman" w:eastAsia="方正仿宋_GBK" w:cs="Times New Roman"/>
          <w:sz w:val="32"/>
          <w:szCs w:val="32"/>
          <w:lang w:val="en-US" w:eastAsia="zh-CN"/>
        </w:rPr>
        <w:t>,</w:t>
      </w:r>
      <w:bookmarkStart w:id="0" w:name="_GoBack"/>
      <w:bookmarkEnd w:id="0"/>
      <w:r>
        <w:rPr>
          <w:rFonts w:hint="eastAsia" w:ascii="Times New Roman" w:hAnsi="Times New Roman" w:eastAsia="方正仿宋_GBK" w:cs="Times New Roman"/>
          <w:sz w:val="32"/>
          <w:szCs w:val="32"/>
          <w:lang w:val="zh-CN" w:eastAsia="zh-CN"/>
        </w:rPr>
        <w:t>000.00</w:t>
      </w:r>
      <w:r>
        <w:rPr>
          <w:rFonts w:hint="eastAsia" w:ascii="Times New Roman" w:hAnsi="Times New Roman" w:eastAsia="方正仿宋_GBK" w:cs="Times New Roman"/>
          <w:sz w:val="32"/>
          <w:szCs w:val="32"/>
          <w:lang w:val="en-US" w:eastAsia="zh-CN"/>
        </w:rPr>
        <w:t>元，完成年初预算的</w:t>
      </w:r>
      <w:r>
        <w:rPr>
          <w:rFonts w:hint="eastAsia" w:ascii="Times New Roman" w:hAnsi="Times New Roman" w:eastAsia="方正仿宋_GBK" w:cs="Times New Roman"/>
          <w:sz w:val="32"/>
          <w:szCs w:val="32"/>
          <w:lang w:val="zh-CN" w:eastAsia="zh-CN"/>
        </w:rPr>
        <w:t>100.00</w:t>
      </w:r>
      <w:r>
        <w:rPr>
          <w:rFonts w:hint="eastAsia" w:ascii="Times New Roman" w:hAnsi="Times New Roman" w:eastAsia="方正仿宋_GBK" w:cs="Times New Roman"/>
          <w:sz w:val="32"/>
          <w:szCs w:val="32"/>
          <w:lang w:val="en-US" w:eastAsia="zh-CN"/>
        </w:rPr>
        <w:t>%。2025年度一般公共预算财政拨款“三公”经费支出决算数等于年初预算数。</w:t>
      </w:r>
    </w:p>
    <w:p w14:paraId="520980E1">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一般公共预算财政拨款“三公”经费支出中：因公出国（境）费用支出决算增加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zh-CN" w:eastAsia="zh-CN"/>
        </w:rPr>
        <w:t>上年无此项支出</w:t>
      </w:r>
      <w:r>
        <w:rPr>
          <w:rFonts w:hint="eastAsia" w:ascii="Times New Roman" w:hAnsi="Times New Roman" w:eastAsia="方正仿宋_GBK" w:cs="Times New Roman"/>
          <w:sz w:val="32"/>
          <w:szCs w:val="32"/>
          <w:lang w:val="en-US" w:eastAsia="zh-CN"/>
        </w:rPr>
        <w:t>；公务用车购置费支出决算增加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zh-CN" w:eastAsia="zh-CN"/>
        </w:rPr>
        <w:t>上年无此项支出</w:t>
      </w:r>
      <w:r>
        <w:rPr>
          <w:rFonts w:hint="eastAsia" w:ascii="Times New Roman" w:hAnsi="Times New Roman" w:eastAsia="方正仿宋_GBK" w:cs="Times New Roman"/>
          <w:sz w:val="32"/>
          <w:szCs w:val="32"/>
          <w:lang w:val="en-US" w:eastAsia="zh-CN"/>
        </w:rPr>
        <w:t>；公务用车运行维护费支出决算增加</w:t>
      </w:r>
      <w:r>
        <w:rPr>
          <w:rFonts w:hint="eastAsia" w:ascii="Times New Roman" w:hAnsi="Times New Roman" w:eastAsia="方正仿宋_GBK" w:cs="Times New Roman"/>
          <w:sz w:val="32"/>
          <w:szCs w:val="32"/>
          <w:lang w:val="zh-CN" w:eastAsia="zh-CN"/>
        </w:rPr>
        <w:t>79</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600.00</w:t>
      </w:r>
      <w:r>
        <w:rPr>
          <w:rFonts w:hint="eastAsia" w:ascii="Times New Roman" w:hAnsi="Times New Roman" w:eastAsia="方正仿宋_GBK" w:cs="Times New Roman"/>
          <w:sz w:val="32"/>
          <w:szCs w:val="32"/>
          <w:lang w:val="en-US" w:eastAsia="zh-CN"/>
        </w:rPr>
        <w:t>元，增长</w:t>
      </w:r>
      <w:r>
        <w:rPr>
          <w:rFonts w:hint="eastAsia" w:ascii="Times New Roman" w:hAnsi="Times New Roman" w:eastAsia="方正仿宋_GBK" w:cs="Times New Roman"/>
          <w:sz w:val="32"/>
          <w:szCs w:val="32"/>
          <w:lang w:val="zh-CN" w:eastAsia="zh-CN"/>
        </w:rPr>
        <w:t>18.27</w:t>
      </w:r>
      <w:r>
        <w:rPr>
          <w:rFonts w:hint="eastAsia" w:ascii="Times New Roman" w:hAnsi="Times New Roman" w:eastAsia="方正仿宋_GBK" w:cs="Times New Roman"/>
          <w:sz w:val="32"/>
          <w:szCs w:val="32"/>
          <w:lang w:val="en-US" w:eastAsia="zh-CN"/>
        </w:rPr>
        <w:t>%；公务接待费支出决算增加</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元，增长0.</w:t>
      </w:r>
      <w:r>
        <w:rPr>
          <w:rFonts w:hint="eastAsia" w:ascii="Times New Roman" w:hAnsi="Times New Roman" w:eastAsia="方正仿宋_GBK" w:cs="Times New Roman"/>
          <w:sz w:val="32"/>
          <w:szCs w:val="32"/>
          <w:lang w:val="zh-CN" w:eastAsia="zh-CN"/>
        </w:rPr>
        <w:t>00</w:t>
      </w:r>
      <w:r>
        <w:rPr>
          <w:rFonts w:hint="eastAsia" w:ascii="Times New Roman" w:hAnsi="Times New Roman" w:eastAsia="方正仿宋_GBK" w:cs="Times New Roman"/>
          <w:sz w:val="32"/>
          <w:szCs w:val="32"/>
          <w:lang w:val="en-US" w:eastAsia="zh-CN"/>
        </w:rPr>
        <w:t>%，具体是国内接待费支出决算</w:t>
      </w:r>
      <w:r>
        <w:rPr>
          <w:rFonts w:hint="eastAsia" w:ascii="Times New Roman" w:hAnsi="Times New Roman" w:eastAsia="方正仿宋_GBK" w:cs="Times New Roman"/>
          <w:sz w:val="32"/>
          <w:szCs w:val="32"/>
          <w:lang w:val="zh-CN" w:eastAsia="zh-CN"/>
        </w:rPr>
        <w:t>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000.00</w:t>
      </w:r>
      <w:r>
        <w:rPr>
          <w:rFonts w:hint="eastAsia" w:ascii="Times New Roman" w:hAnsi="Times New Roman" w:eastAsia="方正仿宋_GBK" w:cs="Times New Roman"/>
          <w:sz w:val="32"/>
          <w:szCs w:val="32"/>
          <w:lang w:val="en-US" w:eastAsia="zh-CN"/>
        </w:rPr>
        <w:t>元（其中：外事接待费支出决算</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元），较上年增加0.00元，增长0.00%；国（境）外接待费支出决算</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元，较上年增加0.00元，</w:t>
      </w:r>
      <w:r>
        <w:rPr>
          <w:rFonts w:hint="eastAsia" w:ascii="Times New Roman" w:hAnsi="Times New Roman" w:eastAsia="方正仿宋_GBK" w:cs="Times New Roman"/>
          <w:sz w:val="32"/>
          <w:szCs w:val="32"/>
          <w:lang w:val="zh-CN" w:eastAsia="zh-CN"/>
        </w:rPr>
        <w:t>上年无此项支出</w:t>
      </w:r>
      <w:r>
        <w:rPr>
          <w:rFonts w:hint="eastAsia" w:ascii="Times New Roman" w:hAnsi="Times New Roman" w:eastAsia="方正仿宋_GBK" w:cs="Times New Roman"/>
          <w:sz w:val="32"/>
          <w:szCs w:val="32"/>
          <w:lang w:val="en-US" w:eastAsia="zh-CN"/>
        </w:rPr>
        <w:t>。2025年度一般公共预算财政拨款“三公”经费支出决算增加79,600.00元，主要原因是急救中心车辆均为救护车，随着车辆老化，日常维修费用日益增加。</w:t>
      </w:r>
    </w:p>
    <w:p w14:paraId="2586D5BE">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一般公共预算财政拨款“三公”经费支出实物量的具体情况：</w:t>
      </w:r>
    </w:p>
    <w:p w14:paraId="5D5001DE">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1.安排因公出国（境）团组</w:t>
      </w:r>
      <w:r>
        <w:rPr>
          <w:rFonts w:hint="eastAsia" w:ascii="Times New Roman" w:hAnsi="Times New Roman" w:eastAsia="方正仿宋_GBK" w:cs="Times New Roman"/>
          <w:sz w:val="32"/>
          <w:szCs w:val="32"/>
          <w:lang w:val="zh-CN" w:eastAsia="zh-CN"/>
        </w:rPr>
        <w:t>0</w:t>
      </w:r>
      <w:r>
        <w:rPr>
          <w:rFonts w:hint="eastAsia" w:ascii="Times New Roman" w:hAnsi="Times New Roman" w:eastAsia="方正仿宋_GBK" w:cs="Times New Roman"/>
          <w:sz w:val="32"/>
          <w:szCs w:val="32"/>
          <w:lang w:val="en-US" w:eastAsia="zh-CN"/>
        </w:rPr>
        <w:t>个，累计</w:t>
      </w:r>
      <w:r>
        <w:rPr>
          <w:rFonts w:hint="eastAsia" w:ascii="Times New Roman" w:hAnsi="Times New Roman" w:eastAsia="方正仿宋_GBK" w:cs="Times New Roman"/>
          <w:sz w:val="32"/>
          <w:szCs w:val="32"/>
          <w:lang w:val="zh-CN" w:eastAsia="zh-CN"/>
        </w:rPr>
        <w:t>0</w:t>
      </w:r>
      <w:r>
        <w:rPr>
          <w:rFonts w:hint="eastAsia" w:ascii="Times New Roman" w:hAnsi="Times New Roman" w:eastAsia="方正仿宋_GBK" w:cs="Times New Roman"/>
          <w:sz w:val="32"/>
          <w:szCs w:val="32"/>
          <w:lang w:val="en-US" w:eastAsia="zh-CN"/>
        </w:rPr>
        <w:t>人次。</w:t>
      </w:r>
    </w:p>
    <w:p w14:paraId="730C54CB">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2.购置车辆</w:t>
      </w:r>
      <w:r>
        <w:rPr>
          <w:rFonts w:hint="eastAsia" w:ascii="Times New Roman" w:hAnsi="Times New Roman" w:eastAsia="方正仿宋_GBK" w:cs="Times New Roman"/>
          <w:sz w:val="32"/>
          <w:szCs w:val="32"/>
          <w:lang w:val="zh-CN" w:eastAsia="zh-CN"/>
        </w:rPr>
        <w:t>0</w:t>
      </w:r>
      <w:r>
        <w:rPr>
          <w:rFonts w:hint="eastAsia" w:ascii="Times New Roman" w:hAnsi="Times New Roman" w:eastAsia="方正仿宋_GBK" w:cs="Times New Roman"/>
          <w:sz w:val="32"/>
          <w:szCs w:val="32"/>
          <w:lang w:val="en-US" w:eastAsia="zh-CN"/>
        </w:rPr>
        <w:t>辆。开支一般公共预算财政拨款的公务用车保有量为</w:t>
      </w:r>
      <w:r>
        <w:rPr>
          <w:rFonts w:hint="eastAsia" w:ascii="Times New Roman" w:hAnsi="Times New Roman" w:eastAsia="方正仿宋_GBK" w:cs="Times New Roman"/>
          <w:sz w:val="32"/>
          <w:szCs w:val="32"/>
          <w:lang w:val="zh-CN" w:eastAsia="zh-CN"/>
        </w:rPr>
        <w:t>17</w:t>
      </w:r>
      <w:r>
        <w:rPr>
          <w:rFonts w:hint="eastAsia" w:ascii="Times New Roman" w:hAnsi="Times New Roman" w:eastAsia="方正仿宋_GBK" w:cs="Times New Roman"/>
          <w:sz w:val="32"/>
          <w:szCs w:val="32"/>
          <w:lang w:val="en-US" w:eastAsia="zh-CN"/>
        </w:rPr>
        <w:t>辆。主要用于</w:t>
      </w:r>
      <w:r>
        <w:rPr>
          <w:rFonts w:hint="default" w:ascii="Times New Roman" w:hAnsi="Times New Roman" w:eastAsia="方正仿宋_GBK" w:cs="Times New Roman"/>
          <w:sz w:val="32"/>
          <w:szCs w:val="32"/>
          <w:lang w:val="zh-CN" w:eastAsia="zh-CN"/>
        </w:rPr>
        <w:t>院前急救患者，转运、转院患者所需车辆燃料费、维修费、过路过桥费、保险费等。</w:t>
      </w:r>
    </w:p>
    <w:p w14:paraId="4E9D2FBB">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3.安排国内公务接待</w:t>
      </w:r>
      <w:r>
        <w:rPr>
          <w:rFonts w:hint="eastAsia" w:ascii="Times New Roman" w:hAnsi="Times New Roman" w:eastAsia="方正仿宋_GBK" w:cs="Times New Roman"/>
          <w:sz w:val="32"/>
          <w:szCs w:val="32"/>
          <w:lang w:val="zh-CN" w:eastAsia="zh-CN"/>
        </w:rPr>
        <w:t>4</w:t>
      </w:r>
      <w:r>
        <w:rPr>
          <w:rFonts w:hint="eastAsia" w:ascii="Times New Roman" w:hAnsi="Times New Roman" w:eastAsia="方正仿宋_GBK" w:cs="Times New Roman"/>
          <w:sz w:val="32"/>
          <w:szCs w:val="32"/>
          <w:lang w:val="en-US" w:eastAsia="zh-CN"/>
        </w:rPr>
        <w:t>批次（其中：外事接待</w:t>
      </w:r>
      <w:r>
        <w:rPr>
          <w:rFonts w:hint="eastAsia" w:ascii="Times New Roman" w:hAnsi="Times New Roman" w:eastAsia="方正仿宋_GBK" w:cs="Times New Roman"/>
          <w:sz w:val="32"/>
          <w:szCs w:val="32"/>
          <w:lang w:val="zh-CN" w:eastAsia="zh-CN"/>
        </w:rPr>
        <w:t>0</w:t>
      </w:r>
      <w:r>
        <w:rPr>
          <w:rFonts w:hint="eastAsia" w:ascii="Times New Roman" w:hAnsi="Times New Roman" w:eastAsia="方正仿宋_GBK" w:cs="Times New Roman"/>
          <w:sz w:val="32"/>
          <w:szCs w:val="32"/>
          <w:lang w:val="en-US" w:eastAsia="zh-CN"/>
        </w:rPr>
        <w:t>批次），接待人次</w:t>
      </w:r>
      <w:r>
        <w:rPr>
          <w:rFonts w:hint="eastAsia" w:ascii="Times New Roman" w:hAnsi="Times New Roman" w:eastAsia="方正仿宋_GBK" w:cs="Times New Roman"/>
          <w:sz w:val="32"/>
          <w:szCs w:val="32"/>
          <w:lang w:val="zh-CN" w:eastAsia="zh-CN"/>
        </w:rPr>
        <w:t>20</w:t>
      </w:r>
      <w:r>
        <w:rPr>
          <w:rFonts w:hint="eastAsia" w:ascii="Times New Roman" w:hAnsi="Times New Roman" w:eastAsia="方正仿宋_GBK" w:cs="Times New Roman"/>
          <w:sz w:val="32"/>
          <w:szCs w:val="32"/>
          <w:lang w:val="en-US" w:eastAsia="zh-CN"/>
        </w:rPr>
        <w:t>人（其中：外事接待人次</w:t>
      </w:r>
      <w:r>
        <w:rPr>
          <w:rFonts w:hint="eastAsia" w:ascii="Times New Roman" w:hAnsi="Times New Roman" w:eastAsia="方正仿宋_GBK" w:cs="Times New Roman"/>
          <w:sz w:val="32"/>
          <w:szCs w:val="32"/>
          <w:lang w:val="zh-CN" w:eastAsia="zh-CN"/>
        </w:rPr>
        <w:t>0</w:t>
      </w:r>
      <w:r>
        <w:rPr>
          <w:rFonts w:hint="eastAsia" w:ascii="Times New Roman" w:hAnsi="Times New Roman" w:eastAsia="方正仿宋_GBK" w:cs="Times New Roman"/>
          <w:sz w:val="32"/>
          <w:szCs w:val="32"/>
          <w:lang w:val="en-US" w:eastAsia="zh-CN"/>
        </w:rPr>
        <w:t>人）。</w:t>
      </w:r>
      <w:r>
        <w:rPr>
          <w:rFonts w:hint="default" w:ascii="Times New Roman" w:hAnsi="Times New Roman" w:eastAsia="方正仿宋_GBK" w:cs="Times New Roman"/>
          <w:sz w:val="32"/>
          <w:szCs w:val="32"/>
          <w:lang w:val="zh-CN" w:eastAsia="zh-CN"/>
        </w:rPr>
        <w:t>主要用于各友邻卫生单位交流学习、对接院前急救工作，发生的接待支出</w:t>
      </w:r>
      <w:r>
        <w:rPr>
          <w:rFonts w:hint="eastAsia" w:ascii="Times New Roman" w:hAnsi="Times New Roman" w:eastAsia="方正仿宋_GBK" w:cs="Times New Roman"/>
          <w:sz w:val="32"/>
          <w:szCs w:val="32"/>
          <w:lang w:val="en-US" w:eastAsia="zh-CN"/>
        </w:rPr>
        <w:t>。安排国（境）外公务接待</w:t>
      </w:r>
      <w:r>
        <w:rPr>
          <w:rFonts w:hint="eastAsia" w:ascii="Times New Roman" w:hAnsi="Times New Roman" w:eastAsia="方正仿宋_GBK" w:cs="Times New Roman"/>
          <w:sz w:val="32"/>
          <w:szCs w:val="32"/>
          <w:lang w:val="zh-CN" w:eastAsia="zh-CN"/>
        </w:rPr>
        <w:t>0</w:t>
      </w:r>
      <w:r>
        <w:rPr>
          <w:rFonts w:hint="eastAsia" w:ascii="Times New Roman" w:hAnsi="Times New Roman" w:eastAsia="方正仿宋_GBK" w:cs="Times New Roman"/>
          <w:sz w:val="32"/>
          <w:szCs w:val="32"/>
          <w:lang w:val="en-US" w:eastAsia="zh-CN"/>
        </w:rPr>
        <w:t>批次，接待人次</w:t>
      </w:r>
      <w:r>
        <w:rPr>
          <w:rFonts w:hint="eastAsia" w:ascii="Times New Roman" w:hAnsi="Times New Roman" w:eastAsia="方正仿宋_GBK" w:cs="Times New Roman"/>
          <w:sz w:val="32"/>
          <w:szCs w:val="32"/>
          <w:lang w:val="zh-CN" w:eastAsia="zh-CN"/>
        </w:rPr>
        <w:t>0</w:t>
      </w:r>
      <w:r>
        <w:rPr>
          <w:rFonts w:hint="eastAsia" w:ascii="Times New Roman" w:hAnsi="Times New Roman" w:eastAsia="方正仿宋_GBK" w:cs="Times New Roman"/>
          <w:sz w:val="32"/>
          <w:szCs w:val="32"/>
          <w:lang w:val="en-US" w:eastAsia="zh-CN"/>
        </w:rPr>
        <w:t>人。</w:t>
      </w:r>
    </w:p>
    <w:p w14:paraId="012D872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left"/>
        <w:textAlignment w:val="auto"/>
        <w:outlineLvl w:val="2"/>
        <w:rPr>
          <w:rFonts w:hint="eastAsia" w:ascii="方正楷体_GBK" w:hAnsi="方正楷体_GBK" w:eastAsia="方正楷体_GBK" w:cs="方正楷体_GBK"/>
          <w:kern w:val="0"/>
          <w:sz w:val="32"/>
          <w:szCs w:val="32"/>
          <w:highlight w:val="none"/>
          <w:lang w:val="en-US" w:eastAsia="zh-CN"/>
        </w:rPr>
      </w:pPr>
      <w:r>
        <w:rPr>
          <w:rFonts w:hint="eastAsia" w:ascii="方正楷体_GBK" w:hAnsi="方正楷体_GBK" w:eastAsia="方正楷体_GBK" w:cs="方正楷体_GBK"/>
          <w:kern w:val="0"/>
          <w:sz w:val="32"/>
          <w:szCs w:val="32"/>
          <w:highlight w:val="none"/>
          <w:lang w:val="en-US" w:eastAsia="zh-CN"/>
        </w:rPr>
        <w:t>（三）需要说明的事项</w:t>
      </w:r>
    </w:p>
    <w:p w14:paraId="31AFD356">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本年度，为配合高质量示范项目的实施，中心用历年非财政拨款结余资金购置6辆救护车，合计金额3,380,000.00元（含保险费）。由于使用非财政拨款购置，故未在一般财政拨款“三公”经费中统计。</w:t>
      </w:r>
    </w:p>
    <w:p w14:paraId="003000F8">
      <w:pPr>
        <w:keepNext w:val="0"/>
        <w:keepLines w:val="0"/>
        <w:pageBreakBefore w:val="0"/>
        <w:widowControl/>
        <w:kinsoku/>
        <w:overflowPunct/>
        <w:autoSpaceDN/>
        <w:bidi w:val="0"/>
        <w:adjustRightInd/>
        <w:snapToGrid w:val="0"/>
        <w:spacing w:before="100" w:after="100" w:line="590" w:lineRule="exact"/>
        <w:ind w:firstLine="640" w:firstLineChars="200"/>
        <w:jc w:val="center"/>
        <w:textAlignment w:val="auto"/>
        <w:outlineLvl w:val="0"/>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第四部分  其他重要事项及相关口径情况说明</w:t>
      </w:r>
    </w:p>
    <w:p w14:paraId="3E4E1BC1">
      <w:pPr>
        <w:keepNext w:val="0"/>
        <w:keepLines w:val="0"/>
        <w:pageBreakBefore w:val="0"/>
        <w:kinsoku/>
        <w:overflowPunct/>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一</w:t>
      </w:r>
      <w:r>
        <w:rPr>
          <w:rFonts w:hint="eastAsia" w:ascii="方正黑体_GBK" w:hAnsi="方正黑体_GBK" w:eastAsia="方正黑体_GBK" w:cs="方正黑体_GBK"/>
          <w:sz w:val="32"/>
          <w:szCs w:val="32"/>
          <w:highlight w:val="none"/>
          <w:lang w:eastAsia="zh-CN"/>
        </w:rPr>
        <w:t>、</w:t>
      </w:r>
      <w:r>
        <w:rPr>
          <w:rFonts w:hint="eastAsia" w:ascii="方正黑体_GBK" w:hAnsi="方正黑体_GBK" w:eastAsia="方正黑体_GBK" w:cs="方正黑体_GBK"/>
          <w:sz w:val="32"/>
          <w:szCs w:val="32"/>
          <w:highlight w:val="none"/>
        </w:rPr>
        <w:t>机关运行经费支出情况</w:t>
      </w:r>
    </w:p>
    <w:p w14:paraId="21791F55">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zh-CN" w:eastAsia="zh-CN"/>
        </w:rPr>
        <w:t>玉溪市急救中心</w:t>
      </w:r>
      <w:r>
        <w:rPr>
          <w:rFonts w:hint="eastAsia" w:ascii="Times New Roman" w:hAnsi="Times New Roman" w:eastAsia="方正仿宋_GBK" w:cs="Times New Roman"/>
          <w:sz w:val="32"/>
          <w:szCs w:val="32"/>
          <w:lang w:val="en-US" w:eastAsia="zh-CN"/>
        </w:rPr>
        <w:t>2025年机关运行经费支出0.00元，比上年增加0.00元，增长</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w:t>
      </w:r>
    </w:p>
    <w:p w14:paraId="0D868500">
      <w:pPr>
        <w:keepNext w:val="0"/>
        <w:keepLines w:val="0"/>
        <w:pageBreakBefore w:val="0"/>
        <w:widowControl/>
        <w:kinsoku/>
        <w:overflowPunct/>
        <w:autoSpaceDN/>
        <w:bidi w:val="0"/>
        <w:adjustRightInd/>
        <w:spacing w:line="590" w:lineRule="exact"/>
        <w:ind w:firstLine="640" w:firstLineChars="200"/>
        <w:textAlignment w:val="auto"/>
        <w:outlineLvl w:val="1"/>
        <w:rPr>
          <w:rFonts w:hint="eastAsia" w:ascii="黑体" w:hAnsi="黑体" w:eastAsia="黑体" w:cs="黑体"/>
          <w:color w:val="000000"/>
          <w:kern w:val="0"/>
          <w:sz w:val="30"/>
          <w:szCs w:val="30"/>
          <w:highlight w:val="none"/>
        </w:rPr>
      </w:pPr>
      <w:r>
        <w:rPr>
          <w:rFonts w:hint="eastAsia" w:ascii="方正黑体_GBK" w:hAnsi="方正黑体_GBK" w:eastAsia="方正黑体_GBK" w:cs="方正黑体_GBK"/>
          <w:color w:val="000000"/>
          <w:kern w:val="0"/>
          <w:sz w:val="32"/>
          <w:szCs w:val="32"/>
          <w:highlight w:val="none"/>
          <w:lang w:eastAsia="zh-CN"/>
        </w:rPr>
        <w:t>二、</w:t>
      </w:r>
      <w:r>
        <w:rPr>
          <w:rFonts w:hint="eastAsia" w:ascii="方正黑体_GBK" w:hAnsi="方正黑体_GBK" w:eastAsia="方正黑体_GBK" w:cs="方正黑体_GBK"/>
          <w:color w:val="000000"/>
          <w:kern w:val="0"/>
          <w:sz w:val="32"/>
          <w:szCs w:val="32"/>
          <w:highlight w:val="none"/>
        </w:rPr>
        <w:t>国有资产占用情况</w:t>
      </w:r>
    </w:p>
    <w:p w14:paraId="5D293225">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截至202</w:t>
      </w: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val="zh-CN" w:eastAsia="zh-CN"/>
        </w:rPr>
        <w:t>年末，玉溪市急救中心资产总额</w:t>
      </w:r>
      <w:r>
        <w:rPr>
          <w:rFonts w:hint="eastAsia" w:ascii="Times New Roman" w:hAnsi="Times New Roman" w:eastAsia="方正仿宋_GBK" w:cs="Times New Roman"/>
          <w:sz w:val="32"/>
          <w:szCs w:val="32"/>
          <w:lang w:val="en-US" w:eastAsia="zh-CN"/>
        </w:rPr>
        <w:t>48,736,302.90</w:t>
      </w:r>
      <w:r>
        <w:rPr>
          <w:rFonts w:hint="eastAsia" w:ascii="Times New Roman" w:hAnsi="Times New Roman" w:eastAsia="方正仿宋_GBK" w:cs="Times New Roman"/>
          <w:sz w:val="32"/>
          <w:szCs w:val="32"/>
          <w:lang w:val="zh-CN" w:eastAsia="zh-CN"/>
        </w:rPr>
        <w:t>元，其中，流动资产</w:t>
      </w:r>
      <w:r>
        <w:rPr>
          <w:rFonts w:hint="eastAsia" w:ascii="Times New Roman" w:hAnsi="Times New Roman" w:eastAsia="方正仿宋_GBK" w:cs="Times New Roman"/>
          <w:sz w:val="32"/>
          <w:szCs w:val="32"/>
          <w:lang w:val="en-US" w:eastAsia="zh-CN"/>
        </w:rPr>
        <w:t>4,142,360.96</w:t>
      </w:r>
      <w:r>
        <w:rPr>
          <w:rFonts w:hint="eastAsia" w:ascii="Times New Roman" w:hAnsi="Times New Roman" w:eastAsia="方正仿宋_GBK" w:cs="Times New Roman"/>
          <w:sz w:val="32"/>
          <w:szCs w:val="32"/>
          <w:lang w:val="zh-CN" w:eastAsia="zh-CN"/>
        </w:rPr>
        <w:t>元，固定资产</w:t>
      </w:r>
      <w:r>
        <w:rPr>
          <w:rFonts w:hint="eastAsia" w:ascii="Times New Roman" w:hAnsi="Times New Roman" w:eastAsia="方正仿宋_GBK" w:cs="Times New Roman"/>
          <w:sz w:val="32"/>
          <w:szCs w:val="32"/>
          <w:lang w:val="en-US" w:eastAsia="zh-CN"/>
        </w:rPr>
        <w:t>38,461,431.57</w:t>
      </w:r>
      <w:r>
        <w:rPr>
          <w:rFonts w:hint="eastAsia" w:ascii="Times New Roman" w:hAnsi="Times New Roman" w:eastAsia="方正仿宋_GBK" w:cs="Times New Roman"/>
          <w:sz w:val="32"/>
          <w:szCs w:val="32"/>
          <w:lang w:val="zh-CN" w:eastAsia="zh-CN"/>
        </w:rPr>
        <w:t>元（净值），对外投资及有价证券</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元，在建工程</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元，无形资产</w:t>
      </w:r>
      <w:r>
        <w:rPr>
          <w:rFonts w:hint="eastAsia" w:ascii="Times New Roman" w:hAnsi="Times New Roman" w:eastAsia="方正仿宋_GBK" w:cs="Times New Roman"/>
          <w:sz w:val="32"/>
          <w:szCs w:val="32"/>
          <w:lang w:val="en-US" w:eastAsia="zh-CN"/>
        </w:rPr>
        <w:t>5,772,510.37</w:t>
      </w:r>
      <w:r>
        <w:rPr>
          <w:rFonts w:hint="eastAsia" w:ascii="Times New Roman" w:hAnsi="Times New Roman" w:eastAsia="方正仿宋_GBK" w:cs="Times New Roman"/>
          <w:sz w:val="32"/>
          <w:szCs w:val="32"/>
          <w:lang w:val="zh-CN" w:eastAsia="zh-CN"/>
        </w:rPr>
        <w:t>元（净值），其他资产</w:t>
      </w:r>
      <w:r>
        <w:rPr>
          <w:rFonts w:hint="eastAsia" w:ascii="Times New Roman" w:hAnsi="Times New Roman" w:eastAsia="方正仿宋_GBK" w:cs="Times New Roman"/>
          <w:sz w:val="32"/>
          <w:szCs w:val="32"/>
          <w:lang w:val="en-US" w:eastAsia="zh-CN"/>
        </w:rPr>
        <w:t>360,000.00</w:t>
      </w:r>
      <w:r>
        <w:rPr>
          <w:rFonts w:hint="eastAsia" w:ascii="Times New Roman" w:hAnsi="Times New Roman" w:eastAsia="方正仿宋_GBK" w:cs="Times New Roman"/>
          <w:sz w:val="32"/>
          <w:szCs w:val="32"/>
          <w:lang w:val="zh-CN" w:eastAsia="zh-CN"/>
        </w:rPr>
        <w:t>元（净值）（具体内容详见附表）。与上年相比，本年资产总额减少</w:t>
      </w:r>
      <w:r>
        <w:rPr>
          <w:rFonts w:hint="eastAsia" w:ascii="Times New Roman" w:hAnsi="Times New Roman" w:eastAsia="方正仿宋_GBK" w:cs="Times New Roman"/>
          <w:sz w:val="32"/>
          <w:szCs w:val="32"/>
          <w:lang w:val="en-US" w:eastAsia="zh-CN"/>
        </w:rPr>
        <w:t>3,957,007.82</w:t>
      </w:r>
      <w:r>
        <w:rPr>
          <w:rFonts w:hint="eastAsia" w:ascii="Times New Roman" w:hAnsi="Times New Roman" w:eastAsia="方正仿宋_GBK" w:cs="Times New Roman"/>
          <w:sz w:val="32"/>
          <w:szCs w:val="32"/>
          <w:lang w:val="zh-CN" w:eastAsia="zh-CN"/>
        </w:rPr>
        <w:t>元，其中固定资产增加</w:t>
      </w:r>
      <w:r>
        <w:rPr>
          <w:rFonts w:hint="eastAsia" w:ascii="Times New Roman" w:hAnsi="Times New Roman" w:eastAsia="方正仿宋_GBK" w:cs="Times New Roman"/>
          <w:sz w:val="32"/>
          <w:szCs w:val="32"/>
          <w:lang w:val="en-US" w:eastAsia="zh-CN"/>
        </w:rPr>
        <w:t>7,825,785.01</w:t>
      </w:r>
      <w:r>
        <w:rPr>
          <w:rFonts w:hint="eastAsia" w:ascii="Times New Roman" w:hAnsi="Times New Roman" w:eastAsia="方正仿宋_GBK" w:cs="Times New Roman"/>
          <w:sz w:val="32"/>
          <w:szCs w:val="32"/>
          <w:lang w:val="zh-CN" w:eastAsia="zh-CN"/>
        </w:rPr>
        <w:t>元。处置房屋建筑物</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平方米，账面原值</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元；处置车辆</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辆，账面原值</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元；报废报损资产</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项，账面原值</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元，实现资产处置收入</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元；出租房屋</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平方米，账面原值</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元，实现资产使用收入</w:t>
      </w:r>
      <w:r>
        <w:rPr>
          <w:rFonts w:hint="eastAsia" w:ascii="Times New Roman" w:hAnsi="Times New Roman" w:eastAsia="方正仿宋_GBK" w:cs="Times New Roman"/>
          <w:sz w:val="32"/>
          <w:szCs w:val="32"/>
          <w:lang w:val="en-US" w:eastAsia="zh-CN"/>
        </w:rPr>
        <w:t>0.00</w:t>
      </w:r>
      <w:r>
        <w:rPr>
          <w:rFonts w:hint="eastAsia" w:ascii="Times New Roman" w:hAnsi="Times New Roman" w:eastAsia="方正仿宋_GBK" w:cs="Times New Roman"/>
          <w:sz w:val="32"/>
          <w:szCs w:val="32"/>
          <w:lang w:val="zh-CN" w:eastAsia="zh-CN"/>
        </w:rPr>
        <w:t>元。</w:t>
      </w:r>
    </w:p>
    <w:p w14:paraId="3CC554C6">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（国有资产占有使用情况表详见附表）</w:t>
      </w:r>
    </w:p>
    <w:p w14:paraId="6ED81C18">
      <w:pPr>
        <w:keepNext w:val="0"/>
        <w:keepLines w:val="0"/>
        <w:pageBreakBefore w:val="0"/>
        <w:kinsoku/>
        <w:overflowPunct/>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eastAsia="zh-CN"/>
        </w:rPr>
        <w:t>三、政</w:t>
      </w:r>
      <w:r>
        <w:rPr>
          <w:rFonts w:hint="eastAsia" w:ascii="方正黑体_GBK" w:hAnsi="方正黑体_GBK" w:eastAsia="方正黑体_GBK" w:cs="方正黑体_GBK"/>
          <w:sz w:val="32"/>
          <w:szCs w:val="32"/>
          <w:highlight w:val="none"/>
        </w:rPr>
        <w:t>府采购支出情况</w:t>
      </w:r>
    </w:p>
    <w:p w14:paraId="34D9F920">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2025年度，单位政府采购支出总额</w:t>
      </w:r>
      <w:r>
        <w:rPr>
          <w:rFonts w:hint="eastAsia" w:ascii="Times New Roman" w:hAnsi="Times New Roman" w:eastAsia="方正仿宋_GBK" w:cs="Times New Roman"/>
          <w:sz w:val="32"/>
          <w:szCs w:val="32"/>
          <w:lang w:val="zh-CN" w:eastAsia="zh-CN"/>
        </w:rPr>
        <w:t>936</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754.76</w:t>
      </w:r>
      <w:r>
        <w:rPr>
          <w:rFonts w:hint="eastAsia" w:ascii="Times New Roman" w:hAnsi="Times New Roman" w:eastAsia="方正仿宋_GBK" w:cs="Times New Roman"/>
          <w:sz w:val="32"/>
          <w:szCs w:val="32"/>
          <w:lang w:val="en-US" w:eastAsia="zh-CN"/>
        </w:rPr>
        <w:t>元，其中：政府采购货物支出</w:t>
      </w:r>
      <w:r>
        <w:rPr>
          <w:rFonts w:hint="eastAsia" w:ascii="Times New Roman" w:hAnsi="Times New Roman" w:eastAsia="方正仿宋_GBK" w:cs="Times New Roman"/>
          <w:sz w:val="32"/>
          <w:szCs w:val="32"/>
          <w:lang w:val="zh-CN" w:eastAsia="zh-CN"/>
        </w:rPr>
        <w:t>113</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870.00</w:t>
      </w:r>
      <w:r>
        <w:rPr>
          <w:rFonts w:hint="eastAsia" w:ascii="Times New Roman" w:hAnsi="Times New Roman" w:eastAsia="方正仿宋_GBK" w:cs="Times New Roman"/>
          <w:sz w:val="32"/>
          <w:szCs w:val="32"/>
          <w:lang w:val="en-US" w:eastAsia="zh-CN"/>
        </w:rPr>
        <w:t>元；政府采购工程支出</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元；政府采购服务支出</w:t>
      </w:r>
      <w:r>
        <w:rPr>
          <w:rFonts w:hint="eastAsia" w:ascii="Times New Roman" w:hAnsi="Times New Roman" w:eastAsia="方正仿宋_GBK" w:cs="Times New Roman"/>
          <w:sz w:val="32"/>
          <w:szCs w:val="32"/>
          <w:lang w:val="zh-CN" w:eastAsia="zh-CN"/>
        </w:rPr>
        <w:t>822</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zh-CN" w:eastAsia="zh-CN"/>
        </w:rPr>
        <w:t>884.76</w:t>
      </w:r>
      <w:r>
        <w:rPr>
          <w:rFonts w:hint="eastAsia" w:ascii="Times New Roman" w:hAnsi="Times New Roman" w:eastAsia="方正仿宋_GBK" w:cs="Times New Roman"/>
          <w:sz w:val="32"/>
          <w:szCs w:val="32"/>
          <w:lang w:val="en-US" w:eastAsia="zh-CN"/>
        </w:rPr>
        <w:t>元。授予中小企业合同金额</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元，其中：授予小微企业合同金额</w:t>
      </w:r>
      <w:r>
        <w:rPr>
          <w:rFonts w:hint="eastAsia" w:ascii="Times New Roman" w:hAnsi="Times New Roman" w:eastAsia="方正仿宋_GBK" w:cs="Times New Roman"/>
          <w:sz w:val="32"/>
          <w:szCs w:val="32"/>
          <w:lang w:val="zh-CN" w:eastAsia="zh-CN"/>
        </w:rPr>
        <w:t>0.00</w:t>
      </w:r>
      <w:r>
        <w:rPr>
          <w:rFonts w:hint="eastAsia" w:ascii="Times New Roman" w:hAnsi="Times New Roman" w:eastAsia="方正仿宋_GBK" w:cs="Times New Roman"/>
          <w:sz w:val="32"/>
          <w:szCs w:val="32"/>
          <w:lang w:val="en-US" w:eastAsia="zh-CN"/>
        </w:rPr>
        <w:t>元。</w:t>
      </w:r>
    </w:p>
    <w:p w14:paraId="1FF7DCA7">
      <w:pPr>
        <w:keepNext w:val="0"/>
        <w:keepLines w:val="0"/>
        <w:pageBreakBefore w:val="0"/>
        <w:kinsoku/>
        <w:overflowPunct/>
        <w:autoSpaceDN/>
        <w:bidi w:val="0"/>
        <w:adjustRightInd/>
        <w:spacing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四、单位绩效自评情况</w:t>
      </w:r>
    </w:p>
    <w:p w14:paraId="1D7601AC">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单位绩效自评情况详见附表。</w:t>
      </w:r>
    </w:p>
    <w:p w14:paraId="1AAF8ABE">
      <w:pPr>
        <w:keepNext w:val="0"/>
        <w:keepLines w:val="0"/>
        <w:pageBreakBefore w:val="0"/>
        <w:widowControl/>
        <w:kinsoku/>
        <w:overflowPunct/>
        <w:autoSpaceDN/>
        <w:bidi w:val="0"/>
        <w:adjustRightInd/>
        <w:snapToGrid w:val="0"/>
        <w:spacing w:before="100" w:after="100"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五、其他重要事项情况说明</w:t>
      </w:r>
    </w:p>
    <w:p w14:paraId="4EB0C114">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无。</w:t>
      </w:r>
    </w:p>
    <w:p w14:paraId="1BBA6E84">
      <w:pPr>
        <w:keepNext w:val="0"/>
        <w:keepLines w:val="0"/>
        <w:pageBreakBefore w:val="0"/>
        <w:widowControl/>
        <w:kinsoku/>
        <w:overflowPunct/>
        <w:autoSpaceDN/>
        <w:bidi w:val="0"/>
        <w:adjustRightInd/>
        <w:snapToGrid w:val="0"/>
        <w:spacing w:before="100" w:after="100" w:line="590" w:lineRule="exact"/>
        <w:ind w:firstLine="640" w:firstLineChars="200"/>
        <w:jc w:val="left"/>
        <w:textAlignment w:val="auto"/>
        <w:outlineLvl w:val="1"/>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六、相关口径说明</w:t>
      </w:r>
    </w:p>
    <w:p w14:paraId="54094135">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（一）</w:t>
      </w:r>
      <w:r>
        <w:rPr>
          <w:rFonts w:hint="eastAsia" w:ascii="Times New Roman" w:hAnsi="Times New Roman" w:eastAsia="方正仿宋_GBK" w:cs="Times New Roman"/>
          <w:sz w:val="32"/>
          <w:szCs w:val="32"/>
          <w:lang w:val="en-US" w:eastAsia="zh-CN"/>
        </w:rPr>
        <w:t>基本支出中人员经费包括工资福利支出和对个人和家庭的补助，公用经费包括商品和服务支出、资本性支出等人员经费以外的支出。</w:t>
      </w:r>
    </w:p>
    <w:p w14:paraId="3987FEF3">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（二）</w:t>
      </w:r>
      <w:r>
        <w:rPr>
          <w:rFonts w:hint="eastAsia" w:ascii="Times New Roman" w:hAnsi="Times New Roman" w:eastAsia="方正仿宋_GBK" w:cs="Times New Roman"/>
          <w:sz w:val="32"/>
          <w:szCs w:val="32"/>
          <w:lang w:val="en-US" w:eastAsia="zh-CN"/>
        </w:rPr>
        <w:t>机关运行经费指行政单位和参照公务员法管理的事业单位使用一般公共预算财政拨款安排的基本支出中的公用经费支出。</w:t>
      </w:r>
    </w:p>
    <w:p w14:paraId="5C180E66">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（三）</w:t>
      </w:r>
      <w:r>
        <w:rPr>
          <w:rFonts w:hint="eastAsia" w:ascii="Times New Roman" w:hAnsi="Times New Roman" w:eastAsia="方正仿宋_GBK" w:cs="Times New Roman"/>
          <w:sz w:val="32"/>
          <w:szCs w:val="32"/>
          <w:lang w:val="en-US" w:eastAsia="zh-CN"/>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39DBAC23">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（四）</w:t>
      </w:r>
      <w:r>
        <w:rPr>
          <w:rFonts w:hint="eastAsia" w:ascii="Times New Roman" w:hAnsi="Times New Roman" w:eastAsia="方正仿宋_GBK" w:cs="Times New Roman"/>
          <w:sz w:val="32"/>
          <w:szCs w:val="32"/>
          <w:lang w:val="en-US" w:eastAsia="zh-CN"/>
        </w:rPr>
        <w:t>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167D8B37">
      <w:pPr>
        <w:keepNext w:val="0"/>
        <w:keepLines w:val="0"/>
        <w:pageBreakBefore w:val="0"/>
        <w:kinsoku/>
        <w:overflowPunct/>
        <w:autoSpaceDN/>
        <w:bidi w:val="0"/>
        <w:adjustRightInd/>
        <w:spacing w:line="590" w:lineRule="exact"/>
        <w:jc w:val="center"/>
        <w:textAlignment w:val="auto"/>
        <w:outlineLvl w:val="0"/>
        <w:rPr>
          <w:rFonts w:hint="eastAsia" w:ascii="黑体" w:hAnsi="黑体" w:eastAsia="黑体" w:cs="方正小标宋简体"/>
          <w:sz w:val="32"/>
          <w:szCs w:val="32"/>
          <w:highlight w:val="none"/>
        </w:rPr>
      </w:pPr>
      <w:r>
        <w:rPr>
          <w:rFonts w:hint="eastAsia"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eastAsia="zh-CN"/>
        </w:rPr>
        <w:t>五</w:t>
      </w:r>
      <w:r>
        <w:rPr>
          <w:rFonts w:hint="eastAsia" w:ascii="方正黑体_GBK" w:hAnsi="方正黑体_GBK" w:eastAsia="方正黑体_GBK" w:cs="方正黑体_GBK"/>
          <w:sz w:val="32"/>
          <w:szCs w:val="32"/>
          <w:highlight w:val="none"/>
        </w:rPr>
        <w:t>部分  名词解释</w:t>
      </w:r>
    </w:p>
    <w:p w14:paraId="68B7ABBC">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50117153">
      <w:pPr>
        <w:keepNext w:val="0"/>
        <w:keepLines w:val="0"/>
        <w:pageBreakBefore w:val="0"/>
        <w:widowControl w:val="0"/>
        <w:kinsoku/>
        <w:wordWrap/>
        <w:overflowPunct/>
        <w:topLinePunct/>
        <w:autoSpaceDE/>
        <w:autoSpaceDN/>
        <w:bidi w:val="0"/>
        <w:adjustRightInd/>
        <w:snapToGrid/>
        <w:spacing w:line="590" w:lineRule="exact"/>
        <w:ind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情况说明中涉及需要解释说明的决算相关专用名词，在此进行说明解释。若没有涉及专用名词，</w:t>
      </w:r>
      <w:r>
        <w:rPr>
          <w:rFonts w:hint="default" w:ascii="Times New Roman" w:hAnsi="Times New Roman" w:eastAsia="方正仿宋_GBK" w:cs="Times New Roman"/>
          <w:b/>
          <w:bCs/>
          <w:sz w:val="32"/>
          <w:szCs w:val="32"/>
          <w:highlight w:val="none"/>
          <w:lang w:eastAsia="zh-CN"/>
        </w:rPr>
        <w:t>应</w:t>
      </w:r>
      <w:r>
        <w:rPr>
          <w:rFonts w:hint="default" w:ascii="Times New Roman" w:hAnsi="Times New Roman" w:eastAsia="方正仿宋_GBK" w:cs="Times New Roman"/>
          <w:b/>
          <w:bCs/>
          <w:sz w:val="32"/>
          <w:szCs w:val="32"/>
          <w:highlight w:val="none"/>
          <w:u w:val="none"/>
          <w:lang w:val="en-US" w:eastAsia="zh-CN"/>
        </w:rPr>
        <w:t>至少公开一条与决算相关的财务专业名词解释，或</w:t>
      </w:r>
      <w:r>
        <w:rPr>
          <w:rFonts w:hint="eastAsia" w:ascii="Times New Roman" w:hAnsi="Times New Roman" w:eastAsia="方正仿宋_GBK" w:cs="Times New Roman"/>
          <w:sz w:val="32"/>
          <w:szCs w:val="32"/>
          <w:lang w:val="en-US" w:eastAsia="zh-CN"/>
        </w:rPr>
        <w:t>请直接保留模板提供专用名词。</w:t>
      </w:r>
    </w:p>
    <w:p w14:paraId="68E474CA">
      <w:pPr>
        <w:keepNext w:val="0"/>
        <w:keepLines w:val="0"/>
        <w:pageBreakBefore w:val="0"/>
        <w:kinsoku/>
        <w:overflowPunct/>
        <w:autoSpaceDN/>
        <w:bidi w:val="0"/>
        <w:adjustRightInd/>
        <w:spacing w:line="590" w:lineRule="exact"/>
        <w:textAlignment w:val="auto"/>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C12D70-735F-470D-B3A3-B35421A6B2A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EC6E966-8B2E-49D0-9F7E-004C6E0ACF83}"/>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embedRegular r:id="rId3" w:fontKey="{770D7595-5C0C-4520-B8CE-4D655951557C}"/>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embedRegular r:id="rId4" w:fontKey="{DB4492CD-688A-498A-95A5-1BE9EBBBF6E5}"/>
  </w:font>
  <w:font w:name="方正黑体_GBK">
    <w:panose1 w:val="03000509000000000000"/>
    <w:charset w:val="86"/>
    <w:family w:val="auto"/>
    <w:pitch w:val="default"/>
    <w:sig w:usb0="00000001" w:usb1="080E0000" w:usb2="00000000" w:usb3="00000000" w:csb0="00040000" w:csb1="00000000"/>
    <w:embedRegular r:id="rId5" w:fontKey="{3CC0AD84-FBFF-4565-8E74-38138C30591C}"/>
  </w:font>
  <w:font w:name="方正仿宋_GBK">
    <w:panose1 w:val="02000000000000000000"/>
    <w:charset w:val="86"/>
    <w:family w:val="script"/>
    <w:pitch w:val="default"/>
    <w:sig w:usb0="00000001" w:usb1="080E0000" w:usb2="00000000" w:usb3="00000000" w:csb0="00040000" w:csb1="00000000"/>
    <w:embedRegular r:id="rId6" w:fontKey="{2F6697BD-44D9-436C-A8DC-D232E165E91D}"/>
  </w:font>
  <w:font w:name="方正楷体_GBK">
    <w:panose1 w:val="02000000000000000000"/>
    <w:charset w:val="86"/>
    <w:family w:val="auto"/>
    <w:pitch w:val="default"/>
    <w:sig w:usb0="00000001" w:usb1="080E0000" w:usb2="00000000" w:usb3="00000000" w:csb0="00040000" w:csb1="00000000"/>
    <w:embedRegular r:id="rId7" w:fontKey="{77D76706-4596-407A-BF76-92B56A2D4100}"/>
  </w:font>
  <w:font w:name="楷体_GB2312">
    <w:altName w:val="楷体"/>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00000001" w:usb1="080E0000" w:usb2="00000000" w:usb3="00000000" w:csb0="00040000" w:csb1="00000000"/>
    <w:embedRegular r:id="rId8" w:fontKey="{A65396E0-0391-45FE-ACCA-5D05992AD1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BE5A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27EF6CB">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327EF6CB">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B972A">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62B0AD0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66A4E">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7624C"/>
    <w:rsid w:val="04D255BF"/>
    <w:rsid w:val="05CD3FD8"/>
    <w:rsid w:val="0708176C"/>
    <w:rsid w:val="071803B0"/>
    <w:rsid w:val="0A3869BA"/>
    <w:rsid w:val="136E6DFB"/>
    <w:rsid w:val="1F837627"/>
    <w:rsid w:val="215A0864"/>
    <w:rsid w:val="237700B8"/>
    <w:rsid w:val="24FB2AAB"/>
    <w:rsid w:val="255C0610"/>
    <w:rsid w:val="290A0F1C"/>
    <w:rsid w:val="2FA47EC9"/>
    <w:rsid w:val="30A26ACD"/>
    <w:rsid w:val="30E82CBC"/>
    <w:rsid w:val="332461F4"/>
    <w:rsid w:val="349268A6"/>
    <w:rsid w:val="36A06A1C"/>
    <w:rsid w:val="3A8900E6"/>
    <w:rsid w:val="3AE2142F"/>
    <w:rsid w:val="461A5DCE"/>
    <w:rsid w:val="470971B0"/>
    <w:rsid w:val="48260B79"/>
    <w:rsid w:val="4B6E0A3F"/>
    <w:rsid w:val="4C681932"/>
    <w:rsid w:val="4E5B4DBE"/>
    <w:rsid w:val="514E7348"/>
    <w:rsid w:val="51C07B1A"/>
    <w:rsid w:val="527B382D"/>
    <w:rsid w:val="537272BB"/>
    <w:rsid w:val="540F2A06"/>
    <w:rsid w:val="5A93720D"/>
    <w:rsid w:val="5C547173"/>
    <w:rsid w:val="5FA42829"/>
    <w:rsid w:val="609B3C2C"/>
    <w:rsid w:val="63DC6668"/>
    <w:rsid w:val="64290067"/>
    <w:rsid w:val="66D659BE"/>
    <w:rsid w:val="6B0A334E"/>
    <w:rsid w:val="6BBF1752"/>
    <w:rsid w:val="6EA36ACE"/>
    <w:rsid w:val="71FA39B7"/>
    <w:rsid w:val="75824369"/>
    <w:rsid w:val="77106CCA"/>
    <w:rsid w:val="7BB3231A"/>
    <w:rsid w:val="7CC53D2A"/>
    <w:rsid w:val="7DE40554"/>
    <w:rsid w:val="7F431400"/>
    <w:rsid w:val="7FA20C39"/>
    <w:rsid w:val="7FD81EB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99"/>
    <w:pPr>
      <w:spacing w:before="0" w:beforeAutospacing="0" w:after="0" w:afterAutospacing="0"/>
      <w:ind w:left="420" w:leftChars="200" w:right="0"/>
      <w:jc w:val="left"/>
    </w:pPr>
    <w:rPr>
      <w:rFonts w:hint="eastAsia" w:ascii="宋体" w:hAnsi="宋体" w:eastAsia="宋体" w:cs="宋体"/>
      <w:kern w:val="0"/>
      <w:sz w:val="24"/>
      <w:szCs w:val="24"/>
      <w:lang w:val="en-US" w:eastAsia="zh-CN" w:bidi="ar"/>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3.xml><?xml version="1.0" encoding="utf-8"?>
<contractReview xmlns="http://schemas.wps.cn/vas-ai-hub/contract-review">
  <reviewItems>
    <reviewItem>
      <errorID>291f61cb-ed77-47ec-b15f-76e17d742fe8</errorID>
      <errorWord>救治</errorWord>
      <group>L1_Word</group>
      <groupName>字词问题</groupName>
      <ability>L2_Typo</ability>
      <abilityName>字词错误</abilityName>
      <candidateList>
        <item>救助</item>
      </candidateList>
      <explain>存在发音相近字词的误用。</explain>
      <paraID>7588524E</paraID>
      <start>1450</start>
      <end>1452</end>
      <status>ignored</status>
      <modifiedWord/>
      <trackRevisions>false</trackRevisions>
    </reviewItem>
    <reviewItem>
      <errorID>31959b77-bcb1-40b5-94c8-016a103f3a58</errorID>
      <errorWord>基层医疗机构卫生人员</errorWord>
      <group>L1_Word</group>
      <groupName>字词问题</groupName>
      <ability>L2_Typo</ability>
      <abilityName>字词错误</abilityName>
      <candidateList>
        <item>基层医疗卫生机构人员</item>
      </candidateList>
      <explain/>
      <paraID>3737B429</paraID>
      <start>38</start>
      <end>48</end>
      <status>ignored</status>
      <modifiedWord/>
      <trackRevisions>false</trackRevisions>
    </reviewItem>
    <reviewItem>
      <errorID>a4581b57-812c-4580-ac2b-b1cfafb5f27c</errorID>
      <errorWord>,</errorWord>
      <group>L1_Format</group>
      <groupName>格式问题</groupName>
      <ability>L2_HalfPunc_CN</ability>
      <abilityName>全半角检查</abilityName>
      <candidateList>
        <item>，</item>
      </candidateList>
      <explain>文本全半角错误。</explain>
      <paraID>3DF8B984</paraID>
      <start>39</start>
      <end>40</end>
      <status>modified</status>
      <modifiedWord>，</modifiedWord>
      <trackRevisions>false</trackRevisions>
    </reviewItem>
    <reviewItem>
      <errorID>abeceda4-2ac6-4c2a-9c67-1d20f49fa051</errorID>
      <errorWord>,</errorWord>
      <group>L1_Format</group>
      <groupName>格式问题</groupName>
      <ability>L2_HalfPunc_CN</ability>
      <abilityName>全半角检查</abilityName>
      <candidateList>
        <item>，</item>
      </candidateList>
      <explain>文本全半角错误。</explain>
      <paraID>3DF8B984</paraID>
      <start>85</start>
      <end>86</end>
      <status>modified</status>
      <modifiedWord>，</modifiedWord>
      <trackRevisions>false</trackRevisions>
    </reviewItem>
    <reviewItem>
      <errorID>fb69b697-0b56-45e5-b431-4dbddee49090</errorID>
      <errorWord>,完</errorWord>
      <group>L1_Word</group>
      <groupName>字词问题</groupName>
      <ability>L2_Typo</ability>
      <abilityName>字词错误</abilityName>
      <candidateList>
        <item>,</item>
      </candidateList>
      <explain/>
      <paraID>6A1BA9A5</paraID>
      <start>39</start>
      <end>40</end>
      <status>modified</status>
      <modifiedWord>,</modifiedWord>
      <trackRevisions>false</trackRevisions>
    </reviewItem>
    <reviewItem>
      <errorID>88893ada-96a2-4bae-8795-dbf9d9bea594</errorID>
      <errorWord>,</errorWord>
      <group>L1_Format</group>
      <groupName>格式问题</groupName>
      <ability>L2_HalfPunc_CN</ability>
      <abilityName>全半角检查</abilityName>
      <candidateList>
        <item>，</item>
      </candidateList>
      <explain>文本全半角错误。</explain>
      <paraID>20BDC8BC</paraID>
      <start>35</start>
      <end>36</end>
      <status>modified</status>
      <modifiedWord>，</modifiedWord>
      <trackRevisions>false</trackRevisions>
    </reviewItem>
    <reviewItem>
      <errorID>28a5c563-fd06-4725-97e2-2a3e18fa0566</errorID>
      <errorWord>,</errorWord>
      <group>L1_Format</group>
      <groupName>格式问题</groupName>
      <ability>L2_HalfPunc_CN</ability>
      <abilityName>全半角检查</abilityName>
      <candidateList>
        <item>，</item>
      </candidateList>
      <explain>文本全半角错误。</explain>
      <paraID>11C00FC9</paraID>
      <start>35</start>
      <end>36</end>
      <status>modified</status>
      <modifiedWord>，</modifiedWord>
      <trackRevisions>false</trackRevisions>
    </reviewItem>
    <reviewItem>
      <errorID>786f9ae6-6385-48c9-b512-0cd58f2e1df4</errorID>
      <errorWord>,</errorWord>
      <group>L1_Format</group>
      <groupName>格式问题</groupName>
      <ability>L2_HalfPunc_CN</ability>
      <abilityName>全半角检查</abilityName>
      <candidateList>
        <item>，</item>
      </candidateList>
      <explain>文本全半角错误。</explain>
      <paraID>5AAA38FF</paraID>
      <start>37</start>
      <end>38</end>
      <status>modified</status>
      <modifiedWord>，</modifiedWord>
      <trackRevisions>false</trackRevisions>
    </reviewItem>
    <reviewItem>
      <errorID>0a9e2c6c-07ca-405e-9017-74c8c1530058</errorID>
      <errorWord>,</errorWord>
      <group>L1_Format</group>
      <groupName>格式问题</groupName>
      <ability>L2_HalfPunc_CN</ability>
      <abilityName>全半角检查</abilityName>
      <candidateList>
        <item>，</item>
      </candidateList>
      <explain>文本全半角错误。</explain>
      <paraID> 8998608</paraID>
      <start>35</start>
      <end>36</end>
      <status>modified</status>
      <modifiedWord>，</modifiedWord>
      <trackRevisions>false</trackRevisions>
    </reviewItem>
    <reviewItem>
      <errorID>f5ac8013-96a0-453b-a05e-fc0ca09dd199</errorID>
      <errorWord>,</errorWord>
      <group>L1_Format</group>
      <groupName>格式问题</groupName>
      <ability>L2_HalfPunc_CN</ability>
      <abilityName>全半角检查</abilityName>
      <candidateList>
        <item>，</item>
      </candidateList>
      <explain>文本全半角错误。</explain>
      <paraID>580D58D0</paraID>
      <start>37</start>
      <end>38</end>
      <status>modified</status>
      <modifiedWord>，</modifiedWord>
      <trackRevisions>false</trackRevisions>
    </reviewItem>
    <reviewItem>
      <errorID>a5e5065b-b085-4551-9066-d901b9198405</errorID>
      <errorWord>,</errorWord>
      <group>L1_Format</group>
      <groupName>格式问题</groupName>
      <ability>L2_HalfPunc_CN</ability>
      <abilityName>全半角检查</abilityName>
      <candidateList>
        <item>，</item>
      </candidateList>
      <explain>文本全半角错误。</explain>
      <paraID>6CE98FA5</paraID>
      <start>42</start>
      <end>43</end>
      <status>modified</status>
      <modifiedWord>，</modifiedWord>
      <trackRevisions>false</trackRevisions>
    </reviewItem>
    <reviewItem>
      <errorID>5a68dbab-1a26-4037-9dc6-ab78405fd475</errorID>
      <errorWord>,</errorWord>
      <group>L1_Format</group>
      <groupName>格式问题</groupName>
      <ability>L2_HalfPunc_CN</ability>
      <abilityName>全半角检查</abilityName>
      <candidateList>
        <item>，</item>
      </candidateList>
      <explain>文本全半角错误。</explain>
      <paraID>35114804</paraID>
      <start>46</start>
      <end>47</end>
      <status>modified</status>
      <modifiedWord>，</modifiedWord>
      <trackRevisions>false</trackRevisions>
    </reviewItem>
    <reviewItem>
      <errorID>0311a9ac-78e0-4c86-ae70-e54b37b00a02</errorID>
      <errorWord>,</errorWord>
      <group>L1_Format</group>
      <groupName>格式问题</groupName>
      <ability>L2_HalfPunc_CN</ability>
      <abilityName>全半角检查</abilityName>
      <candidateList>
        <item>，</item>
      </candidateList>
      <explain>文本全半角错误。</explain>
      <paraID> 43DCC0E</paraID>
      <start>47</start>
      <end>48</end>
      <status>modified</status>
      <modifiedWord>，</modifiedWord>
      <trackRevisions>false</trackRevisions>
    </reviewItem>
    <reviewItem>
      <errorID>49d28e03-1cd2-4460-a475-b2a2420f5370</errorID>
      <errorWord>,</errorWord>
      <group>L1_Format</group>
      <groupName>格式问题</groupName>
      <ability>L2_HalfPunc_CN</ability>
      <abilityName>全半角检查</abilityName>
      <candidateList>
        <item>，</item>
      </candidateList>
      <explain>文本全半角错误。</explain>
      <paraID>3A89AC5E</paraID>
      <start>38</start>
      <end>39</end>
      <status>modified</status>
      <modifiedWord>，</modifiedWord>
      <trackRevisions>false</trackRevisions>
    </reviewItem>
    <reviewItem>
      <errorID>7e1fa7a8-f50a-433d-aab5-5d39de15da08</errorID>
      <errorWord>,</errorWord>
      <group>L1_Format</group>
      <groupName>格式问题</groupName>
      <ability>L2_HalfPunc_CN</ability>
      <abilityName>全半角检查</abilityName>
      <candidateList>
        <item>，</item>
      </candidateList>
      <explain>文本全半角错误。</explain>
      <paraID>2DD00D04</paraID>
      <start>38</start>
      <end>39</end>
      <status>modified</status>
      <modifiedWord>，</modifiedWord>
      <trackRevisions>false</trackRevisions>
    </reviewItem>
    <reviewItem>
      <errorID>9861b1df-2ee7-42f7-b5cc-9d6330e06656</errorID>
      <errorWord>,</errorWord>
      <group>L1_Format</group>
      <groupName>格式问题</groupName>
      <ability>L2_HalfPunc_CN</ability>
      <abilityName>全半角检查</abilityName>
      <candidateList>
        <item>，</item>
      </candidateList>
      <explain>文本全半角错误。</explain>
      <paraID>11C83974</paraID>
      <start>37</start>
      <end>38</end>
      <status>modified</status>
      <modifiedWord>，</modifiedWord>
      <trackRevisions>false</trackRevisions>
    </reviewItem>
    <reviewItem>
      <errorID>8849ceab-c9d8-443f-ab7a-be42efaa1bb1</errorID>
      <errorWord>,</errorWord>
      <group>L1_Format</group>
      <groupName>格式问题</groupName>
      <ability>L2_HalfPunc_CN</ability>
      <abilityName>全半角检查</abilityName>
      <candidateList>
        <item>，</item>
      </candidateList>
      <explain>文本全半角错误。</explain>
      <paraID>743BD187</paraID>
      <start>38</start>
      <end>39</end>
      <status>modified</status>
      <modifiedWord>，</modifiedWord>
      <trackRevisions>false</trackRevisions>
    </reviewItem>
    <reviewItem>
      <errorID>1c3ac17a-e1db-4975-a887-df60901d486f</errorID>
      <errorWord>,</errorWord>
      <group>L1_Format</group>
      <groupName>格式问题</groupName>
      <ability>L2_HalfPunc_CN</ability>
      <abilityName>全半角检查</abilityName>
      <candidateList>
        <item>，</item>
      </candidateList>
      <explain>文本全半角错误。</explain>
      <paraID>69C08C26</paraID>
      <start>43</start>
      <end>44</end>
      <status>modified</status>
      <modifiedWord>，</modifiedWord>
      <trackRevisions>false</trackRevisions>
    </reviewItem>
    <reviewItem>
      <errorID>789a1e84-07f8-4a57-8da0-a7f6b8d9f74f</errorID>
      <errorWord>,</errorWord>
      <group>L1_Format</group>
      <groupName>格式问题</groupName>
      <ability>L2_HalfPunc_CN</ability>
      <abilityName>全半角检查</abilityName>
      <candidateList>
        <item>，</item>
      </candidateList>
      <explain>文本全半角错误。</explain>
      <paraID>60B76319</paraID>
      <start>40</start>
      <end>41</end>
      <status>modified</status>
      <modifiedWord>，</modifiedWord>
      <trackRevisions>false</trackRevisions>
    </reviewItem>
    <reviewItem>
      <errorID>03f501ac-4862-473e-a8a0-4e75672c3921</errorID>
      <errorWord>,</errorWord>
      <group>L1_Format</group>
      <groupName>格式问题</groupName>
      <ability>L2_HalfPunc_CN</ability>
      <abilityName>全半角检查</abilityName>
      <candidateList>
        <item>，</item>
      </candidateList>
      <explain>文本全半角错误。</explain>
      <paraID>3D299024</paraID>
      <start>36</start>
      <end>37</end>
      <status>modified</status>
      <modifiedWord>，</modifiedWord>
      <trackRevisions>false</trackRevisions>
    </reviewItem>
    <reviewItem>
      <errorID>4009e65f-84ca-4f1f-9277-eb7e4a43dbef</errorID>
      <errorWord>,</errorWord>
      <group>L1_Format</group>
      <groupName>格式问题</groupName>
      <ability>L2_HalfPunc_CN</ability>
      <abilityName>全半角检查</abilityName>
      <candidateList>
        <item>，</item>
      </candidateList>
      <explain>文本全半角错误。</explain>
      <paraID>6407C760</paraID>
      <start>40</start>
      <end>41</end>
      <status>modified</status>
      <modifiedWord>，</modifiedWord>
      <trackRevisions>false</trackRevisions>
    </reviewItem>
    <reviewItem>
      <errorID>d72708a2-9699-4ecf-b9fb-d9b7b8dc6cd6</errorID>
      <errorWord>,</errorWord>
      <group>L1_Format</group>
      <groupName>格式问题</groupName>
      <ability>L2_HalfPunc_CN</ability>
      <abilityName>全半角检查</abilityName>
      <candidateList>
        <item>，</item>
      </candidateList>
      <explain>文本全半角错误。</explain>
      <paraID>67556E4A</paraID>
      <start>43</start>
      <end>44</end>
      <status>modified</status>
      <modifiedWord>，</modifiedWord>
      <trackRevisions>false</trackRevisions>
    </reviewItem>
    <reviewItem>
      <errorID>7489fb82-deca-4815-b373-21465892666c</errorID>
      <errorWord>,</errorWord>
      <group>L1_Format</group>
      <groupName>格式问题</groupName>
      <ability>L2_HalfPunc_CN</ability>
      <abilityName>全半角检查</abilityName>
      <candidateList>
        <item>，</item>
      </candidateList>
      <explain>文本全半角错误。</explain>
      <paraID>64A76584</paraID>
      <start>44</start>
      <end>45</end>
      <status>modified</status>
      <modifiedWord>，</modifiedWord>
      <trackRevisions>false</trackRevisions>
    </reviewItem>
    <reviewItem>
      <errorID>eed400b2-80fa-44e5-a436-ee23246a5efa</errorID>
      <errorWord>，</errorWord>
      <group>L1_Word</group>
      <groupName>字词问题</groupName>
      <ability>L2_Typo</ability>
      <abilityName>字词错误</abilityName>
      <candidateList>
        <item>，导</item>
      </candidateList>
      <explain/>
      <paraID>64A76584</paraID>
      <start>103</start>
      <end>105</end>
      <status>modified</status>
      <modifiedWord>，导</modifiedWord>
      <trackRevisions>false</trackRevisions>
    </reviewItem>
    <reviewItem>
      <errorID>d552df8e-bcd2-498d-acea-ae191ea8829f</errorID>
      <errorWord>,</errorWord>
      <group>L1_Format</group>
      <groupName>格式问题</groupName>
      <ability>L2_HalfPunc_CN</ability>
      <abilityName>全半角检查</abilityName>
      <candidateList>
        <item>，</item>
      </candidateList>
      <explain>文本全半角错误。</explain>
      <paraID>72D8642A</paraID>
      <start>40</start>
      <end>41</end>
      <status>modified</status>
      <modifiedWord>，</modifiedWord>
      <trackRevisions>false</trackRevisions>
    </reviewItem>
    <reviewItem>
      <errorID>d5e2f187-a15b-4521-a9bc-b081c8e6bb31</errorID>
      <errorWord>,</errorWord>
      <group>L1_Format</group>
      <groupName>格式问题</groupName>
      <ability>L2_HalfPunc_CN</ability>
      <abilityName>全半角检查</abilityName>
      <candidateList>
        <item>，</item>
      </candidateList>
      <explain>文本全半角错误。</explain>
      <paraID>5037E6F5</paraID>
      <start>42</start>
      <end>43</end>
      <status>modified</status>
      <modifiedWord>，</modifiedWord>
      <trackRevisions>false</trackRevisions>
    </reviewItem>
    <reviewItem>
      <errorID>a7034f63-6606-4547-bf8d-e7d147e3367d</errorID>
      <errorWord>,</errorWord>
      <group>L1_Format</group>
      <groupName>格式问题</groupName>
      <ability>L2_HalfPunc_CN</ability>
      <abilityName>全半角检查</abilityName>
      <candidateList>
        <item>，</item>
      </candidateList>
      <explain>文本全半角错误。</explain>
      <paraID>7D9FDB4A</paraID>
      <start>43</start>
      <end>44</end>
      <status>modified</status>
      <modifiedWord>，</modifiedWord>
      <trackRevisions>false</trackRevisions>
    </reviewItem>
    <reviewItem>
      <errorID>ba5d14e7-a8b3-493b-89eb-1ad96f912aa9</errorID>
      <errorWord>,</errorWord>
      <group>L1_Format</group>
      <groupName>格式问题</groupName>
      <ability>L2_HalfPunc_CN</ability>
      <abilityName>全半角检查</abilityName>
      <candidateList>
        <item>，</item>
      </candidateList>
      <explain>文本全半角错误。</explain>
      <paraID>661C88C0</paraID>
      <start>36</start>
      <end>37</end>
      <status>modified</status>
      <modifiedWord>，</modifiedWord>
      <trackRevisions>false</trackRevisions>
    </reviewItem>
    <reviewItem>
      <errorID>5636ddc9-41f5-4626-b4c2-86385425bd76</errorID>
      <errorWord>,</errorWord>
      <group>L1_Format</group>
      <groupName>格式问题</groupName>
      <ability>L2_HalfPunc_CN</ability>
      <abilityName>全半角检查</abilityName>
      <candidateList>
        <item>，</item>
      </candidateList>
      <explain>文本全半角错误。</explain>
      <paraID>546798BC</paraID>
      <start>38</start>
      <end>39</end>
      <status>modified</status>
      <modifiedWord>，</modifiedWord>
      <trackRevisions>false</trackRevisions>
    </reviewItem>
    <reviewItem>
      <errorID>8d354e9c-ef02-4550-9ca1-a7acd8277b69</errorID>
      <errorWord>,</errorWord>
      <group>L1_Format</group>
      <groupName>格式问题</groupName>
      <ability>L2_HalfPunc_CN</ability>
      <abilityName>全半角检查</abilityName>
      <candidateList>
        <item>，</item>
      </candidateList>
      <explain>文本全半角错误。</explain>
      <paraID>6D7A293A</paraID>
      <start>38</start>
      <end>39</end>
      <status>modified</status>
      <modifiedWord>，</modifiedWord>
      <trackRevisions>false</trackRevisions>
    </reviewItem>
    <reviewItem>
      <errorID>84c3bce4-fcfb-489f-b7ca-1e60ebd4610f</errorID>
      <errorWord>,</errorWord>
      <group>L1_Format</group>
      <groupName>格式问题</groupName>
      <ability>L2_HalfPunc_CN</ability>
      <abilityName>全半角检查</abilityName>
      <candidateList>
        <item>，</item>
      </candidateList>
      <explain>文本全半角错误。</explain>
      <paraID> D5D720A</paraID>
      <start>42</start>
      <end>43</end>
      <status>modified</status>
      <modifiedWord>，</modifiedWord>
      <trackRevisions>false</trackRevisions>
    </reviewItem>
    <reviewItem>
      <errorID>69556311-7971-461f-8709-955b292f7a29</errorID>
      <errorWord>费用用</errorWord>
      <group>L1_Word</group>
      <groupName>字词问题</groupName>
      <ability>L2_Typo</ability>
      <abilityName>字词错误</abilityName>
      <candidateList>
        <item>费用</item>
      </candidateList>
      <explain/>
      <paraID>10B9C43A</paraID>
      <start>7</start>
      <end>9</end>
      <status>modified</status>
      <modifiedWord>费用</modifiedWord>
      <trackRevisions>false</trackRevisions>
    </reviewItem>
    <reviewItem>
      <errorID>5b2b8623-de05-40c1-9c93-9067e1632b41</errorID>
      <errorWord>主要用于主要用于</errorWord>
      <group>L1_Word</group>
      <groupName>字词问题</groupName>
      <ability>L2_Typo</ability>
      <abilityName>字词错误</abilityName>
      <candidateList>
        <item>主要用于</item>
      </candidateList>
      <explain/>
      <paraID>730C54CB</paraID>
      <start>34</start>
      <end>38</end>
      <status>modified</status>
      <modifiedWord>主要用于</modifiedWord>
      <trackRevisions>false</trackRevisions>
    </reviewItem>
    <reviewItem>
      <errorID>d91bbcbc-b74d-408e-ad94-35adce07058e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31AFD356</paraID>
      <start>85</start>
      <end>91</end>
      <status>modified</status>
      <modifiedWord>“三公”经费</modifiedWord>
      <trackRevisions>false</trackRevisions>
    </reviewItem>
    <reviewItem>
      <errorID>f8cc1abb-7db4-4818-aa74-db25cecc957a</errorID>
      <errorWord>里</errorWord>
      <group>L1_Word</group>
      <groupName>字词问题</groupName>
      <ability>L2_Typo</ability>
      <abilityName>字词错误</abilityName>
      <candidateList>
        <item>中</item>
      </candidateList>
      <explain>存在字形相近字词的误用。</explain>
      <paraID>50117153</paraID>
      <start>4</start>
      <end>5</end>
      <status>modified</status>
      <modifiedWord>中</modifiedWord>
      <trackRevisions>false</trackRevisions>
    </reviewItem>
    <reviewItem>
      <errorID>60c8db6b-d05c-4411-952d-bea805e286f4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50117153</paraID>
      <start>5</start>
      <end>7</end>
      <status>modified</status>
      <modifiedWord>涉及</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b1d1e0-68df-4bc4-8b85-d5b0e6364254}">
  <ds:schemaRefs/>
</ds:datastoreItem>
</file>

<file path=customXml/itemProps3.xml><?xml version="1.0" encoding="utf-8"?>
<ds:datastoreItem xmlns:ds="http://schemas.openxmlformats.org/officeDocument/2006/customXml" ds:itemID="{8c00d27a-5a2a-425b-af4e-a5dc0eeb137e}">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20</Pages>
  <Words>8576</Words>
  <Characters>10339</Characters>
  <Lines>0</Lines>
  <Paragraphs>0</Paragraphs>
  <TotalTime>95</TotalTime>
  <ScaleCrop>false</ScaleCrop>
  <LinksUpToDate>false</LinksUpToDate>
  <CharactersWithSpaces>10373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王亚</cp:lastModifiedBy>
  <cp:lastPrinted>2024-07-30T06:24:00Z</cp:lastPrinted>
  <dcterms:modified xsi:type="dcterms:W3CDTF">2026-09-09T10:08:07Z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D45296F7F2444F3C8CDB43DA2E9FADD3</vt:lpwstr>
  </property>
  <property fmtid="{D5CDD505-2E9C-101B-9397-08002B2CF9AE}" pid="4" name="KSOTemplateDocerSaveRecord">
    <vt:lpwstr>eyJoZGlkIjoiMDk5YWRhZjE3NzA2YWEzZTg1MzMyZWFkNDM3NWIwZDUiLCJ1c2VySWQiOiI0NzY1NjI5NDUifQ==</vt:lpwstr>
  </property>
</Properties>
</file>