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bookmarkStart w:id="0" w:name="_GoBack"/>
      <w:bookmarkEnd w:id="0"/>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104</w:t>
      </w:r>
      <w:r>
        <w:rPr>
          <w:rFonts w:hint="default" w:ascii="Times New Roman" w:hAnsi="Times New Roman" w:eastAsia="方正仿宋_GBK" w:cs="Times New Roman"/>
          <w:color w:val="auto"/>
          <w:sz w:val="32"/>
        </w:rPr>
        <w:t>号</w:t>
      </w:r>
    </w:p>
    <w:p w14:paraId="3C899EE4">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bCs/>
          <w:sz w:val="44"/>
          <w:szCs w:val="44"/>
        </w:rPr>
      </w:pPr>
      <w:r>
        <w:rPr>
          <w:rFonts w:hint="default" w:ascii="Times New Roman" w:hAnsi="Times New Roman" w:eastAsia="方正仿宋_GBK"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035F111A">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方正小标宋_GBK" w:hAnsi="方正小标宋_GBK" w:eastAsia="方正小标宋_GBK" w:cs="方正小标宋_GBK"/>
          <w:b w:val="0"/>
          <w:bCs/>
          <w:sz w:val="44"/>
          <w:szCs w:val="44"/>
          <w:lang w:eastAsia="zh-CN"/>
        </w:rPr>
      </w:pPr>
    </w:p>
    <w:p w14:paraId="1DC5921E">
      <w:pPr>
        <w:keepNext w:val="0"/>
        <w:keepLines w:val="0"/>
        <w:pageBreakBefore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_GBK" w:cs="Times New Roman"/>
          <w:bCs/>
          <w:color w:val="auto"/>
          <w:sz w:val="44"/>
          <w:szCs w:val="44"/>
          <w:lang w:val="en-US" w:eastAsia="zh-CN" w:bidi="ar-SA"/>
        </w:rPr>
      </w:pPr>
      <w:r>
        <w:rPr>
          <w:rFonts w:hint="default" w:ascii="Times New Roman" w:hAnsi="Times New Roman" w:eastAsia="方正小标宋_GBK" w:cs="Times New Roman"/>
          <w:bCs/>
          <w:color w:val="auto"/>
          <w:sz w:val="44"/>
          <w:szCs w:val="44"/>
          <w:lang w:bidi="ar-SA"/>
        </w:rPr>
        <w:t>玉溪市生态环境局</w:t>
      </w:r>
      <w:r>
        <w:rPr>
          <w:rFonts w:hint="default" w:ascii="Times New Roman" w:hAnsi="Times New Roman" w:eastAsia="方正小标宋_GBK" w:cs="Times New Roman"/>
          <w:bCs/>
          <w:color w:val="auto"/>
          <w:sz w:val="44"/>
          <w:szCs w:val="44"/>
          <w:lang w:val="en-US" w:eastAsia="zh-CN" w:bidi="ar-SA"/>
        </w:rPr>
        <w:t>关于元江县果裕丰包装</w:t>
      </w:r>
    </w:p>
    <w:p w14:paraId="3D8A5620">
      <w:pPr>
        <w:keepNext w:val="0"/>
        <w:keepLines w:val="0"/>
        <w:pageBreakBefore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_GBK" w:cs="Times New Roman"/>
          <w:bCs/>
          <w:color w:val="auto"/>
          <w:sz w:val="44"/>
          <w:szCs w:val="44"/>
          <w:lang w:val="en-US" w:eastAsia="zh-CN" w:bidi="ar-SA"/>
        </w:rPr>
      </w:pPr>
      <w:r>
        <w:rPr>
          <w:rFonts w:hint="default" w:ascii="Times New Roman" w:hAnsi="Times New Roman" w:eastAsia="方正小标宋_GBK" w:cs="Times New Roman"/>
          <w:bCs/>
          <w:color w:val="auto"/>
          <w:sz w:val="44"/>
          <w:szCs w:val="44"/>
          <w:lang w:val="en-US" w:eastAsia="zh-CN" w:bidi="ar-SA"/>
        </w:rPr>
        <w:t>有限责任公司塑料制品、果树纸袋制品</w:t>
      </w:r>
    </w:p>
    <w:p w14:paraId="5CF59B1F">
      <w:pPr>
        <w:keepNext w:val="0"/>
        <w:keepLines w:val="0"/>
        <w:pageBreakBefore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_GBK" w:cs="Times New Roman"/>
          <w:bCs/>
          <w:color w:val="auto"/>
          <w:sz w:val="44"/>
          <w:szCs w:val="44"/>
          <w:lang w:bidi="ar-SA"/>
        </w:rPr>
      </w:pPr>
      <w:r>
        <w:rPr>
          <w:rFonts w:hint="default" w:ascii="Times New Roman" w:hAnsi="Times New Roman" w:eastAsia="方正小标宋_GBK" w:cs="Times New Roman"/>
          <w:bCs/>
          <w:color w:val="auto"/>
          <w:sz w:val="44"/>
          <w:szCs w:val="44"/>
          <w:lang w:val="en-US" w:eastAsia="zh-CN" w:bidi="ar-SA"/>
        </w:rPr>
        <w:t>项目环境影响报告表</w:t>
      </w:r>
      <w:r>
        <w:rPr>
          <w:rFonts w:hint="default" w:ascii="Times New Roman" w:hAnsi="Times New Roman" w:eastAsia="方正小标宋_GBK" w:cs="Times New Roman"/>
          <w:bCs/>
          <w:color w:val="auto"/>
          <w:sz w:val="44"/>
          <w:szCs w:val="44"/>
          <w:lang w:val="zh-CN" w:eastAsia="zh-CN" w:bidi="ar-SA"/>
        </w:rPr>
        <w:t>的</w:t>
      </w:r>
      <w:r>
        <w:rPr>
          <w:rFonts w:hint="default" w:ascii="Times New Roman" w:hAnsi="Times New Roman" w:eastAsia="方正小标宋_GBK" w:cs="Times New Roman"/>
          <w:bCs/>
          <w:color w:val="auto"/>
          <w:sz w:val="44"/>
          <w:szCs w:val="44"/>
          <w:lang w:bidi="ar-SA"/>
        </w:rPr>
        <w:t>批复</w:t>
      </w:r>
    </w:p>
    <w:p w14:paraId="129DDD41">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仿宋_GBK" w:cs="Times New Roman"/>
          <w:color w:val="auto"/>
          <w:sz w:val="32"/>
          <w:lang w:bidi="ar-SA"/>
        </w:rPr>
      </w:pPr>
    </w:p>
    <w:p w14:paraId="1CCD6A24">
      <w:pPr>
        <w:keepNext w:val="0"/>
        <w:keepLines w:val="0"/>
        <w:pageBreakBefore w:val="0"/>
        <w:kinsoku/>
        <w:wordWrap/>
        <w:overflowPunct/>
        <w:autoSpaceDE/>
        <w:autoSpaceDN/>
        <w:bidi w:val="0"/>
        <w:adjustRightInd/>
        <w:snapToGrid/>
        <w:spacing w:line="570" w:lineRule="exact"/>
        <w:jc w:val="both"/>
        <w:textAlignment w:val="auto"/>
        <w:rPr>
          <w:rFonts w:hint="default" w:ascii="Times New Roman" w:hAnsi="Times New Roman" w:eastAsia="方正仿宋_GBK" w:cs="Times New Roman"/>
          <w:color w:val="auto"/>
          <w:sz w:val="32"/>
          <w:szCs w:val="32"/>
          <w:lang w:val="zh-CN" w:eastAsia="zh-CN" w:bidi="ar-SA"/>
        </w:rPr>
      </w:pPr>
      <w:r>
        <w:rPr>
          <w:rFonts w:hint="default" w:ascii="Times New Roman" w:hAnsi="Times New Roman" w:eastAsia="方正仿宋_GBK" w:cs="Times New Roman"/>
          <w:color w:val="auto"/>
          <w:sz w:val="32"/>
          <w:szCs w:val="32"/>
          <w:lang w:val="en-US" w:eastAsia="zh-CN"/>
        </w:rPr>
        <w:t>元江县果裕丰包装有限责任公司</w:t>
      </w:r>
      <w:r>
        <w:rPr>
          <w:rFonts w:hint="default" w:ascii="Times New Roman" w:hAnsi="Times New Roman" w:eastAsia="方正仿宋_GBK" w:cs="Times New Roman"/>
          <w:color w:val="auto"/>
          <w:sz w:val="32"/>
          <w:szCs w:val="32"/>
          <w:lang w:val="zh-CN" w:eastAsia="zh-CN" w:bidi="ar-SA"/>
        </w:rPr>
        <w:t>：</w:t>
      </w:r>
    </w:p>
    <w:p w14:paraId="28B84FA2">
      <w:pPr>
        <w:keepNext w:val="0"/>
        <w:keepLines w:val="0"/>
        <w:pageBreakBefore w:val="0"/>
        <w:widowControl/>
        <w:suppressLineNumbers w:val="0"/>
        <w:kinsoku/>
        <w:overflowPunct/>
        <w:autoSpaceDE/>
        <w:autoSpaceDN/>
        <w:bidi w:val="0"/>
        <w:spacing w:line="570" w:lineRule="exact"/>
        <w:ind w:firstLine="640" w:firstLineChars="200"/>
        <w:jc w:val="both"/>
        <w:textAlignment w:val="auto"/>
        <w:rPr>
          <w:rFonts w:hint="default" w:ascii="Times New Roman" w:hAnsi="Times New Roman" w:eastAsia="方正仿宋_GBK" w:cs="Times New Roman"/>
          <w:color w:val="auto"/>
          <w:sz w:val="32"/>
          <w:szCs w:val="32"/>
          <w:lang w:eastAsia="zh-CN" w:bidi="ar-SA"/>
        </w:rPr>
      </w:pPr>
      <w:r>
        <w:rPr>
          <w:rFonts w:hint="default" w:ascii="Times New Roman" w:hAnsi="Times New Roman" w:eastAsia="方正仿宋_GBK" w:cs="Times New Roman"/>
          <w:color w:val="auto"/>
          <w:sz w:val="32"/>
          <w:szCs w:val="32"/>
          <w:lang w:eastAsia="zh-CN" w:bidi="ar-SA"/>
        </w:rPr>
        <w:t>你单位申请报批的</w:t>
      </w:r>
      <w:r>
        <w:rPr>
          <w:rFonts w:hint="default" w:ascii="Times New Roman" w:hAnsi="Times New Roman" w:eastAsia="方正仿宋_GBK" w:cs="Times New Roman"/>
          <w:color w:val="auto"/>
          <w:sz w:val="32"/>
          <w:szCs w:val="32"/>
          <w:lang w:val="en-US" w:eastAsia="zh-CN" w:bidi="ar-SA"/>
        </w:rPr>
        <w:t>《塑料制品、果树纸袋制品项目环境影响报告表》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color w:val="auto"/>
          <w:sz w:val="32"/>
          <w:szCs w:val="32"/>
          <w:lang w:val="en-US" w:eastAsia="zh-CN" w:bidi="ar-SA"/>
        </w:rPr>
        <w:t>（</w:t>
      </w:r>
      <w:r>
        <w:rPr>
          <w:rFonts w:hint="default" w:ascii="Times New Roman" w:hAnsi="Times New Roman" w:eastAsia="方正仿宋_GBK" w:cs="Times New Roman"/>
          <w:color w:val="auto"/>
          <w:sz w:val="32"/>
          <w:szCs w:val="32"/>
          <w:lang w:eastAsia="zh-CN" w:bidi="ar-SA"/>
        </w:rPr>
        <w:t>以下简称《报告表》）收悉。经研究，批复如下：</w:t>
      </w:r>
    </w:p>
    <w:p w14:paraId="7A9BA69E">
      <w:pPr>
        <w:keepNext w:val="0"/>
        <w:keepLines w:val="0"/>
        <w:pageBreakBefore w:val="0"/>
        <w:widowControl w:val="0"/>
        <w:kinsoku/>
        <w:wordWrap/>
        <w:overflowPunct/>
        <w:topLinePunct/>
        <w:autoSpaceDE/>
        <w:autoSpaceDN/>
        <w:bidi w:val="0"/>
        <w:adjustRightInd/>
        <w:snapToGrid/>
        <w:spacing w:line="570" w:lineRule="exact"/>
        <w:ind w:left="0" w:firstLine="640" w:firstLineChars="200"/>
        <w:jc w:val="both"/>
        <w:textAlignment w:val="auto"/>
        <w:rPr>
          <w:rFonts w:hint="default" w:ascii="Times New Roman" w:hAnsi="Times New Roman" w:eastAsia="方正黑体_GBK" w:cs="Times New Roman"/>
          <w:color w:val="auto"/>
          <w:sz w:val="32"/>
          <w:szCs w:val="32"/>
          <w:lang w:val="en-US" w:eastAsia="zh-CN" w:bidi="ar-SA"/>
        </w:rPr>
      </w:pPr>
      <w:r>
        <w:rPr>
          <w:rFonts w:hint="default" w:ascii="Times New Roman" w:hAnsi="Times New Roman" w:eastAsia="方正黑体_GBK" w:cs="Times New Roman"/>
          <w:color w:val="auto"/>
          <w:sz w:val="32"/>
          <w:szCs w:val="32"/>
          <w:lang w:val="en-US" w:eastAsia="zh-CN" w:bidi="ar-SA"/>
        </w:rPr>
        <w:t>一、项目基本情况</w:t>
      </w:r>
    </w:p>
    <w:p w14:paraId="5A62A120">
      <w:pPr>
        <w:keepNext w:val="0"/>
        <w:keepLines w:val="0"/>
        <w:pageBreakBefore w:val="0"/>
        <w:widowControl w:val="0"/>
        <w:kinsoku/>
        <w:wordWrap w:val="0"/>
        <w:overflowPunct/>
        <w:topLinePunct w:val="0"/>
        <w:autoSpaceDE/>
        <w:autoSpaceDN/>
        <w:bidi w:val="0"/>
        <w:adjustRightInd/>
        <w:snapToGrid/>
        <w:spacing w:line="570" w:lineRule="exact"/>
        <w:ind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该项目位于云南元江产业园区</w:t>
      </w:r>
      <w:r>
        <w:rPr>
          <w:rFonts w:hint="eastAsia" w:ascii="Times New Roman" w:hAnsi="Times New Roman" w:eastAsia="方正仿宋_GBK" w:cs="Times New Roman"/>
          <w:color w:val="auto"/>
          <w:sz w:val="32"/>
          <w:szCs w:val="32"/>
          <w:lang w:val="en-US" w:eastAsia="zh-CN"/>
        </w:rPr>
        <w:t>甘庄片区。</w:t>
      </w:r>
      <w:r>
        <w:rPr>
          <w:rFonts w:hint="default" w:ascii="Times New Roman" w:hAnsi="Times New Roman" w:eastAsia="方正仿宋_GBK" w:cs="Times New Roman"/>
          <w:color w:val="auto"/>
          <w:sz w:val="32"/>
          <w:szCs w:val="32"/>
          <w:lang w:val="en-US" w:eastAsia="zh-CN"/>
        </w:rPr>
        <w:t>项目取得</w:t>
      </w:r>
      <w:r>
        <w:rPr>
          <w:rFonts w:hint="default" w:ascii="Times New Roman" w:hAnsi="Times New Roman" w:eastAsia="方正仿宋_GBK" w:cs="Times New Roman"/>
          <w:color w:val="auto"/>
          <w:sz w:val="32"/>
          <w:szCs w:val="32"/>
          <w:lang w:val="en-US" w:eastAsia="zh-CN" w:bidi="ar-SA"/>
        </w:rPr>
        <w:t>元江县发改局核发的</w:t>
      </w:r>
      <w:r>
        <w:rPr>
          <w:rFonts w:hint="default" w:ascii="Times New Roman" w:hAnsi="Times New Roman" w:eastAsia="方正仿宋_GBK" w:cs="Times New Roman"/>
          <w:color w:val="auto"/>
          <w:sz w:val="32"/>
          <w:szCs w:val="32"/>
          <w:lang w:val="en-US" w:eastAsia="zh-CN"/>
        </w:rPr>
        <w:t>《云南省固定资产投资项目备案证》，项目代码：</w:t>
      </w:r>
      <w:r>
        <w:rPr>
          <w:rFonts w:hint="default" w:ascii="Times New Roman" w:hAnsi="Times New Roman" w:eastAsia="仿宋_GB2312" w:cs="Times New Roman"/>
          <w:b w:val="0"/>
          <w:bCs w:val="0"/>
          <w:color w:val="auto"/>
          <w:kern w:val="2"/>
          <w:sz w:val="32"/>
          <w:szCs w:val="32"/>
          <w:highlight w:val="none"/>
          <w:lang w:val="en-US" w:eastAsia="zh-CN" w:bidi="ar-SA"/>
        </w:rPr>
        <w:t>2603-530428-04-01-403029</w:t>
      </w:r>
      <w:r>
        <w:rPr>
          <w:rFonts w:hint="eastAsia" w:eastAsia="仿宋_GB2312"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lang w:val="en-US" w:eastAsia="zh-CN"/>
        </w:rPr>
        <w:t>总投资</w:t>
      </w:r>
      <w:r>
        <w:rPr>
          <w:rFonts w:hint="eastAsia" w:ascii="Times New Roman" w:hAnsi="Times New Roman" w:eastAsia="方正仿宋_GBK" w:cs="Times New Roman"/>
          <w:color w:val="auto"/>
          <w:sz w:val="32"/>
          <w:szCs w:val="32"/>
          <w:lang w:val="en-US" w:eastAsia="zh-CN"/>
        </w:rPr>
        <w:t>1200</w:t>
      </w:r>
      <w:r>
        <w:rPr>
          <w:rFonts w:hint="default" w:ascii="Times New Roman" w:hAnsi="Times New Roman" w:eastAsia="方正仿宋_GBK" w:cs="Times New Roman"/>
          <w:color w:val="auto"/>
          <w:sz w:val="32"/>
          <w:szCs w:val="32"/>
          <w:lang w:val="en-US" w:eastAsia="zh-CN"/>
        </w:rPr>
        <w:t>万元</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其中环保投资</w:t>
      </w:r>
      <w:r>
        <w:rPr>
          <w:rFonts w:hint="eastAsia" w:ascii="Times New Roman" w:hAnsi="Times New Roman" w:eastAsia="方正仿宋_GBK" w:cs="Times New Roman"/>
          <w:color w:val="auto"/>
          <w:sz w:val="32"/>
          <w:szCs w:val="32"/>
          <w:lang w:val="en-US" w:eastAsia="zh-CN"/>
        </w:rPr>
        <w:t>106.2</w:t>
      </w:r>
      <w:r>
        <w:rPr>
          <w:rFonts w:hint="default" w:ascii="Times New Roman" w:hAnsi="Times New Roman" w:eastAsia="方正仿宋_GBK" w:cs="Times New Roman"/>
          <w:color w:val="auto"/>
          <w:sz w:val="32"/>
          <w:szCs w:val="32"/>
          <w:lang w:val="en-US" w:eastAsia="zh-CN"/>
        </w:rPr>
        <w:t>万元</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项目主要</w:t>
      </w:r>
      <w:r>
        <w:rPr>
          <w:rFonts w:hint="eastAsia" w:ascii="Times New Roman" w:hAnsi="Times New Roman" w:eastAsia="方正仿宋_GBK" w:cs="Times New Roman"/>
          <w:color w:val="auto"/>
          <w:sz w:val="32"/>
          <w:szCs w:val="32"/>
          <w:lang w:val="en-US" w:eastAsia="zh-CN"/>
        </w:rPr>
        <w:t>建设</w:t>
      </w:r>
      <w:r>
        <w:rPr>
          <w:rFonts w:hint="default" w:ascii="Times New Roman" w:hAnsi="Times New Roman" w:eastAsia="方正仿宋_GBK" w:cs="Times New Roman"/>
          <w:color w:val="auto"/>
          <w:sz w:val="32"/>
          <w:szCs w:val="32"/>
          <w:lang w:val="en-US" w:eastAsia="zh-CN" w:bidi="ar-SA"/>
        </w:rPr>
        <w:t>塑料制品</w:t>
      </w:r>
      <w:r>
        <w:rPr>
          <w:rFonts w:hint="eastAsia" w:ascii="Times New Roman" w:hAnsi="Times New Roman" w:eastAsia="方正仿宋_GBK" w:cs="Times New Roman"/>
          <w:color w:val="auto"/>
          <w:sz w:val="32"/>
          <w:szCs w:val="32"/>
          <w:lang w:val="en-US" w:eastAsia="zh-CN" w:bidi="ar-SA"/>
        </w:rPr>
        <w:t>和</w:t>
      </w:r>
      <w:r>
        <w:rPr>
          <w:rFonts w:hint="default" w:ascii="Times New Roman" w:hAnsi="Times New Roman" w:eastAsia="方正仿宋_GBK" w:cs="Times New Roman"/>
          <w:color w:val="auto"/>
          <w:sz w:val="32"/>
          <w:szCs w:val="32"/>
          <w:lang w:val="en-US" w:eastAsia="zh-CN" w:bidi="ar-SA"/>
        </w:rPr>
        <w:t>果树纸袋制品</w:t>
      </w:r>
      <w:r>
        <w:rPr>
          <w:rFonts w:hint="eastAsia" w:ascii="Times New Roman" w:hAnsi="Times New Roman" w:eastAsia="方正仿宋_GBK" w:cs="Times New Roman"/>
          <w:color w:val="auto"/>
          <w:sz w:val="32"/>
          <w:szCs w:val="32"/>
          <w:lang w:val="en-US" w:eastAsia="zh-CN" w:bidi="ar-SA"/>
        </w:rPr>
        <w:t>生产线，</w:t>
      </w:r>
      <w:r>
        <w:rPr>
          <w:rFonts w:hint="eastAsia" w:eastAsia="方正仿宋_GBK"/>
          <w:color w:val="auto"/>
          <w:sz w:val="32"/>
          <w:szCs w:val="32"/>
          <w:lang w:val="en-US" w:eastAsia="zh-CN"/>
        </w:rPr>
        <w:t>并配套建设相应的公辅设施和环保工程，</w:t>
      </w:r>
      <w:r>
        <w:rPr>
          <w:rFonts w:hint="default" w:ascii="Times New Roman" w:hAnsi="Times New Roman" w:eastAsia="方正仿宋_GBK" w:cs="Times New Roman"/>
          <w:color w:val="auto"/>
          <w:sz w:val="32"/>
          <w:szCs w:val="32"/>
          <w:lang w:val="en-US" w:eastAsia="zh-CN"/>
        </w:rPr>
        <w:t>项目建成后</w:t>
      </w:r>
      <w:r>
        <w:rPr>
          <w:rFonts w:hint="eastAsia" w:ascii="Times New Roman" w:hAnsi="Times New Roman" w:eastAsia="方正仿宋_GBK" w:cs="Times New Roman"/>
          <w:color w:val="auto"/>
          <w:sz w:val="32"/>
          <w:szCs w:val="32"/>
          <w:lang w:val="en-US" w:eastAsia="zh-CN"/>
        </w:rPr>
        <w:t>形成</w:t>
      </w:r>
      <w:r>
        <w:rPr>
          <w:rFonts w:hint="default" w:ascii="Times New Roman" w:hAnsi="Times New Roman" w:eastAsia="方正仿宋_GBK" w:cs="Times New Roman"/>
          <w:color w:val="auto"/>
          <w:sz w:val="32"/>
          <w:szCs w:val="32"/>
          <w:lang w:val="en-US" w:eastAsia="zh-CN"/>
        </w:rPr>
        <w:t>年产塑料网套36万袋</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塑料筐30万只</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塑料打包带500t</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塑料滴灌带500t</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果树套袋6000万个</w:t>
      </w:r>
      <w:r>
        <w:rPr>
          <w:rFonts w:hint="eastAsia" w:ascii="Times New Roman" w:hAnsi="Times New Roman" w:eastAsia="方正仿宋_GBK" w:cs="Times New Roman"/>
          <w:color w:val="auto"/>
          <w:sz w:val="32"/>
          <w:szCs w:val="32"/>
          <w:lang w:val="en-US" w:eastAsia="zh-CN"/>
        </w:rPr>
        <w:t>生产能力。</w:t>
      </w:r>
    </w:p>
    <w:p w14:paraId="1CF86A50">
      <w:pPr>
        <w:keepNext w:val="0"/>
        <w:keepLines w:val="0"/>
        <w:pageBreakBefore w:val="0"/>
        <w:kinsoku/>
        <w:wordWrap/>
        <w:overflowPunct/>
        <w:topLinePunct w:val="0"/>
        <w:autoSpaceDE/>
        <w:autoSpaceDN/>
        <w:bidi w:val="0"/>
        <w:spacing w:line="570" w:lineRule="exact"/>
        <w:ind w:firstLine="640" w:firstLineChars="200"/>
        <w:jc w:val="both"/>
        <w:textAlignment w:val="auto"/>
        <w:rPr>
          <w:rFonts w:hint="default" w:ascii="方正仿宋_GBK" w:hAnsi="方正仿宋_GBK" w:eastAsia="方正仿宋_GBK" w:cs="方正仿宋_GBK"/>
          <w:bCs/>
          <w:color w:val="000000"/>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03EDD11C">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38D817CE">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4D0BBEE8">
      <w:pPr>
        <w:keepNext w:val="0"/>
        <w:keepLines w:val="0"/>
        <w:pageBreakBefore w:val="0"/>
        <w:numPr>
          <w:ilvl w:val="0"/>
          <w:numId w:val="0"/>
        </w:numPr>
        <w:kinsoku/>
        <w:overflowPunct/>
        <w:autoSpaceDE/>
        <w:autoSpaceDN/>
        <w:bidi w:val="0"/>
        <w:spacing w:line="570" w:lineRule="exact"/>
        <w:ind w:firstLine="620" w:firstLineChars="194"/>
        <w:jc w:val="both"/>
        <w:textAlignment w:val="auto"/>
        <w:rPr>
          <w:rFonts w:hint="eastAsia"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bidi="ar-SA"/>
        </w:rPr>
        <w:t>（二）</w:t>
      </w:r>
      <w:r>
        <w:rPr>
          <w:rFonts w:hint="default" w:ascii="Times New Roman" w:hAnsi="Times New Roman" w:eastAsia="方正楷体_GBK" w:cs="Times New Roman"/>
          <w:color w:val="auto"/>
          <w:sz w:val="32"/>
          <w:szCs w:val="32"/>
          <w:lang w:val="en-US" w:eastAsia="zh-CN" w:bidi="ar-SA"/>
        </w:rPr>
        <w:t>严格落实水污染防治措施</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按照雨污分流、清污分流原则，建设排水、污水处理和回用系统，确保满足项目废水处理、回用的要求。生产过程中产生的冷却水、版辊清洗废水经收集处理后循环使用，严禁外排；产生的初期雨水经1个</w:t>
      </w:r>
      <w:r>
        <w:rPr>
          <w:rFonts w:hint="eastAsia" w:eastAsia="方正仿宋_GBK" w:cs="Times New Roman"/>
          <w:color w:val="auto"/>
          <w:sz w:val="32"/>
          <w:szCs w:val="32"/>
          <w:lang w:val="en-US" w:eastAsia="zh-CN"/>
        </w:rPr>
        <w:t>容积不低于27立方米的初期雨水收集池收集后，全部回用于厂区洒水降尘，严禁外排；生活污水经自建的一体化生活污水处理设施处理，达到《城市污水再生利用 城市杂用水水质》（GB/T18920-2020）规定的相应标准后，全部回用于厂区绿化，严禁外排。</w:t>
      </w:r>
    </w:p>
    <w:p w14:paraId="3DABA5AD">
      <w:pPr>
        <w:keepNext w:val="0"/>
        <w:keepLines w:val="0"/>
        <w:pageBreakBefore w:val="0"/>
        <w:kinsoku/>
        <w:wordWrap/>
        <w:overflowPunct/>
        <w:autoSpaceDE/>
        <w:autoSpaceDN/>
        <w:bidi w:val="0"/>
        <w:snapToGrid/>
        <w:spacing w:line="570" w:lineRule="exact"/>
        <w:ind w:firstLine="620" w:firstLineChars="194"/>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楷体_GBK" w:cs="Times New Roman"/>
          <w:color w:val="auto"/>
          <w:kern w:val="2"/>
          <w:sz w:val="32"/>
          <w:szCs w:val="32"/>
          <w:lang w:val="en-US" w:eastAsia="zh-CN" w:bidi="ar-SA"/>
        </w:rPr>
        <w:t>（三）</w:t>
      </w:r>
      <w:r>
        <w:rPr>
          <w:rFonts w:hint="default" w:ascii="Times New Roman" w:hAnsi="Times New Roman" w:eastAsia="方正楷体_GBK" w:cs="Times New Roman"/>
          <w:sz w:val="32"/>
          <w:szCs w:val="32"/>
          <w:lang w:val="en-US" w:eastAsia="en-US" w:bidi="ar-SA"/>
        </w:rPr>
        <w:t>加强废气污染防治，确保大气污染物达标排放。</w:t>
      </w:r>
      <w:r>
        <w:rPr>
          <w:rFonts w:hint="eastAsia" w:ascii="Times New Roman" w:hAnsi="Times New Roman" w:eastAsia="方正仿宋_GBK" w:cs="Times New Roman"/>
          <w:sz w:val="32"/>
          <w:szCs w:val="32"/>
          <w:lang w:val="en-US" w:eastAsia="zh-CN"/>
        </w:rPr>
        <w:t>项目生产原料不得使用废旧塑料再生颗粒</w:t>
      </w:r>
      <w:r>
        <w:rPr>
          <w:rFonts w:hint="eastAsia"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项目发泡</w:t>
      </w:r>
      <w:r>
        <w:rPr>
          <w:rFonts w:hint="eastAsia" w:eastAsia="方正仿宋_GBK"/>
          <w:color w:val="auto"/>
          <w:sz w:val="32"/>
          <w:szCs w:val="32"/>
          <w:lang w:val="en-US" w:eastAsia="zh-CN"/>
        </w:rPr>
        <w:t>、挤出</w:t>
      </w:r>
      <w:r>
        <w:rPr>
          <w:rFonts w:hint="default" w:ascii="Times New Roman" w:hAnsi="Times New Roman" w:eastAsia="方正仿宋_GBK" w:cs="Times New Roman"/>
          <w:sz w:val="32"/>
          <w:szCs w:val="32"/>
          <w:lang w:val="en-US" w:eastAsia="zh-CN"/>
        </w:rPr>
        <w:t>成型</w:t>
      </w:r>
      <w:r>
        <w:rPr>
          <w:rFonts w:hint="eastAsia" w:eastAsia="方正仿宋_GBK"/>
          <w:color w:val="auto"/>
          <w:sz w:val="32"/>
          <w:szCs w:val="32"/>
          <w:lang w:val="en-US" w:eastAsia="zh-CN"/>
        </w:rPr>
        <w:t>、加热塑化、</w:t>
      </w:r>
      <w:r>
        <w:rPr>
          <w:rFonts w:hint="eastAsia" w:ascii="Times New Roman" w:hAnsi="Times New Roman" w:eastAsia="方正仿宋_GBK" w:cs="Times New Roman"/>
          <w:sz w:val="32"/>
          <w:szCs w:val="32"/>
          <w:lang w:val="en-US" w:eastAsia="zh-CN"/>
        </w:rPr>
        <w:t>印刷工段产生的废气分别收集通过</w:t>
      </w:r>
      <w:r>
        <w:rPr>
          <w:rFonts w:hint="eastAsia" w:eastAsia="方正仿宋_GBK" w:cs="Times New Roman"/>
          <w:sz w:val="32"/>
          <w:szCs w:val="32"/>
          <w:lang w:val="en-US" w:eastAsia="zh-CN"/>
        </w:rPr>
        <w:t>1套</w:t>
      </w:r>
      <w:r>
        <w:rPr>
          <w:rFonts w:hint="default" w:ascii="Times New Roman" w:hAnsi="Times New Roman" w:eastAsia="方正仿宋_GBK" w:cs="Times New Roman"/>
          <w:sz w:val="32"/>
          <w:szCs w:val="32"/>
          <w:lang w:val="en-US" w:eastAsia="zh-CN"/>
        </w:rPr>
        <w:t>两级活性炭吸附装置处理</w:t>
      </w:r>
      <w:r>
        <w:rPr>
          <w:rFonts w:hint="eastAsia" w:eastAsia="方正仿宋_GBK" w:cs="Times New Roman"/>
          <w:sz w:val="32"/>
          <w:szCs w:val="32"/>
          <w:lang w:val="en-US" w:eastAsia="zh-CN"/>
        </w:rPr>
        <w:t>后，统一由</w:t>
      </w:r>
      <w:r>
        <w:rPr>
          <w:rFonts w:hint="default" w:ascii="Times New Roman" w:hAnsi="Times New Roman" w:eastAsia="方正仿宋_GBK" w:cs="Times New Roman"/>
          <w:sz w:val="32"/>
          <w:szCs w:val="32"/>
          <w:lang w:val="en-US" w:eastAsia="zh-CN"/>
        </w:rPr>
        <w:t>1根不低于15米高的排气筒排放</w:t>
      </w:r>
      <w:r>
        <w:rPr>
          <w:rFonts w:hint="eastAsia" w:ascii="Times New Roman" w:hAnsi="Times New Roman" w:eastAsia="方正仿宋_GBK" w:cs="Times New Roman"/>
          <w:sz w:val="32"/>
          <w:szCs w:val="32"/>
          <w:lang w:val="en-US" w:eastAsia="zh-CN"/>
        </w:rPr>
        <w:t>；项目有组织排放的非甲烷总烃、颗粒物浓度须达到《合成树脂工业污染物排放标准》（GB31572-2015）及2024年修改清单和《印刷工业大气污染物排放标准》（GB41616-2022）规定的最严标准值要求，有组织排放的臭气浓度达到《恶臭污染物排放标准》（GB14554-93）规定的限值要求；切实加强生产过程中无组织排放废气的控制，确保厂区内无组织排放的挥发性有机物浓度满足《挥发性有机物无组织排放控制标准》（GB37822-2019）和《印刷工业大气污染物排放标准》（GB41616-2022）规定的最严标准值要求，厂界挥发性有机物、颗粒物无组织排放浓度满足《合成树脂工业污染物排放标准》（GB31572-2015）及2024年修改单规定的要求，厂界臭气浓度达到《恶臭污染物排放标准》（GB14554-93）规定的要求。</w:t>
      </w:r>
    </w:p>
    <w:p w14:paraId="766766D7">
      <w:pPr>
        <w:keepNext w:val="0"/>
        <w:keepLines w:val="0"/>
        <w:pageBreakBefore w:val="0"/>
        <w:widowControl w:val="0"/>
        <w:kinsoku/>
        <w:wordWrap/>
        <w:overflowPunct/>
        <w:topLinePunct w:val="0"/>
        <w:autoSpaceDE/>
        <w:autoSpaceDN/>
        <w:bidi w:val="0"/>
        <w:adjustRightInd/>
        <w:spacing w:line="57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楷体_GBK" w:cs="Times New Roman"/>
          <w:color w:val="auto"/>
          <w:sz w:val="32"/>
          <w:szCs w:val="32"/>
          <w:lang w:bidi="ar-SA"/>
        </w:rPr>
        <w:t>（</w:t>
      </w:r>
      <w:r>
        <w:rPr>
          <w:rFonts w:hint="default" w:ascii="Times New Roman" w:hAnsi="Times New Roman" w:eastAsia="方正楷体_GBK" w:cs="Times New Roman"/>
          <w:color w:val="auto"/>
          <w:sz w:val="32"/>
          <w:szCs w:val="32"/>
          <w:lang w:eastAsia="zh-CN" w:bidi="ar-SA"/>
        </w:rPr>
        <w:t>四</w:t>
      </w:r>
      <w:r>
        <w:rPr>
          <w:rFonts w:hint="default" w:ascii="Times New Roman" w:hAnsi="Times New Roman" w:eastAsia="方正楷体_GBK" w:cs="Times New Roman"/>
          <w:color w:val="auto"/>
          <w:sz w:val="32"/>
          <w:szCs w:val="32"/>
          <w:lang w:bidi="ar-SA"/>
        </w:rPr>
        <w:t>）</w:t>
      </w:r>
      <w:r>
        <w:rPr>
          <w:rFonts w:hint="default" w:ascii="Times New Roman" w:hAnsi="Times New Roman" w:eastAsia="方正楷体_GBK" w:cs="Times New Roman"/>
          <w:sz w:val="32"/>
          <w:szCs w:val="32"/>
          <w:lang w:val="en-US" w:eastAsia="zh-CN" w:bidi="ar-SA"/>
        </w:rPr>
        <w:t>严格落实声环境保护措施。</w:t>
      </w:r>
      <w:r>
        <w:rPr>
          <w:rFonts w:hint="default" w:ascii="Times New Roman" w:hAnsi="Times New Roman" w:eastAsia="方正仿宋_GBK" w:cs="Times New Roman"/>
          <w:color w:val="000000"/>
          <w:sz w:val="32"/>
          <w:szCs w:val="32"/>
          <w:highlight w:val="none"/>
          <w:lang w:val="en-US" w:eastAsia="zh-CN"/>
        </w:rPr>
        <w:t>选用低噪声设备，优化高噪声设备布局，</w:t>
      </w:r>
      <w:r>
        <w:rPr>
          <w:rFonts w:hint="default" w:ascii="Times New Roman" w:hAnsi="Times New Roman" w:eastAsia="方正仿宋_GBK" w:cs="Times New Roman"/>
          <w:sz w:val="32"/>
          <w:szCs w:val="32"/>
          <w:highlight w:val="none"/>
        </w:rPr>
        <w:t>采取隔声、减振、消声等</w:t>
      </w:r>
      <w:r>
        <w:rPr>
          <w:rFonts w:hint="default" w:ascii="Times New Roman" w:hAnsi="Times New Roman" w:eastAsia="方正仿宋_GBK" w:cs="Times New Roman"/>
          <w:sz w:val="32"/>
          <w:szCs w:val="32"/>
          <w:highlight w:val="none"/>
          <w:lang w:val="en-US" w:eastAsia="zh-CN"/>
        </w:rPr>
        <w:t>降噪</w:t>
      </w:r>
      <w:r>
        <w:rPr>
          <w:rFonts w:hint="default" w:ascii="Times New Roman" w:hAnsi="Times New Roman" w:eastAsia="方正仿宋_GBK" w:cs="Times New Roman"/>
          <w:sz w:val="32"/>
          <w:szCs w:val="32"/>
          <w:highlight w:val="none"/>
        </w:rPr>
        <w:t>措施</w:t>
      </w:r>
      <w:r>
        <w:rPr>
          <w:rFonts w:hint="default" w:ascii="Times New Roman" w:hAnsi="Times New Roman" w:eastAsia="方正仿宋_GBK" w:cs="Times New Roman"/>
          <w:sz w:val="32"/>
          <w:szCs w:val="32"/>
          <w:highlight w:val="none"/>
          <w:lang w:eastAsia="zh-CN"/>
        </w:rPr>
        <w:t>，</w:t>
      </w:r>
      <w:r>
        <w:rPr>
          <w:rFonts w:hint="eastAsia" w:eastAsia="方正仿宋_GBK" w:cs="Times New Roman"/>
          <w:color w:val="auto"/>
          <w:sz w:val="32"/>
          <w:szCs w:val="32"/>
          <w:lang w:val="en-US" w:eastAsia="zh-CN"/>
        </w:rPr>
        <w:t>确保项目</w:t>
      </w:r>
      <w:r>
        <w:rPr>
          <w:rFonts w:hint="default" w:ascii="Times New Roman" w:hAnsi="Times New Roman" w:eastAsia="方正仿宋_GBK" w:cs="Times New Roman"/>
          <w:color w:val="auto"/>
          <w:kern w:val="2"/>
          <w:sz w:val="32"/>
          <w:szCs w:val="32"/>
          <w:lang w:val="en-US" w:eastAsia="zh-CN" w:bidi="ar-SA"/>
        </w:rPr>
        <w:t>东、南、北</w:t>
      </w:r>
      <w:r>
        <w:rPr>
          <w:rFonts w:hint="eastAsia" w:ascii="Times New Roman" w:hAnsi="Times New Roman" w:eastAsia="方正仿宋_GBK" w:cs="Times New Roman"/>
          <w:color w:val="auto"/>
          <w:kern w:val="2"/>
          <w:sz w:val="32"/>
          <w:szCs w:val="32"/>
          <w:lang w:val="en-US" w:eastAsia="zh-CN" w:bidi="ar-SA"/>
        </w:rPr>
        <w:t>侧</w:t>
      </w:r>
      <w:r>
        <w:rPr>
          <w:rFonts w:hint="eastAsia" w:eastAsia="方正仿宋_GBK" w:cs="Times New Roman"/>
          <w:color w:val="auto"/>
          <w:sz w:val="32"/>
          <w:szCs w:val="32"/>
          <w:lang w:val="en-US" w:eastAsia="zh-CN"/>
        </w:rPr>
        <w:t>厂界噪声达到《工业企业厂界环境噪声排放标准》（GB12348-2008）3类标准要求，</w:t>
      </w:r>
      <w:r>
        <w:rPr>
          <w:rFonts w:hint="eastAsia" w:ascii="Times New Roman" w:hAnsi="Times New Roman" w:eastAsia="方正仿宋_GBK" w:cs="Times New Roman"/>
          <w:color w:val="auto"/>
          <w:kern w:val="2"/>
          <w:sz w:val="32"/>
          <w:szCs w:val="32"/>
          <w:lang w:val="en-US" w:eastAsia="zh-CN" w:bidi="ar-SA"/>
        </w:rPr>
        <w:t>西侧厂界</w:t>
      </w:r>
      <w:r>
        <w:rPr>
          <w:rFonts w:hint="default" w:ascii="Times New Roman" w:hAnsi="Times New Roman" w:eastAsia="方正仿宋_GBK" w:cs="Times New Roman"/>
          <w:color w:val="auto"/>
          <w:kern w:val="2"/>
          <w:sz w:val="32"/>
          <w:szCs w:val="32"/>
          <w:lang w:val="en-US" w:eastAsia="zh-CN" w:bidi="ar-SA"/>
        </w:rPr>
        <w:t>噪声</w:t>
      </w:r>
      <w:r>
        <w:rPr>
          <w:rFonts w:hint="eastAsia" w:ascii="Times New Roman" w:hAnsi="Times New Roman" w:eastAsia="方正仿宋_GBK" w:cs="Times New Roman"/>
          <w:color w:val="auto"/>
          <w:kern w:val="2"/>
          <w:sz w:val="32"/>
          <w:szCs w:val="32"/>
          <w:lang w:val="en-US" w:eastAsia="zh-CN" w:bidi="ar-SA"/>
        </w:rPr>
        <w:t>达到4</w:t>
      </w:r>
      <w:r>
        <w:rPr>
          <w:rFonts w:hint="default" w:ascii="Times New Roman" w:hAnsi="Times New Roman" w:eastAsia="方正仿宋_GBK" w:cs="Times New Roman"/>
          <w:color w:val="auto"/>
          <w:kern w:val="2"/>
          <w:sz w:val="32"/>
          <w:szCs w:val="32"/>
          <w:lang w:val="en-US" w:eastAsia="zh-CN" w:bidi="ar-SA"/>
        </w:rPr>
        <w:t>类标准</w:t>
      </w:r>
      <w:r>
        <w:rPr>
          <w:rFonts w:hint="eastAsia" w:ascii="Times New Roman" w:hAnsi="Times New Roman" w:eastAsia="方正仿宋_GBK" w:cs="Times New Roman"/>
          <w:color w:val="auto"/>
          <w:kern w:val="2"/>
          <w:sz w:val="32"/>
          <w:szCs w:val="32"/>
          <w:lang w:val="en-US" w:eastAsia="zh-CN" w:bidi="ar-SA"/>
        </w:rPr>
        <w:t>要求。</w:t>
      </w:r>
    </w:p>
    <w:p w14:paraId="3E6A89C2">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color w:val="000000"/>
          <w:sz w:val="32"/>
          <w:szCs w:val="32"/>
          <w:highlight w:val="none"/>
          <w:lang w:val="en-US" w:eastAsia="zh-CN"/>
        </w:rPr>
      </w:pPr>
      <w:r>
        <w:rPr>
          <w:rFonts w:hint="default" w:ascii="Times New Roman" w:hAnsi="Times New Roman" w:eastAsia="方正楷体_GBK" w:cs="Times New Roman"/>
          <w:color w:val="auto"/>
          <w:sz w:val="32"/>
          <w:szCs w:val="32"/>
          <w:lang w:bidi="ar-SA"/>
        </w:rPr>
        <w:t>（</w:t>
      </w:r>
      <w:r>
        <w:rPr>
          <w:rFonts w:hint="default" w:ascii="Times New Roman" w:hAnsi="Times New Roman" w:eastAsia="方正楷体_GBK" w:cs="Times New Roman"/>
          <w:color w:val="auto"/>
          <w:sz w:val="32"/>
          <w:szCs w:val="32"/>
          <w:lang w:eastAsia="zh-CN" w:bidi="ar-SA"/>
        </w:rPr>
        <w:t>五</w:t>
      </w:r>
      <w:r>
        <w:rPr>
          <w:rFonts w:hint="default" w:ascii="Times New Roman" w:hAnsi="Times New Roman" w:eastAsia="方正楷体_GBK" w:cs="Times New Roman"/>
          <w:color w:val="auto"/>
          <w:sz w:val="32"/>
          <w:szCs w:val="32"/>
          <w:lang w:bidi="ar-SA"/>
        </w:rPr>
        <w:t>）</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000000"/>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lang w:val="en-US" w:eastAsia="zh-CN"/>
        </w:rPr>
        <w:t>2020）要求管理；废活性炭</w:t>
      </w:r>
      <w:r>
        <w:rPr>
          <w:rFonts w:hint="eastAsia"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sz w:val="32"/>
          <w:szCs w:val="32"/>
          <w:highlight w:val="none"/>
        </w:rPr>
        <w:t>废机油等危险</w:t>
      </w:r>
      <w:r>
        <w:rPr>
          <w:rFonts w:hint="default" w:ascii="Times New Roman" w:hAnsi="Times New Roman" w:eastAsia="方正仿宋_GBK" w:cs="Times New Roman"/>
          <w:kern w:val="0"/>
          <w:sz w:val="32"/>
          <w:szCs w:val="32"/>
          <w:highlight w:val="none"/>
          <w:lang w:val="en-US" w:eastAsia="zh-CN"/>
        </w:rPr>
        <w:t>废物</w:t>
      </w:r>
      <w:r>
        <w:rPr>
          <w:rFonts w:hint="default" w:ascii="Times New Roman" w:hAnsi="Times New Roman" w:eastAsia="方正仿宋_GBK" w:cs="Times New Roman"/>
          <w:sz w:val="32"/>
          <w:szCs w:val="32"/>
          <w:highlight w:val="none"/>
          <w:lang w:val="en-US" w:eastAsia="zh-CN"/>
        </w:rPr>
        <w:t>严格</w:t>
      </w:r>
      <w:r>
        <w:rPr>
          <w:rFonts w:hint="default" w:ascii="Times New Roman" w:hAnsi="Times New Roman" w:eastAsia="方正仿宋_GBK" w:cs="Times New Roman"/>
          <w:color w:val="000000"/>
          <w:sz w:val="32"/>
          <w:szCs w:val="32"/>
          <w:highlight w:val="none"/>
          <w:lang w:val="en-US" w:eastAsia="zh-CN"/>
        </w:rPr>
        <w:t>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000000"/>
          <w:sz w:val="32"/>
          <w:szCs w:val="32"/>
          <w:highlight w:val="none"/>
          <w:lang w:val="en-US" w:eastAsia="zh-CN"/>
        </w:rPr>
        <w:t>-</w:t>
      </w:r>
      <w:r>
        <w:rPr>
          <w:rFonts w:hint="default" w:ascii="Times New Roman" w:hAnsi="Times New Roman" w:eastAsia="方正仿宋_GBK" w:cs="Times New Roman"/>
          <w:color w:val="000000"/>
          <w:sz w:val="32"/>
          <w:szCs w:val="32"/>
          <w:highlight w:val="none"/>
          <w:lang w:val="en-US" w:eastAsia="zh-CN"/>
        </w:rPr>
        <w:t>2023）要求进行建设和管理。危险废物委托有资质的单位定期</w:t>
      </w:r>
      <w:r>
        <w:rPr>
          <w:rFonts w:hint="default" w:ascii="Times New Roman" w:hAnsi="Times New Roman" w:eastAsia="方正仿宋_GBK" w:cs="Times New Roman"/>
          <w:sz w:val="32"/>
          <w:szCs w:val="32"/>
          <w:highlight w:val="none"/>
        </w:rPr>
        <w:t>清运处置</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严格执行《危险废物转移管理办法》及相关</w:t>
      </w:r>
      <w:r>
        <w:rPr>
          <w:rFonts w:hint="eastAsia" w:eastAsia="方正仿宋_GBK" w:cs="Times New Roman"/>
          <w:sz w:val="32"/>
          <w:szCs w:val="32"/>
          <w:highlight w:val="none"/>
          <w:lang w:val="en-US" w:eastAsia="zh-CN"/>
        </w:rPr>
        <w:t>要求</w:t>
      </w:r>
      <w:r>
        <w:rPr>
          <w:rFonts w:hint="default" w:ascii="Times New Roman" w:hAnsi="Times New Roman" w:eastAsia="方正仿宋_GBK" w:cs="Times New Roman"/>
          <w:sz w:val="32"/>
          <w:szCs w:val="32"/>
          <w:highlight w:val="none"/>
          <w:lang w:val="en-US" w:eastAsia="zh-CN"/>
        </w:rPr>
        <w:t>，强化各环节的环境保护措施，切实防止管理不当造成的二次污染。</w:t>
      </w:r>
    </w:p>
    <w:p w14:paraId="03824ACB">
      <w:pPr>
        <w:keepNext w:val="0"/>
        <w:keepLines w:val="0"/>
        <w:pageBreakBefore w:val="0"/>
        <w:kinsoku/>
        <w:overflowPunct/>
        <w:topLinePunct/>
        <w:autoSpaceDE/>
        <w:autoSpaceDN/>
        <w:bidi w:val="0"/>
        <w:spacing w:line="570" w:lineRule="exact"/>
        <w:ind w:firstLine="640" w:firstLineChars="200"/>
        <w:jc w:val="both"/>
        <w:textAlignment w:val="auto"/>
        <w:rPr>
          <w:rFonts w:eastAsia="方正仿宋_GBK"/>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sz w:val="32"/>
          <w:szCs w:val="32"/>
        </w:rPr>
        <w:t>按照源头控制、分区防治、污染监控、应急响应</w:t>
      </w:r>
      <w:r>
        <w:rPr>
          <w:rFonts w:hint="eastAsia" w:eastAsia="方正仿宋_GBK"/>
          <w:sz w:val="32"/>
          <w:szCs w:val="32"/>
          <w:lang w:eastAsia="zh-CN"/>
        </w:rPr>
        <w:t>等</w:t>
      </w:r>
      <w:r>
        <w:rPr>
          <w:rFonts w:eastAsia="方正仿宋_GBK"/>
          <w:sz w:val="32"/>
          <w:szCs w:val="32"/>
        </w:rPr>
        <w:t>原则进行地下水污染防治</w:t>
      </w:r>
      <w:r>
        <w:rPr>
          <w:rFonts w:hint="eastAsia" w:eastAsia="方正仿宋_GBK"/>
          <w:sz w:val="32"/>
          <w:szCs w:val="32"/>
          <w:lang w:eastAsia="zh-CN"/>
        </w:rPr>
        <w:t>。</w:t>
      </w:r>
      <w:r>
        <w:rPr>
          <w:rFonts w:eastAsia="方正仿宋_GBK"/>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sz w:val="32"/>
          <w:szCs w:val="32"/>
          <w:lang w:eastAsia="zh-CN"/>
        </w:rPr>
        <w:t>，</w:t>
      </w:r>
      <w:r>
        <w:rPr>
          <w:rFonts w:eastAsia="方正仿宋_GBK"/>
          <w:sz w:val="32"/>
          <w:szCs w:val="32"/>
        </w:rPr>
        <w:t>加强隐蔽工程泄漏检测，一旦发现泄漏，应立即采取补救措施，防止污染土壤和地下水。</w:t>
      </w:r>
    </w:p>
    <w:p w14:paraId="4933F81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eastAsia="方正楷体_GBK" w:cs="Times New Roman"/>
          <w:color w:val="auto"/>
          <w:sz w:val="32"/>
          <w:szCs w:val="32"/>
          <w:lang w:val="en-US" w:eastAsia="zh-CN" w:bidi="ar-SA"/>
        </w:rPr>
        <w:t>（七）</w:t>
      </w:r>
      <w:r>
        <w:rPr>
          <w:rFonts w:hint="default" w:ascii="Times New Roman" w:hAnsi="Times New Roman" w:eastAsia="方正楷体_GBK" w:cs="Times New Roman"/>
          <w:color w:val="auto"/>
          <w:sz w:val="32"/>
          <w:szCs w:val="32"/>
          <w:lang w:val="en-US" w:eastAsia="zh-CN" w:bidi="ar-SA"/>
        </w:rPr>
        <w:t>加强环境风险防范和管理。</w:t>
      </w:r>
      <w:r>
        <w:rPr>
          <w:rFonts w:hint="default" w:ascii="Times New Roman" w:hAnsi="Times New Roman" w:eastAsia="方正仿宋_GBK" w:cs="Times New Roman"/>
          <w:color w:val="auto"/>
          <w:sz w:val="32"/>
          <w:szCs w:val="32"/>
          <w:lang w:val="en-US" w:eastAsia="zh-CN"/>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元江分局备案，开展必要的应急培训、宣传和演练。</w:t>
      </w:r>
    </w:p>
    <w:p w14:paraId="008BEA84">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楷体_GBK" w:cs="Times New Roman"/>
          <w:color w:val="auto"/>
          <w:kern w:val="2"/>
          <w:sz w:val="32"/>
          <w:szCs w:val="32"/>
          <w:lang w:val="en-US" w:eastAsia="zh-CN" w:bidi="ar-SA"/>
        </w:rPr>
      </w:pPr>
      <w:r>
        <w:rPr>
          <w:rFonts w:hint="default" w:ascii="Times New Roman" w:hAnsi="Times New Roman" w:eastAsia="方正楷体_GBK" w:cs="Times New Roman"/>
          <w:color w:val="auto"/>
          <w:kern w:val="2"/>
          <w:sz w:val="32"/>
          <w:szCs w:val="32"/>
          <w:lang w:val="en-US" w:eastAsia="zh-CN" w:bidi="ar-SA"/>
        </w:rPr>
        <w:t>切实做好环保设施的日常维护和管理，落实环境风险防范措施，确保污染物长期稳定达标排放，杜绝事故性排放。</w:t>
      </w:r>
    </w:p>
    <w:p w14:paraId="7061B52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黑体_GBK" w:cs="Times New Roman"/>
          <w:sz w:val="32"/>
          <w:szCs w:val="32"/>
          <w:lang w:val="en-US" w:eastAsia="en-US" w:bidi="ar-SA"/>
        </w:rPr>
        <w:t>三、</w:t>
      </w:r>
      <w:r>
        <w:rPr>
          <w:rFonts w:hint="eastAsia" w:ascii="Times New Roman" w:hAnsi="Times New Roman" w:eastAsia="方正仿宋_GBK" w:cs="Times New Roman"/>
          <w:sz w:val="32"/>
          <w:szCs w:val="32"/>
          <w:lang w:val="en-US" w:eastAsia="zh-CN"/>
        </w:rPr>
        <w:t>项目</w:t>
      </w:r>
      <w:r>
        <w:rPr>
          <w:rFonts w:hint="default" w:ascii="Times New Roman" w:hAnsi="Times New Roman" w:eastAsia="方正仿宋_GBK" w:cs="Times New Roman"/>
          <w:sz w:val="32"/>
          <w:szCs w:val="32"/>
          <w:lang w:val="en-US" w:eastAsia="zh-CN"/>
        </w:rPr>
        <w:t>在实际排污行为发生之前，应按照《排污许可管理</w:t>
      </w:r>
      <w:r>
        <w:rPr>
          <w:rFonts w:hint="eastAsia" w:eastAsia="方正仿宋_GBK" w:cs="Times New Roman"/>
          <w:sz w:val="32"/>
          <w:szCs w:val="32"/>
          <w:lang w:val="en-US" w:eastAsia="zh-CN"/>
        </w:rPr>
        <w:t>条例</w:t>
      </w:r>
      <w:r>
        <w:rPr>
          <w:rFonts w:hint="default" w:ascii="Times New Roman" w:hAnsi="Times New Roman" w:eastAsia="方正仿宋_GBK" w:cs="Times New Roman"/>
          <w:sz w:val="32"/>
          <w:szCs w:val="32"/>
          <w:lang w:val="en-US" w:eastAsia="zh-CN"/>
        </w:rPr>
        <w:t>》规定办理排污许可手续，未取得排污许可手续的，不得排放污染物</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26C5282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0" w:lineRule="exact"/>
        <w:ind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eastAsia="方正黑体_GBK" w:cs="Times New Roman"/>
          <w:bCs/>
          <w:color w:val="000000"/>
          <w:sz w:val="32"/>
          <w:szCs w:val="32"/>
          <w:lang w:val="en-US" w:eastAsia="zh-CN"/>
        </w:rPr>
        <w:t>四</w:t>
      </w:r>
      <w:r>
        <w:rPr>
          <w:rFonts w:hint="default" w:ascii="Times New Roman" w:hAnsi="Times New Roman" w:eastAsia="方正黑体_GBK" w:cs="Times New Roman"/>
          <w:bCs/>
          <w:color w:val="000000"/>
          <w:sz w:val="32"/>
          <w:szCs w:val="32"/>
          <w:lang w:val="en-US" w:eastAsia="zh-CN"/>
        </w:rPr>
        <w:t>、</w:t>
      </w:r>
      <w:r>
        <w:rPr>
          <w:rFonts w:hint="eastAsia" w:eastAsia="方正仿宋_GBK"/>
          <w:color w:val="auto"/>
          <w:sz w:val="32"/>
          <w:szCs w:val="32"/>
        </w:rPr>
        <w:t>严格落实</w:t>
      </w:r>
      <w:r>
        <w:rPr>
          <w:rFonts w:hint="eastAsia" w:eastAsia="方正仿宋_GBK"/>
          <w:color w:val="auto"/>
          <w:sz w:val="32"/>
          <w:szCs w:val="32"/>
          <w:lang w:eastAsia="zh-CN"/>
        </w:rPr>
        <w:t>“</w:t>
      </w:r>
      <w:r>
        <w:rPr>
          <w:rFonts w:hint="eastAsia" w:eastAsia="方正仿宋_GBK"/>
          <w:color w:val="auto"/>
          <w:sz w:val="32"/>
          <w:szCs w:val="32"/>
        </w:rPr>
        <w:t>三同时</w:t>
      </w:r>
      <w:r>
        <w:rPr>
          <w:rFonts w:hint="eastAsia" w:eastAsia="方正仿宋_GBK"/>
          <w:color w:val="auto"/>
          <w:sz w:val="32"/>
          <w:szCs w:val="32"/>
          <w:lang w:eastAsia="zh-CN"/>
        </w:rPr>
        <w:t>”</w:t>
      </w:r>
      <w:r>
        <w:rPr>
          <w:rFonts w:hint="eastAsia" w:eastAsia="方正仿宋_GBK"/>
          <w:color w:val="auto"/>
          <w:sz w:val="32"/>
          <w:szCs w:val="32"/>
        </w:rPr>
        <w:t>制度。</w:t>
      </w:r>
      <w:r>
        <w:rPr>
          <w:rFonts w:hint="default" w:ascii="Times New Roman" w:hAnsi="Times New Roman" w:eastAsia="方正仿宋_GBK" w:cs="Times New Roman"/>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sz w:val="32"/>
          <w:szCs w:val="32"/>
          <w:lang w:val="en-US" w:eastAsia="zh-CN"/>
        </w:rPr>
        <w:t>运行</w:t>
      </w:r>
      <w:r>
        <w:rPr>
          <w:rFonts w:hint="default" w:ascii="Times New Roman" w:hAnsi="Times New Roman" w:eastAsia="方正仿宋_GBK" w:cs="Times New Roman"/>
          <w:sz w:val="32"/>
          <w:szCs w:val="32"/>
          <w:lang w:val="en-US" w:eastAsia="zh-CN"/>
        </w:rPr>
        <w:t>。</w:t>
      </w:r>
    </w:p>
    <w:p w14:paraId="26C9C46F">
      <w:pPr>
        <w:keepNext w:val="0"/>
        <w:keepLines w:val="0"/>
        <w:pageBreakBefore w:val="0"/>
        <w:widowControl w:val="0"/>
        <w:kinsoku/>
        <w:wordWrap/>
        <w:overflowPunct/>
        <w:topLinePunct w:val="0"/>
        <w:autoSpaceDE/>
        <w:autoSpaceDN/>
        <w:bidi w:val="0"/>
        <w:adjustRightInd/>
        <w:spacing w:line="57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五、</w:t>
      </w:r>
      <w:r>
        <w:rPr>
          <w:rFonts w:hint="eastAsia" w:eastAsia="方正仿宋_GBK"/>
          <w:color w:val="auto"/>
          <w:sz w:val="32"/>
          <w:szCs w:val="32"/>
          <w:lang w:val="en-US" w:eastAsia="zh-CN"/>
        </w:rPr>
        <w:t>严格落实污染物排放</w:t>
      </w:r>
      <w:r>
        <w:rPr>
          <w:rFonts w:hint="eastAsia" w:ascii="Times New Roman" w:hAnsi="Times New Roman" w:eastAsia="方正仿宋_GBK" w:cs="Times New Roman"/>
          <w:sz w:val="32"/>
          <w:szCs w:val="32"/>
          <w:lang w:val="en-US" w:eastAsia="zh-CN"/>
        </w:rPr>
        <w:t>总量控制规定和各项措施。根据《报告表》测算，项目主要大气污染物排放量初步核定为：挥发性有机物2.276吨/年，由玉溪市生态环境局元江分局纳入污染物排放总量控制计划。</w:t>
      </w:r>
    </w:p>
    <w:p w14:paraId="2EFF6431">
      <w:pPr>
        <w:keepNext w:val="0"/>
        <w:keepLines w:val="0"/>
        <w:pageBreakBefore w:val="0"/>
        <w:widowControl w:val="0"/>
        <w:kinsoku/>
        <w:wordWrap/>
        <w:overflowPunct/>
        <w:topLinePunct w:val="0"/>
        <w:autoSpaceDE/>
        <w:autoSpaceDN/>
        <w:bidi w:val="0"/>
        <w:adjustRightInd/>
        <w:spacing w:line="570" w:lineRule="exact"/>
        <w:ind w:firstLine="640" w:firstLineChars="200"/>
        <w:jc w:val="both"/>
        <w:textAlignment w:val="auto"/>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089B6CEE">
      <w:pPr>
        <w:keepNext w:val="0"/>
        <w:keepLines w:val="0"/>
        <w:pageBreakBefore w:val="0"/>
        <w:kinsoku/>
        <w:wordWrap/>
        <w:overflowPunct/>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sz w:val="32"/>
          <w:szCs w:val="32"/>
          <w:lang w:val="en-US" w:eastAsia="zh-CN" w:bidi="ar-SA"/>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元江</w:t>
      </w:r>
      <w:r>
        <w:rPr>
          <w:rFonts w:hint="eastAsia" w:hAnsi="方正仿宋_GBK" w:eastAsia="方正仿宋_GBK"/>
          <w:bCs/>
          <w:color w:val="auto"/>
          <w:kern w:val="0"/>
          <w:sz w:val="32"/>
          <w:szCs w:val="32"/>
        </w:rPr>
        <w:t>分局要切实承担事中事后监管责任，履行属地监管职责，</w:t>
      </w:r>
      <w:r>
        <w:rPr>
          <w:rFonts w:hint="eastAsia" w:eastAsia="方正仿宋_GBK"/>
          <w:bCs/>
          <w:color w:val="auto"/>
          <w:kern w:val="0"/>
          <w:sz w:val="32"/>
          <w:szCs w:val="32"/>
        </w:rPr>
        <w:t>按照法律法规及《关于进一步完善建设项目环境保护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w:t>
      </w:r>
      <w:r>
        <w:rPr>
          <w:rFonts w:hint="eastAsia" w:eastAsia="方正仿宋_GBK"/>
          <w:bCs/>
          <w:color w:val="auto"/>
          <w:kern w:val="0"/>
          <w:sz w:val="32"/>
          <w:szCs w:val="32"/>
          <w:lang w:eastAsia="zh-CN"/>
        </w:rPr>
        <w:t>”</w:t>
      </w:r>
      <w:r>
        <w:rPr>
          <w:rFonts w:hint="eastAsia" w:eastAsia="方正仿宋_GBK"/>
          <w:bCs/>
          <w:color w:val="auto"/>
          <w:kern w:val="0"/>
          <w:sz w:val="32"/>
          <w:szCs w:val="32"/>
        </w:rPr>
        <w:t>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w:t>
      </w:r>
      <w:r>
        <w:rPr>
          <w:rFonts w:hint="eastAsia" w:eastAsia="方正仿宋_GBK"/>
          <w:bCs/>
          <w:color w:val="auto"/>
          <w:kern w:val="0"/>
          <w:sz w:val="32"/>
          <w:szCs w:val="32"/>
          <w:lang w:eastAsia="zh-CN"/>
        </w:rPr>
        <w:t>”</w:t>
      </w:r>
      <w:r>
        <w:rPr>
          <w:rFonts w:hint="eastAsia" w:eastAsia="方正仿宋_GBK"/>
          <w:bCs/>
          <w:color w:val="auto"/>
          <w:kern w:val="0"/>
          <w:sz w:val="32"/>
          <w:szCs w:val="32"/>
        </w:rPr>
        <w:t>、竣工环境保护自主验收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0000FF"/>
          <w:sz w:val="32"/>
          <w:szCs w:val="32"/>
          <w:lang w:val="en-US" w:eastAsia="zh-CN"/>
        </w:rPr>
        <w:t xml:space="preserve"> </w:t>
      </w:r>
    </w:p>
    <w:p w14:paraId="04DD56D4">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方正仿宋_GBK" w:cs="Times New Roman"/>
          <w:sz w:val="32"/>
          <w:szCs w:val="32"/>
          <w:lang w:val="en-US"/>
        </w:rPr>
      </w:pPr>
    </w:p>
    <w:p w14:paraId="6966E727">
      <w:pPr>
        <w:keepNext w:val="0"/>
        <w:keepLines w:val="0"/>
        <w:pageBreakBefore w:val="0"/>
        <w:widowControl w:val="0"/>
        <w:kinsoku/>
        <w:wordWrap/>
        <w:overflowPunct/>
        <w:topLinePunct w:val="0"/>
        <w:autoSpaceDE/>
        <w:autoSpaceDN/>
        <w:bidi w:val="0"/>
        <w:snapToGrid w:val="0"/>
        <w:spacing w:line="570" w:lineRule="exact"/>
        <w:ind w:firstLine="640" w:firstLineChars="200"/>
        <w:jc w:val="both"/>
        <w:textAlignment w:val="auto"/>
        <w:rPr>
          <w:rFonts w:hint="default" w:ascii="Times New Roman" w:hAnsi="Times New Roman" w:eastAsia="方正仿宋_GBK" w:cs="Times New Roman"/>
          <w:color w:val="auto"/>
          <w:sz w:val="32"/>
          <w:szCs w:val="32"/>
        </w:rPr>
      </w:pPr>
    </w:p>
    <w:p w14:paraId="6CCAFACC">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2241DB38">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color w:val="auto"/>
          <w:sz w:val="32"/>
          <w:szCs w:val="32"/>
          <w:lang w:val="en-US" w:eastAsia="zh-CN"/>
        </w:rPr>
      </w:pPr>
    </w:p>
    <w:p w14:paraId="2F62D547">
      <w:pPr>
        <w:pStyle w:val="2"/>
        <w:rPr>
          <w:rFonts w:hint="default"/>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玉溪市生态环境保护综合行政执法支队，玉溪市生态环境局元江分局，云南佳源环境工程评估有限公司，云南洵川工程设计有限公司。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90F03E33-BE92-4DF9-A48E-67074C45B2CD}"/>
  </w:font>
  <w:font w:name="方正仿宋_GBK">
    <w:panose1 w:val="03000509000000000000"/>
    <w:charset w:val="86"/>
    <w:family w:val="script"/>
    <w:pitch w:val="default"/>
    <w:sig w:usb0="00000001" w:usb1="080E0000" w:usb2="00000000" w:usb3="00000000" w:csb0="00040000" w:csb1="00000000"/>
    <w:embedRegular r:id="rId2" w:fontKey="{248AFD7D-2237-497D-856A-EC455F6FF59C}"/>
  </w:font>
  <w:font w:name="方正黑体_GBK">
    <w:panose1 w:val="03000509000000000000"/>
    <w:charset w:val="86"/>
    <w:family w:val="auto"/>
    <w:pitch w:val="default"/>
    <w:sig w:usb0="00000001" w:usb1="080E0000" w:usb2="00000000" w:usb3="00000000" w:csb0="00040000" w:csb1="00000000"/>
    <w:embedRegular r:id="rId3" w:fontKey="{97208ADD-CD32-48EA-853E-6630999B9A74}"/>
  </w:font>
  <w:font w:name="仿宋_GB2312">
    <w:altName w:val="仿宋"/>
    <w:panose1 w:val="02010609030101010101"/>
    <w:charset w:val="86"/>
    <w:family w:val="modern"/>
    <w:pitch w:val="default"/>
    <w:sig w:usb0="00000000" w:usb1="00000000" w:usb2="00000000" w:usb3="00000000" w:csb0="00040000" w:csb1="00000000"/>
    <w:embedRegular r:id="rId4" w:fontKey="{BEAEA6DA-AAFD-4128-89D9-5FBDF63CF6F4}"/>
  </w:font>
  <w:font w:name="方正楷体_GBK">
    <w:panose1 w:val="03000509000000000000"/>
    <w:charset w:val="86"/>
    <w:family w:val="auto"/>
    <w:pitch w:val="default"/>
    <w:sig w:usb0="00000001" w:usb1="080E0000" w:usb2="00000000" w:usb3="00000000" w:csb0="00040000" w:csb1="00000000"/>
    <w:embedRegular r:id="rId5" w:fontKey="{CD43050F-1C30-4A18-998F-677E241F1BCC}"/>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BFC3CB"/>
    <w:multiLevelType w:val="singleLevel"/>
    <w:tmpl w:val="7CBFC3CB"/>
    <w:lvl w:ilvl="0" w:tentative="0">
      <w:start w:val="7"/>
      <w:numFmt w:val="chineseCounting"/>
      <w:suff w:val="nothing"/>
      <w:lvlText w:val="（%1）"/>
      <w:lvlJc w:val="left"/>
      <w:rPr>
        <w:rFonts w:hint="eastAsia" w:ascii="方正楷体_GBK" w:hAnsi="方正楷体_GBK" w:eastAsia="方正楷体_GBK" w:cs="方正楷体_GBK"/>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7B43B2"/>
    <w:rsid w:val="018407F7"/>
    <w:rsid w:val="01862917"/>
    <w:rsid w:val="01BE4F18"/>
    <w:rsid w:val="021C1620"/>
    <w:rsid w:val="022E6AD9"/>
    <w:rsid w:val="027648C5"/>
    <w:rsid w:val="028E567C"/>
    <w:rsid w:val="02C92423"/>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F75A2D"/>
    <w:rsid w:val="1C3E61AC"/>
    <w:rsid w:val="1C727B05"/>
    <w:rsid w:val="1C736231"/>
    <w:rsid w:val="1CCB3F7F"/>
    <w:rsid w:val="1CDB1FD9"/>
    <w:rsid w:val="1D22560D"/>
    <w:rsid w:val="1D36222A"/>
    <w:rsid w:val="1DB16959"/>
    <w:rsid w:val="1DCB4504"/>
    <w:rsid w:val="1E000CE3"/>
    <w:rsid w:val="1E552A77"/>
    <w:rsid w:val="1E711083"/>
    <w:rsid w:val="1E877138"/>
    <w:rsid w:val="1EE0592A"/>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60616D3"/>
    <w:rsid w:val="361C3892"/>
    <w:rsid w:val="363475D8"/>
    <w:rsid w:val="365C21FB"/>
    <w:rsid w:val="36B96F97"/>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934583"/>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4C3823"/>
    <w:rsid w:val="4B897D70"/>
    <w:rsid w:val="4C060B1D"/>
    <w:rsid w:val="4C2226B4"/>
    <w:rsid w:val="4D3229AB"/>
    <w:rsid w:val="4D6E25E7"/>
    <w:rsid w:val="4D83575F"/>
    <w:rsid w:val="4DD53083"/>
    <w:rsid w:val="4DF62B26"/>
    <w:rsid w:val="4E6D4716"/>
    <w:rsid w:val="4E843945"/>
    <w:rsid w:val="4FA4567A"/>
    <w:rsid w:val="4FA45A74"/>
    <w:rsid w:val="4FA604E6"/>
    <w:rsid w:val="4FBF2EF4"/>
    <w:rsid w:val="4FC24B2F"/>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145794"/>
    <w:rsid w:val="6D8A2AA7"/>
    <w:rsid w:val="6DAA4D2E"/>
    <w:rsid w:val="6DC4470E"/>
    <w:rsid w:val="6EDB1BA1"/>
    <w:rsid w:val="6F3F4FA6"/>
    <w:rsid w:val="6F4C5C4D"/>
    <w:rsid w:val="6FBF2ED7"/>
    <w:rsid w:val="6FCE533B"/>
    <w:rsid w:val="70645DE9"/>
    <w:rsid w:val="709057E8"/>
    <w:rsid w:val="709D12FB"/>
    <w:rsid w:val="70A73049"/>
    <w:rsid w:val="70CA5A60"/>
    <w:rsid w:val="715A1838"/>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2942</Words>
  <Characters>3126</Characters>
  <Lines>17</Lines>
  <Paragraphs>4</Paragraphs>
  <TotalTime>4</TotalTime>
  <ScaleCrop>false</ScaleCrop>
  <LinksUpToDate>false</LinksUpToDate>
  <CharactersWithSpaces>3151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2026-09-02T02:18:27Z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497940BBE1A94E128A1879909DC56BFC_13</vt:lpwstr>
  </property>
  <property fmtid="{D5CDD505-2E9C-101B-9397-08002B2CF9AE}" pid="4" name="KSOTemplateDocerSaveRecord">
    <vt:lpwstr>eyJoZGlkIjoiMGUzYzZjMTA4MjkxYjBmN2Q2NzBkOWM3MGU3YjgwZDQiLCJ1c2VySWQiOiIyNTc5MzgxMTgifQ==</vt:lpwstr>
  </property>
</Properties>
</file>