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1A10F">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US" w:eastAsia="zh-CN"/>
        </w:rPr>
      </w:pPr>
      <w:r>
        <w:rPr>
          <w:rFonts w:hint="default" w:ascii="Times New Roman" w:hAnsi="Times New Roman" w:eastAsia="方正小标宋_GBK" w:cs="Times New Roman"/>
          <w:color w:val="auto"/>
          <w:sz w:val="32"/>
          <w:szCs w:val="32"/>
          <w:lang w:val="en-US" w:eastAsia="zh-CN"/>
        </w:rPr>
        <w:t xml:space="preserve">  </w:t>
      </w:r>
    </w:p>
    <w:p w14:paraId="1D1C9592">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 w:eastAsia="zh-CN"/>
        </w:rPr>
      </w:pPr>
    </w:p>
    <w:p w14:paraId="6AB00AFD">
      <w:pPr>
        <w:pStyle w:val="4"/>
        <w:keepNext w:val="0"/>
        <w:keepLines w:val="0"/>
        <w:pageBreakBefore w:val="0"/>
        <w:kinsoku/>
        <w:wordWrap/>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方正小标宋_GBK" w:cs="Times New Roman"/>
          <w:color w:val="auto"/>
          <w:sz w:val="32"/>
          <w:szCs w:val="32"/>
          <w:lang w:val="en" w:eastAsia="zh-CN"/>
        </w:rPr>
      </w:pPr>
    </w:p>
    <w:p w14:paraId="3159E16A">
      <w:pPr>
        <w:jc w:val="center"/>
        <w:rPr>
          <w:rFonts w:hint="default" w:ascii="Times New Roman" w:hAnsi="Times New Roman" w:cs="Times New Roman"/>
          <w:color w:val="auto"/>
        </w:rPr>
      </w:pPr>
      <w:bookmarkStart w:id="0" w:name="_GoBack"/>
      <w:bookmarkEnd w:id="0"/>
    </w:p>
    <w:p w14:paraId="779AC0D6">
      <w:pPr>
        <w:pStyle w:val="19"/>
        <w:jc w:val="center"/>
        <w:rPr>
          <w:rFonts w:hint="default" w:ascii="Times New Roman" w:hAnsi="Times New Roman" w:cs="Times New Roman"/>
          <w:color w:val="auto"/>
        </w:rPr>
      </w:pPr>
    </w:p>
    <w:p w14:paraId="3E510D7C">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cs="Times New Roman"/>
          <w:color w:val="auto"/>
        </w:rPr>
      </w:pPr>
      <w:r>
        <w:rPr>
          <w:rFonts w:hint="default" w:ascii="Times New Roman" w:hAnsi="Times New Roman" w:eastAsia="方正仿宋_GBK" w:cs="Times New Roman"/>
          <w:color w:val="auto"/>
          <w:sz w:val="32"/>
          <w:lang w:eastAsia="zh-CN"/>
        </w:rPr>
        <w:t>玉</w:t>
      </w:r>
      <w:r>
        <w:rPr>
          <w:rFonts w:hint="default" w:ascii="Times New Roman" w:hAnsi="Times New Roman" w:eastAsia="方正仿宋_GBK" w:cs="Times New Roman"/>
          <w:color w:val="auto"/>
          <w:sz w:val="32"/>
        </w:rPr>
        <w:t>环审〔</w:t>
      </w:r>
      <w:r>
        <w:rPr>
          <w:rFonts w:hint="default" w:ascii="Times New Roman" w:hAnsi="Times New Roman" w:eastAsia="方正仿宋_GBK" w:cs="Times New Roman"/>
          <w:color w:val="auto"/>
          <w:sz w:val="32"/>
          <w:lang w:val="en-US" w:eastAsia="zh-CN"/>
        </w:rPr>
        <w:t>2026</w:t>
      </w:r>
      <w:r>
        <w:rPr>
          <w:rFonts w:hint="default" w:ascii="Times New Roman" w:hAnsi="Times New Roman" w:eastAsia="方正仿宋_GBK" w:cs="Times New Roman"/>
          <w:color w:val="auto"/>
          <w:sz w:val="32"/>
        </w:rPr>
        <w:t>〕</w:t>
      </w:r>
      <w:r>
        <w:rPr>
          <w:rFonts w:hint="default" w:ascii="Times New Roman" w:hAnsi="Times New Roman" w:eastAsia="方正仿宋_GBK" w:cs="Times New Roman"/>
          <w:color w:val="auto"/>
          <w:sz w:val="32"/>
          <w:lang w:val="en-US" w:eastAsia="zh-CN"/>
        </w:rPr>
        <w:t>1—1</w:t>
      </w:r>
      <w:r>
        <w:rPr>
          <w:rFonts w:hint="eastAsia" w:eastAsia="方正仿宋_GBK" w:cs="Times New Roman"/>
          <w:color w:val="auto"/>
          <w:sz w:val="32"/>
          <w:lang w:val="en-US" w:eastAsia="zh-CN"/>
        </w:rPr>
        <w:t>02</w:t>
      </w:r>
      <w:r>
        <w:rPr>
          <w:rFonts w:hint="default" w:ascii="Times New Roman" w:hAnsi="Times New Roman" w:eastAsia="方正仿宋_GBK" w:cs="Times New Roman"/>
          <w:color w:val="auto"/>
          <w:sz w:val="32"/>
        </w:rPr>
        <w:t>号</w:t>
      </w:r>
    </w:p>
    <w:p w14:paraId="7F4C3202">
      <w:pPr>
        <w:keepNext w:val="0"/>
        <w:keepLines w:val="0"/>
        <w:pageBreakBefore w:val="0"/>
        <w:widowControl w:val="0"/>
        <w:kinsoku/>
        <w:wordWrap/>
        <w:overflowPunct/>
        <w:topLinePunct w:val="0"/>
        <w:autoSpaceDE/>
        <w:autoSpaceDN/>
        <w:bidi w:val="0"/>
        <w:snapToGrid/>
        <w:spacing w:line="560" w:lineRule="exact"/>
        <w:jc w:val="center"/>
        <w:textAlignment w:val="auto"/>
        <w:rPr>
          <w:rFonts w:hint="default" w:ascii="Times New Roman" w:hAnsi="Times New Roman" w:eastAsia="方正小标宋_GBK" w:cs="Times New Roman"/>
          <w:bCs/>
          <w:color w:val="auto"/>
          <w:sz w:val="44"/>
          <w:szCs w:val="44"/>
          <w:lang w:eastAsia="zh-CN"/>
        </w:rPr>
      </w:pPr>
      <w:r>
        <w:rPr>
          <w:rFonts w:hint="default" w:ascii="Times New Roman" w:hAnsi="Times New Roman" w:eastAsia="方正小标宋_GBK" w:cs="Times New Roman"/>
          <w:bCs/>
          <w:color w:val="auto"/>
          <w:sz w:val="44"/>
          <w:szCs w:val="44"/>
          <w:lang w:eastAsia="zh-CN"/>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73025</wp:posOffset>
                </wp:positionV>
                <wp:extent cx="5867400" cy="635"/>
                <wp:effectExtent l="0" t="13970" r="0" b="23495"/>
                <wp:wrapNone/>
                <wp:docPr id="1" name="直接连接符 1"/>
                <wp:cNvGraphicFramePr/>
                <a:graphic xmlns:a="http://schemas.openxmlformats.org/drawingml/2006/main">
                  <a:graphicData uri="http://schemas.microsoft.com/office/word/2010/wordprocessingShape">
                    <wps:wsp>
                      <wps:cNvCnPr/>
                      <wps:spPr>
                        <a:xfrm>
                          <a:off x="0" y="0"/>
                          <a:ext cx="586740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5.75pt;height:0.05pt;width:462pt;z-index:251662336;mso-width-relative:page;mso-height-relative:page;" filled="f" stroked="t" coordsize="21600,21600" o:gfxdata="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8wF5lNQAAAAGAQAADwAAAAAAAAABACAAAAAiAAAAZHJzL2Rvd25yZXYueG1sUEsB&#10;AhQAFAAAAAgAh07iQBtj+8L5AQAA5wMAAA4AAAAAAAAAAQAgAAAAIwEAAGRycy9lMm9Eb2MueG1s&#10;UEsFBgAAAAAGAAYAWQEAAI4FAAAAAA==&#10;">
                <v:fill on="f" focussize="0,0"/>
                <v:stroke weight="2.25pt" color="#FF0000" joinstyle="round"/>
                <v:imagedata o:title=""/>
                <o:lock v:ext="edit" aspectratio="f"/>
              </v:line>
            </w:pict>
          </mc:Fallback>
        </mc:AlternateContent>
      </w:r>
    </w:p>
    <w:p w14:paraId="6ABB4B9A">
      <w:pPr>
        <w:keepNext w:val="0"/>
        <w:keepLines w:val="0"/>
        <w:pageBreakBefore w:val="0"/>
        <w:widowControl w:val="0"/>
        <w:kinsoku/>
        <w:wordWrap/>
        <w:overflowPunct/>
        <w:topLinePunct w:val="0"/>
        <w:autoSpaceDE/>
        <w:autoSpaceDN/>
        <w:bidi w:val="0"/>
        <w:snapToGrid/>
        <w:spacing w:line="560" w:lineRule="exact"/>
        <w:jc w:val="both"/>
        <w:textAlignment w:val="auto"/>
        <w:rPr>
          <w:rFonts w:hint="default" w:ascii="Times New Roman" w:hAnsi="Times New Roman" w:eastAsia="方正小标宋_GBK" w:cs="Times New Roman"/>
          <w:bCs/>
          <w:color w:val="auto"/>
          <w:sz w:val="44"/>
          <w:szCs w:val="44"/>
          <w:lang w:eastAsia="zh-CN"/>
        </w:rPr>
      </w:pPr>
    </w:p>
    <w:p w14:paraId="4590D5CE">
      <w:pPr>
        <w:keepNext w:val="0"/>
        <w:keepLines w:val="0"/>
        <w:pageBreakBefore w:val="0"/>
        <w:widowControl w:val="0"/>
        <w:kinsoku/>
        <w:wordWrap/>
        <w:overflowPunct/>
        <w:topLinePunct w:val="0"/>
        <w:autoSpaceDE/>
        <w:autoSpaceDN/>
        <w:bidi w:val="0"/>
        <w:snapToGrid/>
        <w:spacing w:line="560" w:lineRule="exact"/>
        <w:jc w:val="center"/>
        <w:textAlignment w:val="auto"/>
        <w:rPr>
          <w:rFonts w:hint="default" w:ascii="Times New Roman" w:hAnsi="Times New Roman" w:eastAsia="方正小标宋_GBK" w:cs="Times New Roman"/>
          <w:bCs/>
          <w:color w:val="auto"/>
          <w:sz w:val="44"/>
          <w:szCs w:val="44"/>
        </w:rPr>
      </w:pPr>
      <w:r>
        <w:rPr>
          <w:rFonts w:hint="default" w:ascii="Times New Roman" w:hAnsi="Times New Roman" w:eastAsia="方正小标宋_GBK" w:cs="Times New Roman"/>
          <w:bCs/>
          <w:color w:val="auto"/>
          <w:sz w:val="44"/>
          <w:szCs w:val="44"/>
        </w:rPr>
        <w:t>玉溪市生态环境局</w:t>
      </w:r>
    </w:p>
    <w:p w14:paraId="5013F66C">
      <w:pPr>
        <w:keepNext w:val="0"/>
        <w:keepLines w:val="0"/>
        <w:pageBreakBefore w:val="0"/>
        <w:widowControl w:val="0"/>
        <w:kinsoku/>
        <w:wordWrap/>
        <w:overflowPunct/>
        <w:topLinePunct w:val="0"/>
        <w:autoSpaceDE/>
        <w:autoSpaceDN/>
        <w:bidi w:val="0"/>
        <w:snapToGrid/>
        <w:spacing w:line="560" w:lineRule="exact"/>
        <w:jc w:val="center"/>
        <w:textAlignment w:val="auto"/>
        <w:rPr>
          <w:rFonts w:hint="default" w:ascii="Times New Roman" w:hAnsi="Times New Roman" w:eastAsia="方正仿宋_GBK" w:cs="Times New Roman"/>
          <w:color w:val="auto"/>
          <w:sz w:val="32"/>
        </w:rPr>
      </w:pPr>
      <w:r>
        <w:rPr>
          <w:rFonts w:hint="default" w:ascii="Times New Roman" w:hAnsi="Times New Roman" w:eastAsia="方正小标宋_GBK" w:cs="Times New Roman"/>
          <w:bCs/>
          <w:color w:val="auto"/>
          <w:sz w:val="44"/>
          <w:szCs w:val="44"/>
          <w:lang w:eastAsia="zh-CN"/>
        </w:rPr>
        <w:t>关于云南三缘新型材料有限公司玉溪市新型材料环保石塑箱项目环境影响报告表的批复</w:t>
      </w:r>
    </w:p>
    <w:p w14:paraId="623B1D2B">
      <w:pPr>
        <w:keepNext w:val="0"/>
        <w:keepLines w:val="0"/>
        <w:pageBreakBefore w:val="0"/>
        <w:widowControl w:val="0"/>
        <w:kinsoku/>
        <w:wordWrap/>
        <w:overflowPunct/>
        <w:topLinePunct/>
        <w:autoSpaceDE/>
        <w:autoSpaceDN/>
        <w:bidi w:val="0"/>
        <w:adjustRightInd/>
        <w:snapToGrid/>
        <w:spacing w:line="560" w:lineRule="exact"/>
        <w:ind w:left="0" w:leftChars="0"/>
        <w:jc w:val="both"/>
        <w:textAlignment w:val="auto"/>
        <w:rPr>
          <w:rFonts w:hint="eastAsia" w:eastAsia="方正仿宋_GBK" w:cs="Times New Roman"/>
          <w:color w:val="auto"/>
          <w:sz w:val="32"/>
          <w:szCs w:val="32"/>
          <w:lang w:eastAsia="zh-CN"/>
        </w:rPr>
      </w:pPr>
    </w:p>
    <w:p w14:paraId="480E4E92">
      <w:pPr>
        <w:keepNext w:val="0"/>
        <w:keepLines w:val="0"/>
        <w:pageBreakBefore w:val="0"/>
        <w:widowControl w:val="0"/>
        <w:kinsoku/>
        <w:wordWrap/>
        <w:overflowPunct/>
        <w:topLinePunct/>
        <w:autoSpaceDE/>
        <w:autoSpaceDN/>
        <w:bidi w:val="0"/>
        <w:adjustRightInd/>
        <w:snapToGrid/>
        <w:spacing w:line="560" w:lineRule="exact"/>
        <w:ind w:left="0" w:leftChars="0"/>
        <w:jc w:val="both"/>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云南三缘新型材料有限公司：</w:t>
      </w:r>
    </w:p>
    <w:p w14:paraId="35490184">
      <w:pPr>
        <w:keepNext w:val="0"/>
        <w:keepLines w:val="0"/>
        <w:pageBreakBefore w:val="0"/>
        <w:widowControl w:val="0"/>
        <w:kinsoku/>
        <w:wordWrap/>
        <w:overflowPunct/>
        <w:topLinePunct/>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Cs/>
          <w:color w:val="auto"/>
          <w:sz w:val="32"/>
          <w:szCs w:val="32"/>
          <w:lang w:eastAsia="zh-CN"/>
        </w:rPr>
        <w:t>你</w:t>
      </w:r>
      <w:r>
        <w:rPr>
          <w:rFonts w:hint="eastAsia" w:eastAsia="方正仿宋_GBK" w:cs="Times New Roman"/>
          <w:bCs/>
          <w:color w:val="auto"/>
          <w:sz w:val="32"/>
          <w:szCs w:val="32"/>
          <w:lang w:eastAsia="zh-CN"/>
        </w:rPr>
        <w:t>单位</w:t>
      </w:r>
      <w:r>
        <w:rPr>
          <w:rFonts w:hint="default" w:ascii="Times New Roman" w:hAnsi="Times New Roman" w:eastAsia="方正仿宋_GBK" w:cs="Times New Roman"/>
          <w:bCs/>
          <w:color w:val="auto"/>
          <w:sz w:val="32"/>
          <w:szCs w:val="32"/>
          <w:lang w:val="en-US" w:eastAsia="zh-CN"/>
        </w:rPr>
        <w:t>申请报批的</w:t>
      </w:r>
      <w:r>
        <w:rPr>
          <w:rFonts w:hint="default" w:ascii="Times New Roman" w:hAnsi="Times New Roman" w:eastAsia="方正仿宋_GBK" w:cs="Times New Roman"/>
          <w:color w:val="auto"/>
          <w:sz w:val="32"/>
          <w:szCs w:val="32"/>
          <w:lang w:eastAsia="zh-CN"/>
        </w:rPr>
        <w:t>《玉溪市新型材料环保石塑箱项目</w:t>
      </w:r>
      <w:r>
        <w:rPr>
          <w:rFonts w:hint="eastAsia" w:eastAsia="方正仿宋_GBK" w:cs="Times New Roman"/>
          <w:color w:val="auto"/>
          <w:sz w:val="32"/>
          <w:szCs w:val="32"/>
          <w:lang w:eastAsia="zh-CN"/>
        </w:rPr>
        <w:t>环境影响报告表</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及相关附件材料</w:t>
      </w:r>
      <w:r>
        <w:rPr>
          <w:rFonts w:hint="default" w:ascii="Times New Roman" w:hAnsi="Times New Roman" w:eastAsia="方正仿宋_GBK" w:cs="Times New Roman"/>
          <w:bCs/>
          <w:color w:val="auto"/>
          <w:sz w:val="32"/>
          <w:szCs w:val="32"/>
          <w:lang w:val="en-US" w:eastAsia="zh-CN"/>
        </w:rPr>
        <w:t>（以下简称《报告表》）</w:t>
      </w:r>
      <w:r>
        <w:rPr>
          <w:rFonts w:hint="default" w:ascii="Times New Roman" w:hAnsi="Times New Roman" w:eastAsia="方正仿宋_GBK" w:cs="Times New Roman"/>
          <w:color w:val="auto"/>
          <w:sz w:val="32"/>
          <w:szCs w:val="32"/>
          <w:lang w:eastAsia="zh-CN"/>
        </w:rPr>
        <w:t>收悉。经研究，批复如下：</w:t>
      </w:r>
    </w:p>
    <w:p w14:paraId="2BEF2CC0">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一、</w:t>
      </w:r>
      <w:r>
        <w:rPr>
          <w:rFonts w:hint="eastAsia" w:eastAsia="方正黑体_GBK" w:cs="Times New Roman"/>
          <w:color w:val="auto"/>
          <w:sz w:val="32"/>
          <w:szCs w:val="32"/>
          <w:lang w:val="en-US" w:eastAsia="zh-CN"/>
        </w:rPr>
        <w:t>项目</w:t>
      </w:r>
      <w:r>
        <w:rPr>
          <w:rFonts w:hint="default" w:ascii="Times New Roman" w:hAnsi="Times New Roman" w:eastAsia="方正黑体_GBK" w:cs="Times New Roman"/>
          <w:color w:val="auto"/>
          <w:sz w:val="32"/>
          <w:szCs w:val="32"/>
          <w:lang w:val="en-US" w:eastAsia="zh-CN"/>
        </w:rPr>
        <w:t>基本情况</w:t>
      </w:r>
    </w:p>
    <w:p w14:paraId="01C9E51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eastAsia="方正仿宋_GBK" w:cs="Times New Roman"/>
          <w:color w:val="auto"/>
          <w:sz w:val="32"/>
          <w:szCs w:val="32"/>
          <w:lang w:val="en-US" w:eastAsia="zh-CN"/>
        </w:rPr>
      </w:pPr>
      <w:r>
        <w:rPr>
          <w:rFonts w:hint="eastAsia" w:eastAsia="方正仿宋_GBK" w:cs="Times New Roman"/>
          <w:color w:val="auto"/>
          <w:sz w:val="32"/>
          <w:szCs w:val="32"/>
          <w:lang w:val="en-US" w:eastAsia="zh-CN"/>
        </w:rPr>
        <w:t>该项目位于云南红塔产业产业园区研和片区地块一，租赁云南三缘电缆有限公司闲置厂房进行建设。项目取得了</w:t>
      </w:r>
      <w:r>
        <w:rPr>
          <w:rFonts w:hint="eastAsia" w:ascii="Times New Roman" w:hAnsi="Times New Roman" w:eastAsia="方正仿宋_GBK" w:cs="Times New Roman"/>
          <w:color w:val="auto"/>
          <w:sz w:val="32"/>
          <w:szCs w:val="32"/>
          <w:lang w:val="en-US" w:eastAsia="zh-CN"/>
        </w:rPr>
        <w:t>《云南省固定资产投资项目备案证》，项目代码</w:t>
      </w:r>
      <w:r>
        <w:rPr>
          <w:rFonts w:hint="eastAsia"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2508-530402-04-01-454327</w:t>
      </w:r>
      <w:r>
        <w:rPr>
          <w:rFonts w:hint="eastAsia" w:eastAsia="方正仿宋_GBK" w:cs="Times New Roman"/>
          <w:color w:val="auto"/>
          <w:sz w:val="32"/>
          <w:szCs w:val="32"/>
          <w:lang w:val="en-US" w:eastAsia="zh-CN"/>
        </w:rPr>
        <w:t>，总投资500万元，其中环保投资41.4万元。项目主要建设5条新型材料环保石塑箱生产线，并配套建设相应的公辅设施和环保工程，项目建成后形成年产2万吨新型材料环保石塑箱的生产规模。</w:t>
      </w:r>
    </w:p>
    <w:p w14:paraId="041B74F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方正仿宋_GBK" w:hAnsi="方正仿宋_GBK" w:eastAsia="方正仿宋_GBK" w:cs="方正仿宋_GBK"/>
          <w:bCs/>
          <w:color w:val="auto"/>
          <w:sz w:val="32"/>
          <w:szCs w:val="32"/>
          <w:lang w:val="en-US" w:eastAsia="zh-CN"/>
        </w:rPr>
      </w:pPr>
      <w:r>
        <w:rPr>
          <w:rFonts w:hint="default" w:ascii="Times New Roman" w:hAnsi="Times New Roman" w:eastAsia="方正仿宋_GBK" w:cs="Times New Roman"/>
          <w:color w:val="auto"/>
          <w:sz w:val="32"/>
          <w:szCs w:val="32"/>
          <w:lang w:eastAsia="zh-CN"/>
        </w:rPr>
        <w:t>在全面落实生态环境保护法律法规、《报告表》和本批复提出的各项污染防治和生态保护措施后，项目产生的不良生态环境影响可以得到减缓和控制，根据《报告表》《专家评审意见》及技术评估结论，该项目建设从生态环境保护的角</w:t>
      </w:r>
      <w:r>
        <w:rPr>
          <w:rFonts w:hint="default" w:ascii="Times New Roman" w:hAnsi="Times New Roman" w:eastAsia="方正仿宋_GBK" w:cs="Times New Roman"/>
          <w:color w:val="auto"/>
          <w:sz w:val="32"/>
          <w:szCs w:val="32"/>
        </w:rPr>
        <w:t>度可行，我局原则同意《报告表》的环境影响评价结论和拟采取的各项生态环境保护措施。</w:t>
      </w:r>
      <w:r>
        <w:rPr>
          <w:rFonts w:hint="default" w:ascii="Times New Roman" w:hAnsi="Times New Roman" w:eastAsia="方正仿宋_GBK" w:cs="Times New Roman"/>
          <w:color w:val="auto"/>
          <w:kern w:val="2"/>
          <w:sz w:val="32"/>
          <w:szCs w:val="32"/>
          <w:highlight w:val="none"/>
          <w:lang w:val="en-US" w:eastAsia="zh-CN" w:bidi="ar-SA"/>
        </w:rPr>
        <w:t>你单位应当落实生态环境保护主体责任，防止、减少环境污染和生态破坏，对《报告表》的内容和结论负责，对所造成的生态环境损害依法承担责任</w:t>
      </w:r>
      <w:r>
        <w:rPr>
          <w:rFonts w:hint="eastAsia" w:eastAsia="方正仿宋_GBK" w:cs="Times New Roman"/>
          <w:color w:val="auto"/>
          <w:sz w:val="32"/>
          <w:szCs w:val="32"/>
          <w:lang w:val="en-US" w:eastAsia="zh-CN"/>
        </w:rPr>
        <w:t>。</w:t>
      </w:r>
    </w:p>
    <w:p w14:paraId="5461A1C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方正仿宋_GBK" w:cs="Times New Roman"/>
          <w:b w:val="0"/>
          <w:bCs w:val="0"/>
          <w:color w:val="auto"/>
          <w:kern w:val="2"/>
          <w:sz w:val="32"/>
          <w:szCs w:val="32"/>
          <w:highlight w:val="none"/>
          <w:lang w:val="en-US" w:eastAsia="zh-CN" w:bidi="ar-SA"/>
        </w:rPr>
      </w:pPr>
      <w:r>
        <w:rPr>
          <w:rFonts w:hint="eastAsia" w:ascii="方正黑体_GBK" w:hAnsi="方正黑体_GBK" w:eastAsia="方正黑体_GBK" w:cs="方正黑体_GBK"/>
          <w:color w:val="auto"/>
          <w:sz w:val="32"/>
          <w:szCs w:val="32"/>
        </w:rPr>
        <w:t>二、</w:t>
      </w:r>
      <w:r>
        <w:rPr>
          <w:rFonts w:hint="default" w:ascii="Times New Roman" w:hAnsi="Times New Roman" w:eastAsia="方正黑体_GBK" w:cs="Times New Roman"/>
          <w:b w:val="0"/>
          <w:bCs w:val="0"/>
          <w:color w:val="auto"/>
          <w:kern w:val="2"/>
          <w:sz w:val="32"/>
          <w:szCs w:val="32"/>
          <w:highlight w:val="none"/>
          <w:lang w:val="en-US" w:eastAsia="zh-CN" w:bidi="ar-SA"/>
        </w:rPr>
        <w:t>项目建设和运营过程中应全面落实《报告表》提出的各项污染防治和生态保护措施，并重点做好以下工作：</w:t>
      </w:r>
    </w:p>
    <w:p w14:paraId="1EEE62B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b w:val="0"/>
          <w:bCs w:val="0"/>
          <w:color w:val="auto"/>
          <w:sz w:val="32"/>
          <w:szCs w:val="32"/>
          <w:lang w:eastAsia="zh-CN"/>
        </w:rPr>
        <w:t>（一）</w:t>
      </w:r>
      <w:r>
        <w:rPr>
          <w:rFonts w:hint="default" w:ascii="Times New Roman" w:hAnsi="Times New Roman" w:eastAsia="方正楷体_GBK" w:cs="Times New Roman"/>
          <w:color w:val="auto"/>
          <w:kern w:val="0"/>
          <w:sz w:val="32"/>
          <w:szCs w:val="32"/>
          <w:lang w:val="en-US" w:eastAsia="zh-CN"/>
        </w:rPr>
        <w:t>加强施工期环境管理，严格落实施工期各项环保措施。</w:t>
      </w:r>
      <w:r>
        <w:rPr>
          <w:rFonts w:hint="default" w:ascii="Times New Roman" w:hAnsi="Times New Roman" w:eastAsia="方正仿宋_GBK" w:cs="Times New Roman"/>
          <w:color w:val="auto"/>
          <w:sz w:val="32"/>
          <w:szCs w:val="32"/>
          <w:lang w:val="en-US" w:eastAsia="zh-CN"/>
        </w:rPr>
        <w:t>施工期采取洒水降尘、道路清扫、物料遮盖、封闭车辆运输、合理安排施工时间等措施减缓对周围环境的不良影响；项目施工扬尘无组织排放浓度达到《大气污染物综合排放标准》（GB16297-1996）规定的要求，施工噪声达到《建筑施工噪声排放标准》（GB12523-2025）规定的要求。</w:t>
      </w:r>
    </w:p>
    <w:p w14:paraId="2B69C0A6">
      <w:pPr>
        <w:keepNext w:val="0"/>
        <w:keepLines w:val="0"/>
        <w:pageBreakBefore w:val="0"/>
        <w:widowControl w:val="0"/>
        <w:numPr>
          <w:ilvl w:val="0"/>
          <w:numId w:val="0"/>
        </w:numPr>
        <w:kinsoku/>
        <w:wordWrap/>
        <w:overflowPunct/>
        <w:autoSpaceDE/>
        <w:autoSpaceDN/>
        <w:bidi w:val="0"/>
        <w:spacing w:line="560" w:lineRule="exact"/>
        <w:ind w:firstLine="620" w:firstLineChars="194"/>
        <w:jc w:val="both"/>
        <w:rPr>
          <w:rFonts w:hint="default"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bCs/>
          <w:color w:val="auto"/>
          <w:sz w:val="32"/>
          <w:szCs w:val="32"/>
        </w:rPr>
        <w:t>（二）</w:t>
      </w:r>
      <w:r>
        <w:rPr>
          <w:rFonts w:hint="default" w:ascii="Times New Roman" w:hAnsi="Times New Roman" w:eastAsia="方正楷体_GBK" w:cs="Times New Roman"/>
          <w:color w:val="auto"/>
          <w:sz w:val="32"/>
          <w:szCs w:val="32"/>
          <w:highlight w:val="none"/>
          <w:lang w:val="en-US" w:eastAsia="zh-CN"/>
        </w:rPr>
        <w:t>加强废气污染防治，确保大气污染物达标排放。</w:t>
      </w:r>
      <w:r>
        <w:rPr>
          <w:rFonts w:hint="default" w:ascii="Times New Roman" w:hAnsi="Times New Roman" w:eastAsia="方正仿宋_GBK" w:cs="Times New Roman"/>
          <w:color w:val="auto"/>
          <w:sz w:val="32"/>
          <w:szCs w:val="32"/>
          <w:lang w:val="en-US" w:eastAsia="zh-CN"/>
        </w:rPr>
        <w:t>项目</w:t>
      </w:r>
      <w:r>
        <w:rPr>
          <w:rFonts w:hint="eastAsia" w:eastAsia="方正仿宋_GBK" w:cs="Times New Roman"/>
          <w:color w:val="auto"/>
          <w:sz w:val="32"/>
          <w:szCs w:val="32"/>
          <w:lang w:val="en-US" w:eastAsia="zh-CN"/>
        </w:rPr>
        <w:t>挤出、</w:t>
      </w:r>
      <w:r>
        <w:rPr>
          <w:rFonts w:hint="default" w:ascii="Times New Roman" w:hAnsi="Times New Roman" w:eastAsia="方正仿宋_GBK" w:cs="Times New Roman"/>
          <w:color w:val="auto"/>
          <w:sz w:val="32"/>
          <w:szCs w:val="32"/>
          <w:lang w:val="en-US" w:eastAsia="zh-CN"/>
        </w:rPr>
        <w:t>模具成型、超声波焊接工序产生的</w:t>
      </w:r>
      <w:r>
        <w:rPr>
          <w:rFonts w:hint="eastAsia" w:eastAsia="方正仿宋_GBK" w:cs="Times New Roman"/>
          <w:color w:val="auto"/>
          <w:sz w:val="32"/>
          <w:szCs w:val="32"/>
          <w:lang w:val="en-US" w:eastAsia="zh-CN"/>
        </w:rPr>
        <w:t>废气</w:t>
      </w:r>
      <w:r>
        <w:rPr>
          <w:rFonts w:hint="default" w:ascii="Times New Roman" w:hAnsi="Times New Roman" w:eastAsia="方正仿宋_GBK" w:cs="Times New Roman"/>
          <w:color w:val="auto"/>
          <w:sz w:val="32"/>
          <w:szCs w:val="32"/>
          <w:lang w:val="en-US" w:eastAsia="zh-CN"/>
        </w:rPr>
        <w:t>分别收</w:t>
      </w:r>
      <w:r>
        <w:rPr>
          <w:rFonts w:hint="eastAsia" w:ascii="Times New Roman" w:hAnsi="Times New Roman" w:eastAsia="方正仿宋_GBK" w:cs="Times New Roman"/>
          <w:color w:val="auto"/>
          <w:sz w:val="32"/>
          <w:szCs w:val="32"/>
          <w:lang w:val="en-US" w:eastAsia="zh-CN"/>
        </w:rPr>
        <w:t>集通过</w:t>
      </w:r>
      <w:r>
        <w:rPr>
          <w:rFonts w:hint="eastAsia" w:ascii="Times New Roman" w:hAnsi="Times New Roman" w:eastAsia="方正仿宋_GBK" w:cs="Times New Roman"/>
          <w:color w:val="auto"/>
          <w:sz w:val="32"/>
          <w:szCs w:val="32"/>
          <w:highlight w:val="none"/>
        </w:rPr>
        <w:t>活性炭吸附</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rPr>
        <w:t>脱附</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lang w:val="en-US" w:eastAsia="zh-CN"/>
        </w:rPr>
        <w:t>+催化燃烧</w:t>
      </w:r>
      <w:r>
        <w:rPr>
          <w:rFonts w:hint="eastAsia" w:ascii="Times New Roman" w:hAnsi="Times New Roman" w:eastAsia="方正仿宋_GBK" w:cs="Times New Roman"/>
          <w:color w:val="auto"/>
          <w:sz w:val="32"/>
          <w:szCs w:val="32"/>
          <w:highlight w:val="none"/>
          <w:lang w:eastAsia="zh-CN"/>
        </w:rPr>
        <w:t>（CO）</w:t>
      </w:r>
      <w:r>
        <w:rPr>
          <w:rFonts w:hint="eastAsia" w:ascii="Times New Roman" w:hAnsi="Times New Roman" w:eastAsia="方正仿宋_GBK" w:cs="Times New Roman"/>
          <w:color w:val="auto"/>
          <w:sz w:val="32"/>
          <w:szCs w:val="32"/>
          <w:lang w:val="en-US" w:eastAsia="zh-CN"/>
        </w:rPr>
        <w:t>装置处理后，由1根不低于20米高的</w:t>
      </w:r>
      <w:r>
        <w:rPr>
          <w:rFonts w:hint="default" w:ascii="Times New Roman" w:hAnsi="Times New Roman" w:eastAsia="方正仿宋_GBK" w:cs="Times New Roman"/>
          <w:color w:val="auto"/>
          <w:sz w:val="32"/>
          <w:szCs w:val="32"/>
          <w:lang w:val="en-US" w:eastAsia="zh-CN"/>
        </w:rPr>
        <w:t>排气筒排放</w:t>
      </w:r>
      <w:r>
        <w:rPr>
          <w:rFonts w:hint="eastAsia" w:eastAsia="方正仿宋_GBK" w:cs="Times New Roman"/>
          <w:color w:val="auto"/>
          <w:sz w:val="32"/>
          <w:szCs w:val="32"/>
          <w:lang w:val="en-US" w:eastAsia="zh-CN"/>
        </w:rPr>
        <w:t>，</w:t>
      </w:r>
      <w:r>
        <w:rPr>
          <w:rFonts w:hint="eastAsia" w:eastAsia="方正仿宋_GBK" w:cs="Times New Roman"/>
          <w:bCs w:val="0"/>
          <w:color w:val="auto"/>
          <w:sz w:val="32"/>
          <w:szCs w:val="32"/>
          <w:lang w:val="en-US" w:eastAsia="zh-CN"/>
        </w:rPr>
        <w:t>确保有组织排放的颗粒物、</w:t>
      </w:r>
      <w:r>
        <w:rPr>
          <w:rFonts w:hint="eastAsia" w:ascii="Times New Roman" w:hAnsi="Times New Roman" w:eastAsia="方正仿宋_GBK" w:cs="Times New Roman"/>
          <w:bCs w:val="0"/>
          <w:color w:val="auto"/>
          <w:sz w:val="32"/>
          <w:szCs w:val="32"/>
          <w:lang w:val="en-US" w:eastAsia="zh-CN"/>
        </w:rPr>
        <w:t>非甲烷总烃浓度</w:t>
      </w:r>
      <w:r>
        <w:rPr>
          <w:rFonts w:hint="eastAsia" w:eastAsia="方正仿宋_GBK" w:cs="Times New Roman"/>
          <w:bCs w:val="0"/>
          <w:color w:val="auto"/>
          <w:sz w:val="32"/>
          <w:szCs w:val="32"/>
          <w:lang w:val="en-US" w:eastAsia="zh-CN"/>
        </w:rPr>
        <w:t>达到</w:t>
      </w:r>
      <w:r>
        <w:rPr>
          <w:rFonts w:hint="eastAsia" w:ascii="Times New Roman" w:hAnsi="Times New Roman" w:eastAsia="方正仿宋_GBK" w:cs="Times New Roman"/>
          <w:bCs w:val="0"/>
          <w:color w:val="auto"/>
          <w:sz w:val="32"/>
          <w:szCs w:val="32"/>
          <w:lang w:val="en-US" w:eastAsia="zh-CN"/>
        </w:rPr>
        <w:t>《合成树脂工业污染物排放标准》（GB31572-2015）及2024年修改单规定的排放限值要求</w:t>
      </w:r>
      <w:r>
        <w:rPr>
          <w:rFonts w:hint="eastAsia" w:eastAsia="方正仿宋_GBK" w:cs="Times New Roman"/>
          <w:bCs w:val="0"/>
          <w:color w:val="auto"/>
          <w:sz w:val="32"/>
          <w:szCs w:val="32"/>
          <w:lang w:val="en-US" w:eastAsia="zh-CN"/>
        </w:rPr>
        <w:t>；</w:t>
      </w:r>
      <w:r>
        <w:rPr>
          <w:rFonts w:hint="default" w:ascii="Times New Roman" w:hAnsi="Times New Roman" w:eastAsia="方正仿宋_GBK" w:cs="Times New Roman"/>
          <w:color w:val="auto"/>
          <w:sz w:val="32"/>
          <w:szCs w:val="32"/>
          <w:lang w:val="en-US" w:eastAsia="zh-CN"/>
        </w:rPr>
        <w:t>印刷工序产生的废气经收集通过二级活性炭吸附处理后，由1根不低于20米高的排气筒排放</w:t>
      </w:r>
      <w:r>
        <w:rPr>
          <w:rFonts w:hint="eastAsia"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确保有组织排放的非甲烷总烃浓度达到《印刷工业大气污染物排放标准》（GB41616-2022）规定的排放限值</w:t>
      </w:r>
      <w:r>
        <w:rPr>
          <w:rFonts w:hint="eastAsia" w:ascii="Times New Roman" w:hAnsi="Times New Roman" w:eastAsia="方正仿宋_GBK" w:cs="Times New Roman"/>
          <w:color w:val="auto"/>
          <w:sz w:val="32"/>
          <w:szCs w:val="32"/>
          <w:lang w:val="en-US" w:eastAsia="zh-CN"/>
        </w:rPr>
        <w:t>要求，</w:t>
      </w:r>
      <w:r>
        <w:rPr>
          <w:rFonts w:hint="eastAsia" w:eastAsia="方正仿宋_GBK" w:cs="Times New Roman"/>
          <w:color w:val="auto"/>
          <w:sz w:val="32"/>
          <w:szCs w:val="32"/>
          <w:lang w:val="en-US" w:eastAsia="zh-CN"/>
        </w:rPr>
        <w:t>项目有组织排放的</w:t>
      </w:r>
      <w:r>
        <w:rPr>
          <w:rFonts w:hint="default" w:ascii="Times New Roman" w:hAnsi="Times New Roman" w:eastAsia="方正仿宋_GBK" w:cs="Times New Roman"/>
          <w:color w:val="auto"/>
          <w:sz w:val="32"/>
          <w:szCs w:val="32"/>
          <w:lang w:val="en-US" w:eastAsia="zh-CN"/>
        </w:rPr>
        <w:t>臭气浓度满足《恶臭污染物排放标准》（GB14554-93）表2</w:t>
      </w:r>
      <w:r>
        <w:rPr>
          <w:rFonts w:hint="eastAsia" w:eastAsia="方正仿宋_GBK" w:cs="Times New Roman"/>
          <w:color w:val="auto"/>
          <w:sz w:val="32"/>
          <w:szCs w:val="32"/>
          <w:lang w:val="en-US" w:eastAsia="zh-CN"/>
        </w:rPr>
        <w:t>规定的排放限值要求</w:t>
      </w:r>
      <w:r>
        <w:rPr>
          <w:rFonts w:hint="default" w:ascii="Times New Roman" w:hAnsi="Times New Roman" w:eastAsia="方正仿宋_GBK" w:cs="Times New Roman"/>
          <w:color w:val="auto"/>
          <w:sz w:val="32"/>
          <w:szCs w:val="32"/>
          <w:lang w:val="en-US" w:eastAsia="zh-CN"/>
        </w:rPr>
        <w:t>；切实加强生产过程中无组织排放废气的控制，确保厂区内挥发性有机物无组织排放浓度</w:t>
      </w:r>
      <w:r>
        <w:rPr>
          <w:rFonts w:hint="eastAsia" w:eastAsia="方正仿宋_GBK" w:cs="Times New Roman"/>
          <w:color w:val="auto"/>
          <w:sz w:val="32"/>
          <w:szCs w:val="32"/>
          <w:lang w:val="en-US" w:eastAsia="zh-CN"/>
        </w:rPr>
        <w:t>达到</w:t>
      </w:r>
      <w:r>
        <w:rPr>
          <w:rFonts w:hint="default" w:ascii="Times New Roman" w:hAnsi="Times New Roman" w:eastAsia="方正仿宋_GBK" w:cs="Times New Roman"/>
          <w:color w:val="000000"/>
          <w:spacing w:val="-4"/>
          <w:sz w:val="32"/>
          <w:szCs w:val="32"/>
          <w:lang w:val="en-US" w:eastAsia="zh-CN"/>
        </w:rPr>
        <w:t>《挥发性有机物无组织排放控制标准》（GB37822</w:t>
      </w:r>
      <w:r>
        <w:rPr>
          <w:rFonts w:hint="eastAsia" w:ascii="Times New Roman" w:hAnsi="Times New Roman" w:eastAsia="方正仿宋_GBK" w:cs="Times New Roman"/>
          <w:color w:val="000000"/>
          <w:spacing w:val="-4"/>
          <w:sz w:val="32"/>
          <w:szCs w:val="32"/>
          <w:lang w:val="en-US" w:eastAsia="zh-CN"/>
        </w:rPr>
        <w:t>-</w:t>
      </w:r>
      <w:r>
        <w:rPr>
          <w:rFonts w:hint="default" w:ascii="Times New Roman" w:hAnsi="Times New Roman" w:eastAsia="方正仿宋_GBK" w:cs="Times New Roman"/>
          <w:color w:val="000000"/>
          <w:spacing w:val="-4"/>
          <w:sz w:val="32"/>
          <w:szCs w:val="32"/>
          <w:lang w:val="en-US" w:eastAsia="zh-CN"/>
        </w:rPr>
        <w:t>2019）</w:t>
      </w:r>
      <w:r>
        <w:rPr>
          <w:rFonts w:hint="eastAsia" w:eastAsia="方正仿宋_GBK" w:cs="Times New Roman"/>
          <w:color w:val="000000"/>
          <w:spacing w:val="-4"/>
          <w:sz w:val="32"/>
          <w:szCs w:val="32"/>
          <w:lang w:val="en-US" w:eastAsia="zh-CN"/>
        </w:rPr>
        <w:t>及</w:t>
      </w:r>
      <w:r>
        <w:rPr>
          <w:rFonts w:hint="default" w:ascii="Times New Roman" w:hAnsi="Times New Roman" w:eastAsia="方正仿宋_GBK" w:cs="Times New Roman"/>
          <w:color w:val="auto"/>
          <w:sz w:val="32"/>
          <w:szCs w:val="32"/>
          <w:highlight w:val="none"/>
          <w:lang w:val="en-US" w:eastAsia="zh-CN"/>
        </w:rPr>
        <w:t>《印刷工业大气污染物排放标准》（GB41616-2022）</w:t>
      </w:r>
      <w:r>
        <w:rPr>
          <w:rFonts w:hint="eastAsia" w:eastAsia="方正仿宋_GBK" w:cs="Times New Roman"/>
          <w:color w:val="auto"/>
          <w:sz w:val="32"/>
          <w:szCs w:val="32"/>
          <w:highlight w:val="none"/>
          <w:lang w:val="en-US" w:eastAsia="zh-CN"/>
        </w:rPr>
        <w:t>表A.1</w:t>
      </w:r>
      <w:r>
        <w:rPr>
          <w:rFonts w:hint="eastAsia" w:eastAsia="方正仿宋_GBK" w:cs="Times New Roman"/>
          <w:color w:val="auto"/>
          <w:sz w:val="32"/>
          <w:szCs w:val="32"/>
          <w:lang w:val="en-US" w:eastAsia="zh-CN"/>
        </w:rPr>
        <w:t>规定的最严限值要求；</w:t>
      </w:r>
      <w:r>
        <w:rPr>
          <w:rFonts w:hint="default" w:ascii="Times New Roman" w:hAnsi="Times New Roman" w:eastAsia="方正仿宋_GBK" w:cs="Times New Roman"/>
          <w:color w:val="auto"/>
          <w:sz w:val="32"/>
          <w:szCs w:val="32"/>
          <w:lang w:val="en-US" w:eastAsia="zh-CN"/>
        </w:rPr>
        <w:t>厂界</w:t>
      </w:r>
      <w:r>
        <w:rPr>
          <w:rFonts w:hint="eastAsia" w:eastAsia="方正仿宋_GBK" w:cs="Times New Roman"/>
          <w:color w:val="auto"/>
          <w:sz w:val="32"/>
          <w:szCs w:val="32"/>
          <w:lang w:val="en-US" w:eastAsia="zh-CN"/>
        </w:rPr>
        <w:t>无组织排放的</w:t>
      </w:r>
      <w:r>
        <w:rPr>
          <w:rFonts w:hint="default" w:ascii="Times New Roman" w:hAnsi="Times New Roman" w:eastAsia="方正仿宋_GBK" w:cs="Times New Roman"/>
          <w:color w:val="auto"/>
          <w:sz w:val="32"/>
          <w:szCs w:val="32"/>
          <w:lang w:val="en-US" w:eastAsia="zh-CN"/>
        </w:rPr>
        <w:t>非甲烷总烃、颗粒物浓度达到《合成树脂工业污染物排放标准》（GB31572-2015</w:t>
      </w:r>
      <w:r>
        <w:rPr>
          <w:rFonts w:hint="eastAsia"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含2024年修改单）规定的限值</w:t>
      </w:r>
      <w:r>
        <w:rPr>
          <w:rFonts w:hint="eastAsia" w:eastAsia="方正仿宋_GBK" w:cs="Times New Roman"/>
          <w:color w:val="auto"/>
          <w:sz w:val="32"/>
          <w:szCs w:val="32"/>
          <w:lang w:val="en-US" w:eastAsia="zh-CN"/>
        </w:rPr>
        <w:t>要求</w:t>
      </w:r>
      <w:r>
        <w:rPr>
          <w:rFonts w:hint="default" w:ascii="Times New Roman" w:hAnsi="Times New Roman" w:eastAsia="方正仿宋_GBK" w:cs="Times New Roman"/>
          <w:color w:val="auto"/>
          <w:sz w:val="32"/>
          <w:szCs w:val="32"/>
          <w:lang w:val="en-US" w:eastAsia="zh-CN"/>
        </w:rPr>
        <w:t>，厂界臭气浓度达到《恶臭污染物排放标准》（GB14554-93）表1规定的无组织排放浓度要求。</w:t>
      </w:r>
    </w:p>
    <w:p w14:paraId="70CE7AE8">
      <w:pPr>
        <w:keepNext w:val="0"/>
        <w:keepLines w:val="0"/>
        <w:pageBreakBefore w:val="0"/>
        <w:widowControl w:val="0"/>
        <w:kinsoku/>
        <w:wordWrap/>
        <w:overflowPunct/>
        <w:autoSpaceDE/>
        <w:autoSpaceDN/>
        <w:bidi w:val="0"/>
        <w:spacing w:line="56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color w:val="auto"/>
          <w:kern w:val="0"/>
          <w:sz w:val="32"/>
          <w:szCs w:val="32"/>
          <w:lang w:val="en-US" w:eastAsia="zh-CN"/>
        </w:rPr>
        <w:t>（</w:t>
      </w:r>
      <w:r>
        <w:rPr>
          <w:rFonts w:hint="eastAsia" w:ascii="Times New Roman" w:hAnsi="Times New Roman" w:eastAsia="方正楷体_GBK" w:cs="Times New Roman"/>
          <w:color w:val="auto"/>
          <w:kern w:val="0"/>
          <w:sz w:val="32"/>
          <w:szCs w:val="32"/>
          <w:lang w:val="en-US" w:eastAsia="zh-CN"/>
        </w:rPr>
        <w:t>三</w:t>
      </w:r>
      <w:r>
        <w:rPr>
          <w:rFonts w:hint="default" w:ascii="Times New Roman" w:hAnsi="Times New Roman" w:eastAsia="方正楷体_GBK" w:cs="Times New Roman"/>
          <w:color w:val="auto"/>
          <w:kern w:val="0"/>
          <w:sz w:val="32"/>
          <w:szCs w:val="32"/>
          <w:lang w:val="en-US" w:eastAsia="zh-CN"/>
        </w:rPr>
        <w:t>）严格落实水污染防治措施。</w:t>
      </w:r>
      <w:r>
        <w:rPr>
          <w:rFonts w:hint="eastAsia" w:ascii="Times New Roman" w:hAnsi="Times New Roman" w:eastAsia="方正仿宋_GBK" w:cs="Times New Roman"/>
          <w:color w:val="auto"/>
          <w:sz w:val="32"/>
          <w:szCs w:val="32"/>
          <w:lang w:val="en-US" w:eastAsia="zh-CN"/>
        </w:rPr>
        <w:t>按照雨污分流、清污分流原则，</w:t>
      </w:r>
      <w:r>
        <w:rPr>
          <w:rFonts w:hint="default" w:ascii="Times New Roman" w:hAnsi="Times New Roman" w:eastAsia="方正仿宋_GBK" w:cs="Times New Roman"/>
          <w:bCs/>
          <w:color w:val="auto"/>
          <w:sz w:val="32"/>
          <w:szCs w:val="32"/>
          <w:lang w:val="en-US" w:eastAsia="zh-CN"/>
        </w:rPr>
        <w:t>建设排水和回用系统</w:t>
      </w:r>
      <w:r>
        <w:rPr>
          <w:rFonts w:hint="default" w:ascii="Times New Roman" w:hAnsi="Times New Roman" w:eastAsia="方正仿宋_GBK" w:cs="Times New Roman"/>
          <w:color w:val="auto"/>
          <w:sz w:val="32"/>
          <w:szCs w:val="32"/>
          <w:lang w:val="en-US" w:eastAsia="zh-CN"/>
        </w:rPr>
        <w:t>，确保满足</w:t>
      </w:r>
      <w:r>
        <w:rPr>
          <w:rFonts w:hint="default" w:ascii="Times New Roman" w:hAnsi="Times New Roman" w:eastAsia="方正仿宋_GBK" w:cs="Times New Roman"/>
          <w:color w:val="auto"/>
          <w:sz w:val="32"/>
          <w:szCs w:val="32"/>
          <w:lang w:val="en-US"/>
        </w:rPr>
        <w:t>项目</w:t>
      </w:r>
      <w:r>
        <w:rPr>
          <w:rFonts w:hint="default" w:ascii="Times New Roman" w:hAnsi="Times New Roman" w:eastAsia="方正仿宋_GBK" w:cs="Times New Roman"/>
          <w:color w:val="auto"/>
          <w:sz w:val="32"/>
          <w:szCs w:val="32"/>
          <w:lang w:val="en-US" w:eastAsia="zh-CN"/>
        </w:rPr>
        <w:t>废水处理、</w:t>
      </w:r>
      <w:r>
        <w:rPr>
          <w:rFonts w:hint="default" w:ascii="Times New Roman" w:hAnsi="Times New Roman" w:eastAsia="方正仿宋_GBK" w:cs="Times New Roman"/>
          <w:color w:val="auto"/>
          <w:sz w:val="32"/>
          <w:szCs w:val="32"/>
          <w:lang w:val="en-US"/>
        </w:rPr>
        <w:t>回用</w:t>
      </w:r>
      <w:r>
        <w:rPr>
          <w:rFonts w:hint="default" w:ascii="Times New Roman" w:hAnsi="Times New Roman" w:eastAsia="方正仿宋_GBK" w:cs="Times New Roman"/>
          <w:color w:val="auto"/>
          <w:sz w:val="32"/>
          <w:szCs w:val="32"/>
          <w:lang w:val="en-US" w:eastAsia="zh-CN"/>
        </w:rPr>
        <w:t>的要求。项目产生的设备冷却水循环使用，严禁外排</w:t>
      </w:r>
      <w:r>
        <w:rPr>
          <w:rFonts w:hint="eastAsia" w:eastAsia="方正仿宋_GBK" w:cs="Times New Roman"/>
          <w:color w:val="auto"/>
          <w:sz w:val="32"/>
          <w:szCs w:val="32"/>
          <w:lang w:val="en-US" w:eastAsia="zh-CN"/>
        </w:rPr>
        <w:t>。</w:t>
      </w:r>
      <w:r>
        <w:rPr>
          <w:rFonts w:hint="default" w:ascii="Times New Roman" w:hAnsi="Times New Roman" w:eastAsia="方正仿宋_GBK" w:cs="Times New Roman"/>
          <w:bCs w:val="0"/>
          <w:color w:val="auto"/>
          <w:sz w:val="32"/>
          <w:szCs w:val="32"/>
          <w:lang w:val="en-US" w:eastAsia="zh-CN"/>
        </w:rPr>
        <w:t>生活污水</w:t>
      </w:r>
      <w:r>
        <w:rPr>
          <w:rFonts w:hint="eastAsia" w:eastAsia="方正仿宋_GBK" w:cs="Times New Roman"/>
          <w:bCs w:val="0"/>
          <w:color w:val="auto"/>
          <w:sz w:val="32"/>
          <w:szCs w:val="32"/>
          <w:lang w:val="en-US" w:eastAsia="zh-CN"/>
        </w:rPr>
        <w:t>经预</w:t>
      </w:r>
      <w:r>
        <w:rPr>
          <w:rFonts w:hint="default" w:ascii="Times New Roman" w:hAnsi="Times New Roman" w:eastAsia="方正仿宋_GBK" w:cs="Times New Roman"/>
          <w:bCs w:val="0"/>
          <w:color w:val="auto"/>
          <w:sz w:val="32"/>
          <w:szCs w:val="32"/>
          <w:lang w:val="en-US" w:eastAsia="zh-CN"/>
        </w:rPr>
        <w:t>处理</w:t>
      </w:r>
      <w:r>
        <w:rPr>
          <w:rFonts w:hint="eastAsia" w:eastAsia="方正仿宋_GBK" w:cs="Times New Roman"/>
          <w:bCs w:val="0"/>
          <w:color w:val="auto"/>
          <w:sz w:val="32"/>
          <w:szCs w:val="32"/>
          <w:lang w:val="en-US" w:eastAsia="zh-CN"/>
        </w:rPr>
        <w:t>达到</w:t>
      </w:r>
      <w:r>
        <w:rPr>
          <w:rFonts w:hint="default" w:ascii="Times New Roman" w:hAnsi="Times New Roman" w:eastAsia="方正仿宋_GBK" w:cs="Times New Roman"/>
          <w:bCs w:val="0"/>
          <w:color w:val="auto"/>
          <w:sz w:val="32"/>
          <w:szCs w:val="32"/>
          <w:lang w:val="en-US" w:eastAsia="zh-CN"/>
        </w:rPr>
        <w:t>《污水综合排放标准》（GB8978-1996）表4三级标准和《污水排入城镇下水道水质标准》（GB/T31962-2015）</w:t>
      </w:r>
      <w:r>
        <w:rPr>
          <w:rFonts w:hint="default" w:ascii="Times New Roman" w:hAnsi="Times New Roman" w:eastAsia="方正仿宋_GBK" w:cs="Times New Roman"/>
          <w:color w:val="auto"/>
          <w:sz w:val="32"/>
          <w:szCs w:val="32"/>
          <w:highlight w:val="none"/>
          <w:lang w:val="en-US" w:eastAsia="zh-CN"/>
        </w:rPr>
        <w:t>表1</w:t>
      </w:r>
      <w:r>
        <w:rPr>
          <w:rFonts w:hint="eastAsia" w:eastAsia="方正仿宋_GBK" w:cs="Times New Roman"/>
          <w:color w:val="auto"/>
          <w:sz w:val="32"/>
          <w:szCs w:val="32"/>
          <w:highlight w:val="none"/>
          <w:lang w:val="en-US" w:eastAsia="zh-CN"/>
        </w:rPr>
        <w:t>A</w:t>
      </w:r>
      <w:r>
        <w:rPr>
          <w:rFonts w:hint="default" w:ascii="Times New Roman" w:hAnsi="Times New Roman" w:eastAsia="方正仿宋_GBK" w:cs="Times New Roman"/>
          <w:color w:val="auto"/>
          <w:sz w:val="32"/>
          <w:szCs w:val="32"/>
          <w:highlight w:val="none"/>
          <w:lang w:val="en-US" w:eastAsia="zh-CN"/>
        </w:rPr>
        <w:t>等级标准</w:t>
      </w:r>
      <w:r>
        <w:rPr>
          <w:rFonts w:hint="eastAsia" w:eastAsia="方正仿宋_GBK" w:cs="Times New Roman"/>
          <w:color w:val="auto"/>
          <w:sz w:val="32"/>
          <w:szCs w:val="32"/>
          <w:highlight w:val="none"/>
          <w:lang w:val="en-US" w:eastAsia="zh-CN"/>
        </w:rPr>
        <w:t>规定的</w:t>
      </w:r>
      <w:r>
        <w:rPr>
          <w:rFonts w:hint="default" w:ascii="Times New Roman" w:hAnsi="Times New Roman" w:eastAsia="方正仿宋_GBK" w:cs="Times New Roman"/>
          <w:sz w:val="32"/>
          <w:szCs w:val="32"/>
          <w:lang w:eastAsia="zh-CN"/>
        </w:rPr>
        <w:t>最严标准值</w:t>
      </w:r>
      <w:r>
        <w:rPr>
          <w:rFonts w:hint="default" w:ascii="Times New Roman" w:hAnsi="Times New Roman" w:eastAsia="方正仿宋_GBK" w:cs="Times New Roman"/>
          <w:bCs/>
          <w:sz w:val="32"/>
          <w:szCs w:val="32"/>
        </w:rPr>
        <w:t>后，</w:t>
      </w:r>
      <w:r>
        <w:rPr>
          <w:rFonts w:hint="default" w:ascii="Times New Roman" w:hAnsi="Times New Roman" w:eastAsia="方正仿宋_GBK" w:cs="Times New Roman"/>
          <w:color w:val="auto"/>
          <w:sz w:val="32"/>
          <w:szCs w:val="32"/>
          <w:lang w:val="en-US" w:eastAsia="zh-CN"/>
        </w:rPr>
        <w:t>用槽罐车送至玉溪市第二污水处理厂处理，严禁</w:t>
      </w:r>
      <w:r>
        <w:rPr>
          <w:rFonts w:hint="eastAsia" w:eastAsia="方正仿宋_GBK" w:cs="Times New Roman"/>
          <w:color w:val="auto"/>
          <w:sz w:val="32"/>
          <w:szCs w:val="32"/>
          <w:lang w:val="en-US" w:eastAsia="zh-CN"/>
        </w:rPr>
        <w:t>随意排放。</w:t>
      </w:r>
    </w:p>
    <w:p w14:paraId="1E3607CD">
      <w:pPr>
        <w:keepNext w:val="0"/>
        <w:keepLines w:val="0"/>
        <w:pageBreakBefore w:val="0"/>
        <w:widowControl w:val="0"/>
        <w:kinsoku/>
        <w:wordWrap/>
        <w:overflowPunct/>
        <w:topLinePunct w:val="0"/>
        <w:autoSpaceDE/>
        <w:autoSpaceDN/>
        <w:bidi w:val="0"/>
        <w:adjustRightInd/>
        <w:spacing w:line="56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color w:val="auto"/>
          <w:sz w:val="32"/>
          <w:szCs w:val="32"/>
          <w:lang w:val="en-US" w:eastAsia="zh-CN"/>
        </w:rPr>
        <w:t>（四）严格落实噪声污染防治措施。</w:t>
      </w:r>
      <w:r>
        <w:rPr>
          <w:rFonts w:hint="eastAsia" w:ascii="Times New Roman" w:hAnsi="Times New Roman" w:eastAsia="方正仿宋_GBK" w:cs="Times New Roman"/>
          <w:color w:val="auto"/>
          <w:sz w:val="32"/>
          <w:szCs w:val="32"/>
          <w:lang w:val="en-US" w:eastAsia="zh-CN"/>
        </w:rPr>
        <w:t>选用低噪声设备，合理布置高噪声设备，通过采取减振、消声、隔声等措施，确保项目厂界噪声</w:t>
      </w:r>
      <w:r>
        <w:rPr>
          <w:rFonts w:hint="eastAsia" w:eastAsia="方正仿宋_GBK" w:cs="Times New Roman"/>
          <w:color w:val="auto"/>
          <w:sz w:val="32"/>
          <w:szCs w:val="32"/>
          <w:lang w:val="en-US" w:eastAsia="zh-CN"/>
        </w:rPr>
        <w:t>排放</w:t>
      </w:r>
      <w:r>
        <w:rPr>
          <w:rFonts w:hint="eastAsia" w:ascii="Times New Roman" w:hAnsi="Times New Roman" w:eastAsia="方正仿宋_GBK" w:cs="Times New Roman"/>
          <w:color w:val="auto"/>
          <w:sz w:val="32"/>
          <w:szCs w:val="32"/>
          <w:lang w:val="en-US" w:eastAsia="zh-CN"/>
        </w:rPr>
        <w:t>达到《工业企业厂界环境噪声排放标准》（GB12348-2008）</w:t>
      </w:r>
      <w:r>
        <w:rPr>
          <w:rFonts w:hint="eastAsia" w:eastAsia="方正仿宋_GBK" w:cs="Times New Roman"/>
          <w:color w:val="auto"/>
          <w:sz w:val="32"/>
          <w:szCs w:val="32"/>
          <w:lang w:val="en-US" w:eastAsia="zh-CN"/>
        </w:rPr>
        <w:t>3</w:t>
      </w:r>
      <w:r>
        <w:rPr>
          <w:rFonts w:hint="eastAsia" w:ascii="Times New Roman" w:hAnsi="Times New Roman" w:eastAsia="方正仿宋_GBK" w:cs="Times New Roman"/>
          <w:color w:val="auto"/>
          <w:sz w:val="32"/>
          <w:szCs w:val="32"/>
          <w:lang w:val="en-US" w:eastAsia="zh-CN"/>
        </w:rPr>
        <w:t>类标准要求</w:t>
      </w:r>
      <w:r>
        <w:rPr>
          <w:rFonts w:hint="eastAsia" w:eastAsia="方正仿宋_GBK" w:cs="Times New Roman"/>
          <w:color w:val="auto"/>
          <w:sz w:val="32"/>
          <w:szCs w:val="32"/>
          <w:lang w:val="en-US" w:eastAsia="zh-CN"/>
        </w:rPr>
        <w:t>。</w:t>
      </w:r>
    </w:p>
    <w:p w14:paraId="161C1BC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eastAsia" w:ascii="方正楷体_GBK" w:hAnsi="方正楷体_GBK" w:eastAsia="方正楷体_GBK" w:cs="方正楷体_GBK"/>
          <w:color w:val="auto"/>
          <w:sz w:val="32"/>
          <w:szCs w:val="32"/>
          <w:lang w:eastAsia="zh-CN"/>
        </w:rPr>
        <w:t>（五）</w:t>
      </w:r>
      <w:r>
        <w:rPr>
          <w:rFonts w:hint="default" w:ascii="Times New Roman" w:hAnsi="Times New Roman" w:eastAsia="方正楷体_GBK" w:cs="Times New Roman"/>
          <w:color w:val="auto"/>
          <w:sz w:val="32"/>
          <w:szCs w:val="32"/>
          <w:highlight w:val="none"/>
          <w:lang w:val="en-US" w:eastAsia="zh-CN"/>
        </w:rPr>
        <w:t>严格落实固体废物污染防治措施。</w:t>
      </w:r>
      <w:r>
        <w:rPr>
          <w:rFonts w:hint="default" w:ascii="Times New Roman" w:hAnsi="Times New Roman" w:eastAsia="方正仿宋_GBK" w:cs="Times New Roman"/>
          <w:color w:val="auto"/>
          <w:sz w:val="32"/>
          <w:szCs w:val="32"/>
          <w:highlight w:val="none"/>
          <w:lang w:val="en-US" w:eastAsia="zh-CN"/>
        </w:rPr>
        <w:t>按照减量化、资源化、无害化原则，对固体废物进行分类收集、处理处置，确保不造成二次污染。工业固体废物应尽量进行综合利用，一般固体废物按照《一般工业固体废物贮存和填埋污染控制标准》（GB18599</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2020）要求管理；</w:t>
      </w:r>
      <w:r>
        <w:rPr>
          <w:rFonts w:hint="default" w:ascii="Times New Roman" w:hAnsi="Times New Roman" w:eastAsia="方正仿宋_GBK" w:cs="Times New Roman"/>
          <w:color w:val="auto"/>
          <w:sz w:val="32"/>
          <w:szCs w:val="32"/>
          <w:highlight w:val="none"/>
        </w:rPr>
        <w:t>废机油</w:t>
      </w:r>
      <w:r>
        <w:rPr>
          <w:rFonts w:hint="eastAsia" w:eastAsia="方正仿宋_GBK" w:cs="Times New Roman"/>
          <w:color w:val="auto"/>
          <w:sz w:val="32"/>
          <w:szCs w:val="32"/>
          <w:highlight w:val="none"/>
          <w:lang w:eastAsia="zh-CN"/>
        </w:rPr>
        <w:t>、废活性炭</w:t>
      </w:r>
      <w:r>
        <w:rPr>
          <w:rFonts w:hint="default" w:ascii="Times New Roman" w:hAnsi="Times New Roman" w:eastAsia="方正仿宋_GBK" w:cs="Times New Roman"/>
          <w:color w:val="auto"/>
          <w:sz w:val="32"/>
          <w:szCs w:val="32"/>
          <w:highlight w:val="none"/>
        </w:rPr>
        <w:t>等危险</w:t>
      </w:r>
      <w:r>
        <w:rPr>
          <w:rFonts w:hint="default" w:ascii="Times New Roman" w:hAnsi="Times New Roman" w:eastAsia="方正仿宋_GBK" w:cs="Times New Roman"/>
          <w:color w:val="auto"/>
          <w:kern w:val="0"/>
          <w:sz w:val="32"/>
          <w:szCs w:val="32"/>
          <w:highlight w:val="none"/>
          <w:lang w:val="en-US" w:eastAsia="zh-CN"/>
        </w:rPr>
        <w:t>废物</w:t>
      </w:r>
      <w:r>
        <w:rPr>
          <w:rFonts w:hint="default" w:ascii="Times New Roman" w:hAnsi="Times New Roman" w:eastAsia="方正仿宋_GBK" w:cs="Times New Roman"/>
          <w:color w:val="auto"/>
          <w:sz w:val="32"/>
          <w:szCs w:val="32"/>
          <w:highlight w:val="none"/>
          <w:lang w:val="en-US" w:eastAsia="zh-CN"/>
        </w:rPr>
        <w:t>严格按照国家有关规定进行收集、运输、暂存、处置和管理，建立管理台账，存档备查，危险废物暂存库按照《危险废物贮存污染控制标准》（GB18597</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2023）要求进行建设和管理。危险废物委托有资质的单位定期</w:t>
      </w:r>
      <w:r>
        <w:rPr>
          <w:rFonts w:hint="default" w:ascii="Times New Roman" w:hAnsi="Times New Roman" w:eastAsia="方正仿宋_GBK" w:cs="Times New Roman"/>
          <w:color w:val="auto"/>
          <w:sz w:val="32"/>
          <w:szCs w:val="32"/>
          <w:highlight w:val="none"/>
        </w:rPr>
        <w:t>清运处置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严格执行《危险废物转移管理办法》及相关</w:t>
      </w:r>
      <w:r>
        <w:rPr>
          <w:rFonts w:hint="eastAsia" w:eastAsia="方正仿宋_GBK" w:cs="Times New Roman"/>
          <w:color w:val="auto"/>
          <w:sz w:val="32"/>
          <w:szCs w:val="32"/>
          <w:highlight w:val="none"/>
          <w:lang w:val="en-US" w:eastAsia="zh-CN"/>
        </w:rPr>
        <w:t>要求</w:t>
      </w:r>
      <w:r>
        <w:rPr>
          <w:rFonts w:hint="default" w:ascii="Times New Roman" w:hAnsi="Times New Roman" w:eastAsia="方正仿宋_GBK" w:cs="Times New Roman"/>
          <w:color w:val="auto"/>
          <w:sz w:val="32"/>
          <w:szCs w:val="32"/>
          <w:highlight w:val="none"/>
          <w:lang w:val="en-US" w:eastAsia="zh-CN"/>
        </w:rPr>
        <w:t>，强化各环节的环境保护措施，切实防止管理不当造成的二次污染。</w:t>
      </w:r>
    </w:p>
    <w:p w14:paraId="33051CCC">
      <w:pPr>
        <w:keepNext w:val="0"/>
        <w:keepLines w:val="0"/>
        <w:pageBreakBefore w:val="0"/>
        <w:widowControl w:val="0"/>
        <w:kinsoku/>
        <w:wordWrap/>
        <w:overflowPunct/>
        <w:topLinePunct/>
        <w:autoSpaceDE/>
        <w:autoSpaceDN/>
        <w:bidi w:val="0"/>
        <w:spacing w:line="560" w:lineRule="exact"/>
        <w:ind w:firstLine="640" w:firstLineChars="200"/>
        <w:jc w:val="both"/>
        <w:rPr>
          <w:rFonts w:eastAsia="方正仿宋_GBK"/>
          <w:color w:val="auto"/>
          <w:sz w:val="32"/>
          <w:szCs w:val="32"/>
        </w:rPr>
      </w:pPr>
      <w:r>
        <w:rPr>
          <w:rFonts w:hint="default" w:ascii="Times New Roman" w:hAnsi="Times New Roman" w:eastAsia="方正楷体_GBK" w:cs="Times New Roman"/>
          <w:color w:val="auto"/>
          <w:kern w:val="2"/>
          <w:sz w:val="32"/>
          <w:szCs w:val="32"/>
          <w:highlight w:val="none"/>
          <w:lang w:val="en-US" w:eastAsia="zh-CN" w:bidi="ar-SA"/>
        </w:rPr>
        <w:t>（六）</w:t>
      </w:r>
      <w:r>
        <w:rPr>
          <w:rFonts w:eastAsia="方正楷体_GBK"/>
          <w:color w:val="auto"/>
          <w:sz w:val="32"/>
          <w:szCs w:val="32"/>
          <w:highlight w:val="none"/>
        </w:rPr>
        <w:t>落实地下水和土壤污染防治措施。</w:t>
      </w:r>
      <w:r>
        <w:rPr>
          <w:rFonts w:eastAsia="方正仿宋_GBK"/>
          <w:color w:val="auto"/>
          <w:sz w:val="32"/>
          <w:szCs w:val="32"/>
        </w:rPr>
        <w:t>按照源头控制、分区防治、污染监控、应急响应</w:t>
      </w:r>
      <w:r>
        <w:rPr>
          <w:rFonts w:hint="eastAsia" w:eastAsia="方正仿宋_GBK"/>
          <w:color w:val="auto"/>
          <w:sz w:val="32"/>
          <w:szCs w:val="32"/>
          <w:lang w:eastAsia="zh-CN"/>
        </w:rPr>
        <w:t>等</w:t>
      </w:r>
      <w:r>
        <w:rPr>
          <w:rFonts w:eastAsia="方正仿宋_GBK"/>
          <w:color w:val="auto"/>
          <w:sz w:val="32"/>
          <w:szCs w:val="32"/>
        </w:rPr>
        <w:t>原则进行地下水污染防治</w:t>
      </w:r>
      <w:r>
        <w:rPr>
          <w:rFonts w:hint="eastAsia" w:eastAsia="方正仿宋_GBK"/>
          <w:color w:val="auto"/>
          <w:sz w:val="32"/>
          <w:szCs w:val="32"/>
          <w:lang w:eastAsia="zh-CN"/>
        </w:rPr>
        <w:t>。</w:t>
      </w:r>
      <w:r>
        <w:rPr>
          <w:rFonts w:eastAsia="方正仿宋_GBK"/>
          <w:color w:val="auto"/>
          <w:sz w:val="32"/>
          <w:szCs w:val="32"/>
        </w:rPr>
        <w:t>严格按照《报告表》提出的分区防渗措施和要求，对项目重点防渗区、一般防渗区和简单防渗区进行防渗处理，防止地下水污染，防渗工程结束后自行组织验收并建立健全相关工作台账记录，存档备查；严格按照《环境影响评价技术导则 地下水环境》《地下水污染源防渗技术指南（试行）》等要求，加强防渗设施的日常维护，对出现损坏的防渗设施应及时修复和加固，确保防渗设施牢固安全</w:t>
      </w:r>
      <w:r>
        <w:rPr>
          <w:rFonts w:hint="eastAsia" w:eastAsia="方正仿宋_GBK"/>
          <w:color w:val="auto"/>
          <w:sz w:val="32"/>
          <w:szCs w:val="32"/>
          <w:lang w:eastAsia="zh-CN"/>
        </w:rPr>
        <w:t>，</w:t>
      </w:r>
      <w:r>
        <w:rPr>
          <w:rFonts w:eastAsia="方正仿宋_GBK"/>
          <w:color w:val="auto"/>
          <w:sz w:val="32"/>
          <w:szCs w:val="32"/>
        </w:rPr>
        <w:t>加强隐蔽工程泄漏检测，一旦发现泄漏，应立即采取补救措施，防止污染土壤和地下水。</w:t>
      </w:r>
    </w:p>
    <w:p w14:paraId="467F96B0">
      <w:pPr>
        <w:keepNext w:val="0"/>
        <w:keepLines w:val="0"/>
        <w:pageBreakBefore w:val="0"/>
        <w:widowControl w:val="0"/>
        <w:kinsoku/>
        <w:wordWrap/>
        <w:overflowPunct/>
        <w:topLinePunct/>
        <w:autoSpaceDE/>
        <w:autoSpaceDN/>
        <w:bidi w:val="0"/>
        <w:spacing w:line="560" w:lineRule="exact"/>
        <w:ind w:firstLine="640" w:firstLineChars="200"/>
        <w:jc w:val="both"/>
        <w:rPr>
          <w:rFonts w:eastAsia="方正仿宋_GBK"/>
          <w:color w:val="auto"/>
          <w:sz w:val="32"/>
          <w:szCs w:val="32"/>
        </w:rPr>
      </w:pPr>
      <w:r>
        <w:rPr>
          <w:rFonts w:hint="eastAsia" w:ascii="方正楷体_GBK" w:hAnsi="方正楷体_GBK" w:eastAsia="方正楷体_GBK" w:cs="方正楷体_GBK"/>
          <w:color w:val="auto"/>
          <w:kern w:val="2"/>
          <w:sz w:val="32"/>
          <w:szCs w:val="32"/>
          <w:lang w:val="en-US" w:eastAsia="zh-CN" w:bidi="ar-SA"/>
        </w:rPr>
        <w:t>（七）</w:t>
      </w:r>
      <w:r>
        <w:rPr>
          <w:rFonts w:hint="eastAsia" w:ascii="方正楷体_GBK" w:hAnsi="方正楷体_GBK" w:eastAsia="方正楷体_GBK" w:cs="方正楷体_GBK"/>
          <w:color w:val="auto"/>
          <w:sz w:val="32"/>
          <w:szCs w:val="32"/>
        </w:rPr>
        <w:t>加强环境风险防范和管理。</w:t>
      </w:r>
      <w:r>
        <w:rPr>
          <w:rFonts w:eastAsia="方正仿宋_GBK"/>
          <w:color w:val="auto"/>
          <w:sz w:val="32"/>
          <w:szCs w:val="32"/>
        </w:rPr>
        <w:t>建立健全风险防控体系和事故排放污染收集系统，做好环境风险的巡查、监控等管理，杜绝环境风险事故发生；按照《突发环境事件应急管理办法》《企业事业单位突发环境事件应急预案备案管理办法（试行）》等要求，制定突发环境事件应急预案并报玉溪市生态环境局</w:t>
      </w:r>
      <w:r>
        <w:rPr>
          <w:rFonts w:hint="eastAsia" w:eastAsia="方正仿宋_GBK"/>
          <w:color w:val="auto"/>
          <w:sz w:val="32"/>
          <w:szCs w:val="32"/>
          <w:lang w:eastAsia="zh-CN"/>
        </w:rPr>
        <w:t>红塔分局</w:t>
      </w:r>
      <w:r>
        <w:rPr>
          <w:rFonts w:eastAsia="方正仿宋_GBK"/>
          <w:color w:val="auto"/>
          <w:sz w:val="32"/>
          <w:szCs w:val="32"/>
        </w:rPr>
        <w:t>备案。</w:t>
      </w:r>
    </w:p>
    <w:p w14:paraId="721342EB">
      <w:pPr>
        <w:pStyle w:val="31"/>
        <w:keepNext w:val="0"/>
        <w:keepLines w:val="0"/>
        <w:pageBreakBefore w:val="0"/>
        <w:widowControl w:val="0"/>
        <w:kinsoku/>
        <w:wordWrap/>
        <w:overflowPunct/>
        <w:topLinePunct w:val="0"/>
        <w:autoSpaceDE/>
        <w:autoSpaceDN/>
        <w:bidi w:val="0"/>
        <w:adjustRightInd/>
        <w:spacing w:line="560" w:lineRule="exact"/>
        <w:ind w:firstLine="640"/>
        <w:jc w:val="both"/>
        <w:rPr>
          <w:rFonts w:hint="eastAsia" w:ascii="方正楷体_GBK" w:hAnsi="方正楷体_GBK" w:eastAsia="方正楷体_GBK" w:cs="方正楷体_GBK"/>
          <w:bCs/>
          <w:color w:val="auto"/>
          <w:kern w:val="0"/>
          <w:sz w:val="32"/>
          <w:szCs w:val="32"/>
        </w:rPr>
      </w:pPr>
      <w:r>
        <w:rPr>
          <w:rFonts w:hint="eastAsia" w:ascii="方正楷体_GBK" w:hAnsi="方正楷体_GBK" w:eastAsia="方正楷体_GBK" w:cs="方正楷体_GBK"/>
          <w:color w:val="auto"/>
          <w:kern w:val="2"/>
          <w:sz w:val="32"/>
          <w:szCs w:val="32"/>
          <w:lang w:val="en-US" w:eastAsia="zh-CN" w:bidi="ar-SA"/>
        </w:rPr>
        <w:t>（八）</w:t>
      </w:r>
      <w:r>
        <w:rPr>
          <w:rFonts w:hint="eastAsia" w:ascii="方正楷体_GBK" w:hAnsi="方正楷体_GBK" w:eastAsia="方正楷体_GBK" w:cs="方正楷体_GBK"/>
          <w:bCs/>
          <w:color w:val="auto"/>
          <w:kern w:val="0"/>
          <w:sz w:val="32"/>
          <w:szCs w:val="32"/>
        </w:rPr>
        <w:t>切实做好环保设施的日常维护和管理，落实环境风险防范措施，确保污染物长期稳定达标排放，杜绝事故性排放。</w:t>
      </w:r>
    </w:p>
    <w:p w14:paraId="3DA5CF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ascii="方正黑体_GBK" w:hAnsi="方正黑体_GBK" w:eastAsia="方正黑体_GBK" w:cs="方正黑体_GBK"/>
          <w:color w:val="auto"/>
          <w:kern w:val="2"/>
          <w:sz w:val="32"/>
          <w:szCs w:val="32"/>
          <w:lang w:val="en-US" w:eastAsia="zh-CN" w:bidi="ar-SA"/>
        </w:rPr>
        <w:t>三、</w:t>
      </w:r>
      <w:r>
        <w:rPr>
          <w:rFonts w:hint="eastAsia" w:ascii="Times New Roman" w:hAnsi="Times New Roman" w:eastAsia="方正仿宋_GBK" w:cs="Times New Roman"/>
          <w:color w:val="auto"/>
          <w:sz w:val="32"/>
          <w:szCs w:val="32"/>
          <w:lang w:val="en-US" w:eastAsia="zh-CN"/>
        </w:rPr>
        <w:t>项目</w:t>
      </w:r>
      <w:r>
        <w:rPr>
          <w:rFonts w:hint="default" w:ascii="Times New Roman" w:hAnsi="Times New Roman" w:eastAsia="方正仿宋_GBK" w:cs="Times New Roman"/>
          <w:color w:val="auto"/>
          <w:sz w:val="32"/>
          <w:szCs w:val="32"/>
          <w:lang w:val="en-US" w:eastAsia="zh-CN"/>
        </w:rPr>
        <w:t>在实际排污行为发生之前，应按照《排污许可管理</w:t>
      </w:r>
      <w:r>
        <w:rPr>
          <w:rFonts w:hint="eastAsia" w:eastAsia="方正仿宋_GBK" w:cs="Times New Roman"/>
          <w:color w:val="auto"/>
          <w:sz w:val="32"/>
          <w:szCs w:val="32"/>
          <w:lang w:val="en-US" w:eastAsia="zh-CN"/>
        </w:rPr>
        <w:t>条例</w:t>
      </w:r>
      <w:r>
        <w:rPr>
          <w:rFonts w:hint="default" w:ascii="Times New Roman" w:hAnsi="Times New Roman" w:eastAsia="方正仿宋_GBK" w:cs="Times New Roman"/>
          <w:color w:val="auto"/>
          <w:sz w:val="32"/>
          <w:szCs w:val="32"/>
          <w:lang w:val="en-US" w:eastAsia="zh-CN"/>
        </w:rPr>
        <w:t>》规定办理排污许可手续，未取得排污许可手续的，不得排放污染物</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项目运行应符合排污许可管理的相关要求。应当按照自行监测技术指南，编制自行监测方案，按照排污许可规定和有关标准规范，依法开展自行监测，如实在全国排污许可证管理信息平台上公开污染物排放信息。应按照规定建设规范化污染物排放口，并设置标志牌。</w:t>
      </w:r>
    </w:p>
    <w:p w14:paraId="254207A5">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leftChars="0"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eastAsia="方正黑体_GBK" w:cs="Times New Roman"/>
          <w:bCs/>
          <w:color w:val="auto"/>
          <w:sz w:val="32"/>
          <w:szCs w:val="32"/>
          <w:lang w:val="en-US" w:eastAsia="zh-CN"/>
        </w:rPr>
        <w:t>四</w:t>
      </w:r>
      <w:r>
        <w:rPr>
          <w:rFonts w:hint="default" w:ascii="Times New Roman" w:hAnsi="Times New Roman" w:eastAsia="方正黑体_GBK" w:cs="Times New Roman"/>
          <w:bCs/>
          <w:color w:val="auto"/>
          <w:sz w:val="32"/>
          <w:szCs w:val="32"/>
          <w:lang w:val="en-US" w:eastAsia="zh-CN"/>
        </w:rPr>
        <w:t>、</w:t>
      </w:r>
      <w:r>
        <w:rPr>
          <w:rFonts w:hint="eastAsia" w:eastAsia="方正仿宋_GBK"/>
          <w:color w:val="auto"/>
          <w:sz w:val="32"/>
          <w:szCs w:val="32"/>
        </w:rPr>
        <w:t>严格落实“三同时”制度。</w:t>
      </w:r>
      <w:r>
        <w:rPr>
          <w:rFonts w:hint="default" w:ascii="Times New Roman" w:hAnsi="Times New Roman" w:eastAsia="方正仿宋_GBK" w:cs="Times New Roman"/>
          <w:color w:val="auto"/>
          <w:sz w:val="32"/>
          <w:szCs w:val="32"/>
          <w:lang w:val="en-US" w:eastAsia="zh-CN"/>
        </w:rPr>
        <w:t>你公司应落实生态环境保护主体责任，建立内部生态环境管理机制，明确机构、人员、职责和制度，加强生态环境管理，推进各项生态环境保护措施落实；项目建设必须严格执行配套建设的环境保护设施与主体工程同时设计、同时施工、同时投产使用的</w:t>
      </w:r>
      <w:r>
        <w:rPr>
          <w:rFonts w:hint="default" w:ascii="Times New Roman" w:hAnsi="Times New Roman" w:eastAsia="方正仿宋_GBK" w:cs="Times New Roman"/>
          <w:smallCaps w:val="0"/>
          <w:color w:val="auto"/>
          <w:sz w:val="32"/>
          <w:szCs w:val="32"/>
        </w:rPr>
        <w:t>环境保护</w:t>
      </w:r>
      <w:r>
        <w:rPr>
          <w:rFonts w:hint="eastAsia" w:eastAsia="方正仿宋_GBK" w:cs="Times New Roman"/>
          <w:smallCaps w:val="0"/>
          <w:color w:val="auto"/>
          <w:sz w:val="32"/>
          <w:szCs w:val="32"/>
          <w:lang w:eastAsia="zh-CN"/>
        </w:rPr>
        <w:t>“</w:t>
      </w:r>
      <w:r>
        <w:rPr>
          <w:rFonts w:hint="eastAsia" w:eastAsia="方正仿宋_GBK" w:cs="Times New Roman"/>
          <w:smallCaps w:val="0"/>
          <w:color w:val="auto"/>
          <w:sz w:val="32"/>
          <w:szCs w:val="32"/>
          <w:lang w:val="en-US" w:eastAsia="zh-CN"/>
        </w:rPr>
        <w:t>三同时</w:t>
      </w:r>
      <w:r>
        <w:rPr>
          <w:rFonts w:hint="eastAsia" w:eastAsia="方正仿宋_GBK" w:cs="Times New Roman"/>
          <w:smallCaps w:val="0"/>
          <w:color w:val="auto"/>
          <w:sz w:val="32"/>
          <w:szCs w:val="32"/>
          <w:lang w:eastAsia="zh-CN"/>
        </w:rPr>
        <w:t>”</w:t>
      </w:r>
      <w:r>
        <w:rPr>
          <w:rFonts w:hint="default" w:ascii="Times New Roman" w:hAnsi="Times New Roman" w:eastAsia="方正仿宋_GBK" w:cs="Times New Roman"/>
          <w:color w:val="auto"/>
          <w:sz w:val="32"/>
          <w:szCs w:val="32"/>
          <w:lang w:val="en-US" w:eastAsia="zh-CN"/>
        </w:rPr>
        <w:t>制度；项目正式投运前，应当按照规定的标准和程序，自行组织开展竣工环境保护验收，经验收合格后方可正式投入</w:t>
      </w:r>
      <w:r>
        <w:rPr>
          <w:rFonts w:hint="eastAsia" w:eastAsia="方正仿宋_GBK" w:cs="Times New Roman"/>
          <w:color w:val="auto"/>
          <w:sz w:val="32"/>
          <w:szCs w:val="32"/>
          <w:lang w:val="en-US" w:eastAsia="zh-CN"/>
        </w:rPr>
        <w:t>运行</w:t>
      </w:r>
      <w:r>
        <w:rPr>
          <w:rFonts w:hint="default" w:ascii="Times New Roman" w:hAnsi="Times New Roman" w:eastAsia="方正仿宋_GBK" w:cs="Times New Roman"/>
          <w:color w:val="auto"/>
          <w:sz w:val="32"/>
          <w:szCs w:val="32"/>
          <w:lang w:val="en-US" w:eastAsia="zh-CN"/>
        </w:rPr>
        <w:t>。</w:t>
      </w:r>
    </w:p>
    <w:p w14:paraId="78742808">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leftChars="0" w:firstLine="640" w:firstLineChars="200"/>
        <w:jc w:val="both"/>
        <w:textAlignment w:val="auto"/>
        <w:rPr>
          <w:rFonts w:hint="default" w:eastAsia="方正黑体_GBK" w:cs="Times New Roman"/>
          <w:bCs/>
          <w:color w:val="auto"/>
          <w:sz w:val="32"/>
          <w:szCs w:val="32"/>
          <w:lang w:val="en-US" w:eastAsia="zh-CN"/>
        </w:rPr>
      </w:pPr>
      <w:r>
        <w:rPr>
          <w:rFonts w:hint="eastAsia" w:eastAsia="方正黑体_GBK" w:cs="Times New Roman"/>
          <w:bCs/>
          <w:color w:val="auto"/>
          <w:sz w:val="32"/>
          <w:szCs w:val="32"/>
          <w:lang w:val="en-US" w:eastAsia="zh-CN"/>
        </w:rPr>
        <w:t>五、</w:t>
      </w:r>
      <w:r>
        <w:rPr>
          <w:rFonts w:hint="eastAsia" w:eastAsia="方正仿宋_GBK"/>
          <w:color w:val="auto"/>
          <w:sz w:val="32"/>
          <w:szCs w:val="32"/>
          <w:lang w:val="en-US" w:eastAsia="zh-CN"/>
        </w:rPr>
        <w:t>严格落实污染物排放总量控制规定和各项措施。根据《报告表》测算，项目主要大气污染物排放量初步核定为：</w:t>
      </w:r>
      <w:r>
        <w:rPr>
          <w:rFonts w:hint="default" w:ascii="Times New Roman" w:hAnsi="Times New Roman" w:eastAsia="方正仿宋_GBK" w:cs="Times New Roman"/>
          <w:color w:val="auto"/>
          <w:sz w:val="32"/>
          <w:szCs w:val="32"/>
          <w:lang w:val="en-US" w:eastAsia="zh-CN"/>
        </w:rPr>
        <w:t>挥发性有机物</w:t>
      </w:r>
      <w:r>
        <w:rPr>
          <w:rFonts w:hint="eastAsia" w:eastAsia="方正仿宋_GBK" w:cs="Times New Roman"/>
          <w:color w:val="auto"/>
          <w:sz w:val="32"/>
          <w:szCs w:val="32"/>
          <w:lang w:val="en-US" w:eastAsia="zh-CN"/>
        </w:rPr>
        <w:t>8.57</w:t>
      </w:r>
      <w:r>
        <w:rPr>
          <w:rFonts w:hint="eastAsia" w:eastAsia="方正仿宋_GBK"/>
          <w:color w:val="auto"/>
          <w:sz w:val="32"/>
          <w:szCs w:val="32"/>
          <w:lang w:val="en-US" w:eastAsia="zh-CN"/>
        </w:rPr>
        <w:t>吨/年，由玉溪市生态环境局红塔分局纳入污染物排放总量控制计划。其废水排放总量指标纳入玉溪市第二污水处理厂统一考核。</w:t>
      </w:r>
    </w:p>
    <w:p w14:paraId="6EA936D6">
      <w:pPr>
        <w:keepNext w:val="0"/>
        <w:keepLines w:val="0"/>
        <w:pageBreakBefore w:val="0"/>
        <w:widowControl w:val="0"/>
        <w:kinsoku/>
        <w:wordWrap/>
        <w:overflowPunct/>
        <w:topLinePunct w:val="0"/>
        <w:autoSpaceDE/>
        <w:autoSpaceDN/>
        <w:bidi w:val="0"/>
        <w:adjustRightInd/>
        <w:spacing w:line="560" w:lineRule="exact"/>
        <w:ind w:firstLine="640" w:firstLineChars="200"/>
        <w:jc w:val="both"/>
        <w:rPr>
          <w:rFonts w:hint="eastAsia" w:eastAsia="方正仿宋_GBK"/>
          <w:color w:val="auto"/>
          <w:sz w:val="32"/>
          <w:szCs w:val="32"/>
        </w:rPr>
      </w:pPr>
      <w:r>
        <w:rPr>
          <w:rFonts w:hint="eastAsia" w:ascii="方正黑体_GBK" w:hAnsi="方正黑体_GBK" w:eastAsia="方正黑体_GBK" w:cs="方正黑体_GBK"/>
          <w:color w:val="auto"/>
          <w:kern w:val="2"/>
          <w:sz w:val="32"/>
          <w:szCs w:val="32"/>
          <w:lang w:val="en-US" w:eastAsia="zh-CN" w:bidi="ar-SA"/>
        </w:rPr>
        <w:t>六、</w:t>
      </w:r>
      <w:r>
        <w:rPr>
          <w:rFonts w:hint="eastAsia" w:eastAsia="方正仿宋_GBK"/>
          <w:color w:val="auto"/>
          <w:sz w:val="32"/>
          <w:szCs w:val="32"/>
        </w:rPr>
        <w:t>《报告表》经批准后，如工程的性质、规模、工艺、地点或者防治污染、防止生态破坏的措施发生重大变动的，应当重新报批环境影响评价文件，否则不得实施建设。《报告表》自批准之日起满5年，建设项目方开工建设的，应当报我局重新审核。</w:t>
      </w:r>
    </w:p>
    <w:p w14:paraId="5D5778E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方正仿宋_GBK" w:cs="Times New Roman"/>
          <w:bCs/>
          <w:color w:val="000000"/>
          <w:sz w:val="32"/>
          <w:szCs w:val="32"/>
          <w:lang w:val="en-US" w:eastAsia="zh-CN"/>
        </w:rPr>
      </w:pPr>
      <w:r>
        <w:rPr>
          <w:rFonts w:hint="eastAsia" w:ascii="方正黑体_GBK" w:hAnsi="方正黑体_GBK" w:eastAsia="方正黑体_GBK" w:cs="方正黑体_GBK"/>
          <w:color w:val="auto"/>
          <w:kern w:val="2"/>
          <w:sz w:val="32"/>
          <w:szCs w:val="32"/>
          <w:lang w:val="en-US" w:eastAsia="zh-CN" w:bidi="ar-SA"/>
        </w:rPr>
        <w:t>七、</w:t>
      </w:r>
      <w:r>
        <w:rPr>
          <w:rFonts w:hint="eastAsia" w:hAnsi="方正仿宋_GBK" w:eastAsia="方正仿宋_GBK"/>
          <w:bCs/>
          <w:color w:val="auto"/>
          <w:kern w:val="0"/>
          <w:sz w:val="32"/>
          <w:szCs w:val="32"/>
        </w:rPr>
        <w:t>玉溪市生态环境保护综合行政执法支队、玉溪市生态环境局</w:t>
      </w:r>
      <w:r>
        <w:rPr>
          <w:rFonts w:hint="eastAsia" w:hAnsi="方正仿宋_GBK" w:eastAsia="方正仿宋_GBK"/>
          <w:bCs/>
          <w:color w:val="auto"/>
          <w:kern w:val="0"/>
          <w:sz w:val="32"/>
          <w:szCs w:val="32"/>
          <w:lang w:eastAsia="zh-CN"/>
        </w:rPr>
        <w:t>红塔分局</w:t>
      </w:r>
      <w:r>
        <w:rPr>
          <w:rFonts w:hint="eastAsia" w:hAnsi="方正仿宋_GBK" w:eastAsia="方正仿宋_GBK"/>
          <w:bCs/>
          <w:color w:val="auto"/>
          <w:kern w:val="0"/>
          <w:sz w:val="32"/>
          <w:szCs w:val="32"/>
        </w:rPr>
        <w:t>要切实承担事中事后监管责任，履行属地监管职责，</w:t>
      </w:r>
      <w:r>
        <w:rPr>
          <w:rFonts w:hint="eastAsia" w:eastAsia="方正仿宋_GBK"/>
          <w:bCs/>
          <w:color w:val="auto"/>
          <w:kern w:val="0"/>
          <w:sz w:val="32"/>
          <w:szCs w:val="32"/>
        </w:rPr>
        <w:t>按照法律法规及《关于进一步完善建设项目环境保护“三同时”及竣工环境保护自主验收监管工作机制的意见》（环执法</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202</w:t>
      </w:r>
      <w:r>
        <w:rPr>
          <w:rFonts w:hint="eastAsia" w:ascii="Times New Roman" w:hAnsi="Times New Roman" w:eastAsia="方正仿宋_GBK" w:cs="Times New Roman"/>
          <w:color w:val="auto"/>
          <w:sz w:val="32"/>
          <w:szCs w:val="32"/>
          <w:highlight w:val="none"/>
          <w:lang w:val="en-US" w:eastAsia="zh-CN"/>
        </w:rPr>
        <w:t>1〕</w:t>
      </w:r>
      <w:r>
        <w:rPr>
          <w:rFonts w:hint="eastAsia" w:eastAsia="方正仿宋_GBK"/>
          <w:bCs/>
          <w:color w:val="auto"/>
          <w:kern w:val="0"/>
          <w:sz w:val="32"/>
          <w:szCs w:val="32"/>
        </w:rPr>
        <w:t>70号）等文件要求，加强对项目的环境保护“三同时”、竣工环境保护自主验收</w:t>
      </w:r>
      <w:r>
        <w:rPr>
          <w:rFonts w:hint="eastAsia" w:eastAsia="方正仿宋_GBK"/>
          <w:bCs/>
          <w:color w:val="auto"/>
          <w:kern w:val="0"/>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日常运行等执法监管工作。</w:t>
      </w:r>
      <w:r>
        <w:rPr>
          <w:rFonts w:hint="default" w:ascii="Times New Roman" w:hAnsi="Times New Roman" w:eastAsia="方正仿宋_GBK" w:cs="Times New Roman"/>
          <w:bCs/>
          <w:color w:val="0000FF"/>
          <w:sz w:val="32"/>
          <w:szCs w:val="32"/>
          <w:lang w:val="en-US" w:eastAsia="zh-CN"/>
        </w:rPr>
        <w:t xml:space="preserve"> </w:t>
      </w:r>
      <w:r>
        <w:rPr>
          <w:rFonts w:hint="default" w:ascii="Times New Roman" w:hAnsi="Times New Roman" w:eastAsia="方正仿宋_GBK" w:cs="Times New Roman"/>
          <w:bCs/>
          <w:color w:val="auto"/>
          <w:sz w:val="32"/>
          <w:szCs w:val="32"/>
          <w:lang w:val="en-US" w:eastAsia="zh-CN"/>
        </w:rPr>
        <w:t xml:space="preserve">        </w:t>
      </w:r>
      <w:r>
        <w:rPr>
          <w:rFonts w:hint="default" w:ascii="Times New Roman" w:hAnsi="Times New Roman" w:eastAsia="方正仿宋_GBK" w:cs="Times New Roman"/>
          <w:bCs/>
          <w:color w:val="0000FF"/>
          <w:sz w:val="32"/>
          <w:szCs w:val="32"/>
          <w:lang w:val="en-US" w:eastAsia="zh-CN"/>
        </w:rPr>
        <w:t xml:space="preserve">     </w:t>
      </w:r>
    </w:p>
    <w:p w14:paraId="4C1A42FC">
      <w:pPr>
        <w:keepNext w:val="0"/>
        <w:keepLines w:val="0"/>
        <w:pageBreakBefore w:val="0"/>
        <w:widowControl w:val="0"/>
        <w:kinsoku/>
        <w:wordWrap/>
        <w:overflowPunct/>
        <w:autoSpaceDE/>
        <w:autoSpaceDN/>
        <w:bidi w:val="0"/>
        <w:spacing w:line="560" w:lineRule="exact"/>
        <w:jc w:val="both"/>
        <w:rPr>
          <w:rFonts w:hint="default" w:ascii="Times New Roman" w:hAnsi="Times New Roman" w:eastAsia="方正仿宋_GBK" w:cs="Times New Roman"/>
          <w:bCs/>
          <w:color w:val="000000"/>
          <w:sz w:val="32"/>
          <w:szCs w:val="32"/>
          <w:lang w:val="en-US" w:eastAsia="zh-CN"/>
        </w:rPr>
      </w:pPr>
    </w:p>
    <w:p w14:paraId="2C779A32">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both"/>
        <w:textAlignment w:val="auto"/>
        <w:rPr>
          <w:rFonts w:hint="default" w:ascii="Times New Roman" w:hAnsi="Times New Roman" w:eastAsia="方正仿宋_GBK" w:cs="Times New Roman"/>
          <w:sz w:val="32"/>
          <w:szCs w:val="32"/>
          <w:lang w:val="en-US" w:eastAsia="zh-CN"/>
        </w:rPr>
      </w:pPr>
    </w:p>
    <w:p w14:paraId="13AD41FD">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eastAsia" w:eastAsia="方正仿宋_GBK" w:cs="Times New Roman"/>
          <w:sz w:val="32"/>
          <w:szCs w:val="32"/>
          <w:lang w:val="en-US" w:eastAsia="zh-CN"/>
        </w:rPr>
        <w:t>6</w:t>
      </w:r>
      <w:r>
        <w:rPr>
          <w:rFonts w:hint="default" w:ascii="Times New Roman" w:hAnsi="Times New Roman" w:eastAsia="方正仿宋_GBK" w:cs="Times New Roman"/>
          <w:sz w:val="32"/>
          <w:szCs w:val="32"/>
        </w:rPr>
        <w:t>月</w:t>
      </w:r>
      <w:r>
        <w:rPr>
          <w:rFonts w:hint="eastAsia" w:eastAsia="方正仿宋_GBK" w:cs="Times New Roman"/>
          <w:sz w:val="32"/>
          <w:szCs w:val="32"/>
          <w:lang w:val="en-US" w:eastAsia="zh-CN"/>
        </w:rPr>
        <w:t>30</w:t>
      </w:r>
      <w:r>
        <w:rPr>
          <w:rFonts w:hint="default" w:ascii="Times New Roman" w:hAnsi="Times New Roman" w:eastAsia="方正仿宋_GBK" w:cs="Times New Roman"/>
          <w:sz w:val="32"/>
          <w:szCs w:val="32"/>
        </w:rPr>
        <w:t>日</w:t>
      </w:r>
    </w:p>
    <w:p w14:paraId="3D5513A1">
      <w:pPr>
        <w:pStyle w:val="2"/>
        <w:rPr>
          <w:rFonts w:hint="default"/>
        </w:rPr>
      </w:pPr>
    </w:p>
    <w:p w14:paraId="18EBDB5B">
      <w:pPr>
        <w:keepNext w:val="0"/>
        <w:keepLines w:val="0"/>
        <w:pageBreakBefore w:val="0"/>
        <w:widowControl w:val="0"/>
        <w:kinsoku/>
        <w:wordWrap/>
        <w:overflowPunct/>
        <w:topLinePunct w:val="0"/>
        <w:autoSpaceDE/>
        <w:autoSpaceDN/>
        <w:bidi w:val="0"/>
        <w:adjustRightInd/>
        <w:snapToGrid/>
        <w:spacing w:line="510" w:lineRule="exact"/>
        <w:ind w:left="1050" w:leftChars="100" w:right="210" w:rightChars="100" w:hanging="840" w:hangingChars="3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59055</wp:posOffset>
                </wp:positionV>
                <wp:extent cx="5600700"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5600700" cy="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pt;margin-top:4.65pt;height:0pt;width:441pt;z-index:251661312;mso-width-relative:page;mso-height-relative:page;" filled="f" stroked="t" coordsize="21600,21600" o:gfxdata="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GV+YdEAAAAEAQAADwAAAAAAAAABACAAAAAiAAAAZHJzL2Rvd25yZXYu&#10;eG1sUEsBAhQAFAAAAAgAh07iQPK++pICAgAABQQAAA4AAAAAAAAAAQAgAAAAIAEAAGRycy9lMm9E&#10;b2MueG1sUEsFBgAAAAAGAAYAWQEAAJQFAAAAAA==&#10;">
                <v:fill on="f" focussize="0,0"/>
                <v:stroke weight="0.5pt" color="#000000 [3200]" miterlimit="8" joinstyle="miter"/>
                <v:imagedata o:title=""/>
                <o:lock v:ext="edit" aspectratio="f"/>
              </v:line>
            </w:pict>
          </mc:Fallback>
        </mc:AlternateContent>
      </w:r>
      <w:r>
        <w:rPr>
          <w:rFonts w:hint="default" w:ascii="Times New Roman" w:hAnsi="Times New Roman" w:eastAsia="方正仿宋_GBK" w:cs="Times New Roman"/>
          <w:color w:val="auto"/>
          <w:sz w:val="28"/>
          <w:szCs w:val="28"/>
          <w:lang w:val="en-US"/>
        </w:rPr>
        <w:t>抄送：</w:t>
      </w:r>
      <w:r>
        <w:rPr>
          <w:rFonts w:hint="default" w:ascii="Times New Roman" w:hAnsi="Times New Roman" w:eastAsia="方正仿宋_GBK" w:cs="Times New Roman"/>
          <w:color w:val="auto"/>
          <w:sz w:val="28"/>
          <w:szCs w:val="28"/>
          <w:lang w:val="en-US" w:eastAsia="zh-CN"/>
        </w:rPr>
        <w:t>玉溪市生态环境保护综合行政执法支队</w:t>
      </w:r>
      <w:r>
        <w:rPr>
          <w:rFonts w:hint="eastAsia"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lang w:val="en-US" w:eastAsia="zh-CN"/>
        </w:rPr>
        <w:t>玉溪市生态环境局红塔分局，云南佳源环境工程评估有限公司，云南远洁环保咨询有限公司。</w:t>
      </w:r>
    </w:p>
    <w:p w14:paraId="3039AA9F">
      <w:pPr>
        <w:pStyle w:val="9"/>
        <w:keepNext w:val="0"/>
        <w:keepLines w:val="0"/>
        <w:pageBreakBefore w:val="0"/>
        <w:widowControl w:val="0"/>
        <w:kinsoku/>
        <w:wordWrap/>
        <w:overflowPunct/>
        <w:topLinePunct w:val="0"/>
        <w:autoSpaceDE/>
        <w:autoSpaceDN/>
        <w:bidi w:val="0"/>
        <w:adjustRightInd/>
        <w:snapToGrid w:val="0"/>
        <w:spacing w:line="510" w:lineRule="exact"/>
        <w:ind w:right="279" w:rightChars="133"/>
        <w:jc w:val="both"/>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363220</wp:posOffset>
                </wp:positionV>
                <wp:extent cx="5600700"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75pt;margin-top:28.6pt;height:0pt;width:441pt;z-index:251660288;mso-width-relative:page;mso-height-relative:page;" filled="f" stroked="t" coordsize="21600,21600" o:gfxdata="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vQthH&#10;1AAAAAcBAAAPAAAAAAAAAAEAIAAAACIAAABkcnMvZG93bnJldi54bWxQSwECFAAUAAAACACHTuJA&#10;hiIX8OwBAADYAwAADgAAAAAAAAABACAAAAAjAQAAZHJzL2Uyb0RvYy54bWxQSwUGAAAAAAYABgBZ&#10;AQAAgQU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52705</wp:posOffset>
                </wp:positionV>
                <wp:extent cx="560070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4.15pt;height:0pt;width:441pt;z-index:251659264;mso-width-relative:page;mso-height-relative:page;" filled="f" stroked="t" coordsize="21600,21600" o:gfxdata="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oHiv3T&#10;AAAABAEAAA8AAAAAAAAAAQAgAAAAIgAAAGRycy9kb3ducmV2LnhtbFBLAQIUABQAAAAIAIdO4kBz&#10;n7sy7AEAANgDAAAOAAAAAAAAAAEAIAAAACIBAABkcnMvZTJvRG9jLnhtbFBLBQYAAAAABgAGAFkB&#10;AACABQ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lang w:val="en-US"/>
        </w:rPr>
        <w:t>玉溪市生态环境局</w:t>
      </w:r>
      <w:r>
        <w:rPr>
          <w:rFonts w:hint="default" w:ascii="Times New Roman" w:hAnsi="Times New Roman" w:eastAsia="方正仿宋_GBK" w:cs="Times New Roman"/>
          <w:color w:val="auto"/>
          <w:sz w:val="28"/>
          <w:szCs w:val="28"/>
          <w:lang w:val="en-US" w:eastAsia="zh-CN"/>
        </w:rPr>
        <w:t>办公室</w:t>
      </w:r>
      <w:r>
        <w:rPr>
          <w:rFonts w:hint="default" w:ascii="Times New Roman" w:hAnsi="Times New Roman" w:eastAsia="方正仿宋_GBK" w:cs="Times New Roman"/>
          <w:color w:val="auto"/>
          <w:sz w:val="28"/>
          <w:szCs w:val="28"/>
          <w:lang w:val="en-US"/>
        </w:rPr>
        <w:t xml:space="preserve">       </w:t>
      </w:r>
      <w:r>
        <w:rPr>
          <w:rFonts w:hint="default" w:ascii="Times New Roman" w:hAnsi="Times New Roman" w:eastAsia="方正仿宋_GBK" w:cs="Times New Roman"/>
          <w:color w:val="auto"/>
          <w:sz w:val="28"/>
          <w:szCs w:val="28"/>
          <w:lang w:val="en-US" w:eastAsia="zh-CN"/>
        </w:rPr>
        <w:t xml:space="preserve">          </w:t>
      </w:r>
      <w:r>
        <w:rPr>
          <w:rFonts w:hint="eastAsia"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lang w:val="en-US" w:eastAsia="zh-CN"/>
        </w:rPr>
        <w:t>2026</w:t>
      </w:r>
      <w:r>
        <w:rPr>
          <w:rFonts w:hint="default" w:ascii="Times New Roman" w:hAnsi="Times New Roman" w:eastAsia="方正仿宋_GBK" w:cs="Times New Roman"/>
          <w:color w:val="auto"/>
          <w:sz w:val="28"/>
          <w:szCs w:val="28"/>
          <w:lang w:val="en-US"/>
        </w:rPr>
        <w:t>年</w:t>
      </w:r>
      <w:r>
        <w:rPr>
          <w:rFonts w:hint="eastAsia"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lang w:val="en-US"/>
        </w:rPr>
        <w:t>月</w:t>
      </w:r>
      <w:r>
        <w:rPr>
          <w:rFonts w:hint="eastAsia" w:eastAsia="方正仿宋_GBK" w:cs="Times New Roman"/>
          <w:color w:val="auto"/>
          <w:sz w:val="28"/>
          <w:szCs w:val="28"/>
          <w:lang w:val="en-US" w:eastAsia="zh-CN"/>
        </w:rPr>
        <w:t>30</w:t>
      </w:r>
      <w:r>
        <w:rPr>
          <w:rFonts w:hint="default" w:ascii="Times New Roman" w:hAnsi="Times New Roman" w:eastAsia="方正仿宋_GBK" w:cs="Times New Roman"/>
          <w:color w:val="auto"/>
          <w:sz w:val="28"/>
          <w:szCs w:val="28"/>
          <w:lang w:val="en-US"/>
        </w:rPr>
        <w:t>日印发</w:t>
      </w:r>
    </w:p>
    <w:sectPr>
      <w:footerReference r:id="rId3" w:type="default"/>
      <w:footerReference r:id="rId4" w:type="even"/>
      <w:pgSz w:w="11906" w:h="16838"/>
      <w:pgMar w:top="2041" w:right="1474" w:bottom="1304" w:left="1587" w:header="1361" w:footer="1191" w:gutter="0"/>
      <w:pgNumType w:fmt="decimal"/>
      <w:cols w:space="0" w:num="1"/>
      <w:rtlGutter w:val="0"/>
      <w:docGrid w:type="linesAndChars" w:linePitch="2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A7326F7E-C6E6-490D-AFDF-C4D92E019CAF}"/>
  </w:font>
  <w:font w:name="方正仿宋_GBK">
    <w:panose1 w:val="03000509000000000000"/>
    <w:charset w:val="86"/>
    <w:family w:val="script"/>
    <w:pitch w:val="default"/>
    <w:sig w:usb0="00000001" w:usb1="080E0000" w:usb2="00000000" w:usb3="00000000" w:csb0="00040000" w:csb1="00000000"/>
    <w:embedRegular r:id="rId2" w:fontKey="{7C44B69D-0592-41D9-96CE-86E2B2553BC2}"/>
  </w:font>
  <w:font w:name="方正黑体_GBK">
    <w:panose1 w:val="03000509000000000000"/>
    <w:charset w:val="86"/>
    <w:family w:val="auto"/>
    <w:pitch w:val="default"/>
    <w:sig w:usb0="00000001" w:usb1="080E0000" w:usb2="00000000" w:usb3="00000000" w:csb0="00040000" w:csb1="00000000"/>
    <w:embedRegular r:id="rId3" w:fontKey="{29799DB4-1EDE-4BFE-8211-E76554B61AE4}"/>
  </w:font>
  <w:font w:name="方正楷体_GBK">
    <w:panose1 w:val="03000509000000000000"/>
    <w:charset w:val="86"/>
    <w:family w:val="auto"/>
    <w:pitch w:val="default"/>
    <w:sig w:usb0="00000001" w:usb1="080E0000" w:usb2="00000000" w:usb3="00000000" w:csb0="00040000" w:csb1="00000000"/>
    <w:embedRegular r:id="rId4" w:fontKey="{2706EBF1-9258-4807-8068-B10CA143182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104D6">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8F452">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xNDBlN2ZlMjQ1ODVkOTgxN2IyNWM5NDllNzFjY2IifQ=="/>
  </w:docVars>
  <w:rsids>
    <w:rsidRoot w:val="2AAF282F"/>
    <w:rsid w:val="0005249D"/>
    <w:rsid w:val="00251335"/>
    <w:rsid w:val="00271DFD"/>
    <w:rsid w:val="002E39CB"/>
    <w:rsid w:val="00354601"/>
    <w:rsid w:val="00621CDB"/>
    <w:rsid w:val="007216D3"/>
    <w:rsid w:val="008358DC"/>
    <w:rsid w:val="009E4FAC"/>
    <w:rsid w:val="00DE2824"/>
    <w:rsid w:val="00E32A7B"/>
    <w:rsid w:val="00E779F3"/>
    <w:rsid w:val="00F138BA"/>
    <w:rsid w:val="014F7145"/>
    <w:rsid w:val="017B43B2"/>
    <w:rsid w:val="018407F7"/>
    <w:rsid w:val="01862917"/>
    <w:rsid w:val="01BE4F18"/>
    <w:rsid w:val="021C1620"/>
    <w:rsid w:val="022E6AD9"/>
    <w:rsid w:val="027648C5"/>
    <w:rsid w:val="02C92423"/>
    <w:rsid w:val="02CB543B"/>
    <w:rsid w:val="02D359C2"/>
    <w:rsid w:val="02DD4218"/>
    <w:rsid w:val="03405326"/>
    <w:rsid w:val="034D4756"/>
    <w:rsid w:val="039E6FA1"/>
    <w:rsid w:val="03CD6287"/>
    <w:rsid w:val="03DF7990"/>
    <w:rsid w:val="040C6BF6"/>
    <w:rsid w:val="04730C48"/>
    <w:rsid w:val="047A7F12"/>
    <w:rsid w:val="04D05C7C"/>
    <w:rsid w:val="05112A52"/>
    <w:rsid w:val="05654E7F"/>
    <w:rsid w:val="05FA052E"/>
    <w:rsid w:val="06214956"/>
    <w:rsid w:val="06BC5E2C"/>
    <w:rsid w:val="06D849E3"/>
    <w:rsid w:val="071D3B65"/>
    <w:rsid w:val="075F1CAC"/>
    <w:rsid w:val="07CE7264"/>
    <w:rsid w:val="07F17A7B"/>
    <w:rsid w:val="08223482"/>
    <w:rsid w:val="08284712"/>
    <w:rsid w:val="085B58CB"/>
    <w:rsid w:val="09294E4C"/>
    <w:rsid w:val="09B951AD"/>
    <w:rsid w:val="0A955323"/>
    <w:rsid w:val="0AD4224E"/>
    <w:rsid w:val="0B0E131B"/>
    <w:rsid w:val="0C0258F7"/>
    <w:rsid w:val="0C11428E"/>
    <w:rsid w:val="0C135862"/>
    <w:rsid w:val="0C1D705A"/>
    <w:rsid w:val="0C3E0182"/>
    <w:rsid w:val="0CC72B80"/>
    <w:rsid w:val="0CCC66B5"/>
    <w:rsid w:val="0CD1482E"/>
    <w:rsid w:val="0CE82EB7"/>
    <w:rsid w:val="0CFB7E12"/>
    <w:rsid w:val="0D625FF1"/>
    <w:rsid w:val="0D70479C"/>
    <w:rsid w:val="0DE46363"/>
    <w:rsid w:val="0DF93715"/>
    <w:rsid w:val="0E100F06"/>
    <w:rsid w:val="0E167241"/>
    <w:rsid w:val="0EB06DC6"/>
    <w:rsid w:val="0EB827B5"/>
    <w:rsid w:val="0EB92DA5"/>
    <w:rsid w:val="0EDA1504"/>
    <w:rsid w:val="0EE81C04"/>
    <w:rsid w:val="0EF6335F"/>
    <w:rsid w:val="0F046CBD"/>
    <w:rsid w:val="0F202892"/>
    <w:rsid w:val="0F2B41E4"/>
    <w:rsid w:val="0F674CA9"/>
    <w:rsid w:val="0F7142A9"/>
    <w:rsid w:val="0F725F1C"/>
    <w:rsid w:val="0F806825"/>
    <w:rsid w:val="0FE76F0B"/>
    <w:rsid w:val="10010FC0"/>
    <w:rsid w:val="10085FCB"/>
    <w:rsid w:val="10600A97"/>
    <w:rsid w:val="10A16249"/>
    <w:rsid w:val="10C1633C"/>
    <w:rsid w:val="10F70241"/>
    <w:rsid w:val="112106B9"/>
    <w:rsid w:val="11482B09"/>
    <w:rsid w:val="11851A07"/>
    <w:rsid w:val="11A577B7"/>
    <w:rsid w:val="11B01A36"/>
    <w:rsid w:val="11C90E3E"/>
    <w:rsid w:val="11DC6270"/>
    <w:rsid w:val="12080F2A"/>
    <w:rsid w:val="121C3EF8"/>
    <w:rsid w:val="124429F3"/>
    <w:rsid w:val="12AC282E"/>
    <w:rsid w:val="12F36F89"/>
    <w:rsid w:val="139A2D58"/>
    <w:rsid w:val="13DD3E12"/>
    <w:rsid w:val="13DF3BD7"/>
    <w:rsid w:val="13E5183D"/>
    <w:rsid w:val="14325F56"/>
    <w:rsid w:val="143A6D20"/>
    <w:rsid w:val="14784A3C"/>
    <w:rsid w:val="147D33EC"/>
    <w:rsid w:val="14A467CD"/>
    <w:rsid w:val="14E066AD"/>
    <w:rsid w:val="14F53A51"/>
    <w:rsid w:val="15542DE9"/>
    <w:rsid w:val="15B44512"/>
    <w:rsid w:val="15BD14B0"/>
    <w:rsid w:val="16297009"/>
    <w:rsid w:val="169870CB"/>
    <w:rsid w:val="16C0349F"/>
    <w:rsid w:val="16C63F1A"/>
    <w:rsid w:val="16D33FA6"/>
    <w:rsid w:val="16E04139"/>
    <w:rsid w:val="175B5421"/>
    <w:rsid w:val="17951DDA"/>
    <w:rsid w:val="17DE55C6"/>
    <w:rsid w:val="17FE34B7"/>
    <w:rsid w:val="184A130E"/>
    <w:rsid w:val="18531E56"/>
    <w:rsid w:val="18C8478A"/>
    <w:rsid w:val="18CE063C"/>
    <w:rsid w:val="18DC65B5"/>
    <w:rsid w:val="19C438F1"/>
    <w:rsid w:val="19D07CE3"/>
    <w:rsid w:val="1A127A2F"/>
    <w:rsid w:val="1A3C7BBE"/>
    <w:rsid w:val="1A5F6E8E"/>
    <w:rsid w:val="1A8C320C"/>
    <w:rsid w:val="1ABD1DC8"/>
    <w:rsid w:val="1B3915DB"/>
    <w:rsid w:val="1B5961B8"/>
    <w:rsid w:val="1B9F7E18"/>
    <w:rsid w:val="1BA35989"/>
    <w:rsid w:val="1BA84C6E"/>
    <w:rsid w:val="1BF75A2D"/>
    <w:rsid w:val="1C3E61AC"/>
    <w:rsid w:val="1C3F32D5"/>
    <w:rsid w:val="1C727B05"/>
    <w:rsid w:val="1C736231"/>
    <w:rsid w:val="1CCB3F7F"/>
    <w:rsid w:val="1CDB1FD9"/>
    <w:rsid w:val="1D22560D"/>
    <w:rsid w:val="1D36222A"/>
    <w:rsid w:val="1DB16959"/>
    <w:rsid w:val="1DDD3B8D"/>
    <w:rsid w:val="1E000CE3"/>
    <w:rsid w:val="1E552A77"/>
    <w:rsid w:val="1E711083"/>
    <w:rsid w:val="1E877138"/>
    <w:rsid w:val="1EE0592A"/>
    <w:rsid w:val="1F0725D9"/>
    <w:rsid w:val="202D5900"/>
    <w:rsid w:val="20875902"/>
    <w:rsid w:val="20996AD5"/>
    <w:rsid w:val="20AA77ED"/>
    <w:rsid w:val="21081CDE"/>
    <w:rsid w:val="21664103"/>
    <w:rsid w:val="221338AA"/>
    <w:rsid w:val="2214545E"/>
    <w:rsid w:val="221646CB"/>
    <w:rsid w:val="2288495D"/>
    <w:rsid w:val="22A133B7"/>
    <w:rsid w:val="22A57CC4"/>
    <w:rsid w:val="233758D3"/>
    <w:rsid w:val="23993EBD"/>
    <w:rsid w:val="23E006A6"/>
    <w:rsid w:val="24404051"/>
    <w:rsid w:val="24A6063E"/>
    <w:rsid w:val="24FC2EB4"/>
    <w:rsid w:val="252B1D4D"/>
    <w:rsid w:val="25B310C3"/>
    <w:rsid w:val="25B61F3B"/>
    <w:rsid w:val="25CB14CA"/>
    <w:rsid w:val="25CC14C9"/>
    <w:rsid w:val="25EC30C6"/>
    <w:rsid w:val="260B7E34"/>
    <w:rsid w:val="261A74D1"/>
    <w:rsid w:val="262B4956"/>
    <w:rsid w:val="263C5F7E"/>
    <w:rsid w:val="2670091D"/>
    <w:rsid w:val="267F5B5A"/>
    <w:rsid w:val="26AB1D0A"/>
    <w:rsid w:val="26D8340F"/>
    <w:rsid w:val="26E52AD8"/>
    <w:rsid w:val="26F33055"/>
    <w:rsid w:val="27081763"/>
    <w:rsid w:val="270A1F02"/>
    <w:rsid w:val="272844C9"/>
    <w:rsid w:val="2750082C"/>
    <w:rsid w:val="276D06C3"/>
    <w:rsid w:val="279A1529"/>
    <w:rsid w:val="27C068EA"/>
    <w:rsid w:val="27D902BE"/>
    <w:rsid w:val="27E028FD"/>
    <w:rsid w:val="27F2569D"/>
    <w:rsid w:val="28691C58"/>
    <w:rsid w:val="286E622A"/>
    <w:rsid w:val="28CF5004"/>
    <w:rsid w:val="28E23EDB"/>
    <w:rsid w:val="28EE35BD"/>
    <w:rsid w:val="29463132"/>
    <w:rsid w:val="299B6BAD"/>
    <w:rsid w:val="2AAA62CD"/>
    <w:rsid w:val="2AAF282F"/>
    <w:rsid w:val="2AD90BA6"/>
    <w:rsid w:val="2B0F38F0"/>
    <w:rsid w:val="2B1B38E0"/>
    <w:rsid w:val="2B3A102D"/>
    <w:rsid w:val="2B4E3D9A"/>
    <w:rsid w:val="2B5D1FBE"/>
    <w:rsid w:val="2B792558"/>
    <w:rsid w:val="2B7C248E"/>
    <w:rsid w:val="2BA80578"/>
    <w:rsid w:val="2BBE252D"/>
    <w:rsid w:val="2C2D449B"/>
    <w:rsid w:val="2C325DE1"/>
    <w:rsid w:val="2C4B3AF0"/>
    <w:rsid w:val="2C577851"/>
    <w:rsid w:val="2C691313"/>
    <w:rsid w:val="2CE31097"/>
    <w:rsid w:val="2CE5716E"/>
    <w:rsid w:val="2D2A0DD4"/>
    <w:rsid w:val="2D45752B"/>
    <w:rsid w:val="2D9B5CF7"/>
    <w:rsid w:val="2DBD7D3C"/>
    <w:rsid w:val="2E8D30CF"/>
    <w:rsid w:val="2EAD3464"/>
    <w:rsid w:val="2F1E099F"/>
    <w:rsid w:val="2F2F5103"/>
    <w:rsid w:val="2FA950FF"/>
    <w:rsid w:val="2FAE1C18"/>
    <w:rsid w:val="2FEC06AE"/>
    <w:rsid w:val="302A3931"/>
    <w:rsid w:val="30AB341D"/>
    <w:rsid w:val="30B073D9"/>
    <w:rsid w:val="30BA0CF3"/>
    <w:rsid w:val="30E34D34"/>
    <w:rsid w:val="311A1F18"/>
    <w:rsid w:val="313E4CDB"/>
    <w:rsid w:val="32025B28"/>
    <w:rsid w:val="32037B9C"/>
    <w:rsid w:val="322C3BB9"/>
    <w:rsid w:val="32B46ACD"/>
    <w:rsid w:val="33190912"/>
    <w:rsid w:val="33364881"/>
    <w:rsid w:val="334A0CFF"/>
    <w:rsid w:val="341E1D9A"/>
    <w:rsid w:val="342A7526"/>
    <w:rsid w:val="35537E41"/>
    <w:rsid w:val="35692B73"/>
    <w:rsid w:val="35935FA7"/>
    <w:rsid w:val="35A829B1"/>
    <w:rsid w:val="360616D3"/>
    <w:rsid w:val="361C3892"/>
    <w:rsid w:val="362A2C11"/>
    <w:rsid w:val="363475D8"/>
    <w:rsid w:val="365C21FB"/>
    <w:rsid w:val="370D5223"/>
    <w:rsid w:val="373B76FE"/>
    <w:rsid w:val="374C2ECD"/>
    <w:rsid w:val="376C1926"/>
    <w:rsid w:val="37912E75"/>
    <w:rsid w:val="38276A55"/>
    <w:rsid w:val="383946C2"/>
    <w:rsid w:val="38403B90"/>
    <w:rsid w:val="3865103B"/>
    <w:rsid w:val="38AC02C2"/>
    <w:rsid w:val="38B41D0D"/>
    <w:rsid w:val="39040CA6"/>
    <w:rsid w:val="39543B85"/>
    <w:rsid w:val="399D70DD"/>
    <w:rsid w:val="39BD6FF2"/>
    <w:rsid w:val="3A2F5718"/>
    <w:rsid w:val="3A383508"/>
    <w:rsid w:val="3A9930DF"/>
    <w:rsid w:val="3B0438AA"/>
    <w:rsid w:val="3B056342"/>
    <w:rsid w:val="3B194081"/>
    <w:rsid w:val="3B337E5E"/>
    <w:rsid w:val="3BA00084"/>
    <w:rsid w:val="3C6D08FC"/>
    <w:rsid w:val="3C7F7E1B"/>
    <w:rsid w:val="3D5745D4"/>
    <w:rsid w:val="3DAF65B1"/>
    <w:rsid w:val="3DBA029B"/>
    <w:rsid w:val="3DE505E7"/>
    <w:rsid w:val="3E4B36B0"/>
    <w:rsid w:val="3EF1250A"/>
    <w:rsid w:val="3F155B26"/>
    <w:rsid w:val="3FAF78C6"/>
    <w:rsid w:val="3FF33589"/>
    <w:rsid w:val="401641A9"/>
    <w:rsid w:val="40201682"/>
    <w:rsid w:val="40B13B1F"/>
    <w:rsid w:val="41332E43"/>
    <w:rsid w:val="416A0536"/>
    <w:rsid w:val="419747A7"/>
    <w:rsid w:val="41B213B9"/>
    <w:rsid w:val="41BE050D"/>
    <w:rsid w:val="41D86F7B"/>
    <w:rsid w:val="41F1637D"/>
    <w:rsid w:val="423A11FD"/>
    <w:rsid w:val="42507FDD"/>
    <w:rsid w:val="42D876A2"/>
    <w:rsid w:val="43160007"/>
    <w:rsid w:val="43341062"/>
    <w:rsid w:val="43A30C64"/>
    <w:rsid w:val="43AE36B3"/>
    <w:rsid w:val="43D7253F"/>
    <w:rsid w:val="441F55D5"/>
    <w:rsid w:val="44254BCC"/>
    <w:rsid w:val="447F45D2"/>
    <w:rsid w:val="448171A7"/>
    <w:rsid w:val="44933936"/>
    <w:rsid w:val="449823AC"/>
    <w:rsid w:val="44A14CE2"/>
    <w:rsid w:val="456B7FD9"/>
    <w:rsid w:val="4580253E"/>
    <w:rsid w:val="4586478D"/>
    <w:rsid w:val="45A5300C"/>
    <w:rsid w:val="45B72F61"/>
    <w:rsid w:val="45D63EAA"/>
    <w:rsid w:val="46052C19"/>
    <w:rsid w:val="46396A00"/>
    <w:rsid w:val="467227F9"/>
    <w:rsid w:val="46AC5600"/>
    <w:rsid w:val="46C626C8"/>
    <w:rsid w:val="46D524F5"/>
    <w:rsid w:val="46D82F52"/>
    <w:rsid w:val="47C961B6"/>
    <w:rsid w:val="47DE4C17"/>
    <w:rsid w:val="47EA15E0"/>
    <w:rsid w:val="480C5832"/>
    <w:rsid w:val="481B4AAA"/>
    <w:rsid w:val="489D2BAA"/>
    <w:rsid w:val="48B81ED4"/>
    <w:rsid w:val="48B94A9D"/>
    <w:rsid w:val="48E376BD"/>
    <w:rsid w:val="49600971"/>
    <w:rsid w:val="4982681C"/>
    <w:rsid w:val="49835F22"/>
    <w:rsid w:val="49D6604E"/>
    <w:rsid w:val="49E3301A"/>
    <w:rsid w:val="4A0434C8"/>
    <w:rsid w:val="4A044286"/>
    <w:rsid w:val="4A1B7632"/>
    <w:rsid w:val="4A2A4424"/>
    <w:rsid w:val="4A51456E"/>
    <w:rsid w:val="4A8C7566"/>
    <w:rsid w:val="4A975BD2"/>
    <w:rsid w:val="4A9D76EF"/>
    <w:rsid w:val="4AAC3CC0"/>
    <w:rsid w:val="4AEF13B7"/>
    <w:rsid w:val="4AF71A39"/>
    <w:rsid w:val="4B0E06C8"/>
    <w:rsid w:val="4B3055C1"/>
    <w:rsid w:val="4B4C3823"/>
    <w:rsid w:val="4B897D70"/>
    <w:rsid w:val="4C060B1D"/>
    <w:rsid w:val="4C2226B4"/>
    <w:rsid w:val="4D3229AB"/>
    <w:rsid w:val="4D6E25E7"/>
    <w:rsid w:val="4D83575F"/>
    <w:rsid w:val="4DD53083"/>
    <w:rsid w:val="4DF62B26"/>
    <w:rsid w:val="4E6D4716"/>
    <w:rsid w:val="4E843945"/>
    <w:rsid w:val="4EA24700"/>
    <w:rsid w:val="4FA4567A"/>
    <w:rsid w:val="4FA604E6"/>
    <w:rsid w:val="4FBF2EF4"/>
    <w:rsid w:val="4FC24B2F"/>
    <w:rsid w:val="4FDC0BF4"/>
    <w:rsid w:val="501F6C42"/>
    <w:rsid w:val="50AA6BFB"/>
    <w:rsid w:val="510E2EF8"/>
    <w:rsid w:val="51554237"/>
    <w:rsid w:val="515B007E"/>
    <w:rsid w:val="51C9023B"/>
    <w:rsid w:val="51D643CD"/>
    <w:rsid w:val="52601BDC"/>
    <w:rsid w:val="52814125"/>
    <w:rsid w:val="52866CCF"/>
    <w:rsid w:val="52D2446B"/>
    <w:rsid w:val="52FC648E"/>
    <w:rsid w:val="530874CC"/>
    <w:rsid w:val="534A1F20"/>
    <w:rsid w:val="53701FD1"/>
    <w:rsid w:val="539D1C58"/>
    <w:rsid w:val="544F4F79"/>
    <w:rsid w:val="54604096"/>
    <w:rsid w:val="5486114E"/>
    <w:rsid w:val="54ED6695"/>
    <w:rsid w:val="54FD6EDC"/>
    <w:rsid w:val="5581320D"/>
    <w:rsid w:val="558343E0"/>
    <w:rsid w:val="55A7384F"/>
    <w:rsid w:val="55BF59E5"/>
    <w:rsid w:val="55C01586"/>
    <w:rsid w:val="55C5056F"/>
    <w:rsid w:val="55CA48BA"/>
    <w:rsid w:val="55F72314"/>
    <w:rsid w:val="56685559"/>
    <w:rsid w:val="566F2302"/>
    <w:rsid w:val="5674131F"/>
    <w:rsid w:val="568752BF"/>
    <w:rsid w:val="56972233"/>
    <w:rsid w:val="56BD2497"/>
    <w:rsid w:val="56DA0B1D"/>
    <w:rsid w:val="570502E5"/>
    <w:rsid w:val="57253366"/>
    <w:rsid w:val="57262BBA"/>
    <w:rsid w:val="572A206E"/>
    <w:rsid w:val="572D4713"/>
    <w:rsid w:val="57810A21"/>
    <w:rsid w:val="58035187"/>
    <w:rsid w:val="5873667C"/>
    <w:rsid w:val="587C4A77"/>
    <w:rsid w:val="591816AF"/>
    <w:rsid w:val="59A943A7"/>
    <w:rsid w:val="59F12363"/>
    <w:rsid w:val="5A4822A0"/>
    <w:rsid w:val="5A754143"/>
    <w:rsid w:val="5A7D0E49"/>
    <w:rsid w:val="5AF718E6"/>
    <w:rsid w:val="5B0F5D9A"/>
    <w:rsid w:val="5B370783"/>
    <w:rsid w:val="5B530E0D"/>
    <w:rsid w:val="5BBB79D4"/>
    <w:rsid w:val="5BEC4998"/>
    <w:rsid w:val="5C590380"/>
    <w:rsid w:val="5C8327F4"/>
    <w:rsid w:val="5CC05903"/>
    <w:rsid w:val="5D1626B8"/>
    <w:rsid w:val="5D3F76C3"/>
    <w:rsid w:val="5D5E54BC"/>
    <w:rsid w:val="5DED7F19"/>
    <w:rsid w:val="5E04242A"/>
    <w:rsid w:val="5E052FF8"/>
    <w:rsid w:val="5E763D63"/>
    <w:rsid w:val="5E9B6186"/>
    <w:rsid w:val="5EE571AE"/>
    <w:rsid w:val="5EF34BB1"/>
    <w:rsid w:val="5F402FCF"/>
    <w:rsid w:val="5F4A3E48"/>
    <w:rsid w:val="5FA40E41"/>
    <w:rsid w:val="5FC90B07"/>
    <w:rsid w:val="60257BCB"/>
    <w:rsid w:val="603B69DB"/>
    <w:rsid w:val="60457B89"/>
    <w:rsid w:val="611E0764"/>
    <w:rsid w:val="619F73A3"/>
    <w:rsid w:val="61B7345C"/>
    <w:rsid w:val="61ED227C"/>
    <w:rsid w:val="61F915CB"/>
    <w:rsid w:val="62197AC8"/>
    <w:rsid w:val="62937268"/>
    <w:rsid w:val="62E41435"/>
    <w:rsid w:val="62E67F6A"/>
    <w:rsid w:val="63161C90"/>
    <w:rsid w:val="63344B4C"/>
    <w:rsid w:val="633A597E"/>
    <w:rsid w:val="633C400D"/>
    <w:rsid w:val="635F4AC3"/>
    <w:rsid w:val="63732C3E"/>
    <w:rsid w:val="637D586B"/>
    <w:rsid w:val="63B67C6D"/>
    <w:rsid w:val="644F7208"/>
    <w:rsid w:val="64550AA6"/>
    <w:rsid w:val="64C978FD"/>
    <w:rsid w:val="64E14523"/>
    <w:rsid w:val="65605C5F"/>
    <w:rsid w:val="65C33A84"/>
    <w:rsid w:val="65D317D7"/>
    <w:rsid w:val="65D43D57"/>
    <w:rsid w:val="661C059B"/>
    <w:rsid w:val="664C74D8"/>
    <w:rsid w:val="66753C57"/>
    <w:rsid w:val="66F6704A"/>
    <w:rsid w:val="670F1B12"/>
    <w:rsid w:val="674D2961"/>
    <w:rsid w:val="6783156C"/>
    <w:rsid w:val="67AE1946"/>
    <w:rsid w:val="67E051FD"/>
    <w:rsid w:val="67E67E6E"/>
    <w:rsid w:val="681C1AFB"/>
    <w:rsid w:val="68395873"/>
    <w:rsid w:val="68BD3DBD"/>
    <w:rsid w:val="69126A56"/>
    <w:rsid w:val="6924668A"/>
    <w:rsid w:val="69497163"/>
    <w:rsid w:val="69624277"/>
    <w:rsid w:val="69A245CF"/>
    <w:rsid w:val="6A065065"/>
    <w:rsid w:val="6A4C776B"/>
    <w:rsid w:val="6A970CFF"/>
    <w:rsid w:val="6B1B7DA6"/>
    <w:rsid w:val="6B24315D"/>
    <w:rsid w:val="6B57133D"/>
    <w:rsid w:val="6BB00B08"/>
    <w:rsid w:val="6C196406"/>
    <w:rsid w:val="6C692E30"/>
    <w:rsid w:val="6C7B2415"/>
    <w:rsid w:val="6CC816B1"/>
    <w:rsid w:val="6D047A58"/>
    <w:rsid w:val="6D0B2A7F"/>
    <w:rsid w:val="6D8A2AA7"/>
    <w:rsid w:val="6DAA4D2E"/>
    <w:rsid w:val="6DC4470E"/>
    <w:rsid w:val="6EDB1BA1"/>
    <w:rsid w:val="6F3F4FA6"/>
    <w:rsid w:val="6F4C5C4D"/>
    <w:rsid w:val="6FBF2ED7"/>
    <w:rsid w:val="6FCE533B"/>
    <w:rsid w:val="70645DE9"/>
    <w:rsid w:val="709057E8"/>
    <w:rsid w:val="709D12FB"/>
    <w:rsid w:val="70A73049"/>
    <w:rsid w:val="70CA5A60"/>
    <w:rsid w:val="714B4EDB"/>
    <w:rsid w:val="715A1838"/>
    <w:rsid w:val="716C0143"/>
    <w:rsid w:val="71AF11D9"/>
    <w:rsid w:val="71E877A4"/>
    <w:rsid w:val="71ED15D7"/>
    <w:rsid w:val="720019E1"/>
    <w:rsid w:val="726A5418"/>
    <w:rsid w:val="7278158D"/>
    <w:rsid w:val="72814495"/>
    <w:rsid w:val="72AD3FBA"/>
    <w:rsid w:val="72B73CFC"/>
    <w:rsid w:val="730F0F49"/>
    <w:rsid w:val="737547B1"/>
    <w:rsid w:val="73A33523"/>
    <w:rsid w:val="73DF4C9F"/>
    <w:rsid w:val="7417602D"/>
    <w:rsid w:val="74650CEA"/>
    <w:rsid w:val="75097A20"/>
    <w:rsid w:val="7564261E"/>
    <w:rsid w:val="757753B7"/>
    <w:rsid w:val="75BA29B3"/>
    <w:rsid w:val="76862181"/>
    <w:rsid w:val="76D91E95"/>
    <w:rsid w:val="76EB5318"/>
    <w:rsid w:val="77457CAD"/>
    <w:rsid w:val="779C5DA3"/>
    <w:rsid w:val="77B6640E"/>
    <w:rsid w:val="77C57F28"/>
    <w:rsid w:val="782547D3"/>
    <w:rsid w:val="78344B19"/>
    <w:rsid w:val="783F1C54"/>
    <w:rsid w:val="789718A7"/>
    <w:rsid w:val="78A76EAD"/>
    <w:rsid w:val="7A0A0089"/>
    <w:rsid w:val="7A1051A0"/>
    <w:rsid w:val="7A2E13A1"/>
    <w:rsid w:val="7A4078BB"/>
    <w:rsid w:val="7AA60FD4"/>
    <w:rsid w:val="7AC12DF7"/>
    <w:rsid w:val="7ADA625F"/>
    <w:rsid w:val="7B720C4D"/>
    <w:rsid w:val="7B7C35B6"/>
    <w:rsid w:val="7B7E0F63"/>
    <w:rsid w:val="7BB61528"/>
    <w:rsid w:val="7C9B0252"/>
    <w:rsid w:val="7C9D6A08"/>
    <w:rsid w:val="7CA3021F"/>
    <w:rsid w:val="7CCE20D6"/>
    <w:rsid w:val="7D2257CD"/>
    <w:rsid w:val="7D792A91"/>
    <w:rsid w:val="7DA57011"/>
    <w:rsid w:val="7DC51E91"/>
    <w:rsid w:val="7DE1283A"/>
    <w:rsid w:val="7E7801ED"/>
    <w:rsid w:val="7E8004BE"/>
    <w:rsid w:val="7F0D259B"/>
    <w:rsid w:val="7F556ABB"/>
    <w:rsid w:val="7F813CCF"/>
    <w:rsid w:val="7FCB2CDB"/>
    <w:rsid w:val="7FEB01D3"/>
    <w:rsid w:val="9FF601FE"/>
    <w:rsid w:val="BBA5F45B"/>
    <w:rsid w:val="D5FEB219"/>
    <w:rsid w:val="DFB549BD"/>
    <w:rsid w:val="EB6FB1BD"/>
    <w:rsid w:val="EC7F58CE"/>
    <w:rsid w:val="F67F8A9F"/>
    <w:rsid w:val="FFBF96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widowControl/>
      <w:ind w:firstLine="420"/>
    </w:pPr>
    <w:rPr>
      <w:sz w:val="28"/>
      <w:szCs w:val="28"/>
    </w:rPr>
  </w:style>
  <w:style w:type="paragraph" w:styleId="5">
    <w:name w:val="annotation text"/>
    <w:basedOn w:val="1"/>
    <w:qFormat/>
    <w:uiPriority w:val="0"/>
    <w:pPr>
      <w:spacing w:line="120" w:lineRule="auto"/>
    </w:pPr>
  </w:style>
  <w:style w:type="paragraph" w:styleId="6">
    <w:name w:val="Body Text"/>
    <w:basedOn w:val="1"/>
    <w:next w:val="1"/>
    <w:qFormat/>
    <w:uiPriority w:val="0"/>
    <w:pPr>
      <w:spacing w:after="120"/>
    </w:pPr>
  </w:style>
  <w:style w:type="paragraph" w:styleId="7">
    <w:name w:val="Plain Text"/>
    <w:basedOn w:val="1"/>
    <w:next w:val="1"/>
    <w:qFormat/>
    <w:uiPriority w:val="0"/>
    <w:rPr>
      <w:rFonts w:ascii="宋体" w:hAnsi="Courier New"/>
      <w:szCs w:val="20"/>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next w:val="9"/>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Body Text First Indent"/>
    <w:basedOn w:val="6"/>
    <w:next w:val="1"/>
    <w:qFormat/>
    <w:uiPriority w:val="0"/>
    <w:pPr>
      <w:widowControl/>
      <w:ind w:firstLine="420" w:firstLineChars="100"/>
      <w:jc w:val="left"/>
    </w:pPr>
    <w:rPr>
      <w:rFonts w:ascii="Calibri" w:hAnsi="Calibri" w:cs="宋体"/>
      <w:kern w:val="0"/>
    </w:rPr>
  </w:style>
  <w:style w:type="paragraph" w:styleId="13">
    <w:name w:val="Body Text First Indent 2"/>
    <w:basedOn w:val="1"/>
    <w:next w:val="12"/>
    <w:qFormat/>
    <w:uiPriority w:val="0"/>
    <w:pPr>
      <w:ind w:firstLine="420" w:firstLineChars="200"/>
    </w:pPr>
  </w:style>
  <w:style w:type="character" w:styleId="16">
    <w:name w:val="page number"/>
    <w:basedOn w:val="15"/>
    <w:qFormat/>
    <w:uiPriority w:val="0"/>
  </w:style>
  <w:style w:type="paragraph" w:customStyle="1" w:styleId="17">
    <w:name w:val="Plain Text1"/>
    <w:basedOn w:val="1"/>
    <w:qFormat/>
    <w:uiPriority w:val="0"/>
    <w:rPr>
      <w:rFonts w:ascii="宋体" w:hAnsi="Courier New"/>
    </w:rPr>
  </w:style>
  <w:style w:type="paragraph" w:customStyle="1" w:styleId="18">
    <w:name w:val="列出段落1"/>
    <w:basedOn w:val="1"/>
    <w:qFormat/>
    <w:uiPriority w:val="0"/>
    <w:pPr>
      <w:adjustRightInd w:val="0"/>
      <w:snapToGrid w:val="0"/>
      <w:ind w:firstLine="0"/>
    </w:pPr>
    <w:rPr>
      <w:rFonts w:ascii="Times New Roman" w:hAnsi="Times New Roman" w:eastAsia="宋体"/>
      <w:kern w:val="2"/>
      <w:sz w:val="21"/>
      <w:szCs w:val="22"/>
    </w:rPr>
  </w:style>
  <w:style w:type="paragraph" w:customStyle="1" w:styleId="19">
    <w:name w:val="纯文本1"/>
    <w:basedOn w:val="1"/>
    <w:qFormat/>
    <w:uiPriority w:val="0"/>
    <w:rPr>
      <w:rFonts w:ascii="宋体" w:hAnsi="Courier New"/>
    </w:rPr>
  </w:style>
  <w:style w:type="paragraph" w:customStyle="1" w:styleId="20">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21">
    <w:name w:val="样式 HC 正文 + 字距调整小四"/>
    <w:basedOn w:val="22"/>
    <w:next w:val="1"/>
    <w:qFormat/>
    <w:uiPriority w:val="0"/>
    <w:pPr>
      <w:snapToGrid w:val="0"/>
      <w:ind w:firstLine="640"/>
    </w:pPr>
    <w:rPr>
      <w:bCs w:val="0"/>
      <w:kern w:val="24"/>
      <w:lang w:val="zh-CN"/>
    </w:rPr>
  </w:style>
  <w:style w:type="paragraph" w:customStyle="1" w:styleId="22">
    <w:name w:val="HC 正文"/>
    <w:basedOn w:val="1"/>
    <w:qFormat/>
    <w:uiPriority w:val="0"/>
    <w:pPr>
      <w:autoSpaceDE w:val="0"/>
      <w:spacing w:line="360" w:lineRule="auto"/>
      <w:ind w:firstLine="480" w:firstLineChars="200"/>
    </w:pPr>
    <w:rPr>
      <w:bCs/>
      <w:color w:val="0000FF"/>
      <w:sz w:val="24"/>
    </w:rPr>
  </w:style>
  <w:style w:type="paragraph" w:customStyle="1" w:styleId="23">
    <w:name w:val="正文1"/>
    <w:qFormat/>
    <w:uiPriority w:val="0"/>
    <w:pPr>
      <w:widowControl w:val="0"/>
      <w:adjustRightInd w:val="0"/>
      <w:spacing w:line="360" w:lineRule="auto"/>
      <w:ind w:firstLine="200" w:firstLineChars="200"/>
      <w:jc w:val="both"/>
      <w:textAlignment w:val="baseline"/>
    </w:pPr>
    <w:rPr>
      <w:rFonts w:ascii="Times New Roman" w:hAnsi="Times New Roman" w:eastAsia="宋体" w:cs="Times New Roman"/>
      <w:sz w:val="24"/>
      <w:szCs w:val="22"/>
      <w:lang w:val="en-US" w:eastAsia="zh-CN" w:bidi="ar-SA"/>
    </w:rPr>
  </w:style>
  <w:style w:type="paragraph" w:customStyle="1" w:styleId="24">
    <w:name w:val="Default"/>
    <w:basedOn w:val="19"/>
    <w:next w:val="1"/>
    <w:unhideWhenUsed/>
    <w:qFormat/>
    <w:uiPriority w:val="0"/>
    <w:pPr>
      <w:autoSpaceDE w:val="0"/>
      <w:autoSpaceDN w:val="0"/>
    </w:pPr>
    <w:rPr>
      <w:rFonts w:hAnsi="宋体"/>
      <w:color w:val="000000"/>
    </w:rPr>
  </w:style>
  <w:style w:type="paragraph" w:customStyle="1" w:styleId="25">
    <w:name w:val="Normal Indent1"/>
    <w:basedOn w:val="1"/>
    <w:qFormat/>
    <w:uiPriority w:val="0"/>
    <w:pPr>
      <w:ind w:firstLine="420"/>
    </w:pPr>
  </w:style>
  <w:style w:type="paragraph" w:customStyle="1" w:styleId="26">
    <w:name w:val="样式 正文 + 首行缩进:  2 字符 + 宋体"/>
    <w:basedOn w:val="1"/>
    <w:qFormat/>
    <w:uiPriority w:val="0"/>
    <w:pPr>
      <w:tabs>
        <w:tab w:val="left" w:pos="2940"/>
      </w:tabs>
      <w:adjustRightInd w:val="0"/>
      <w:snapToGrid w:val="0"/>
      <w:spacing w:line="360" w:lineRule="auto"/>
      <w:ind w:firstLine="480" w:firstLineChars="200"/>
    </w:pPr>
    <w:rPr>
      <w:snapToGrid w:val="0"/>
      <w:sz w:val="24"/>
      <w:szCs w:val="20"/>
    </w:rPr>
  </w:style>
  <w:style w:type="character" w:customStyle="1" w:styleId="27">
    <w:name w:val="fontstyle01"/>
    <w:qFormat/>
    <w:uiPriority w:val="0"/>
    <w:rPr>
      <w:rFonts w:hint="eastAsia" w:ascii="宋体" w:hAnsi="宋体" w:eastAsia="宋体"/>
      <w:color w:val="000000"/>
      <w:sz w:val="24"/>
      <w:szCs w:val="24"/>
    </w:rPr>
  </w:style>
  <w:style w:type="paragraph" w:customStyle="1" w:styleId="28">
    <w:name w:val="环评正文"/>
    <w:basedOn w:val="1"/>
    <w:qFormat/>
    <w:uiPriority w:val="0"/>
    <w:pPr>
      <w:spacing w:line="360" w:lineRule="auto"/>
      <w:ind w:firstLine="560" w:firstLineChars="200"/>
      <w:jc w:val="left"/>
    </w:pPr>
  </w:style>
  <w:style w:type="paragraph" w:customStyle="1" w:styleId="29">
    <w:name w:val="初稿正文"/>
    <w:basedOn w:val="1"/>
    <w:qFormat/>
    <w:uiPriority w:val="0"/>
    <w:pPr>
      <w:spacing w:line="360" w:lineRule="auto"/>
      <w:ind w:firstLine="720" w:firstLineChars="200"/>
    </w:pPr>
    <w:rPr>
      <w:color w:val="FF0000"/>
      <w:szCs w:val="21"/>
    </w:rPr>
  </w:style>
  <w:style w:type="paragraph" w:customStyle="1" w:styleId="30">
    <w:name w:val="文本"/>
    <w:basedOn w:val="1"/>
    <w:qFormat/>
    <w:uiPriority w:val="7"/>
    <w:pPr>
      <w:ind w:firstLine="480" w:firstLineChars="200"/>
      <w:jc w:val="center"/>
    </w:pPr>
    <w:rPr>
      <w:rFonts w:ascii="Times New Roman" w:hAnsi="Times New Roman" w:cs="Times New Roman"/>
      <w:kern w:val="2"/>
    </w:rPr>
  </w:style>
  <w:style w:type="paragraph" w:customStyle="1" w:styleId="31">
    <w:name w:val="zxj正文z"/>
    <w:basedOn w:val="1"/>
    <w:qFormat/>
    <w:uiPriority w:val="0"/>
    <w:pPr>
      <w:spacing w:line="360" w:lineRule="auto"/>
      <w:ind w:firstLine="420" w:firstLineChars="200"/>
      <w:textAlignment w:val="top"/>
    </w:pPr>
    <w:rPr>
      <w:rFonts w:cstheme="minorBidi"/>
      <w:sz w:val="24"/>
      <w:szCs w:val="21"/>
    </w:rPr>
  </w:style>
  <w:style w:type="paragraph" w:customStyle="1" w:styleId="32">
    <w:name w:val="5文章正文"/>
    <w:basedOn w:val="1"/>
    <w:qFormat/>
    <w:uiPriority w:val="0"/>
    <w:pPr>
      <w:adjustRightInd w:val="0"/>
      <w:snapToGrid w:val="0"/>
      <w:spacing w:line="360" w:lineRule="auto"/>
      <w:ind w:firstLine="200" w:firstLineChars="200"/>
    </w:pPr>
    <w:rPr>
      <w:rFonts w:ascii="Times New Roman" w:hAnsi="Times New Roman" w:eastAsia="宋体"/>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玉溪市直属党政机关单位</Company>
  <Pages>6</Pages>
  <Words>2977</Words>
  <Characters>3190</Characters>
  <Lines>17</Lines>
  <Paragraphs>4</Paragraphs>
  <TotalTime>3</TotalTime>
  <ScaleCrop>false</ScaleCrop>
  <LinksUpToDate>false</LinksUpToDate>
  <CharactersWithSpaces>3228</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2020-08-06T14:42:00Z</dcterms:created>
  <dc:creator>马腾</dc:creator>
  <cp:lastModifiedBy>丫头</cp:lastModifiedBy>
  <cp:lastPrinted>2026-02-11T07:04:00Z</cp:lastPrinted>
  <dcterms:modified xsi:type="dcterms:W3CDTF">2026-09-02T02:03:17Z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1493099DF27A46DEA3F51B84933C0383_13</vt:lpwstr>
  </property>
  <property fmtid="{D5CDD505-2E9C-101B-9397-08002B2CF9AE}" pid="4" name="KSOTemplateDocerSaveRecord">
    <vt:lpwstr>eyJoZGlkIjoiMGUzYzZjMTA4MjkxYjBmN2Q2NzBkOWM3MGU3YjgwZDQiLCJ1c2VySWQiOiIyNTc5MzgxMTgifQ==</vt:lpwstr>
  </property>
</Properties>
</file>